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pPr w:leftFromText="180" w:rightFromText="180" w:vertAnchor="page" w:horzAnchor="page" w:tblpX="1467" w:tblpY="112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6" w:hRule="atLeast"/>
        </w:trPr>
        <w:tc>
          <w:tcPr>
            <w:tcW w:w="9030" w:type="dxa"/>
          </w:tcPr>
          <w:p>
            <w:pPr>
              <w:autoSpaceDE w:val="0"/>
              <w:autoSpaceDN w:val="0"/>
              <w:adjustRightInd w:val="0"/>
              <w:snapToGrid w:val="0"/>
              <w:spacing w:line="500" w:lineRule="atLeast"/>
              <w:ind w:left="956"/>
              <w:rPr>
                <w:rFonts w:ascii="宋体" w:hAnsi="宋体" w:cs="宋体"/>
                <w:b/>
                <w:bCs/>
                <w:color w:val="auto"/>
                <w:sz w:val="32"/>
                <w:szCs w:val="32"/>
                <w:highlight w:val="none"/>
                <w:lang w:val="zh-CN"/>
              </w:rPr>
            </w:pPr>
          </w:p>
          <w:p>
            <w:pPr>
              <w:autoSpaceDE w:val="0"/>
              <w:autoSpaceDN w:val="0"/>
              <w:adjustRightInd w:val="0"/>
              <w:snapToGrid w:val="0"/>
              <w:spacing w:line="500" w:lineRule="atLeast"/>
              <w:jc w:val="center"/>
              <w:rPr>
                <w:rFonts w:ascii="宋体" w:hAnsi="宋体" w:cs="宋体"/>
                <w:color w:val="auto"/>
                <w:sz w:val="32"/>
                <w:szCs w:val="32"/>
                <w:highlight w:val="none"/>
                <w:lang w:val="zh-CN"/>
              </w:rPr>
            </w:pPr>
          </w:p>
          <w:p>
            <w:pPr>
              <w:spacing w:line="48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永嘉县政府采购</w:t>
            </w:r>
          </w:p>
          <w:p>
            <w:pPr>
              <w:spacing w:line="48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招标文件</w:t>
            </w:r>
          </w:p>
          <w:p>
            <w:pPr>
              <w:jc w:val="center"/>
              <w:rPr>
                <w:rFonts w:ascii="宋体" w:hAnsi="宋体" w:cs="宋体"/>
                <w:b/>
                <w:bCs/>
                <w:color w:val="auto"/>
                <w:sz w:val="72"/>
                <w:szCs w:val="72"/>
                <w:highlight w:val="none"/>
              </w:rPr>
            </w:pPr>
            <w:r>
              <w:rPr>
                <w:rFonts w:hint="eastAsia" w:ascii="宋体" w:hAnsi="宋体" w:cs="宋体"/>
                <w:color w:val="auto"/>
                <w:sz w:val="72"/>
                <w:szCs w:val="72"/>
                <w:highlight w:val="none"/>
              </w:rPr>
              <w:t>（分散委托）</w:t>
            </w:r>
          </w:p>
          <w:p>
            <w:pPr>
              <w:spacing w:line="460" w:lineRule="atLeast"/>
              <w:ind w:left="2846" w:leftChars="710" w:hanging="1355" w:hangingChars="450"/>
              <w:rPr>
                <w:rFonts w:ascii="宋体" w:hAnsi="宋体" w:cs="宋体"/>
                <w:b/>
                <w:bCs/>
                <w:color w:val="auto"/>
                <w:sz w:val="30"/>
                <w:szCs w:val="30"/>
                <w:highlight w:val="none"/>
              </w:rPr>
            </w:pPr>
          </w:p>
          <w:p>
            <w:pPr>
              <w:pStyle w:val="3"/>
              <w:ind w:firstLine="210"/>
              <w:rPr>
                <w:rFonts w:ascii="宋体" w:hAnsi="宋体" w:cs="宋体"/>
                <w:color w:val="auto"/>
                <w:highlight w:val="none"/>
              </w:rPr>
            </w:pPr>
          </w:p>
          <w:p>
            <w:pPr>
              <w:pStyle w:val="3"/>
              <w:ind w:firstLine="210"/>
              <w:rPr>
                <w:rFonts w:ascii="宋体" w:hAnsi="宋体" w:cs="宋体"/>
                <w:color w:val="auto"/>
                <w:highlight w:val="none"/>
              </w:rPr>
            </w:pPr>
          </w:p>
          <w:p>
            <w:pPr>
              <w:tabs>
                <w:tab w:val="left" w:pos="3990"/>
              </w:tabs>
              <w:spacing w:line="460" w:lineRule="atLeast"/>
              <w:ind w:left="2944" w:leftChars="726" w:right="1674" w:rightChars="797" w:hanging="1419" w:hangingChars="473"/>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项目名称：</w:t>
            </w:r>
            <w:r>
              <w:rPr>
                <w:rFonts w:hint="eastAsia" w:ascii="宋体" w:hAnsi="宋体"/>
                <w:color w:val="auto"/>
                <w:sz w:val="30"/>
                <w:szCs w:val="30"/>
                <w:highlight w:val="none"/>
                <w:lang w:eastAsia="zh-CN"/>
              </w:rPr>
              <w:t>永嘉县政法一体化执法办案管理中心信息智能化系统（第二次）</w:t>
            </w:r>
          </w:p>
          <w:p>
            <w:pPr>
              <w:spacing w:line="460" w:lineRule="atLeast"/>
              <w:ind w:left="3565" w:leftChars="726" w:hanging="2040" w:hangingChars="68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F-GB202206270556</w:t>
            </w:r>
          </w:p>
          <w:p>
            <w:pPr>
              <w:spacing w:line="500" w:lineRule="atLeast"/>
              <w:ind w:left="3565" w:leftChars="726" w:hanging="2040" w:hangingChars="680"/>
              <w:rPr>
                <w:rFonts w:ascii="宋体" w:hAnsi="宋体" w:cs="宋体"/>
                <w:color w:val="auto"/>
                <w:sz w:val="30"/>
                <w:szCs w:val="30"/>
                <w:highlight w:val="none"/>
              </w:rPr>
            </w:pPr>
          </w:p>
          <w:p>
            <w:pPr>
              <w:pStyle w:val="3"/>
              <w:ind w:firstLine="210"/>
              <w:rPr>
                <w:rFonts w:ascii="宋体" w:hAnsi="宋体" w:cs="宋体"/>
                <w:color w:val="auto"/>
                <w:highlight w:val="none"/>
              </w:rPr>
            </w:pPr>
          </w:p>
          <w:p>
            <w:pPr>
              <w:pStyle w:val="3"/>
              <w:ind w:firstLine="210"/>
              <w:rPr>
                <w:rFonts w:ascii="宋体" w:hAnsi="宋体" w:cs="宋体"/>
                <w:color w:val="auto"/>
                <w:highlight w:val="none"/>
              </w:rPr>
            </w:pPr>
          </w:p>
          <w:p>
            <w:pPr>
              <w:pStyle w:val="3"/>
              <w:ind w:firstLine="210"/>
              <w:rPr>
                <w:rFonts w:ascii="宋体" w:hAnsi="宋体" w:cs="宋体"/>
                <w:color w:val="auto"/>
                <w:highlight w:val="none"/>
              </w:rPr>
            </w:pPr>
          </w:p>
          <w:p>
            <w:pPr>
              <w:pStyle w:val="3"/>
              <w:ind w:firstLine="210"/>
              <w:rPr>
                <w:rFonts w:ascii="宋体" w:hAnsi="宋体" w:cs="宋体"/>
                <w:color w:val="auto"/>
                <w:highlight w:val="none"/>
              </w:rPr>
            </w:pPr>
          </w:p>
          <w:p>
            <w:pPr>
              <w:pStyle w:val="3"/>
              <w:ind w:firstLine="210"/>
              <w:rPr>
                <w:rFonts w:ascii="宋体" w:hAnsi="宋体" w:cs="宋体"/>
                <w:color w:val="auto"/>
                <w:highlight w:val="none"/>
              </w:rPr>
            </w:pPr>
          </w:p>
          <w:p>
            <w:pPr>
              <w:pStyle w:val="3"/>
              <w:ind w:firstLine="210"/>
              <w:rPr>
                <w:rFonts w:ascii="宋体" w:hAnsi="宋体" w:cs="宋体"/>
                <w:color w:val="auto"/>
                <w:highlight w:val="none"/>
              </w:rPr>
            </w:pPr>
          </w:p>
          <w:p>
            <w:pPr>
              <w:pStyle w:val="3"/>
              <w:ind w:firstLine="210"/>
              <w:rPr>
                <w:rFonts w:ascii="宋体" w:hAnsi="宋体" w:cs="宋体"/>
                <w:color w:val="auto"/>
                <w:highlight w:val="none"/>
              </w:rPr>
            </w:pPr>
          </w:p>
          <w:p>
            <w:pPr>
              <w:pStyle w:val="3"/>
              <w:ind w:firstLine="210"/>
              <w:rPr>
                <w:rFonts w:ascii="宋体" w:hAnsi="宋体" w:cs="宋体"/>
                <w:color w:val="auto"/>
                <w:highlight w:val="none"/>
              </w:rPr>
            </w:pPr>
          </w:p>
          <w:p>
            <w:pPr>
              <w:pStyle w:val="3"/>
              <w:ind w:firstLine="0" w:firstLineChars="0"/>
              <w:rPr>
                <w:rFonts w:ascii="宋体" w:hAnsi="宋体" w:cs="宋体"/>
                <w:color w:val="auto"/>
                <w:highlight w:val="none"/>
              </w:rPr>
            </w:pPr>
          </w:p>
          <w:p>
            <w:pPr>
              <w:pStyle w:val="3"/>
              <w:ind w:firstLine="210"/>
              <w:rPr>
                <w:rFonts w:ascii="宋体" w:hAnsi="宋体" w:cs="宋体"/>
                <w:color w:val="auto"/>
                <w:highlight w:val="none"/>
              </w:rPr>
            </w:pPr>
          </w:p>
          <w:p>
            <w:pPr>
              <w:pStyle w:val="3"/>
              <w:ind w:firstLine="210"/>
              <w:rPr>
                <w:rFonts w:ascii="宋体" w:hAnsi="宋体" w:cs="宋体"/>
                <w:color w:val="auto"/>
                <w:highlight w:val="none"/>
              </w:rPr>
            </w:pPr>
          </w:p>
          <w:p>
            <w:pPr>
              <w:spacing w:line="460" w:lineRule="atLeast"/>
              <w:ind w:left="2841" w:leftChars="710" w:hanging="1350" w:hangingChars="450"/>
              <w:rPr>
                <w:rFonts w:ascii="宋体" w:hAnsi="宋体" w:cs="宋体"/>
                <w:color w:val="auto"/>
                <w:sz w:val="30"/>
                <w:szCs w:val="30"/>
                <w:highlight w:val="none"/>
              </w:rPr>
            </w:pPr>
            <w:r>
              <w:rPr>
                <w:rFonts w:hint="eastAsia" w:ascii="宋体" w:hAnsi="宋体" w:cs="宋体"/>
                <w:color w:val="auto"/>
                <w:sz w:val="30"/>
                <w:szCs w:val="30"/>
                <w:highlight w:val="none"/>
              </w:rPr>
              <w:t>采 购 人：永嘉县公安局</w:t>
            </w:r>
          </w:p>
          <w:p>
            <w:pPr>
              <w:spacing w:line="460" w:lineRule="atLeast"/>
              <w:ind w:left="2841" w:leftChars="710" w:hanging="1350" w:hangingChars="450"/>
              <w:rPr>
                <w:rFonts w:ascii="宋体" w:hAnsi="宋体" w:cs="宋体"/>
                <w:color w:val="auto"/>
                <w:sz w:val="30"/>
                <w:szCs w:val="30"/>
                <w:highlight w:val="none"/>
              </w:rPr>
            </w:pPr>
            <w:r>
              <w:rPr>
                <w:rFonts w:hint="eastAsia" w:ascii="宋体" w:hAnsi="宋体" w:cs="宋体"/>
                <w:color w:val="auto"/>
                <w:sz w:val="30"/>
                <w:szCs w:val="30"/>
                <w:highlight w:val="none"/>
              </w:rPr>
              <w:t>代理机构：温州市华明招标代理有限公司</w:t>
            </w:r>
          </w:p>
          <w:p>
            <w:pPr>
              <w:autoSpaceDE w:val="0"/>
              <w:autoSpaceDN w:val="0"/>
              <w:adjustRightInd w:val="0"/>
              <w:snapToGrid w:val="0"/>
              <w:spacing w:line="500" w:lineRule="atLeast"/>
              <w:jc w:val="center"/>
              <w:rPr>
                <w:rFonts w:ascii="宋体" w:hAnsi="宋体" w:cs="宋体"/>
                <w:color w:val="auto"/>
                <w:sz w:val="32"/>
                <w:szCs w:val="32"/>
                <w:highlight w:val="none"/>
              </w:rPr>
            </w:pPr>
            <w:r>
              <w:rPr>
                <w:rFonts w:hint="eastAsia" w:ascii="宋体" w:hAnsi="宋体" w:cs="宋体"/>
                <w:color w:val="auto"/>
                <w:sz w:val="30"/>
                <w:szCs w:val="30"/>
                <w:highlight w:val="none"/>
              </w:rPr>
              <w:t>二○二二年</w:t>
            </w:r>
            <w:r>
              <w:rPr>
                <w:rFonts w:hint="eastAsia" w:ascii="宋体" w:hAnsi="宋体" w:cs="宋体"/>
                <w:color w:val="auto"/>
                <w:sz w:val="30"/>
                <w:szCs w:val="30"/>
                <w:highlight w:val="none"/>
                <w:lang w:val="en-US" w:eastAsia="zh-CN"/>
              </w:rPr>
              <w:t>六</w:t>
            </w:r>
            <w:r>
              <w:rPr>
                <w:rFonts w:hint="eastAsia" w:ascii="宋体" w:hAnsi="宋体" w:cs="宋体"/>
                <w:color w:val="auto"/>
                <w:sz w:val="30"/>
                <w:szCs w:val="30"/>
                <w:highlight w:val="none"/>
              </w:rPr>
              <w:t>月</w:t>
            </w:r>
          </w:p>
        </w:tc>
      </w:tr>
    </w:tbl>
    <w:p>
      <w:pPr>
        <w:spacing w:line="500" w:lineRule="atLeast"/>
        <w:rPr>
          <w:rFonts w:ascii="宋体" w:hAnsi="宋体" w:cs="宋体"/>
          <w:color w:val="auto"/>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850" w:gutter="0"/>
          <w:pgNumType w:start="1"/>
          <w:cols w:space="720" w:num="1"/>
          <w:titlePg/>
          <w:docGrid w:type="lines" w:linePitch="312" w:charSpace="0"/>
        </w:sectPr>
      </w:pPr>
    </w:p>
    <w:p>
      <w:pPr>
        <w:widowControl/>
        <w:spacing w:line="500" w:lineRule="atLeast"/>
        <w:jc w:val="center"/>
        <w:rPr>
          <w:rFonts w:ascii="宋体" w:hAnsi="宋体" w:cs="宋体"/>
          <w:b/>
          <w:bCs/>
          <w:color w:val="auto"/>
          <w:sz w:val="32"/>
          <w:szCs w:val="32"/>
          <w:highlight w:val="none"/>
        </w:rPr>
      </w:pPr>
      <w:bookmarkStart w:id="0" w:name="_Toc496116237"/>
      <w:bookmarkStart w:id="1" w:name="_Toc293038713"/>
      <w:r>
        <w:rPr>
          <w:rFonts w:hint="eastAsia" w:ascii="宋体" w:hAnsi="宋体" w:cs="宋体"/>
          <w:b/>
          <w:bCs/>
          <w:color w:val="auto"/>
          <w:sz w:val="32"/>
          <w:szCs w:val="32"/>
          <w:highlight w:val="none"/>
        </w:rPr>
        <w:t>招标文件目录</w:t>
      </w:r>
    </w:p>
    <w:p>
      <w:pPr>
        <w:pStyle w:val="19"/>
        <w:spacing w:line="720" w:lineRule="auto"/>
        <w:rPr>
          <w:rFonts w:ascii="宋体" w:hAnsi="宋体" w:cs="宋体"/>
          <w:color w:val="auto"/>
          <w:szCs w:val="22"/>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"1-2" \h \z \u </w:instrText>
      </w:r>
      <w:r>
        <w:rPr>
          <w:rFonts w:hint="eastAsia" w:ascii="宋体" w:hAnsi="宋体" w:cs="宋体"/>
          <w:color w:val="auto"/>
          <w:highlight w:val="none"/>
        </w:rPr>
        <w:fldChar w:fldCharType="separate"/>
      </w:r>
    </w:p>
    <w:p>
      <w:pPr>
        <w:pStyle w:val="19"/>
        <w:spacing w:line="720" w:lineRule="auto"/>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"_Toc73091433" </w:instrText>
      </w:r>
      <w:r>
        <w:rPr>
          <w:color w:val="auto"/>
          <w:highlight w:val="none"/>
        </w:rPr>
        <w:fldChar w:fldCharType="separate"/>
      </w:r>
      <w:r>
        <w:rPr>
          <w:rStyle w:val="33"/>
          <w:rFonts w:hint="eastAsia" w:ascii="宋体" w:hAnsi="宋体" w:cs="宋体"/>
          <w:color w:val="auto"/>
          <w:highlight w:val="none"/>
        </w:rPr>
        <w:t>第一部分  投标通知(邀请)书</w:t>
      </w:r>
      <w:r>
        <w:rPr>
          <w:rFonts w:hint="eastAsia" w:ascii="宋体" w:hAnsi="宋体" w:cs="宋体"/>
          <w:color w:val="auto"/>
          <w:highlight w:val="none"/>
        </w:rPr>
        <w:tab/>
      </w:r>
      <w:r>
        <w:rPr>
          <w:rFonts w:hint="eastAsia" w:ascii="宋体" w:hAnsi="宋体" w:cs="宋体"/>
          <w:color w:val="auto"/>
          <w:highlight w:val="none"/>
        </w:rPr>
        <w:t>5</w:t>
      </w:r>
      <w:r>
        <w:rPr>
          <w:rFonts w:hint="eastAsia" w:ascii="宋体" w:hAnsi="宋体" w:cs="宋体"/>
          <w:color w:val="auto"/>
          <w:highlight w:val="none"/>
        </w:rPr>
        <w:fldChar w:fldCharType="end"/>
      </w:r>
    </w:p>
    <w:p>
      <w:pPr>
        <w:pStyle w:val="19"/>
        <w:spacing w:line="720" w:lineRule="auto"/>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"_Toc73091434" </w:instrText>
      </w:r>
      <w:r>
        <w:rPr>
          <w:color w:val="auto"/>
          <w:highlight w:val="none"/>
        </w:rPr>
        <w:fldChar w:fldCharType="separate"/>
      </w:r>
      <w:r>
        <w:rPr>
          <w:rStyle w:val="33"/>
          <w:rFonts w:hint="eastAsia" w:ascii="宋体" w:hAnsi="宋体" w:cs="宋体"/>
          <w:color w:val="auto"/>
          <w:highlight w:val="none"/>
        </w:rPr>
        <w:t>第二部份 采购内容及要求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_Toc73091434 \h </w:instrText>
      </w:r>
      <w:r>
        <w:rPr>
          <w:rFonts w:hint="eastAsia" w:ascii="宋体" w:hAnsi="宋体" w:cs="宋体"/>
          <w:color w:val="auto"/>
          <w:highlight w:val="none"/>
        </w:rPr>
        <w:fldChar w:fldCharType="separate"/>
      </w:r>
      <w:r>
        <w:rPr>
          <w:rFonts w:hint="eastAsia" w:ascii="宋体" w:hAnsi="宋体" w:cs="宋体"/>
          <w:color w:val="auto"/>
          <w:highlight w:val="none"/>
        </w:rPr>
        <w:t>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spacing w:line="720" w:lineRule="auto"/>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"_Toc73091435" </w:instrText>
      </w:r>
      <w:r>
        <w:rPr>
          <w:color w:val="auto"/>
          <w:highlight w:val="none"/>
        </w:rPr>
        <w:fldChar w:fldCharType="separate"/>
      </w:r>
      <w:r>
        <w:rPr>
          <w:rStyle w:val="33"/>
          <w:rFonts w:hint="eastAsia" w:ascii="宋体" w:hAnsi="宋体" w:cs="宋体"/>
          <w:color w:val="auto"/>
          <w:highlight w:val="none"/>
        </w:rPr>
        <w:t>第三部分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_Toc73091435 \h </w:instrText>
      </w:r>
      <w:r>
        <w:rPr>
          <w:rFonts w:hint="eastAsia" w:ascii="宋体" w:hAnsi="宋体" w:cs="宋体"/>
          <w:color w:val="auto"/>
          <w:highlight w:val="none"/>
        </w:rPr>
        <w:fldChar w:fldCharType="separate"/>
      </w:r>
      <w:r>
        <w:rPr>
          <w:rFonts w:hint="eastAsia" w:ascii="宋体" w:hAnsi="宋体" w:cs="宋体"/>
          <w:color w:val="auto"/>
          <w:highlight w:val="none"/>
        </w:rPr>
        <w:t>177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spacing w:line="720" w:lineRule="auto"/>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"_Toc73091436" </w:instrText>
      </w:r>
      <w:r>
        <w:rPr>
          <w:color w:val="auto"/>
          <w:highlight w:val="none"/>
        </w:rPr>
        <w:fldChar w:fldCharType="separate"/>
      </w:r>
      <w:r>
        <w:rPr>
          <w:rStyle w:val="33"/>
          <w:rFonts w:hint="eastAsia" w:ascii="宋体" w:hAnsi="宋体" w:cs="宋体"/>
          <w:color w:val="auto"/>
          <w:highlight w:val="none"/>
        </w:rPr>
        <w:t>第四部分 政府采购政策功能相关说明</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_Toc73091436 \h </w:instrText>
      </w:r>
      <w:r>
        <w:rPr>
          <w:rFonts w:hint="eastAsia" w:ascii="宋体" w:hAnsi="宋体" w:cs="宋体"/>
          <w:color w:val="auto"/>
          <w:highlight w:val="none"/>
        </w:rPr>
        <w:fldChar w:fldCharType="separate"/>
      </w:r>
      <w:r>
        <w:rPr>
          <w:rFonts w:hint="eastAsia" w:ascii="宋体" w:hAnsi="宋体" w:cs="宋体"/>
          <w:color w:val="auto"/>
          <w:highlight w:val="none"/>
        </w:rPr>
        <w:t>191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spacing w:line="720" w:lineRule="auto"/>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"_Toc73091437" </w:instrText>
      </w:r>
      <w:r>
        <w:rPr>
          <w:color w:val="auto"/>
          <w:highlight w:val="none"/>
        </w:rPr>
        <w:fldChar w:fldCharType="separate"/>
      </w:r>
      <w:r>
        <w:rPr>
          <w:rStyle w:val="33"/>
          <w:rFonts w:hint="eastAsia" w:ascii="宋体" w:hAnsi="宋体" w:cs="宋体"/>
          <w:color w:val="auto"/>
          <w:highlight w:val="none"/>
        </w:rPr>
        <w:t>第五部分 合同格式（仅供参考）</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_Toc73091437 \h </w:instrText>
      </w:r>
      <w:r>
        <w:rPr>
          <w:rFonts w:hint="eastAsia" w:ascii="宋体" w:hAnsi="宋体" w:cs="宋体"/>
          <w:color w:val="auto"/>
          <w:highlight w:val="none"/>
        </w:rPr>
        <w:fldChar w:fldCharType="separate"/>
      </w:r>
      <w:r>
        <w:rPr>
          <w:rFonts w:hint="eastAsia" w:ascii="宋体" w:hAnsi="宋体" w:cs="宋体"/>
          <w:color w:val="auto"/>
          <w:highlight w:val="none"/>
        </w:rPr>
        <w:t>196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spacing w:line="720" w:lineRule="auto"/>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"_Toc73091440" </w:instrText>
      </w:r>
      <w:r>
        <w:rPr>
          <w:color w:val="auto"/>
          <w:highlight w:val="none"/>
        </w:rPr>
        <w:fldChar w:fldCharType="separate"/>
      </w:r>
      <w:r>
        <w:rPr>
          <w:rStyle w:val="33"/>
          <w:rFonts w:hint="eastAsia" w:ascii="宋体" w:hAnsi="宋体" w:cs="宋体"/>
          <w:color w:val="auto"/>
          <w:highlight w:val="none"/>
        </w:rPr>
        <w:t>第六部分 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_Toc73091440 \h </w:instrText>
      </w:r>
      <w:r>
        <w:rPr>
          <w:rFonts w:hint="eastAsia" w:ascii="宋体" w:hAnsi="宋体" w:cs="宋体"/>
          <w:color w:val="auto"/>
          <w:highlight w:val="none"/>
        </w:rPr>
        <w:fldChar w:fldCharType="separate"/>
      </w:r>
      <w:r>
        <w:rPr>
          <w:rFonts w:hint="eastAsia" w:ascii="宋体" w:hAnsi="宋体" w:cs="宋体"/>
          <w:color w:val="auto"/>
          <w:highlight w:val="none"/>
        </w:rPr>
        <w:t>200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spacing w:line="720" w:lineRule="auto"/>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"_Toc73091441" </w:instrText>
      </w:r>
      <w:r>
        <w:rPr>
          <w:color w:val="auto"/>
          <w:highlight w:val="none"/>
        </w:rPr>
        <w:fldChar w:fldCharType="separate"/>
      </w:r>
      <w:r>
        <w:rPr>
          <w:rStyle w:val="33"/>
          <w:rFonts w:hint="eastAsia" w:ascii="宋体" w:hAnsi="宋体" w:cs="宋体"/>
          <w:color w:val="auto"/>
          <w:highlight w:val="none"/>
        </w:rPr>
        <w:t>一、资格文件部分格式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_Toc73091441 \h </w:instrText>
      </w:r>
      <w:r>
        <w:rPr>
          <w:rFonts w:hint="eastAsia" w:ascii="宋体" w:hAnsi="宋体" w:cs="宋体"/>
          <w:color w:val="auto"/>
          <w:highlight w:val="none"/>
        </w:rPr>
        <w:fldChar w:fldCharType="separate"/>
      </w:r>
      <w:r>
        <w:rPr>
          <w:rFonts w:hint="eastAsia" w:ascii="宋体" w:hAnsi="宋体" w:cs="宋体"/>
          <w:color w:val="auto"/>
          <w:highlight w:val="none"/>
        </w:rPr>
        <w:t>200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spacing w:line="720" w:lineRule="auto"/>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"_Toc73091446" </w:instrText>
      </w:r>
      <w:r>
        <w:rPr>
          <w:color w:val="auto"/>
          <w:highlight w:val="none"/>
        </w:rPr>
        <w:fldChar w:fldCharType="separate"/>
      </w:r>
      <w:r>
        <w:rPr>
          <w:rStyle w:val="33"/>
          <w:rFonts w:hint="eastAsia" w:ascii="宋体" w:hAnsi="宋体" w:cs="宋体"/>
          <w:color w:val="auto"/>
          <w:highlight w:val="none"/>
        </w:rPr>
        <w:t>二、报价文件部分格式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_Toc73091446 \h </w:instrText>
      </w:r>
      <w:r>
        <w:rPr>
          <w:rFonts w:hint="eastAsia" w:ascii="宋体" w:hAnsi="宋体" w:cs="宋体"/>
          <w:color w:val="auto"/>
          <w:highlight w:val="none"/>
        </w:rPr>
        <w:fldChar w:fldCharType="separate"/>
      </w:r>
      <w:r>
        <w:rPr>
          <w:rFonts w:hint="eastAsia" w:ascii="宋体" w:hAnsi="宋体" w:cs="宋体"/>
          <w:color w:val="auto"/>
          <w:highlight w:val="none"/>
        </w:rPr>
        <w:t>206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spacing w:line="720" w:lineRule="auto"/>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"_Toc73091448" </w:instrText>
      </w:r>
      <w:r>
        <w:rPr>
          <w:color w:val="auto"/>
          <w:highlight w:val="none"/>
        </w:rPr>
        <w:fldChar w:fldCharType="separate"/>
      </w:r>
      <w:r>
        <w:rPr>
          <w:rStyle w:val="33"/>
          <w:rFonts w:hint="eastAsia" w:ascii="宋体" w:hAnsi="宋体" w:cs="宋体"/>
          <w:color w:val="auto"/>
          <w:highlight w:val="none"/>
        </w:rPr>
        <w:t>三、商务技术文件部分格式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_Toc73091448 \h </w:instrText>
      </w:r>
      <w:r>
        <w:rPr>
          <w:rFonts w:hint="eastAsia" w:ascii="宋体" w:hAnsi="宋体" w:cs="宋体"/>
          <w:color w:val="auto"/>
          <w:highlight w:val="none"/>
        </w:rPr>
        <w:fldChar w:fldCharType="separate"/>
      </w:r>
      <w:r>
        <w:rPr>
          <w:rFonts w:hint="eastAsia" w:ascii="宋体" w:hAnsi="宋体" w:cs="宋体"/>
          <w:color w:val="auto"/>
          <w:highlight w:val="none"/>
        </w:rPr>
        <w:t>208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spacing w:line="720" w:lineRule="auto"/>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"_Toc73091452" </w:instrText>
      </w:r>
      <w:r>
        <w:rPr>
          <w:color w:val="auto"/>
          <w:highlight w:val="none"/>
        </w:rPr>
        <w:fldChar w:fldCharType="separate"/>
      </w:r>
      <w:r>
        <w:rPr>
          <w:rStyle w:val="33"/>
          <w:rFonts w:hint="eastAsia" w:ascii="宋体" w:hAnsi="宋体" w:cs="宋体"/>
          <w:color w:val="auto"/>
          <w:highlight w:val="none"/>
        </w:rPr>
        <w:t>第七部分 评标定标办法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_Toc73091452 \h </w:instrText>
      </w:r>
      <w:r>
        <w:rPr>
          <w:rFonts w:hint="eastAsia" w:ascii="宋体" w:hAnsi="宋体" w:cs="宋体"/>
          <w:color w:val="auto"/>
          <w:highlight w:val="none"/>
        </w:rPr>
        <w:fldChar w:fldCharType="separate"/>
      </w:r>
      <w:r>
        <w:rPr>
          <w:rFonts w:hint="eastAsia" w:ascii="宋体" w:hAnsi="宋体" w:cs="宋体"/>
          <w:color w:val="auto"/>
          <w:highlight w:val="none"/>
        </w:rPr>
        <w:t>215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spacing w:line="480" w:lineRule="auto"/>
        <w:rPr>
          <w:rFonts w:ascii="宋体" w:hAnsi="宋体" w:cs="宋体"/>
          <w:color w:val="auto"/>
          <w:highlight w:val="none"/>
        </w:rPr>
      </w:pPr>
      <w:r>
        <w:rPr>
          <w:rFonts w:hint="eastAsia" w:ascii="宋体" w:hAnsi="宋体" w:cs="宋体"/>
          <w:color w:val="auto"/>
          <w:highlight w:val="none"/>
        </w:rPr>
        <w:fldChar w:fldCharType="end"/>
      </w:r>
    </w:p>
    <w:p>
      <w:pPr>
        <w:pStyle w:val="25"/>
        <w:rPr>
          <w:rFonts w:ascii="宋体" w:hAnsi="宋体" w:cs="宋体"/>
          <w:color w:val="auto"/>
          <w:sz w:val="30"/>
          <w:szCs w:val="30"/>
          <w:highlight w:val="none"/>
        </w:rPr>
      </w:pPr>
      <w:bookmarkStart w:id="2" w:name="_Toc498343162"/>
    </w:p>
    <w:p>
      <w:pPr>
        <w:pStyle w:val="25"/>
        <w:rPr>
          <w:rFonts w:ascii="宋体" w:hAnsi="宋体" w:cs="宋体"/>
          <w:color w:val="auto"/>
          <w:sz w:val="30"/>
          <w:szCs w:val="30"/>
          <w:highlight w:val="none"/>
        </w:rPr>
      </w:pPr>
    </w:p>
    <w:bookmarkEnd w:id="0"/>
    <w:bookmarkEnd w:id="2"/>
    <w:p>
      <w:pPr>
        <w:spacing w:line="360" w:lineRule="auto"/>
        <w:jc w:val="center"/>
        <w:outlineLvl w:val="0"/>
        <w:rPr>
          <w:rFonts w:ascii="宋体" w:hAnsi="宋体" w:cs="宋体"/>
          <w:color w:val="auto"/>
          <w:sz w:val="30"/>
          <w:szCs w:val="30"/>
          <w:highlight w:val="none"/>
        </w:rPr>
      </w:pPr>
      <w:bookmarkStart w:id="3" w:name="_Toc486964700"/>
      <w:bookmarkStart w:id="4" w:name="_Toc496116238"/>
      <w:bookmarkStart w:id="5" w:name="_Toc498343163"/>
      <w:r>
        <w:rPr>
          <w:rFonts w:hint="eastAsia" w:ascii="宋体" w:hAnsi="宋体" w:cs="宋体"/>
          <w:color w:val="auto"/>
          <w:sz w:val="30"/>
          <w:szCs w:val="30"/>
          <w:highlight w:val="none"/>
        </w:rPr>
        <w:br w:type="page"/>
      </w:r>
      <w:bookmarkEnd w:id="3"/>
      <w:bookmarkEnd w:id="4"/>
      <w:bookmarkEnd w:id="5"/>
      <w:bookmarkStart w:id="6" w:name="_Toc73091433"/>
      <w:bookmarkStart w:id="7" w:name="_Toc496116239"/>
      <w:bookmarkStart w:id="8" w:name="_Toc498343164"/>
    </w:p>
    <w:p>
      <w:pPr>
        <w:spacing w:line="360" w:lineRule="auto"/>
        <w:jc w:val="center"/>
        <w:outlineLvl w:val="0"/>
        <w:rPr>
          <w:rFonts w:ascii="仿宋" w:hAnsi="仿宋" w:eastAsia="仿宋" w:cs="仿宋"/>
          <w:b/>
          <w:color w:val="auto"/>
          <w:sz w:val="36"/>
          <w:szCs w:val="20"/>
          <w:highlight w:val="none"/>
        </w:rPr>
      </w:pPr>
      <w:r>
        <w:rPr>
          <w:rStyle w:val="96"/>
          <w:rFonts w:hint="eastAsia" w:ascii="仿宋" w:eastAsia="仿宋" w:cs="仿宋"/>
          <w:color w:val="auto"/>
          <w:highlight w:val="none"/>
        </w:rPr>
        <w:t>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永嘉县政法一体化执法办案管理中心信息智能化系统（第二次）</w:t>
      </w:r>
      <w:r>
        <w:rPr>
          <w:rFonts w:hint="eastAsia" w:ascii="仿宋" w:hAnsi="仿宋" w:eastAsia="仿宋" w:cs="仿宋"/>
          <w:color w:val="auto"/>
          <w:sz w:val="24"/>
          <w:highlight w:val="none"/>
        </w:rPr>
        <w:t>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33"/>
          <w:rFonts w:hint="eastAsia" w:ascii="仿宋" w:hAnsi="仿宋" w:eastAsia="仿宋" w:cs="仿宋"/>
          <w:color w:val="auto"/>
          <w:sz w:val="24"/>
          <w:szCs w:val="24"/>
          <w:highlight w:val="none"/>
        </w:rPr>
        <w:t>https://www.zcygov.cn/）获取（下载）采购文件，并于</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eastAsia="zh-CN"/>
        </w:rPr>
        <w:t>22年7月19日</w:t>
      </w:r>
      <w:r>
        <w:rPr>
          <w:rFonts w:hint="eastAsia" w:ascii="仿宋" w:hAnsi="仿宋" w:eastAsia="仿宋" w:cs="仿宋"/>
          <w:color w:val="auto"/>
          <w:sz w:val="24"/>
          <w:highlight w:val="none"/>
          <w:u w:val="single"/>
        </w:rPr>
        <w:t>9点30分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ind w:firstLine="480"/>
        <w:rPr>
          <w:rFonts w:ascii="仿宋" w:hAnsi="仿宋" w:eastAsia="仿宋" w:cs="仿宋"/>
          <w:color w:val="auto"/>
          <w:highlight w:val="none"/>
          <w:u w:val="single"/>
        </w:rPr>
      </w:pPr>
      <w:r>
        <w:rPr>
          <w:rFonts w:hint="eastAsia" w:ascii="仿宋" w:hAnsi="仿宋" w:eastAsia="仿宋" w:cs="仿宋"/>
          <w:b/>
          <w:color w:val="auto"/>
          <w:sz w:val="24"/>
          <w:highlight w:val="none"/>
        </w:rPr>
        <w:t>项目编号：</w:t>
      </w:r>
      <w:r>
        <w:rPr>
          <w:rFonts w:hint="eastAsia" w:ascii="仿宋" w:hAnsi="仿宋" w:eastAsia="仿宋" w:cs="仿宋"/>
          <w:color w:val="auto"/>
          <w:highlight w:val="none"/>
          <w:u w:val="single"/>
          <w:lang w:eastAsia="zh-CN"/>
        </w:rPr>
        <w:t>F-GB202206270556</w:t>
      </w:r>
      <w:r>
        <w:rPr>
          <w:rFonts w:hint="eastAsia" w:ascii="仿宋" w:hAnsi="仿宋" w:eastAsia="仿宋" w:cs="仿宋"/>
          <w:color w:val="auto"/>
          <w:highlight w:val="none"/>
          <w:u w:val="single"/>
        </w:rPr>
        <w:t xml:space="preserve">   </w:t>
      </w:r>
    </w:p>
    <w:p>
      <w:pPr>
        <w:spacing w:line="360" w:lineRule="auto"/>
        <w:ind w:firstLine="480"/>
        <w:rPr>
          <w:rFonts w:ascii="仿宋" w:hAnsi="仿宋" w:eastAsia="仿宋" w:cs="仿宋"/>
          <w:color w:val="auto"/>
          <w:sz w:val="24"/>
          <w:highlight w:val="none"/>
          <w:u w:val="single"/>
        </w:rPr>
      </w:pPr>
      <w:r>
        <w:rPr>
          <w:rFonts w:hint="eastAsia" w:ascii="仿宋" w:hAnsi="仿宋" w:eastAsia="仿宋" w:cs="仿宋"/>
          <w:b/>
          <w:color w:val="auto"/>
          <w:sz w:val="24"/>
          <w:highlight w:val="none"/>
        </w:rPr>
        <w:t>项目名称：</w:t>
      </w:r>
      <w:r>
        <w:rPr>
          <w:rFonts w:hint="eastAsia" w:ascii="仿宋" w:hAnsi="仿宋" w:eastAsia="仿宋" w:cs="仿宋"/>
          <w:color w:val="auto"/>
          <w:highlight w:val="none"/>
          <w:u w:val="single"/>
          <w:lang w:eastAsia="zh-CN"/>
        </w:rPr>
        <w:t>永嘉县政法一体化执法办案管理中心信息智能化系统（第二次）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highlight w:val="none"/>
          <w:u w:val="single"/>
        </w:rPr>
        <w:t xml:space="preserve"> 7814300      </w:t>
      </w:r>
    </w:p>
    <w:p>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highlight w:val="none"/>
          <w:u w:val="single"/>
        </w:rPr>
        <w:t xml:space="preserve">7814300 </w:t>
      </w:r>
    </w:p>
    <w:p>
      <w:pPr>
        <w:pStyle w:val="9"/>
        <w:spacing w:line="360" w:lineRule="auto"/>
        <w:ind w:firstLine="482"/>
        <w:rPr>
          <w:rFonts w:ascii="仿宋" w:hAnsi="仿宋" w:eastAsia="仿宋" w:cs="仿宋"/>
          <w:color w:val="auto"/>
          <w:kern w:val="2"/>
          <w:sz w:val="24"/>
          <w:szCs w:val="24"/>
          <w:highlight w:val="none"/>
        </w:rPr>
      </w:pPr>
      <w:r>
        <w:rPr>
          <w:rFonts w:hint="eastAsia" w:ascii="仿宋" w:hAnsi="仿宋" w:eastAsia="仿宋" w:cs="仿宋"/>
          <w:color w:val="auto"/>
          <w:sz w:val="24"/>
          <w:highlight w:val="none"/>
        </w:rPr>
        <w:t>采购需求：</w:t>
      </w:r>
      <w:r>
        <w:rPr>
          <w:rFonts w:hint="eastAsia" w:ascii="仿宋" w:hAnsi="仿宋" w:eastAsia="仿宋" w:cs="仿宋"/>
          <w:b w:val="0"/>
          <w:bCs w:val="0"/>
          <w:color w:val="auto"/>
          <w:kern w:val="2"/>
          <w:sz w:val="24"/>
          <w:highlight w:val="none"/>
          <w:u w:val="single"/>
          <w:lang w:eastAsia="zh-CN"/>
        </w:rPr>
        <w:t>永嘉县政法一体化执法办案管理中心信息智能化系统（第二次）</w:t>
      </w:r>
      <w:r>
        <w:rPr>
          <w:rFonts w:hint="eastAsia" w:ascii="仿宋" w:hAnsi="仿宋" w:eastAsia="仿宋" w:cs="仿宋"/>
          <w:b w:val="0"/>
          <w:bCs w:val="0"/>
          <w:color w:val="auto"/>
          <w:kern w:val="2"/>
          <w:sz w:val="24"/>
          <w:highlight w:val="none"/>
          <w:u w:val="single"/>
        </w:rPr>
        <w:t>。详见采购文件</w:t>
      </w:r>
      <w:r>
        <w:rPr>
          <w:rFonts w:hint="eastAsia" w:ascii="仿宋" w:hAnsi="仿宋" w:eastAsia="仿宋" w:cs="仿宋"/>
          <w:color w:val="auto"/>
          <w:kern w:val="2"/>
          <w:sz w:val="24"/>
          <w:szCs w:val="24"/>
          <w:highlight w:val="none"/>
        </w:rPr>
        <w:t>。</w:t>
      </w:r>
    </w:p>
    <w:p>
      <w:pPr>
        <w:spacing w:line="360" w:lineRule="auto"/>
        <w:ind w:firstLine="480"/>
        <w:rPr>
          <w:rFonts w:ascii="仿宋" w:hAnsi="仿宋" w:eastAsia="仿宋" w:cs="仿宋"/>
          <w:snapToGrid w:val="0"/>
          <w:color w:val="auto"/>
          <w:kern w:val="28"/>
          <w:sz w:val="24"/>
          <w:szCs w:val="20"/>
          <w:highlight w:val="none"/>
        </w:rPr>
      </w:pPr>
      <w:bookmarkStart w:id="231" w:name="_GoBack"/>
      <w:bookmarkEnd w:id="231"/>
      <w:bookmarkStart w:id="9" w:name="_Toc26996"/>
      <w:bookmarkStart w:id="10" w:name="_Toc142"/>
      <w:bookmarkStart w:id="11" w:name="_Toc28404"/>
    </w:p>
    <w:p>
      <w:pPr>
        <w:spacing w:line="360" w:lineRule="auto"/>
        <w:ind w:firstLine="480"/>
        <w:rPr>
          <w:rFonts w:hint="eastAsia" w:ascii="仿宋" w:hAnsi="仿宋" w:eastAsia="仿宋" w:cs="仿宋"/>
          <w:b/>
          <w:bCs/>
          <w:snapToGrid w:val="0"/>
          <w:color w:val="auto"/>
          <w:kern w:val="28"/>
          <w:sz w:val="24"/>
          <w:szCs w:val="20"/>
          <w:highlight w:val="none"/>
          <w:lang w:eastAsia="zh-CN"/>
        </w:rPr>
      </w:pPr>
      <w:r>
        <w:rPr>
          <w:rFonts w:hint="eastAsia" w:ascii="仿宋" w:hAnsi="仿宋" w:eastAsia="仿宋" w:cs="仿宋"/>
          <w:b/>
          <w:bCs/>
          <w:snapToGrid w:val="0"/>
          <w:color w:val="auto"/>
          <w:kern w:val="28"/>
          <w:sz w:val="24"/>
          <w:szCs w:val="20"/>
          <w:highlight w:val="none"/>
        </w:rPr>
        <w:t>标项名称:</w:t>
      </w:r>
      <w:r>
        <w:rPr>
          <w:rFonts w:hint="eastAsia" w:ascii="仿宋" w:hAnsi="仿宋" w:eastAsia="仿宋" w:cs="仿宋"/>
          <w:color w:val="auto"/>
          <w:sz w:val="24"/>
          <w:highlight w:val="none"/>
          <w:u w:val="single"/>
          <w:lang w:eastAsia="zh-CN"/>
        </w:rPr>
        <w:t>永嘉县政法一体化执法办案管理中心信息智能化系统（第二次）</w:t>
      </w:r>
      <w:r>
        <w:rPr>
          <w:rFonts w:hint="eastAsia" w:ascii="仿宋" w:hAnsi="仿宋" w:eastAsia="仿宋" w:cs="仿宋"/>
          <w:b/>
          <w:bCs/>
          <w:snapToGrid w:val="0"/>
          <w:color w:val="auto"/>
          <w:kern w:val="28"/>
          <w:sz w:val="24"/>
          <w:szCs w:val="20"/>
          <w:highlight w:val="none"/>
        </w:rPr>
        <w:t xml:space="preserve">  </w:t>
      </w:r>
    </w:p>
    <w:p>
      <w:pPr>
        <w:spacing w:line="360" w:lineRule="auto"/>
        <w:ind w:firstLine="480"/>
        <w:rPr>
          <w:rFonts w:hint="eastAsia" w:ascii="仿宋" w:hAnsi="仿宋" w:eastAsia="仿宋" w:cs="仿宋"/>
          <w:b/>
          <w:bCs/>
          <w:snapToGrid w:val="0"/>
          <w:color w:val="auto"/>
          <w:kern w:val="28"/>
          <w:sz w:val="24"/>
          <w:szCs w:val="20"/>
          <w:highlight w:val="none"/>
          <w:lang w:eastAsia="zh-CN"/>
        </w:rPr>
      </w:pPr>
      <w:r>
        <w:rPr>
          <w:rFonts w:hint="eastAsia" w:ascii="仿宋" w:hAnsi="仿宋" w:eastAsia="仿宋" w:cs="仿宋"/>
          <w:b/>
          <w:bCs/>
          <w:snapToGrid w:val="0"/>
          <w:color w:val="auto"/>
          <w:kern w:val="28"/>
          <w:sz w:val="24"/>
          <w:szCs w:val="20"/>
          <w:highlight w:val="none"/>
        </w:rPr>
        <w:t>     数量:</w:t>
      </w:r>
      <w:r>
        <w:rPr>
          <w:rFonts w:hint="eastAsia" w:ascii="仿宋" w:hAnsi="仿宋" w:eastAsia="仿宋" w:cs="仿宋"/>
          <w:b/>
          <w:bCs/>
          <w:snapToGrid w:val="0"/>
          <w:color w:val="auto"/>
          <w:kern w:val="28"/>
          <w:sz w:val="24"/>
          <w:szCs w:val="20"/>
          <w:highlight w:val="none"/>
          <w:u w:val="single"/>
        </w:rPr>
        <w:t xml:space="preserve">    1        </w:t>
      </w:r>
      <w:r>
        <w:rPr>
          <w:rFonts w:hint="eastAsia" w:ascii="仿宋" w:hAnsi="仿宋" w:eastAsia="仿宋" w:cs="仿宋"/>
          <w:b/>
          <w:bCs/>
          <w:snapToGrid w:val="0"/>
          <w:color w:val="auto"/>
          <w:kern w:val="28"/>
          <w:sz w:val="24"/>
          <w:szCs w:val="20"/>
          <w:highlight w:val="none"/>
        </w:rPr>
        <w:t>    </w:t>
      </w:r>
    </w:p>
    <w:p>
      <w:pPr>
        <w:spacing w:line="360" w:lineRule="auto"/>
        <w:ind w:firstLine="480"/>
        <w:rPr>
          <w:rFonts w:hint="eastAsia" w:ascii="仿宋" w:hAnsi="仿宋" w:eastAsia="仿宋" w:cs="仿宋"/>
          <w:b/>
          <w:bCs/>
          <w:snapToGrid w:val="0"/>
          <w:color w:val="auto"/>
          <w:kern w:val="28"/>
          <w:sz w:val="24"/>
          <w:szCs w:val="20"/>
          <w:highlight w:val="none"/>
          <w:u w:val="single"/>
          <w:lang w:eastAsia="zh-CN"/>
        </w:rPr>
      </w:pPr>
      <w:r>
        <w:rPr>
          <w:rFonts w:hint="eastAsia" w:ascii="仿宋" w:hAnsi="仿宋" w:eastAsia="仿宋" w:cs="仿宋"/>
          <w:b/>
          <w:bCs/>
          <w:snapToGrid w:val="0"/>
          <w:color w:val="auto"/>
          <w:kern w:val="28"/>
          <w:sz w:val="24"/>
          <w:szCs w:val="20"/>
          <w:highlight w:val="none"/>
        </w:rPr>
        <w:t>     预算金额（元）: </w:t>
      </w:r>
      <w:r>
        <w:rPr>
          <w:rFonts w:hint="eastAsia" w:ascii="仿宋" w:hAnsi="仿宋" w:eastAsia="仿宋" w:cs="仿宋"/>
          <w:b/>
          <w:bCs/>
          <w:snapToGrid w:val="0"/>
          <w:color w:val="auto"/>
          <w:kern w:val="28"/>
          <w:sz w:val="24"/>
          <w:szCs w:val="20"/>
          <w:highlight w:val="none"/>
          <w:u w:val="single"/>
        </w:rPr>
        <w:t xml:space="preserve">   </w:t>
      </w:r>
      <w:r>
        <w:rPr>
          <w:rFonts w:hint="eastAsia" w:ascii="仿宋" w:hAnsi="仿宋" w:eastAsia="仿宋" w:cs="仿宋"/>
          <w:color w:val="auto"/>
          <w:highlight w:val="none"/>
          <w:u w:val="single"/>
        </w:rPr>
        <w:t>7814300</w:t>
      </w:r>
      <w:r>
        <w:rPr>
          <w:rFonts w:hint="eastAsia" w:ascii="仿宋" w:hAnsi="仿宋" w:eastAsia="仿宋" w:cs="仿宋"/>
          <w:b/>
          <w:bCs/>
          <w:snapToGrid w:val="0"/>
          <w:color w:val="auto"/>
          <w:kern w:val="28"/>
          <w:sz w:val="24"/>
          <w:szCs w:val="20"/>
          <w:highlight w:val="none"/>
          <w:u w:val="single"/>
        </w:rPr>
        <w:t xml:space="preserve">    </w:t>
      </w:r>
    </w:p>
    <w:p>
      <w:pPr>
        <w:spacing w:line="360" w:lineRule="auto"/>
        <w:ind w:firstLine="480"/>
        <w:rPr>
          <w:rFonts w:ascii="仿宋" w:hAnsi="仿宋" w:eastAsia="仿宋" w:cs="仿宋"/>
          <w:b/>
          <w:bCs/>
          <w:snapToGrid w:val="0"/>
          <w:color w:val="auto"/>
          <w:kern w:val="28"/>
          <w:sz w:val="24"/>
          <w:szCs w:val="20"/>
          <w:highlight w:val="none"/>
          <w:u w:val="single"/>
        </w:rPr>
      </w:pPr>
      <w:r>
        <w:rPr>
          <w:rFonts w:hint="eastAsia" w:ascii="仿宋" w:hAnsi="仿宋" w:eastAsia="仿宋" w:cs="仿宋"/>
          <w:b/>
          <w:bCs/>
          <w:snapToGrid w:val="0"/>
          <w:color w:val="auto"/>
          <w:kern w:val="28"/>
          <w:sz w:val="24"/>
          <w:szCs w:val="20"/>
          <w:highlight w:val="none"/>
        </w:rPr>
        <w:t>     简要规格描述或项目基本概况介绍、用途：</w:t>
      </w:r>
      <w:r>
        <w:rPr>
          <w:rFonts w:hint="eastAsia" w:ascii="仿宋" w:hAnsi="仿宋" w:eastAsia="仿宋" w:cs="仿宋"/>
          <w:color w:val="auto"/>
          <w:sz w:val="24"/>
          <w:highlight w:val="none"/>
          <w:u w:val="single"/>
          <w:lang w:eastAsia="zh-CN"/>
        </w:rPr>
        <w:t>永嘉县政法一体化执法办案管理中心信息智能化系统（第二次）</w:t>
      </w:r>
      <w:r>
        <w:rPr>
          <w:rFonts w:hint="eastAsia" w:ascii="仿宋" w:hAnsi="仿宋" w:eastAsia="仿宋" w:cs="仿宋"/>
          <w:color w:val="auto"/>
          <w:sz w:val="24"/>
          <w:highlight w:val="none"/>
          <w:u w:val="single"/>
        </w:rPr>
        <w:t>。详见采购文件</w:t>
      </w:r>
      <w:r>
        <w:rPr>
          <w:rFonts w:hint="eastAsia" w:ascii="仿宋" w:hAnsi="仿宋" w:eastAsia="仿宋" w:cs="仿宋"/>
          <w:bCs/>
          <w:color w:val="auto"/>
          <w:sz w:val="24"/>
          <w:szCs w:val="24"/>
          <w:highlight w:val="none"/>
        </w:rPr>
        <w:t>。</w:t>
      </w:r>
    </w:p>
    <w:p>
      <w:pPr>
        <w:spacing w:line="360" w:lineRule="auto"/>
        <w:ind w:firstLine="480"/>
        <w:rPr>
          <w:rFonts w:ascii="仿宋" w:hAnsi="仿宋" w:eastAsia="仿宋" w:cs="仿宋"/>
          <w:b/>
          <w:bCs/>
          <w:snapToGrid w:val="0"/>
          <w:color w:val="auto"/>
          <w:kern w:val="28"/>
          <w:sz w:val="24"/>
          <w:szCs w:val="20"/>
          <w:highlight w:val="none"/>
          <w:u w:val="single"/>
        </w:rPr>
      </w:pPr>
      <w:r>
        <w:rPr>
          <w:rFonts w:hint="eastAsia" w:ascii="仿宋" w:hAnsi="仿宋" w:eastAsia="仿宋" w:cs="仿宋"/>
          <w:b/>
          <w:bCs/>
          <w:snapToGrid w:val="0"/>
          <w:color w:val="auto"/>
          <w:kern w:val="28"/>
          <w:sz w:val="24"/>
          <w:szCs w:val="20"/>
          <w:highlight w:val="none"/>
        </w:rPr>
        <w:t>备注：</w:t>
      </w:r>
      <w:r>
        <w:rPr>
          <w:rFonts w:hint="eastAsia" w:ascii="仿宋" w:hAnsi="仿宋" w:eastAsia="仿宋" w:cs="仿宋"/>
          <w:b/>
          <w:bCs/>
          <w:snapToGrid w:val="0"/>
          <w:color w:val="auto"/>
          <w:kern w:val="28"/>
          <w:sz w:val="24"/>
          <w:szCs w:val="20"/>
          <w:highlight w:val="none"/>
          <w:u w:val="single"/>
        </w:rPr>
        <w:t xml:space="preserve">    /       </w:t>
      </w:r>
    </w:p>
    <w:p>
      <w:pPr>
        <w:pStyle w:val="97"/>
        <w:ind w:firstLine="482"/>
        <w:outlineLvl w:val="2"/>
        <w:rPr>
          <w:rFonts w:ascii="仿宋" w:hAnsi="仿宋" w:eastAsia="仿宋" w:cs="仿宋"/>
          <w:color w:val="auto"/>
          <w:highlight w:val="none"/>
        </w:rPr>
      </w:pPr>
      <w:r>
        <w:rPr>
          <w:rFonts w:hint="eastAsia" w:ascii="仿宋" w:hAnsi="仿宋" w:eastAsia="仿宋" w:cs="仿宋"/>
          <w:b/>
          <w:color w:val="auto"/>
          <w:highlight w:val="none"/>
        </w:rPr>
        <w:t>合同履约期限：</w:t>
      </w:r>
      <w:bookmarkEnd w:id="9"/>
      <w:bookmarkEnd w:id="10"/>
      <w:r>
        <w:rPr>
          <w:rFonts w:hint="eastAsia" w:ascii="仿宋" w:hAnsi="仿宋" w:eastAsia="仿宋" w:cs="仿宋"/>
          <w:color w:val="auto"/>
          <w:highlight w:val="none"/>
          <w:u w:val="single"/>
        </w:rPr>
        <w:t xml:space="preserve">  </w:t>
      </w:r>
      <w:r>
        <w:rPr>
          <w:rFonts w:hint="eastAsia" w:ascii="仿宋" w:hAnsi="仿宋" w:eastAsia="仿宋" w:cs="仿宋"/>
          <w:color w:val="auto"/>
          <w:szCs w:val="21"/>
          <w:highlight w:val="none"/>
          <w:u w:val="single"/>
        </w:rPr>
        <w:t>详见采购文件</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bookmarkEnd w:id="11"/>
      <w:r>
        <w:rPr>
          <w:rFonts w:hint="eastAsia" w:ascii="仿宋" w:hAnsi="仿宋" w:eastAsia="仿宋" w:cs="仿宋"/>
          <w:color w:val="auto"/>
          <w:highlight w:val="none"/>
        </w:rPr>
        <w:t xml:space="preserve"> </w:t>
      </w:r>
    </w:p>
    <w:p>
      <w:pPr>
        <w:pStyle w:val="9"/>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否）接受联合体响应。</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2.落实政府采购政策需满足的资格要求：无</w:t>
      </w:r>
    </w:p>
    <w:p>
      <w:pPr>
        <w:numPr>
          <w:ilvl w:val="0"/>
          <w:numId w:val="2"/>
        </w:num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 xml:space="preserve">本项目的特定资格要求： </w:t>
      </w:r>
      <w:r>
        <w:rPr>
          <w:rFonts w:hint="eastAsia" w:ascii="仿宋" w:hAnsi="仿宋" w:eastAsia="仿宋" w:cs="仿宋"/>
          <w:color w:val="auto"/>
          <w:sz w:val="24"/>
          <w:highlight w:val="none"/>
          <w:u w:val="single"/>
        </w:rPr>
        <w:t>无 ;</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eastAsia="zh-CN"/>
        </w:rPr>
        <w:t>22年7月19日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四、提交投标文件开启时间截止时间、开启时间和地点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提交投标文件开启时间截止时间：</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sz w:val="24"/>
          <w:highlight w:val="none"/>
          <w:u w:val="single"/>
          <w:lang w:eastAsia="zh-CN"/>
        </w:rPr>
        <w:t>22年7月19日</w:t>
      </w:r>
      <w:r>
        <w:rPr>
          <w:rFonts w:hint="eastAsia" w:ascii="仿宋" w:hAnsi="仿宋" w:eastAsia="仿宋" w:cs="仿宋"/>
          <w:color w:val="auto"/>
          <w:sz w:val="24"/>
          <w:highlight w:val="none"/>
          <w:u w:val="single"/>
        </w:rPr>
        <w:t>9点30分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eastAsia="zh-CN"/>
        </w:rPr>
        <w:t>22年7月19日</w:t>
      </w:r>
      <w:r>
        <w:rPr>
          <w:rFonts w:hint="eastAsia" w:ascii="仿宋" w:hAnsi="仿宋" w:eastAsia="仿宋" w:cs="仿宋"/>
          <w:color w:val="auto"/>
          <w:sz w:val="24"/>
          <w:highlight w:val="none"/>
          <w:u w:val="single"/>
        </w:rPr>
        <w:t>9点30分</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其他事项：电子招投标的说明：①电子招投标：本项目以数据电文形式，依托“政府采购云平台（www.zcygov.cn）”进行招投标活动，不接受纸质投标文件开启时间；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开启时间的制作：在“政采云电子交易客户端”中完成“填写基本信息”、“导入投标文件开启时间”、“标书关联”、“标书检查”、“电子签名”、“生成电子标书”等操作；⑤投标文件开启时间的传输递交：供应商在响应截止时间前将加密的投标文件开启时间上传至政府采购云平台； ⑥投标文件开启时间的解密：供应商按照平台提示和采购文件的规定在半小时内完成在线解密；⑦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1.采购人信息联系人：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highlight w:val="none"/>
          <w:u w:val="single"/>
        </w:rPr>
        <w:t>永嘉县公安局</w:t>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 xml:space="preserve">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 xml:space="preserve">   潘警官         </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highlight w:val="none"/>
          <w:u w:val="single"/>
        </w:rPr>
        <w:t xml:space="preserve">0577-66966611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 xml:space="preserve">张先生         </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highlight w:val="none"/>
          <w:u w:val="single"/>
        </w:rPr>
        <w:t xml:space="preserve">0577-66966611     </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rPr>
        <w:t xml:space="preserve">温州市华明招标代理有限公司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highlight w:val="none"/>
          <w:u w:val="single"/>
        </w:rPr>
        <w:t xml:space="preserve">温州市龙湾区富春江路25号右3楼  </w:t>
      </w:r>
      <w:r>
        <w:rPr>
          <w:rFonts w:hint="eastAsia" w:ascii="仿宋" w:hAnsi="仿宋" w:eastAsia="仿宋" w:cs="仿宋"/>
          <w:color w:val="auto"/>
          <w:sz w:val="24"/>
          <w:highlight w:val="none"/>
        </w:rPr>
        <w:t xml:space="preserve"> </w:t>
      </w:r>
    </w:p>
    <w:p>
      <w:pPr>
        <w:spacing w:line="360" w:lineRule="auto"/>
        <w:ind w:firstLine="480"/>
        <w:rPr>
          <w:rFonts w:ascii="仿宋" w:hAnsi="仿宋" w:eastAsia="仿宋" w:cs="仿宋"/>
          <w:color w:val="auto"/>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highlight w:val="none"/>
          <w:u w:val="single"/>
        </w:rPr>
        <w:t xml:space="preserve">0577-86668887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 xml:space="preserve">齐先生、江先生       </w:t>
      </w:r>
    </w:p>
    <w:p>
      <w:pPr>
        <w:spacing w:line="360" w:lineRule="auto"/>
        <w:ind w:firstLine="480"/>
        <w:rPr>
          <w:rFonts w:ascii="仿宋" w:hAnsi="仿宋" w:eastAsia="仿宋" w:cs="仿宋"/>
          <w:color w:val="auto"/>
          <w:highlight w:val="none"/>
          <w:u w:val="single"/>
        </w:rPr>
      </w:pPr>
      <w:r>
        <w:rPr>
          <w:rFonts w:hint="eastAsia" w:ascii="仿宋" w:hAnsi="仿宋" w:eastAsia="仿宋" w:cs="仿宋"/>
          <w:color w:val="auto"/>
          <w:sz w:val="24"/>
          <w:highlight w:val="none"/>
        </w:rPr>
        <w:t>项目联系方式（询问）：</w:t>
      </w:r>
      <w:r>
        <w:rPr>
          <w:rFonts w:hint="eastAsia" w:ascii="仿宋" w:hAnsi="仿宋" w:eastAsia="仿宋" w:cs="仿宋"/>
          <w:color w:val="auto"/>
          <w:highlight w:val="none"/>
          <w:u w:val="single"/>
        </w:rPr>
        <w:t xml:space="preserve">15088550610、15088559846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highlight w:val="none"/>
          <w:u w:val="single"/>
        </w:rPr>
        <w:t xml:space="preserve">林富强           </w:t>
      </w:r>
      <w:r>
        <w:rPr>
          <w:rFonts w:hint="eastAsia" w:ascii="仿宋" w:hAnsi="仿宋" w:eastAsia="仿宋" w:cs="仿宋"/>
          <w:color w:val="auto"/>
          <w:sz w:val="24"/>
          <w:highlight w:val="none"/>
        </w:rPr>
        <w:t xml:space="preserve">             </w:t>
      </w:r>
    </w:p>
    <w:p>
      <w:pPr>
        <w:spacing w:line="360" w:lineRule="auto"/>
        <w:ind w:firstLine="480"/>
        <w:rPr>
          <w:rFonts w:ascii="仿宋" w:hAnsi="仿宋" w:eastAsia="仿宋" w:cs="仿宋"/>
          <w:color w:val="auto"/>
          <w:highlight w:val="none"/>
          <w:u w:val="single"/>
        </w:rPr>
      </w:pPr>
      <w:r>
        <w:rPr>
          <w:rFonts w:hint="eastAsia" w:ascii="仿宋" w:hAnsi="仿宋" w:eastAsia="仿宋" w:cs="仿宋"/>
          <w:color w:val="auto"/>
          <w:sz w:val="24"/>
          <w:highlight w:val="none"/>
        </w:rPr>
        <w:t>质疑联系方式：</w:t>
      </w:r>
      <w:r>
        <w:rPr>
          <w:rFonts w:hint="eastAsia" w:ascii="仿宋" w:hAnsi="仿宋" w:eastAsia="仿宋" w:cs="仿宋"/>
          <w:color w:val="auto"/>
          <w:highlight w:val="none"/>
          <w:u w:val="single"/>
        </w:rPr>
        <w:t xml:space="preserve">0577-86668887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highlight w:val="none"/>
          <w:u w:val="single"/>
        </w:rPr>
        <w:t xml:space="preserve">永嘉县财政局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highlight w:val="none"/>
          <w:u w:val="single"/>
        </w:rPr>
        <w:t xml:space="preserve">永嘉县上塘镇北城街道环城北路路348号     </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联系人 ：</w:t>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 xml:space="preserve">胡先生         </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u w:val="single"/>
        </w:rPr>
        <w:t xml:space="preserve">0577-67230257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rPr>
          <w:rFonts w:ascii="宋体" w:hAnsi="宋体" w:cs="宋体"/>
          <w:color w:val="auto"/>
          <w:sz w:val="30"/>
          <w:szCs w:val="30"/>
          <w:highlight w:val="none"/>
        </w:rPr>
      </w:pPr>
      <w:r>
        <w:rPr>
          <w:rFonts w:hint="eastAsia" w:ascii="仿宋" w:hAnsi="仿宋" w:eastAsia="仿宋" w:cs="仿宋"/>
          <w:color w:val="auto"/>
          <w:sz w:val="24"/>
          <w:highlight w:val="none"/>
        </w:rPr>
        <w:t>CA问题联系电话（人工）：汇信CA 400-888-4636；天谷CA 400-087-8198。</w:t>
      </w:r>
    </w:p>
    <w:p>
      <w:pPr>
        <w:rPr>
          <w:rFonts w:ascii="宋体" w:hAnsi="宋体" w:cs="宋体"/>
          <w:color w:val="auto"/>
          <w:sz w:val="30"/>
          <w:szCs w:val="30"/>
          <w:highlight w:val="none"/>
        </w:rPr>
      </w:pPr>
      <w:r>
        <w:rPr>
          <w:rFonts w:hint="eastAsia" w:ascii="宋体" w:hAnsi="宋体" w:cs="宋体"/>
          <w:color w:val="auto"/>
          <w:sz w:val="30"/>
          <w:szCs w:val="30"/>
          <w:highlight w:val="none"/>
        </w:rPr>
        <w:br w:type="page"/>
      </w:r>
    </w:p>
    <w:p>
      <w:pPr>
        <w:spacing w:line="360" w:lineRule="auto"/>
        <w:jc w:val="center"/>
        <w:outlineLvl w:val="0"/>
        <w:rPr>
          <w:rFonts w:ascii="宋体" w:hAnsi="宋体" w:cs="宋体"/>
          <w:color w:val="auto"/>
          <w:sz w:val="30"/>
          <w:szCs w:val="30"/>
          <w:highlight w:val="none"/>
        </w:rPr>
      </w:pPr>
      <w:r>
        <w:rPr>
          <w:rFonts w:hint="eastAsia" w:ascii="宋体" w:hAnsi="宋体" w:cs="宋体"/>
          <w:color w:val="auto"/>
          <w:sz w:val="30"/>
          <w:szCs w:val="30"/>
          <w:highlight w:val="none"/>
        </w:rPr>
        <w:t>第一部分  投标通知(邀请)书</w:t>
      </w:r>
      <w:bookmarkEnd w:id="6"/>
      <w:bookmarkEnd w:id="7"/>
      <w:bookmarkEnd w:id="8"/>
    </w:p>
    <w:tbl>
      <w:tblPr>
        <w:tblStyle w:val="27"/>
        <w:tblW w:w="10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4"/>
        <w:gridCol w:w="1715"/>
        <w:gridCol w:w="7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tcBorders>
              <w:top w:val="single" w:color="auto" w:sz="12" w:space="0"/>
            </w:tcBorders>
            <w:vAlign w:val="center"/>
          </w:tcPr>
          <w:p>
            <w:pPr>
              <w:spacing w:line="400" w:lineRule="atLeast"/>
              <w:jc w:val="center"/>
              <w:rPr>
                <w:rFonts w:ascii="宋体" w:hAnsi="宋体" w:cs="宋体"/>
                <w:color w:val="auto"/>
                <w:sz w:val="22"/>
                <w:highlight w:val="none"/>
              </w:rPr>
            </w:pPr>
            <w:r>
              <w:rPr>
                <w:rFonts w:hint="eastAsia" w:ascii="宋体" w:hAnsi="宋体" w:cs="宋体"/>
                <w:color w:val="auto"/>
                <w:sz w:val="22"/>
                <w:szCs w:val="22"/>
                <w:highlight w:val="none"/>
              </w:rPr>
              <w:t>序号</w:t>
            </w:r>
          </w:p>
        </w:tc>
        <w:tc>
          <w:tcPr>
            <w:tcW w:w="1715" w:type="dxa"/>
            <w:tcBorders>
              <w:top w:val="single" w:color="auto" w:sz="12" w:space="0"/>
            </w:tcBorders>
            <w:vAlign w:val="center"/>
          </w:tcPr>
          <w:p>
            <w:pPr>
              <w:spacing w:line="400" w:lineRule="atLeast"/>
              <w:jc w:val="center"/>
              <w:rPr>
                <w:rFonts w:ascii="宋体" w:hAnsi="宋体" w:cs="宋体"/>
                <w:color w:val="auto"/>
                <w:sz w:val="22"/>
                <w:highlight w:val="none"/>
              </w:rPr>
            </w:pPr>
            <w:r>
              <w:rPr>
                <w:rFonts w:hint="eastAsia" w:ascii="宋体" w:hAnsi="宋体" w:cs="宋体"/>
                <w:color w:val="auto"/>
                <w:sz w:val="22"/>
                <w:szCs w:val="22"/>
                <w:highlight w:val="none"/>
              </w:rPr>
              <w:t>内容</w:t>
            </w:r>
          </w:p>
        </w:tc>
        <w:tc>
          <w:tcPr>
            <w:tcW w:w="7821" w:type="dxa"/>
            <w:tcBorders>
              <w:top w:val="single" w:color="auto" w:sz="12" w:space="0"/>
            </w:tcBorders>
            <w:vAlign w:val="center"/>
          </w:tcPr>
          <w:p>
            <w:pPr>
              <w:spacing w:line="400" w:lineRule="atLeast"/>
              <w:jc w:val="center"/>
              <w:rPr>
                <w:rFonts w:ascii="宋体" w:hAnsi="宋体" w:cs="宋体"/>
                <w:color w:val="auto"/>
                <w:sz w:val="22"/>
                <w:highlight w:val="none"/>
              </w:rPr>
            </w:pPr>
            <w:r>
              <w:rPr>
                <w:rFonts w:hint="eastAsia" w:ascii="宋体" w:hAnsi="宋体" w:cs="宋体"/>
                <w:color w:val="auto"/>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color w:val="auto"/>
                <w:sz w:val="22"/>
                <w:highlight w:val="none"/>
              </w:rPr>
            </w:pPr>
            <w:r>
              <w:rPr>
                <w:rFonts w:hint="eastAsia" w:ascii="宋体" w:hAnsi="宋体" w:cs="宋体"/>
                <w:color w:val="auto"/>
                <w:sz w:val="22"/>
                <w:szCs w:val="22"/>
                <w:highlight w:val="none"/>
              </w:rPr>
              <w:t>1</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项目名称</w:t>
            </w:r>
          </w:p>
        </w:tc>
        <w:tc>
          <w:tcPr>
            <w:tcW w:w="7821" w:type="dxa"/>
            <w:vAlign w:val="center"/>
          </w:tcPr>
          <w:p>
            <w:pPr>
              <w:rPr>
                <w:rFonts w:hint="eastAsia" w:ascii="宋体" w:hAnsi="宋体" w:eastAsia="宋体" w:cs="宋体"/>
                <w:color w:val="auto"/>
                <w:sz w:val="22"/>
                <w:highlight w:val="none"/>
                <w:lang w:eastAsia="zh-CN"/>
              </w:rPr>
            </w:pPr>
            <w:r>
              <w:rPr>
                <w:rFonts w:hint="eastAsia" w:ascii="宋体" w:hAnsi="宋体" w:cs="宋体"/>
                <w:color w:val="auto"/>
                <w:sz w:val="22"/>
                <w:szCs w:val="22"/>
                <w:highlight w:val="none"/>
                <w:lang w:eastAsia="zh-CN"/>
              </w:rPr>
              <w:t>永嘉县政法一体化执法办案管理中心信息智能化系统（第二次）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color w:val="auto"/>
                <w:sz w:val="22"/>
                <w:highlight w:val="none"/>
              </w:rPr>
            </w:pPr>
            <w:r>
              <w:rPr>
                <w:rFonts w:hint="eastAsia" w:ascii="宋体" w:hAnsi="宋体" w:cs="宋体"/>
                <w:color w:val="auto"/>
                <w:sz w:val="22"/>
                <w:szCs w:val="22"/>
                <w:highlight w:val="none"/>
              </w:rPr>
              <w:t>2</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项目编号</w:t>
            </w:r>
          </w:p>
        </w:tc>
        <w:tc>
          <w:tcPr>
            <w:tcW w:w="7821" w:type="dxa"/>
            <w:vAlign w:val="center"/>
          </w:tcPr>
          <w:p>
            <w:pPr>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F-GB202206270556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color w:val="auto"/>
                <w:sz w:val="22"/>
                <w:highlight w:val="none"/>
              </w:rPr>
            </w:pPr>
            <w:r>
              <w:rPr>
                <w:rFonts w:hint="eastAsia" w:ascii="宋体" w:hAnsi="宋体" w:cs="宋体"/>
                <w:color w:val="auto"/>
                <w:sz w:val="22"/>
                <w:szCs w:val="22"/>
                <w:highlight w:val="none"/>
              </w:rPr>
              <w:t>3</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资金来源</w:t>
            </w:r>
          </w:p>
        </w:tc>
        <w:tc>
          <w:tcPr>
            <w:tcW w:w="7821" w:type="dxa"/>
            <w:vAlign w:val="center"/>
          </w:tcPr>
          <w:p>
            <w:pPr>
              <w:rPr>
                <w:rFonts w:ascii="宋体" w:hAnsi="宋体" w:cs="宋体"/>
                <w:color w:val="auto"/>
                <w:sz w:val="22"/>
                <w:highlight w:val="none"/>
              </w:rPr>
            </w:pPr>
            <w:r>
              <w:rPr>
                <w:rFonts w:hint="eastAsia" w:ascii="宋体" w:hAnsi="宋体" w:cs="宋体"/>
                <w:color w:val="auto"/>
                <w:sz w:val="22"/>
                <w:szCs w:val="22"/>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color w:val="auto"/>
                <w:sz w:val="22"/>
                <w:highlight w:val="none"/>
              </w:rPr>
            </w:pPr>
            <w:r>
              <w:rPr>
                <w:rFonts w:hint="eastAsia" w:ascii="宋体" w:hAnsi="宋体" w:cs="宋体"/>
                <w:color w:val="auto"/>
                <w:sz w:val="22"/>
                <w:szCs w:val="22"/>
                <w:highlight w:val="none"/>
              </w:rPr>
              <w:t>4</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采购预算/最高限价</w:t>
            </w:r>
          </w:p>
        </w:tc>
        <w:tc>
          <w:tcPr>
            <w:tcW w:w="7821" w:type="dxa"/>
            <w:vAlign w:val="center"/>
          </w:tcPr>
          <w:p>
            <w:pPr>
              <w:rPr>
                <w:rFonts w:ascii="宋体" w:hAnsi="宋体" w:cs="宋体"/>
                <w:color w:val="auto"/>
                <w:sz w:val="22"/>
                <w:highlight w:val="none"/>
              </w:rPr>
            </w:pPr>
            <w:r>
              <w:rPr>
                <w:rFonts w:hint="eastAsia" w:ascii="宋体" w:hAnsi="宋体" w:cs="宋体"/>
                <w:color w:val="auto"/>
                <w:sz w:val="22"/>
                <w:szCs w:val="22"/>
                <w:highlight w:val="none"/>
              </w:rPr>
              <w:t>采购预算781.43万元，最高限价781.43万元。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color w:val="auto"/>
                <w:sz w:val="22"/>
                <w:highlight w:val="none"/>
              </w:rPr>
            </w:pPr>
            <w:r>
              <w:rPr>
                <w:rFonts w:hint="eastAsia" w:ascii="宋体" w:hAnsi="宋体" w:cs="宋体"/>
                <w:color w:val="auto"/>
                <w:sz w:val="22"/>
                <w:szCs w:val="22"/>
                <w:highlight w:val="none"/>
              </w:rPr>
              <w:t>5</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采购方式</w:t>
            </w:r>
          </w:p>
        </w:tc>
        <w:tc>
          <w:tcPr>
            <w:tcW w:w="7821" w:type="dxa"/>
            <w:vAlign w:val="center"/>
          </w:tcPr>
          <w:p>
            <w:pPr>
              <w:rPr>
                <w:rFonts w:ascii="宋体" w:hAnsi="宋体" w:cs="宋体"/>
                <w:color w:val="auto"/>
                <w:sz w:val="22"/>
                <w:highlight w:val="none"/>
              </w:rPr>
            </w:pPr>
            <w:r>
              <w:rPr>
                <w:rFonts w:hint="eastAsia" w:ascii="宋体" w:hAnsi="宋体" w:cs="宋体"/>
                <w:color w:val="auto"/>
                <w:sz w:val="22"/>
                <w:szCs w:val="22"/>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color w:val="auto"/>
                <w:sz w:val="22"/>
                <w:highlight w:val="none"/>
              </w:rPr>
            </w:pPr>
            <w:r>
              <w:rPr>
                <w:rFonts w:hint="eastAsia" w:ascii="宋体" w:hAnsi="宋体" w:cs="宋体"/>
                <w:color w:val="auto"/>
                <w:sz w:val="22"/>
                <w:szCs w:val="22"/>
                <w:highlight w:val="none"/>
              </w:rPr>
              <w:t>6</w:t>
            </w:r>
          </w:p>
        </w:tc>
        <w:tc>
          <w:tcPr>
            <w:tcW w:w="1715" w:type="dxa"/>
            <w:vAlign w:val="center"/>
          </w:tcPr>
          <w:p>
            <w:pPr>
              <w:adjustRightInd w:val="0"/>
              <w:jc w:val="center"/>
              <w:rPr>
                <w:rFonts w:ascii="宋体" w:hAnsi="宋体" w:cs="宋体"/>
                <w:color w:val="auto"/>
                <w:sz w:val="22"/>
                <w:highlight w:val="none"/>
              </w:rPr>
            </w:pPr>
            <w:r>
              <w:rPr>
                <w:rFonts w:hint="eastAsia" w:ascii="宋体" w:hAnsi="宋体" w:cs="宋体"/>
                <w:color w:val="auto"/>
                <w:sz w:val="22"/>
                <w:szCs w:val="22"/>
                <w:highlight w:val="none"/>
              </w:rPr>
              <w:t>采购人</w:t>
            </w:r>
          </w:p>
        </w:tc>
        <w:tc>
          <w:tcPr>
            <w:tcW w:w="7821" w:type="dxa"/>
            <w:vAlign w:val="center"/>
          </w:tcPr>
          <w:p>
            <w:pPr>
              <w:adjustRightInd w:val="0"/>
              <w:rPr>
                <w:rFonts w:ascii="宋体" w:hAnsi="宋体" w:cs="宋体"/>
                <w:color w:val="auto"/>
                <w:sz w:val="22"/>
                <w:highlight w:val="none"/>
              </w:rPr>
            </w:pPr>
            <w:r>
              <w:rPr>
                <w:rFonts w:hint="eastAsia" w:ascii="宋体" w:hAnsi="宋体" w:cs="宋体"/>
                <w:color w:val="auto"/>
                <w:sz w:val="22"/>
                <w:szCs w:val="22"/>
                <w:highlight w:val="none"/>
              </w:rPr>
              <w:t>采 购 人：永嘉县公安局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color w:val="auto"/>
                <w:sz w:val="22"/>
                <w:highlight w:val="none"/>
              </w:rPr>
            </w:pPr>
            <w:r>
              <w:rPr>
                <w:rFonts w:hint="eastAsia" w:ascii="宋体" w:hAnsi="宋体" w:cs="宋体"/>
                <w:color w:val="auto"/>
                <w:sz w:val="22"/>
                <w:szCs w:val="22"/>
                <w:highlight w:val="none"/>
              </w:rPr>
              <w:t>7</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采购代理机构</w:t>
            </w:r>
          </w:p>
        </w:tc>
        <w:tc>
          <w:tcPr>
            <w:tcW w:w="7821" w:type="dxa"/>
            <w:vAlign w:val="center"/>
          </w:tcPr>
          <w:p>
            <w:pPr>
              <w:adjustRightInd w:val="0"/>
              <w:rPr>
                <w:rFonts w:ascii="宋体" w:hAnsi="宋体" w:cs="宋体"/>
                <w:color w:val="auto"/>
                <w:sz w:val="22"/>
                <w:highlight w:val="none"/>
              </w:rPr>
            </w:pPr>
            <w:r>
              <w:rPr>
                <w:rFonts w:hint="eastAsia" w:ascii="宋体" w:hAnsi="宋体" w:cs="宋体"/>
                <w:color w:val="auto"/>
                <w:sz w:val="22"/>
                <w:szCs w:val="22"/>
                <w:highlight w:val="none"/>
              </w:rPr>
              <w:t>采购代理机构名称：温州市华明招标代理有限公司</w:t>
            </w:r>
          </w:p>
          <w:p>
            <w:pPr>
              <w:adjustRightInd w:val="0"/>
              <w:rPr>
                <w:rFonts w:ascii="宋体" w:hAnsi="宋体" w:cs="宋体"/>
                <w:color w:val="auto"/>
                <w:sz w:val="22"/>
                <w:highlight w:val="none"/>
              </w:rPr>
            </w:pPr>
            <w:r>
              <w:rPr>
                <w:rFonts w:hint="eastAsia" w:ascii="宋体" w:hAnsi="宋体" w:cs="宋体"/>
                <w:color w:val="auto"/>
                <w:sz w:val="22"/>
                <w:szCs w:val="22"/>
                <w:highlight w:val="none"/>
              </w:rPr>
              <w:t>地    点：温州市富春江路25号302室</w:t>
            </w:r>
          </w:p>
          <w:p>
            <w:pPr>
              <w:adjustRightInd w:val="0"/>
              <w:rPr>
                <w:rFonts w:ascii="宋体" w:hAnsi="宋体" w:cs="宋体"/>
                <w:color w:val="auto"/>
                <w:sz w:val="22"/>
                <w:highlight w:val="none"/>
              </w:rPr>
            </w:pPr>
            <w:r>
              <w:rPr>
                <w:rFonts w:hint="eastAsia" w:ascii="宋体" w:hAnsi="宋体" w:cs="宋体"/>
                <w:color w:val="auto"/>
                <w:sz w:val="22"/>
                <w:szCs w:val="22"/>
                <w:highlight w:val="none"/>
              </w:rPr>
              <w:t>联 系 人：齐贺</w:t>
            </w:r>
          </w:p>
          <w:p>
            <w:pPr>
              <w:adjustRightInd w:val="0"/>
              <w:rPr>
                <w:rFonts w:ascii="宋体" w:hAnsi="宋体" w:cs="宋体"/>
                <w:color w:val="auto"/>
                <w:sz w:val="22"/>
                <w:highlight w:val="none"/>
              </w:rPr>
            </w:pPr>
            <w:r>
              <w:rPr>
                <w:rFonts w:hint="eastAsia" w:ascii="宋体" w:hAnsi="宋体" w:cs="宋体"/>
                <w:color w:val="auto"/>
                <w:sz w:val="22"/>
                <w:szCs w:val="22"/>
                <w:highlight w:val="none"/>
              </w:rPr>
              <w:t>联系电话：</w:t>
            </w:r>
            <w:r>
              <w:rPr>
                <w:rFonts w:hint="eastAsia" w:ascii="宋体" w:hAnsi="宋体" w:cs="宋体"/>
                <w:color w:val="auto"/>
                <w:sz w:val="22"/>
                <w:highlight w:val="none"/>
              </w:rPr>
              <w:t>15088550610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color w:val="auto"/>
                <w:sz w:val="22"/>
                <w:highlight w:val="none"/>
              </w:rPr>
            </w:pPr>
            <w:r>
              <w:rPr>
                <w:rFonts w:hint="eastAsia" w:ascii="宋体" w:hAnsi="宋体" w:cs="宋体"/>
                <w:color w:val="auto"/>
                <w:sz w:val="22"/>
                <w:szCs w:val="22"/>
                <w:highlight w:val="none"/>
              </w:rPr>
              <w:t>8</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评标办法</w:t>
            </w:r>
          </w:p>
        </w:tc>
        <w:tc>
          <w:tcPr>
            <w:tcW w:w="7821" w:type="dxa"/>
            <w:vAlign w:val="center"/>
          </w:tcPr>
          <w:p>
            <w:pPr>
              <w:adjustRightInd w:val="0"/>
              <w:rPr>
                <w:rFonts w:ascii="宋体" w:hAnsi="宋体" w:cs="宋体"/>
                <w:color w:val="auto"/>
                <w:sz w:val="22"/>
                <w:highlight w:val="none"/>
              </w:rPr>
            </w:pPr>
            <w:r>
              <w:rPr>
                <w:rFonts w:hint="eastAsia" w:ascii="宋体" w:hAnsi="宋体" w:cs="宋体"/>
                <w:color w:val="auto"/>
                <w:sz w:val="22"/>
                <w:szCs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color w:val="auto"/>
                <w:sz w:val="22"/>
                <w:highlight w:val="none"/>
              </w:rPr>
            </w:pPr>
            <w:r>
              <w:rPr>
                <w:rFonts w:hint="eastAsia" w:ascii="宋体" w:hAnsi="宋体" w:cs="宋体"/>
                <w:color w:val="auto"/>
                <w:sz w:val="22"/>
                <w:szCs w:val="22"/>
                <w:highlight w:val="none"/>
              </w:rPr>
              <w:t>9</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采购内容</w:t>
            </w:r>
          </w:p>
        </w:tc>
        <w:tc>
          <w:tcPr>
            <w:tcW w:w="7821" w:type="dxa"/>
            <w:vAlign w:val="center"/>
          </w:tcPr>
          <w:p>
            <w:pPr>
              <w:adjustRightInd w:val="0"/>
              <w:rPr>
                <w:rFonts w:ascii="宋体" w:hAnsi="宋体" w:cs="宋体"/>
                <w:color w:val="auto"/>
                <w:sz w:val="22"/>
                <w:highlight w:val="none"/>
              </w:rPr>
            </w:pPr>
            <w:r>
              <w:rPr>
                <w:rFonts w:hint="eastAsia" w:ascii="宋体" w:hAnsi="宋体" w:cs="宋体"/>
                <w:color w:val="auto"/>
                <w:sz w:val="22"/>
                <w:szCs w:val="22"/>
                <w:highlight w:val="none"/>
                <w:lang w:eastAsia="zh-CN"/>
              </w:rPr>
              <w:t>永嘉县政法一体化执法办案管理中心信息智能化系统（第二次）</w:t>
            </w:r>
            <w:r>
              <w:rPr>
                <w:rFonts w:hint="eastAsia" w:ascii="宋体" w:hAnsi="宋体" w:cs="宋体"/>
                <w:color w:val="auto"/>
                <w:sz w:val="22"/>
                <w:szCs w:val="22"/>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10</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供应商资格要求</w:t>
            </w:r>
          </w:p>
        </w:tc>
        <w:tc>
          <w:tcPr>
            <w:tcW w:w="7821" w:type="dxa"/>
            <w:vAlign w:val="center"/>
          </w:tcPr>
          <w:p>
            <w:pPr>
              <w:adjustRightInd w:val="0"/>
              <w:rPr>
                <w:rFonts w:ascii="宋体" w:hAnsi="宋体" w:cs="宋体"/>
                <w:color w:val="auto"/>
                <w:sz w:val="22"/>
                <w:highlight w:val="none"/>
              </w:rPr>
            </w:pPr>
            <w:r>
              <w:rPr>
                <w:rFonts w:hint="eastAsia" w:ascii="宋体" w:hAnsi="宋体" w:cs="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rPr>
                <w:rFonts w:ascii="宋体" w:hAnsi="宋体" w:cs="宋体"/>
                <w:color w:val="auto"/>
                <w:sz w:val="22"/>
                <w:highlight w:val="none"/>
              </w:rPr>
            </w:pPr>
            <w:r>
              <w:rPr>
                <w:rFonts w:hint="eastAsia" w:ascii="宋体" w:hAnsi="宋体" w:cs="宋体"/>
                <w:color w:val="auto"/>
                <w:sz w:val="22"/>
                <w:szCs w:val="22"/>
                <w:highlight w:val="none"/>
              </w:rPr>
              <w:t xml:space="preserve">2.落实政府采购政策需满足的资格要求：无 </w:t>
            </w:r>
          </w:p>
          <w:p>
            <w:pPr>
              <w:adjustRightInd w:val="0"/>
              <w:rPr>
                <w:rFonts w:ascii="宋体" w:hAnsi="宋体" w:cs="宋体"/>
                <w:color w:val="auto"/>
                <w:sz w:val="22"/>
                <w:highlight w:val="none"/>
              </w:rPr>
            </w:pPr>
            <w:r>
              <w:rPr>
                <w:rFonts w:hint="eastAsia" w:ascii="宋体" w:hAnsi="宋体" w:cs="宋体"/>
                <w:color w:val="auto"/>
                <w:sz w:val="22"/>
                <w:szCs w:val="22"/>
                <w:highlight w:val="none"/>
              </w:rPr>
              <w:t>3.本项目的特定资格要求：无。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11</w:t>
            </w:r>
          </w:p>
        </w:tc>
        <w:tc>
          <w:tcPr>
            <w:tcW w:w="1715" w:type="dxa"/>
            <w:vAlign w:val="center"/>
          </w:tcPr>
          <w:p>
            <w:pPr>
              <w:adjustRightInd w:val="0"/>
              <w:jc w:val="center"/>
              <w:rPr>
                <w:rFonts w:ascii="宋体" w:hAnsi="宋体" w:cs="宋体"/>
                <w:color w:val="auto"/>
                <w:sz w:val="22"/>
                <w:highlight w:val="none"/>
              </w:rPr>
            </w:pPr>
            <w:r>
              <w:rPr>
                <w:rFonts w:hint="eastAsia" w:ascii="宋体" w:hAnsi="宋体" w:cs="宋体"/>
                <w:color w:val="auto"/>
                <w:sz w:val="22"/>
                <w:szCs w:val="22"/>
                <w:highlight w:val="none"/>
              </w:rPr>
              <w:t>是否接受联合体投标</w:t>
            </w:r>
          </w:p>
        </w:tc>
        <w:tc>
          <w:tcPr>
            <w:tcW w:w="7821" w:type="dxa"/>
            <w:vAlign w:val="center"/>
          </w:tcPr>
          <w:p>
            <w:pPr>
              <w:adjustRightInd w:val="0"/>
              <w:rPr>
                <w:rFonts w:ascii="宋体" w:hAnsi="宋体" w:cs="宋体"/>
                <w:color w:val="auto"/>
                <w:sz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2"/>
                <w:sz w:val="15"/>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不接受</w:t>
            </w:r>
          </w:p>
          <w:p>
            <w:pPr>
              <w:adjustRightInd w:val="0"/>
              <w:rPr>
                <w:rFonts w:ascii="宋体" w:hAnsi="宋体" w:cs="宋体"/>
                <w:color w:val="auto"/>
                <w:sz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12</w:t>
            </w:r>
          </w:p>
        </w:tc>
        <w:tc>
          <w:tcPr>
            <w:tcW w:w="1715" w:type="dxa"/>
            <w:vAlign w:val="center"/>
          </w:tcPr>
          <w:p>
            <w:pPr>
              <w:adjustRightInd w:val="0"/>
              <w:jc w:val="center"/>
              <w:rPr>
                <w:rFonts w:ascii="宋体" w:hAnsi="宋体" w:cs="宋体"/>
                <w:color w:val="auto"/>
                <w:sz w:val="22"/>
                <w:highlight w:val="none"/>
              </w:rPr>
            </w:pPr>
            <w:r>
              <w:rPr>
                <w:rFonts w:hint="eastAsia" w:ascii="宋体" w:hAnsi="宋体" w:cs="宋体"/>
                <w:color w:val="auto"/>
                <w:sz w:val="22"/>
                <w:szCs w:val="22"/>
                <w:highlight w:val="none"/>
              </w:rPr>
              <w:t>踏勘现场</w:t>
            </w:r>
          </w:p>
        </w:tc>
        <w:tc>
          <w:tcPr>
            <w:tcW w:w="7821" w:type="dxa"/>
            <w:vAlign w:val="center"/>
          </w:tcPr>
          <w:p>
            <w:pPr>
              <w:adjustRightInd w:val="0"/>
              <w:rPr>
                <w:rFonts w:ascii="宋体" w:hAnsi="宋体" w:cs="宋体"/>
                <w:color w:val="auto"/>
                <w:sz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不组织</w:t>
            </w:r>
          </w:p>
          <w:p>
            <w:pPr>
              <w:adjustRightInd w:val="0"/>
              <w:rPr>
                <w:rFonts w:ascii="宋体" w:hAnsi="宋体" w:cs="宋体"/>
                <w:color w:val="auto"/>
                <w:sz w:val="22"/>
                <w:highlight w:val="none"/>
              </w:rPr>
            </w:pPr>
            <w:r>
              <w:rPr>
                <w:rFonts w:hint="eastAsia" w:ascii="宋体" w:hAnsi="宋体" w:cs="宋体"/>
                <w:color w:val="auto"/>
                <w:sz w:val="22"/>
                <w:szCs w:val="22"/>
                <w:highlight w:val="none"/>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13</w:t>
            </w:r>
          </w:p>
        </w:tc>
        <w:tc>
          <w:tcPr>
            <w:tcW w:w="1715" w:type="dxa"/>
            <w:vAlign w:val="center"/>
          </w:tcPr>
          <w:p>
            <w:pPr>
              <w:adjustRightInd w:val="0"/>
              <w:jc w:val="center"/>
              <w:rPr>
                <w:rFonts w:ascii="宋体" w:hAnsi="宋体" w:cs="宋体"/>
                <w:color w:val="auto"/>
                <w:sz w:val="22"/>
                <w:highlight w:val="none"/>
              </w:rPr>
            </w:pPr>
            <w:r>
              <w:rPr>
                <w:rFonts w:hint="eastAsia" w:ascii="宋体" w:hAnsi="宋体" w:cs="宋体"/>
                <w:color w:val="auto"/>
                <w:sz w:val="22"/>
                <w:szCs w:val="22"/>
                <w:highlight w:val="none"/>
              </w:rPr>
              <w:t>是否允许递交备选投标方案</w:t>
            </w:r>
          </w:p>
        </w:tc>
        <w:tc>
          <w:tcPr>
            <w:tcW w:w="7821" w:type="dxa"/>
            <w:vAlign w:val="center"/>
          </w:tcPr>
          <w:p>
            <w:pPr>
              <w:adjustRightInd w:val="0"/>
              <w:rPr>
                <w:rFonts w:ascii="宋体" w:hAnsi="宋体" w:cs="宋体"/>
                <w:color w:val="auto"/>
                <w:sz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 xml:space="preserve"> 不允许</w:t>
            </w:r>
          </w:p>
          <w:p>
            <w:pPr>
              <w:adjustRightInd w:val="0"/>
              <w:rPr>
                <w:rFonts w:ascii="宋体" w:hAnsi="宋体" w:cs="宋体"/>
                <w:color w:val="auto"/>
                <w:sz w:val="22"/>
                <w:highlight w:val="none"/>
              </w:rPr>
            </w:pPr>
            <w:r>
              <w:rPr>
                <w:rFonts w:hint="eastAsia" w:ascii="宋体" w:hAnsi="宋体" w:cs="宋体"/>
                <w:color w:val="auto"/>
                <w:sz w:val="22"/>
                <w:szCs w:val="22"/>
                <w:highlight w:val="none"/>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14</w:t>
            </w:r>
          </w:p>
        </w:tc>
        <w:tc>
          <w:tcPr>
            <w:tcW w:w="1715" w:type="dxa"/>
            <w:vAlign w:val="center"/>
          </w:tcPr>
          <w:p>
            <w:pPr>
              <w:adjustRightInd w:val="0"/>
              <w:jc w:val="center"/>
              <w:rPr>
                <w:rFonts w:ascii="宋体" w:hAnsi="宋体" w:cs="宋体"/>
                <w:color w:val="auto"/>
                <w:sz w:val="22"/>
                <w:highlight w:val="none"/>
              </w:rPr>
            </w:pPr>
            <w:r>
              <w:rPr>
                <w:rFonts w:hint="eastAsia" w:ascii="宋体" w:hAnsi="宋体" w:cs="宋体"/>
                <w:color w:val="auto"/>
                <w:sz w:val="22"/>
                <w:szCs w:val="22"/>
                <w:highlight w:val="none"/>
              </w:rPr>
              <w:t>分包</w:t>
            </w:r>
          </w:p>
        </w:tc>
        <w:tc>
          <w:tcPr>
            <w:tcW w:w="7821" w:type="dxa"/>
            <w:vAlign w:val="center"/>
          </w:tcPr>
          <w:p>
            <w:pPr>
              <w:adjustRightInd w:val="0"/>
              <w:rPr>
                <w:rFonts w:ascii="宋体" w:hAnsi="宋体" w:cs="宋体"/>
                <w:color w:val="auto"/>
                <w:sz w:val="22"/>
                <w:highlight w:val="none"/>
              </w:rPr>
            </w:pPr>
            <w:r>
              <w:rPr>
                <w:rFonts w:hint="eastAsia" w:ascii="宋体" w:hAnsi="宋体" w:cs="宋体"/>
                <w:color w:val="auto"/>
                <w:sz w:val="22"/>
                <w:szCs w:val="22"/>
                <w:highlight w:val="none"/>
              </w:rPr>
              <w:t>□允许</w:t>
            </w:r>
          </w:p>
          <w:p>
            <w:pPr>
              <w:adjustRightInd w:val="0"/>
              <w:rPr>
                <w:rFonts w:ascii="宋体" w:hAnsi="宋体" w:cs="宋体"/>
                <w:color w:val="auto"/>
                <w:sz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0"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15</w:t>
            </w:r>
          </w:p>
        </w:tc>
        <w:tc>
          <w:tcPr>
            <w:tcW w:w="1715" w:type="dxa"/>
            <w:vAlign w:val="center"/>
          </w:tcPr>
          <w:p>
            <w:pPr>
              <w:adjustRightInd w:val="0"/>
              <w:jc w:val="center"/>
              <w:rPr>
                <w:rFonts w:ascii="宋体" w:hAnsi="宋体" w:cs="宋体"/>
                <w:color w:val="auto"/>
                <w:sz w:val="22"/>
                <w:highlight w:val="none"/>
              </w:rPr>
            </w:pPr>
            <w:r>
              <w:rPr>
                <w:rFonts w:hint="eastAsia" w:ascii="宋体" w:hAnsi="宋体" w:cs="宋体"/>
                <w:color w:val="auto"/>
                <w:sz w:val="22"/>
                <w:szCs w:val="22"/>
                <w:highlight w:val="none"/>
              </w:rPr>
              <w:t>报价货币</w:t>
            </w:r>
          </w:p>
        </w:tc>
        <w:tc>
          <w:tcPr>
            <w:tcW w:w="7821" w:type="dxa"/>
            <w:vAlign w:val="center"/>
          </w:tcPr>
          <w:p>
            <w:pPr>
              <w:adjustRightInd w:val="0"/>
              <w:rPr>
                <w:rFonts w:ascii="宋体" w:hAnsi="宋体" w:cs="宋体"/>
                <w:color w:val="auto"/>
                <w:sz w:val="22"/>
                <w:highlight w:val="none"/>
              </w:rPr>
            </w:pPr>
            <w:r>
              <w:rPr>
                <w:rFonts w:hint="eastAsia" w:ascii="宋体" w:hAnsi="宋体" w:cs="宋体"/>
                <w:color w:val="auto"/>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16</w:t>
            </w:r>
          </w:p>
        </w:tc>
        <w:tc>
          <w:tcPr>
            <w:tcW w:w="1715" w:type="dxa"/>
            <w:vAlign w:val="center"/>
          </w:tcPr>
          <w:p>
            <w:pPr>
              <w:adjustRightInd w:val="0"/>
              <w:jc w:val="center"/>
              <w:rPr>
                <w:rFonts w:ascii="宋体" w:hAnsi="宋体" w:cs="宋体"/>
                <w:color w:val="auto"/>
                <w:sz w:val="22"/>
                <w:highlight w:val="none"/>
              </w:rPr>
            </w:pPr>
            <w:r>
              <w:rPr>
                <w:rFonts w:hint="eastAsia" w:ascii="宋体" w:hAnsi="宋体" w:cs="宋体"/>
                <w:color w:val="auto"/>
                <w:sz w:val="22"/>
                <w:szCs w:val="22"/>
                <w:highlight w:val="none"/>
              </w:rPr>
              <w:t>报价语言</w:t>
            </w:r>
          </w:p>
        </w:tc>
        <w:tc>
          <w:tcPr>
            <w:tcW w:w="7821" w:type="dxa"/>
            <w:vAlign w:val="center"/>
          </w:tcPr>
          <w:p>
            <w:pPr>
              <w:adjustRightInd w:val="0"/>
              <w:rPr>
                <w:rFonts w:ascii="宋体" w:hAnsi="宋体" w:cs="宋体"/>
                <w:color w:val="auto"/>
                <w:sz w:val="22"/>
                <w:highlight w:val="none"/>
              </w:rPr>
            </w:pPr>
            <w:r>
              <w:rPr>
                <w:rFonts w:hint="eastAsia" w:ascii="宋体" w:hAnsi="宋体" w:cs="宋体"/>
                <w:color w:val="auto"/>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17</w:t>
            </w:r>
          </w:p>
        </w:tc>
        <w:tc>
          <w:tcPr>
            <w:tcW w:w="1715" w:type="dxa"/>
            <w:vAlign w:val="center"/>
          </w:tcPr>
          <w:p>
            <w:pPr>
              <w:adjustRightInd w:val="0"/>
              <w:rPr>
                <w:rFonts w:ascii="宋体" w:hAnsi="宋体" w:cs="宋体"/>
                <w:color w:val="auto"/>
                <w:sz w:val="22"/>
                <w:highlight w:val="none"/>
              </w:rPr>
            </w:pPr>
            <w:r>
              <w:rPr>
                <w:rFonts w:hint="eastAsia" w:ascii="宋体" w:hAnsi="宋体" w:cs="宋体"/>
                <w:color w:val="auto"/>
                <w:sz w:val="22"/>
                <w:szCs w:val="22"/>
                <w:highlight w:val="none"/>
              </w:rPr>
              <w:t>投标文件的编制</w:t>
            </w:r>
          </w:p>
        </w:tc>
        <w:tc>
          <w:tcPr>
            <w:tcW w:w="7821" w:type="dxa"/>
            <w:vAlign w:val="center"/>
          </w:tcPr>
          <w:p>
            <w:pPr>
              <w:adjustRightInd w:val="0"/>
              <w:rPr>
                <w:rFonts w:ascii="宋体" w:hAnsi="宋体" w:cs="宋体"/>
                <w:color w:val="auto"/>
                <w:sz w:val="22"/>
                <w:highlight w:val="none"/>
              </w:rPr>
            </w:pPr>
            <w:r>
              <w:rPr>
                <w:rFonts w:hint="eastAsia" w:ascii="宋体" w:hAnsi="宋体" w:cs="宋体"/>
                <w:color w:val="auto"/>
                <w:sz w:val="22"/>
                <w:szCs w:val="22"/>
                <w:highlight w:val="none"/>
              </w:rPr>
              <w:t>供应商应先安装“政采云电子交易客户端”，并按照本采购文件和“政采云平台”的要求，通过“政采云电子交易客户端”编制并加密投标文件。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18</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报价有效期</w:t>
            </w:r>
          </w:p>
        </w:tc>
        <w:tc>
          <w:tcPr>
            <w:tcW w:w="7821" w:type="dxa"/>
            <w:vAlign w:val="center"/>
          </w:tcPr>
          <w:p>
            <w:pPr>
              <w:rPr>
                <w:rFonts w:ascii="宋体" w:hAnsi="宋体" w:cs="宋体"/>
                <w:color w:val="auto"/>
                <w:sz w:val="22"/>
                <w:highlight w:val="none"/>
              </w:rPr>
            </w:pPr>
            <w:r>
              <w:rPr>
                <w:rFonts w:hint="eastAsia" w:ascii="宋体" w:hAnsi="宋体" w:cs="宋体"/>
                <w:color w:val="auto"/>
                <w:sz w:val="22"/>
                <w:szCs w:val="22"/>
                <w:highlight w:val="none"/>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19</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签字或盖章要求</w:t>
            </w:r>
          </w:p>
        </w:tc>
        <w:tc>
          <w:tcPr>
            <w:tcW w:w="7821" w:type="dxa"/>
            <w:vAlign w:val="center"/>
          </w:tcPr>
          <w:p>
            <w:pPr>
              <w:rPr>
                <w:rFonts w:ascii="宋体" w:hAnsi="宋体" w:cs="宋体"/>
                <w:color w:val="auto"/>
                <w:sz w:val="22"/>
                <w:highlight w:val="none"/>
              </w:rPr>
            </w:pPr>
            <w:r>
              <w:rPr>
                <w:rFonts w:hint="eastAsia" w:ascii="宋体" w:hAnsi="宋体" w:cs="宋体"/>
                <w:color w:val="auto"/>
                <w:sz w:val="22"/>
                <w:szCs w:val="22"/>
                <w:highlight w:val="none"/>
              </w:rPr>
              <w:t>投标文件的相应位置应加盖：电子签章。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20</w:t>
            </w:r>
          </w:p>
        </w:tc>
        <w:tc>
          <w:tcPr>
            <w:tcW w:w="1715" w:type="dxa"/>
            <w:vAlign w:val="center"/>
          </w:tcPr>
          <w:p>
            <w:pPr>
              <w:rPr>
                <w:rFonts w:ascii="宋体" w:hAnsi="宋体" w:cs="宋体"/>
                <w:color w:val="auto"/>
                <w:sz w:val="22"/>
                <w:highlight w:val="none"/>
              </w:rPr>
            </w:pPr>
            <w:r>
              <w:rPr>
                <w:rFonts w:hint="eastAsia" w:ascii="宋体" w:hAnsi="宋体" w:cs="宋体"/>
                <w:color w:val="auto"/>
                <w:sz w:val="22"/>
                <w:szCs w:val="22"/>
                <w:highlight w:val="none"/>
              </w:rPr>
              <w:t>投标文件的形式、制作及组成</w:t>
            </w:r>
          </w:p>
        </w:tc>
        <w:tc>
          <w:tcPr>
            <w:tcW w:w="7821" w:type="dxa"/>
            <w:vAlign w:val="center"/>
          </w:tcPr>
          <w:p>
            <w:pPr>
              <w:rPr>
                <w:rFonts w:ascii="宋体" w:hAnsi="宋体" w:cs="宋体"/>
                <w:color w:val="auto"/>
                <w:sz w:val="22"/>
                <w:highlight w:val="none"/>
              </w:rPr>
            </w:pPr>
            <w:r>
              <w:rPr>
                <w:rFonts w:hint="eastAsia" w:ascii="宋体" w:hAnsi="宋体" w:cs="宋体"/>
                <w:color w:val="auto"/>
                <w:sz w:val="22"/>
                <w:szCs w:val="22"/>
                <w:highlight w:val="none"/>
              </w:rPr>
              <w:t>本项目实行在线投标响应（电子投标）。</w:t>
            </w:r>
          </w:p>
          <w:p>
            <w:pPr>
              <w:rPr>
                <w:rFonts w:ascii="宋体" w:hAnsi="宋体" w:cs="宋体"/>
                <w:color w:val="auto"/>
                <w:sz w:val="22"/>
                <w:highlight w:val="none"/>
              </w:rPr>
            </w:pPr>
            <w:r>
              <w:rPr>
                <w:rFonts w:hint="eastAsia" w:ascii="宋体" w:hAnsi="宋体" w:cs="宋体"/>
                <w:color w:val="auto"/>
                <w:sz w:val="22"/>
                <w:szCs w:val="22"/>
                <w:highlight w:val="none"/>
              </w:rPr>
              <w:t>投标人须准备电子投标文件（包括“电子加密投标文件”和“备份投标文件”两类，在投标文件编制完成后同时生成）。</w:t>
            </w:r>
          </w:p>
          <w:p>
            <w:pPr>
              <w:rPr>
                <w:rFonts w:ascii="宋体" w:hAnsi="宋体" w:cs="宋体"/>
                <w:color w:val="auto"/>
                <w:sz w:val="22"/>
                <w:highlight w:val="none"/>
              </w:rPr>
            </w:pPr>
            <w:r>
              <w:rPr>
                <w:rFonts w:hint="eastAsia" w:ascii="宋体" w:hAnsi="宋体" w:cs="宋体"/>
                <w:color w:val="auto"/>
                <w:sz w:val="22"/>
                <w:szCs w:val="22"/>
                <w:highlight w:val="none"/>
              </w:rPr>
              <w:t>（1）“电子加密投标文件”是指通过“政采云电子交易客户端”完成投标文件编制后生成并加密的数据电文形式的投标文件。</w:t>
            </w:r>
          </w:p>
          <w:p>
            <w:pPr>
              <w:rPr>
                <w:rFonts w:ascii="宋体" w:hAnsi="宋体" w:cs="宋体"/>
                <w:color w:val="auto"/>
                <w:sz w:val="22"/>
                <w:highlight w:val="none"/>
              </w:rPr>
            </w:pPr>
            <w:r>
              <w:rPr>
                <w:rFonts w:hint="eastAsia" w:ascii="宋体" w:hAnsi="宋体" w:cs="宋体"/>
                <w:color w:val="auto"/>
                <w:sz w:val="22"/>
                <w:szCs w:val="22"/>
                <w:highlight w:val="none"/>
              </w:rPr>
              <w:t>（2）“备份投标文件”是指与“电子加密投标文件”同时生成的数据电文形式的电子文件（备份标书），其他方式编制的备份投标文件视为无效备份投标文件。</w:t>
            </w:r>
          </w:p>
          <w:p>
            <w:pPr>
              <w:rPr>
                <w:rFonts w:ascii="宋体" w:hAnsi="宋体" w:cs="宋体"/>
                <w:color w:val="auto"/>
                <w:sz w:val="22"/>
                <w:highlight w:val="none"/>
              </w:rPr>
            </w:pPr>
            <w:r>
              <w:rPr>
                <w:rFonts w:hint="eastAsia" w:ascii="宋体" w:hAnsi="宋体" w:cs="宋体"/>
                <w:color w:val="auto"/>
                <w:sz w:val="22"/>
                <w:szCs w:val="22"/>
                <w:highlight w:val="none"/>
              </w:rPr>
              <w:t>以上两类投标文件均由资格文件、报价文件、商务技术文件三部分组成。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21</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投标样品</w:t>
            </w:r>
          </w:p>
        </w:tc>
        <w:tc>
          <w:tcPr>
            <w:tcW w:w="7821" w:type="dxa"/>
            <w:vAlign w:val="center"/>
          </w:tcPr>
          <w:p>
            <w:pPr>
              <w:rPr>
                <w:rFonts w:ascii="宋体" w:hAnsi="宋体" w:cs="宋体"/>
                <w:color w:val="auto"/>
                <w:sz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不需要</w:t>
            </w:r>
          </w:p>
          <w:p>
            <w:pPr>
              <w:rPr>
                <w:rFonts w:ascii="宋体" w:hAnsi="宋体" w:cs="宋体"/>
                <w:color w:val="auto"/>
                <w:sz w:val="22"/>
                <w:highlight w:val="none"/>
              </w:rPr>
            </w:pPr>
            <w:r>
              <w:rPr>
                <w:rFonts w:hint="eastAsia" w:ascii="宋体" w:hAnsi="宋体" w:cs="宋体"/>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22</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投标保证金</w:t>
            </w:r>
          </w:p>
        </w:tc>
        <w:tc>
          <w:tcPr>
            <w:tcW w:w="7821" w:type="dxa"/>
            <w:vAlign w:val="center"/>
          </w:tcPr>
          <w:p>
            <w:pPr>
              <w:rPr>
                <w:rFonts w:ascii="宋体" w:hAnsi="宋体" w:cs="宋体"/>
                <w:color w:val="auto"/>
                <w:sz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不需要</w:t>
            </w:r>
          </w:p>
          <w:p>
            <w:pPr>
              <w:rPr>
                <w:rFonts w:ascii="宋体" w:hAnsi="宋体" w:cs="宋体"/>
                <w:color w:val="auto"/>
                <w:sz w:val="22"/>
                <w:highlight w:val="none"/>
              </w:rPr>
            </w:pPr>
            <w:r>
              <w:rPr>
                <w:rFonts w:hint="eastAsia" w:ascii="宋体" w:hAnsi="宋体" w:cs="宋体"/>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7"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23</w:t>
            </w:r>
          </w:p>
        </w:tc>
        <w:tc>
          <w:tcPr>
            <w:tcW w:w="1715" w:type="dxa"/>
            <w:vAlign w:val="center"/>
          </w:tcPr>
          <w:p>
            <w:pPr>
              <w:adjustRightInd w:val="0"/>
              <w:jc w:val="center"/>
              <w:rPr>
                <w:rFonts w:ascii="宋体" w:hAnsi="宋体" w:cs="宋体"/>
                <w:color w:val="auto"/>
                <w:sz w:val="22"/>
                <w:highlight w:val="none"/>
              </w:rPr>
            </w:pPr>
            <w:r>
              <w:rPr>
                <w:rFonts w:hint="eastAsia" w:ascii="宋体" w:hAnsi="宋体" w:cs="宋体"/>
                <w:color w:val="auto"/>
                <w:sz w:val="22"/>
                <w:szCs w:val="22"/>
                <w:highlight w:val="none"/>
              </w:rPr>
              <w:t>履约担保</w:t>
            </w:r>
          </w:p>
        </w:tc>
        <w:tc>
          <w:tcPr>
            <w:tcW w:w="7821" w:type="dxa"/>
            <w:vAlign w:val="center"/>
          </w:tcPr>
          <w:p>
            <w:pPr>
              <w:rPr>
                <w:rFonts w:ascii="宋体" w:hAnsi="宋体" w:cs="宋体"/>
                <w:color w:val="auto"/>
                <w:sz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不需要</w:t>
            </w:r>
          </w:p>
          <w:p>
            <w:pPr>
              <w:adjustRightInd w:val="0"/>
              <w:rPr>
                <w:rFonts w:ascii="宋体" w:hAnsi="宋体" w:cs="宋体"/>
                <w:color w:val="auto"/>
                <w:sz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2"/>
                <w:sz w:val="15"/>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需要  合同签订后成交供应商应提供合同总金额</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%的履约保证金，履约保证金可以以银行或保险公司出具的保函作为履约保函。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24</w:t>
            </w:r>
          </w:p>
        </w:tc>
        <w:tc>
          <w:tcPr>
            <w:tcW w:w="1715" w:type="dxa"/>
            <w:vAlign w:val="center"/>
          </w:tcPr>
          <w:p>
            <w:pPr>
              <w:adjustRightInd w:val="0"/>
              <w:jc w:val="center"/>
              <w:rPr>
                <w:rFonts w:ascii="宋体" w:hAnsi="宋体" w:cs="宋体"/>
                <w:color w:val="auto"/>
                <w:sz w:val="22"/>
                <w:highlight w:val="none"/>
              </w:rPr>
            </w:pPr>
            <w:r>
              <w:rPr>
                <w:rFonts w:hint="eastAsia" w:ascii="宋体" w:hAnsi="宋体" w:cs="宋体"/>
                <w:color w:val="auto"/>
                <w:sz w:val="22"/>
                <w:szCs w:val="22"/>
                <w:highlight w:val="none"/>
              </w:rPr>
              <w:t>投标文件份数</w:t>
            </w:r>
          </w:p>
        </w:tc>
        <w:tc>
          <w:tcPr>
            <w:tcW w:w="7821" w:type="dxa"/>
            <w:vAlign w:val="center"/>
          </w:tcPr>
          <w:p>
            <w:pPr>
              <w:adjustRightInd w:val="0"/>
              <w:jc w:val="left"/>
              <w:rPr>
                <w:rFonts w:ascii="宋体" w:hAnsi="宋体" w:cs="宋体"/>
                <w:color w:val="auto"/>
                <w:sz w:val="22"/>
                <w:highlight w:val="none"/>
              </w:rPr>
            </w:pPr>
            <w:r>
              <w:rPr>
                <w:rFonts w:hint="eastAsia" w:ascii="宋体" w:hAnsi="宋体" w:cs="宋体"/>
                <w:color w:val="auto"/>
                <w:sz w:val="22"/>
                <w:szCs w:val="22"/>
                <w:highlight w:val="none"/>
              </w:rPr>
              <w:t>（1）“电子加密投标文件”：在线上传递交、一份。</w:t>
            </w:r>
          </w:p>
          <w:p>
            <w:pPr>
              <w:pStyle w:val="14"/>
              <w:spacing w:line="360" w:lineRule="auto"/>
              <w:rPr>
                <w:rFonts w:hAnsi="宋体"/>
                <w:color w:val="auto"/>
                <w:sz w:val="22"/>
                <w:highlight w:val="none"/>
              </w:rPr>
            </w:pPr>
            <w:r>
              <w:rPr>
                <w:rFonts w:hint="eastAsia" w:hAnsi="宋体"/>
                <w:color w:val="auto"/>
                <w:kern w:val="2"/>
                <w:sz w:val="22"/>
                <w:szCs w:val="22"/>
                <w:highlight w:val="none"/>
              </w:rPr>
              <w:t>（2）“备份投标文件”：以电子邮件形式将生成的备份投标文件发送到采购代理机构邮箱号：（516875482@qq.com），备份投标文件签收人员联系方式： 齐贺15088550610  ，并注明</w:t>
            </w:r>
            <w:r>
              <w:rPr>
                <w:rFonts w:hint="eastAsia" w:hAnsi="宋体"/>
                <w:color w:val="auto"/>
                <w:kern w:val="2"/>
                <w:sz w:val="22"/>
                <w:szCs w:val="22"/>
                <w:highlight w:val="none"/>
                <w:lang w:val="zh-CN"/>
              </w:rPr>
              <w:t>“</w:t>
            </w:r>
            <w:r>
              <w:rPr>
                <w:rFonts w:hint="eastAsia" w:hAnsi="宋体"/>
                <w:color w:val="auto"/>
                <w:kern w:val="2"/>
                <w:sz w:val="22"/>
                <w:szCs w:val="22"/>
                <w:highlight w:val="none"/>
              </w:rPr>
              <w:t>投标人名称、项目编号、项目名称、备份投标文件</w:t>
            </w:r>
            <w:r>
              <w:rPr>
                <w:rFonts w:hint="eastAsia" w:hAnsi="宋体"/>
                <w:color w:val="auto"/>
                <w:kern w:val="2"/>
                <w:sz w:val="22"/>
                <w:szCs w:val="22"/>
                <w:highlight w:val="none"/>
                <w:lang w:val="zh-CN"/>
              </w:rPr>
              <w:t>等”信息</w:t>
            </w:r>
            <w:r>
              <w:rPr>
                <w:rFonts w:hint="eastAsia" w:hAnsi="宋体"/>
                <w:color w:val="auto"/>
                <w:kern w:val="2"/>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7"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25</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投标文件递交截止时间及开标时间</w:t>
            </w:r>
          </w:p>
        </w:tc>
        <w:tc>
          <w:tcPr>
            <w:tcW w:w="7821" w:type="dxa"/>
            <w:vAlign w:val="center"/>
          </w:tcPr>
          <w:p>
            <w:pPr>
              <w:adjustRightInd w:val="0"/>
              <w:jc w:val="left"/>
              <w:rPr>
                <w:rFonts w:ascii="宋体" w:hAnsi="宋体" w:cs="宋体"/>
                <w:color w:val="auto"/>
                <w:sz w:val="22"/>
                <w:highlight w:val="none"/>
              </w:rPr>
            </w:pPr>
            <w:r>
              <w:rPr>
                <w:rFonts w:hint="eastAsia" w:ascii="宋体" w:hAnsi="宋体" w:cs="宋体"/>
                <w:color w:val="auto"/>
                <w:sz w:val="22"/>
                <w:szCs w:val="22"/>
                <w:highlight w:val="none"/>
              </w:rPr>
              <w:t>20</w:t>
            </w:r>
            <w:r>
              <w:rPr>
                <w:rFonts w:hint="eastAsia" w:ascii="宋体" w:hAnsi="宋体" w:cs="宋体"/>
                <w:color w:val="auto"/>
                <w:sz w:val="22"/>
                <w:szCs w:val="22"/>
                <w:highlight w:val="none"/>
                <w:lang w:eastAsia="zh-CN"/>
              </w:rPr>
              <w:t>22年7月19日</w:t>
            </w:r>
            <w:r>
              <w:rPr>
                <w:rFonts w:hint="eastAsia" w:ascii="宋体" w:hAnsi="宋体" w:cs="宋体"/>
                <w:color w:val="auto"/>
                <w:sz w:val="22"/>
                <w:szCs w:val="22"/>
                <w:highlight w:val="none"/>
              </w:rPr>
              <w:t>09:30（北京时间）。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26</w:t>
            </w:r>
          </w:p>
        </w:tc>
        <w:tc>
          <w:tcPr>
            <w:tcW w:w="1715" w:type="dxa"/>
            <w:vAlign w:val="center"/>
          </w:tcPr>
          <w:p>
            <w:pPr>
              <w:autoSpaceDE w:val="0"/>
              <w:autoSpaceDN w:val="0"/>
              <w:adjustRightInd w:val="0"/>
              <w:spacing w:line="300" w:lineRule="atLeast"/>
              <w:rPr>
                <w:rFonts w:ascii="宋体" w:hAnsi="宋体" w:cs="宋体"/>
                <w:color w:val="auto"/>
                <w:sz w:val="22"/>
                <w:highlight w:val="none"/>
                <w:lang w:val="zh-CN"/>
              </w:rPr>
            </w:pPr>
            <w:r>
              <w:rPr>
                <w:rFonts w:hint="eastAsia" w:ascii="宋体" w:hAnsi="宋体" w:cs="宋体"/>
                <w:color w:val="auto"/>
                <w:sz w:val="22"/>
                <w:szCs w:val="22"/>
                <w:highlight w:val="none"/>
                <w:lang w:val="zh-CN"/>
              </w:rPr>
              <w:t>投标文件的上传和递交</w:t>
            </w:r>
          </w:p>
        </w:tc>
        <w:tc>
          <w:tcPr>
            <w:tcW w:w="7821" w:type="dxa"/>
            <w:vAlign w:val="center"/>
          </w:tcPr>
          <w:p>
            <w:pPr>
              <w:pStyle w:val="64"/>
              <w:autoSpaceDE w:val="0"/>
              <w:autoSpaceDN w:val="0"/>
              <w:adjustRightInd w:val="0"/>
              <w:spacing w:line="300" w:lineRule="atLeast"/>
              <w:jc w:val="both"/>
              <w:rPr>
                <w:color w:val="auto"/>
                <w:sz w:val="22"/>
                <w:szCs w:val="22"/>
                <w:highlight w:val="none"/>
              </w:rPr>
            </w:pPr>
            <w:r>
              <w:rPr>
                <w:rFonts w:hint="eastAsia"/>
                <w:color w:val="auto"/>
                <w:sz w:val="22"/>
                <w:szCs w:val="22"/>
                <w:highlight w:val="none"/>
              </w:rPr>
              <w:t>一、“电子加密投标文件”的上传、递交：</w:t>
            </w:r>
          </w:p>
          <w:p>
            <w:pPr>
              <w:pStyle w:val="64"/>
              <w:autoSpaceDE w:val="0"/>
              <w:autoSpaceDN w:val="0"/>
              <w:adjustRightInd w:val="0"/>
              <w:spacing w:line="300" w:lineRule="atLeast"/>
              <w:ind w:firstLine="440" w:firstLineChars="200"/>
              <w:jc w:val="both"/>
              <w:rPr>
                <w:color w:val="auto"/>
                <w:sz w:val="22"/>
                <w:szCs w:val="22"/>
                <w:highlight w:val="none"/>
              </w:rPr>
            </w:pPr>
            <w:r>
              <w:rPr>
                <w:rFonts w:hint="eastAsia"/>
                <w:color w:val="auto"/>
                <w:sz w:val="22"/>
                <w:szCs w:val="22"/>
                <w:highlight w:val="none"/>
              </w:rPr>
              <w:t>a.投标人应在投标文件递交截止时间前将“电子加密投标文件”成功上传递交至“政采云平台”，否则投标无效。</w:t>
            </w:r>
          </w:p>
          <w:p>
            <w:pPr>
              <w:pStyle w:val="64"/>
              <w:autoSpaceDE w:val="0"/>
              <w:autoSpaceDN w:val="0"/>
              <w:adjustRightInd w:val="0"/>
              <w:spacing w:line="300" w:lineRule="atLeast"/>
              <w:ind w:firstLine="440" w:firstLineChars="200"/>
              <w:jc w:val="both"/>
              <w:rPr>
                <w:color w:val="auto"/>
                <w:sz w:val="22"/>
                <w:szCs w:val="22"/>
                <w:highlight w:val="none"/>
              </w:rPr>
            </w:pPr>
            <w:r>
              <w:rPr>
                <w:rFonts w:hint="eastAsia"/>
                <w:color w:val="auto"/>
                <w:sz w:val="22"/>
                <w:szCs w:val="22"/>
                <w:highlight w:val="none"/>
              </w:rPr>
              <w:t>b.“电子加密投标文件”成功上传递交后，供应商可自行打印投标文件接收回执。</w:t>
            </w:r>
          </w:p>
          <w:p>
            <w:pPr>
              <w:pStyle w:val="64"/>
              <w:autoSpaceDE w:val="0"/>
              <w:autoSpaceDN w:val="0"/>
              <w:adjustRightInd w:val="0"/>
              <w:spacing w:line="300" w:lineRule="atLeast"/>
              <w:jc w:val="both"/>
              <w:rPr>
                <w:color w:val="auto"/>
                <w:sz w:val="22"/>
                <w:szCs w:val="22"/>
                <w:highlight w:val="none"/>
              </w:rPr>
            </w:pPr>
            <w:r>
              <w:rPr>
                <w:rFonts w:hint="eastAsia"/>
                <w:color w:val="auto"/>
                <w:sz w:val="22"/>
                <w:szCs w:val="22"/>
                <w:highlight w:val="none"/>
              </w:rPr>
              <w:t>二、“备份投标文件”的递交：</w:t>
            </w:r>
          </w:p>
          <w:p>
            <w:pPr>
              <w:pStyle w:val="64"/>
              <w:autoSpaceDE w:val="0"/>
              <w:autoSpaceDN w:val="0"/>
              <w:adjustRightInd w:val="0"/>
              <w:spacing w:line="300" w:lineRule="atLeast"/>
              <w:ind w:firstLine="440" w:firstLineChars="200"/>
              <w:jc w:val="both"/>
              <w:rPr>
                <w:color w:val="auto"/>
                <w:sz w:val="22"/>
                <w:szCs w:val="22"/>
                <w:highlight w:val="none"/>
              </w:rPr>
            </w:pPr>
            <w:r>
              <w:rPr>
                <w:rFonts w:hint="eastAsia"/>
                <w:color w:val="auto"/>
                <w:sz w:val="22"/>
                <w:szCs w:val="22"/>
                <w:highlight w:val="none"/>
              </w:rPr>
              <w:t>a.投标人在“政采云平台”完成“电子加密投标文件”的上传递交后，还可以</w:t>
            </w:r>
            <w:r>
              <w:rPr>
                <w:rFonts w:hint="eastAsia"/>
                <w:color w:val="auto"/>
                <w:kern w:val="2"/>
                <w:sz w:val="22"/>
                <w:szCs w:val="22"/>
                <w:highlight w:val="none"/>
                <w:lang w:val="en-US"/>
              </w:rPr>
              <w:t>以电子邮件形式将生成的备份投标文件发送到采购代理机构邮箱号：（516875482@qq.com），备份投标文件签收人员联系方式： 齐贺15088550610  ，并注明</w:t>
            </w:r>
            <w:r>
              <w:rPr>
                <w:rFonts w:hint="eastAsia"/>
                <w:color w:val="auto"/>
                <w:kern w:val="2"/>
                <w:sz w:val="22"/>
                <w:szCs w:val="22"/>
                <w:highlight w:val="none"/>
              </w:rPr>
              <w:t>“</w:t>
            </w:r>
            <w:r>
              <w:rPr>
                <w:rFonts w:hint="eastAsia"/>
                <w:color w:val="auto"/>
                <w:kern w:val="2"/>
                <w:sz w:val="22"/>
                <w:szCs w:val="22"/>
                <w:highlight w:val="none"/>
                <w:lang w:val="en-US"/>
              </w:rPr>
              <w:t>投标人名称、项目编号、项目名称、备份投标文件</w:t>
            </w:r>
            <w:r>
              <w:rPr>
                <w:rFonts w:hint="eastAsia"/>
                <w:color w:val="auto"/>
                <w:kern w:val="2"/>
                <w:sz w:val="22"/>
                <w:szCs w:val="22"/>
                <w:highlight w:val="none"/>
              </w:rPr>
              <w:t>等”信息</w:t>
            </w:r>
            <w:r>
              <w:rPr>
                <w:rFonts w:hint="eastAsia"/>
                <w:color w:val="auto"/>
                <w:kern w:val="2"/>
                <w:sz w:val="22"/>
                <w:szCs w:val="22"/>
                <w:highlight w:val="none"/>
                <w:lang w:val="en-US"/>
              </w:rPr>
              <w:t>。</w:t>
            </w:r>
            <w:r>
              <w:rPr>
                <w:rFonts w:hint="eastAsia"/>
                <w:color w:val="auto"/>
                <w:sz w:val="22"/>
                <w:szCs w:val="22"/>
                <w:highlight w:val="none"/>
              </w:rPr>
              <w:t>；解密CA必须是上传并制作电子投标文件CA锁。</w:t>
            </w:r>
          </w:p>
          <w:p>
            <w:pPr>
              <w:autoSpaceDE w:val="0"/>
              <w:autoSpaceDN w:val="0"/>
              <w:adjustRightInd w:val="0"/>
              <w:spacing w:line="300" w:lineRule="atLeast"/>
              <w:ind w:firstLine="440" w:firstLineChars="200"/>
              <w:rPr>
                <w:rFonts w:ascii="宋体" w:hAnsi="宋体" w:cs="宋体"/>
                <w:color w:val="auto"/>
                <w:sz w:val="22"/>
                <w:highlight w:val="none"/>
                <w:lang w:val="zh-CN"/>
              </w:rPr>
            </w:pPr>
            <w:r>
              <w:rPr>
                <w:rFonts w:hint="eastAsia" w:ascii="宋体" w:hAnsi="宋体" w:cs="宋体"/>
                <w:color w:val="auto"/>
                <w:sz w:val="22"/>
                <w:szCs w:val="22"/>
                <w:highlight w:val="none"/>
                <w:lang w:val="zh-CN"/>
              </w:rPr>
              <w:t>b.通过“政采云平台”成功上传递交的“电子加密投标文件”已按时解密的，“备份投标文件”自动失效。投标文件递交截止时间前，投标人仅递交了“备份投标文件”而未将“电子加密投标文件”成功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27</w:t>
            </w:r>
          </w:p>
        </w:tc>
        <w:tc>
          <w:tcPr>
            <w:tcW w:w="1715" w:type="dxa"/>
            <w:vAlign w:val="center"/>
          </w:tcPr>
          <w:p>
            <w:pPr>
              <w:autoSpaceDE w:val="0"/>
              <w:autoSpaceDN w:val="0"/>
              <w:adjustRightInd w:val="0"/>
              <w:spacing w:line="300" w:lineRule="atLeast"/>
              <w:rPr>
                <w:rFonts w:ascii="宋体" w:hAnsi="宋体" w:cs="宋体"/>
                <w:color w:val="auto"/>
                <w:sz w:val="22"/>
                <w:highlight w:val="none"/>
                <w:lang w:val="zh-CN"/>
              </w:rPr>
            </w:pPr>
            <w:r>
              <w:rPr>
                <w:rFonts w:hint="eastAsia" w:ascii="宋体" w:hAnsi="宋体" w:cs="宋体"/>
                <w:color w:val="auto"/>
                <w:sz w:val="22"/>
                <w:szCs w:val="22"/>
                <w:highlight w:val="none"/>
                <w:lang w:val="zh-CN"/>
              </w:rPr>
              <w:t>电子加密投标文件的解密和异常情况处理</w:t>
            </w:r>
          </w:p>
        </w:tc>
        <w:tc>
          <w:tcPr>
            <w:tcW w:w="7821" w:type="dxa"/>
            <w:vAlign w:val="center"/>
          </w:tcPr>
          <w:p>
            <w:pPr>
              <w:autoSpaceDE w:val="0"/>
              <w:autoSpaceDN w:val="0"/>
              <w:adjustRightInd w:val="0"/>
              <w:spacing w:line="300" w:lineRule="atLeast"/>
              <w:rPr>
                <w:rFonts w:ascii="宋体" w:hAnsi="宋体" w:cs="宋体"/>
                <w:color w:val="auto"/>
                <w:sz w:val="22"/>
                <w:highlight w:val="none"/>
                <w:lang w:val="zh-CN"/>
              </w:rPr>
            </w:pPr>
            <w:r>
              <w:rPr>
                <w:rFonts w:hint="eastAsia" w:ascii="宋体" w:hAnsi="宋体" w:cs="宋体"/>
                <w:color w:val="auto"/>
                <w:sz w:val="22"/>
                <w:szCs w:val="22"/>
                <w:highlight w:val="none"/>
                <w:lang w:val="zh-CN"/>
              </w:rPr>
              <w:t>（1）开标后，采购组织机构将向各投标人发出“电子加密投标文件”的解密通知，各投标人代表应当在接到解密通知后30分钟内自行完成“电子加密投标文件”的在线解密。</w:t>
            </w:r>
          </w:p>
          <w:p>
            <w:pPr>
              <w:autoSpaceDE w:val="0"/>
              <w:autoSpaceDN w:val="0"/>
              <w:adjustRightInd w:val="0"/>
              <w:spacing w:line="300" w:lineRule="atLeast"/>
              <w:rPr>
                <w:rFonts w:ascii="宋体" w:hAnsi="宋体" w:cs="宋体"/>
                <w:color w:val="auto"/>
                <w:sz w:val="22"/>
                <w:highlight w:val="none"/>
                <w:lang w:val="zh-CN"/>
              </w:rPr>
            </w:pPr>
            <w:r>
              <w:rPr>
                <w:rFonts w:hint="eastAsia" w:ascii="宋体" w:hAnsi="宋体" w:cs="宋体"/>
                <w:color w:val="auto"/>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00" w:lineRule="atLeast"/>
              <w:rPr>
                <w:rFonts w:ascii="宋体" w:hAnsi="宋体" w:cs="宋体"/>
                <w:color w:val="auto"/>
                <w:sz w:val="22"/>
                <w:highlight w:val="none"/>
                <w:lang w:val="zh-CN"/>
              </w:rPr>
            </w:pPr>
            <w:r>
              <w:rPr>
                <w:rFonts w:hint="eastAsia" w:ascii="宋体" w:hAnsi="宋体" w:cs="宋体"/>
                <w:color w:val="auto"/>
                <w:sz w:val="22"/>
                <w:szCs w:val="22"/>
                <w:highlight w:val="none"/>
                <w:lang w:val="zh-CN"/>
              </w:rPr>
              <w:t>（3）投标文件递交截止时间前，投标人仅递交了“备份投标文件”而未将电子加密投标文件上传至“政采云平台”的，投标无效。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28</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评标委员会成员的组建</w:t>
            </w:r>
          </w:p>
        </w:tc>
        <w:tc>
          <w:tcPr>
            <w:tcW w:w="7821" w:type="dxa"/>
            <w:vAlign w:val="center"/>
          </w:tcPr>
          <w:p>
            <w:pPr>
              <w:rPr>
                <w:rFonts w:ascii="宋体" w:hAnsi="宋体" w:cs="宋体"/>
                <w:color w:val="auto"/>
                <w:sz w:val="22"/>
                <w:highlight w:val="none"/>
              </w:rPr>
            </w:pPr>
            <w:r>
              <w:rPr>
                <w:rFonts w:hint="eastAsia" w:ascii="宋体" w:hAnsi="宋体" w:cs="宋体"/>
                <w:color w:val="auto"/>
                <w:sz w:val="22"/>
                <w:szCs w:val="22"/>
                <w:highlight w:val="none"/>
              </w:rPr>
              <w:t>评标委员会成员构成：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29</w:t>
            </w:r>
          </w:p>
        </w:tc>
        <w:tc>
          <w:tcPr>
            <w:tcW w:w="1715" w:type="dxa"/>
            <w:vAlign w:val="center"/>
          </w:tcPr>
          <w:p>
            <w:pPr>
              <w:adjustRightInd w:val="0"/>
              <w:jc w:val="center"/>
              <w:rPr>
                <w:rFonts w:ascii="宋体" w:hAnsi="宋体" w:cs="宋体"/>
                <w:color w:val="auto"/>
                <w:sz w:val="22"/>
                <w:highlight w:val="none"/>
              </w:rPr>
            </w:pPr>
            <w:r>
              <w:rPr>
                <w:rFonts w:hint="eastAsia" w:ascii="宋体" w:hAnsi="宋体" w:cs="宋体"/>
                <w:color w:val="auto"/>
                <w:sz w:val="22"/>
                <w:szCs w:val="22"/>
                <w:highlight w:val="none"/>
              </w:rPr>
              <w:t>政府采购</w:t>
            </w:r>
          </w:p>
          <w:p>
            <w:pPr>
              <w:adjustRightInd w:val="0"/>
              <w:jc w:val="center"/>
              <w:rPr>
                <w:rFonts w:ascii="宋体" w:hAnsi="宋体" w:cs="宋体"/>
                <w:color w:val="auto"/>
                <w:sz w:val="22"/>
                <w:highlight w:val="none"/>
              </w:rPr>
            </w:pPr>
            <w:r>
              <w:rPr>
                <w:rFonts w:hint="eastAsia" w:ascii="宋体" w:hAnsi="宋体" w:cs="宋体"/>
                <w:color w:val="auto"/>
                <w:sz w:val="22"/>
                <w:szCs w:val="22"/>
                <w:highlight w:val="none"/>
              </w:rPr>
              <w:t>扶持政策</w:t>
            </w:r>
          </w:p>
        </w:tc>
        <w:tc>
          <w:tcPr>
            <w:tcW w:w="7821" w:type="dxa"/>
            <w:vAlign w:val="center"/>
          </w:tcPr>
          <w:p>
            <w:pPr>
              <w:adjustRightInd w:val="0"/>
              <w:rPr>
                <w:rFonts w:ascii="宋体" w:hAnsi="宋体" w:cs="宋体"/>
                <w:bCs/>
                <w:color w:val="auto"/>
                <w:sz w:val="22"/>
                <w:highlight w:val="none"/>
              </w:rPr>
            </w:pPr>
            <w:r>
              <w:rPr>
                <w:rFonts w:hint="eastAsia" w:ascii="宋体" w:hAnsi="宋体" w:cs="宋体"/>
                <w:bCs/>
                <w:color w:val="auto"/>
                <w:sz w:val="22"/>
                <w:szCs w:val="22"/>
                <w:highlight w:val="none"/>
              </w:rPr>
              <w:t>1.本项目对符合财政扶持政策的中小企业（小型、微型）、监狱企业、残疾人福利性单位给予价格优惠扶持，价格优惠扶持见《评分办法》。根据工信部等部委发布的《关于印发中小企业划型标准规定的通知》（工信部联企业〔2011〕300号），本项目属于</w:t>
            </w:r>
            <w:r>
              <w:rPr>
                <w:rFonts w:hint="eastAsia" w:ascii="宋体" w:hAnsi="宋体" w:cs="宋体"/>
                <w:bCs/>
                <w:color w:val="auto"/>
                <w:sz w:val="22"/>
                <w:szCs w:val="22"/>
                <w:highlight w:val="none"/>
                <w:u w:val="single"/>
              </w:rPr>
              <w:t xml:space="preserve">软件和信息技术服务业 </w:t>
            </w:r>
            <w:r>
              <w:rPr>
                <w:rFonts w:hint="eastAsia" w:ascii="宋体" w:hAnsi="宋体" w:cs="宋体"/>
                <w:bCs/>
                <w:color w:val="auto"/>
                <w:sz w:val="22"/>
                <w:szCs w:val="22"/>
                <w:highlight w:val="none"/>
              </w:rPr>
              <w:t xml:space="preserve"> 行业。</w:t>
            </w:r>
          </w:p>
          <w:p>
            <w:pPr>
              <w:spacing w:line="360" w:lineRule="exact"/>
              <w:rPr>
                <w:rFonts w:ascii="宋体" w:hAnsi="宋体" w:cs="宋体"/>
                <w:bCs/>
                <w:color w:val="auto"/>
                <w:sz w:val="22"/>
                <w:highlight w:val="none"/>
              </w:rPr>
            </w:pPr>
            <w:r>
              <w:rPr>
                <w:rFonts w:hint="eastAsia" w:ascii="宋体" w:hAnsi="宋体" w:cs="宋体"/>
                <w:bCs/>
                <w:color w:val="auto"/>
                <w:sz w:val="22"/>
                <w:szCs w:val="22"/>
                <w:highlight w:val="none"/>
              </w:rPr>
              <w:t>2.满足财政部 工业和信息化部关于印发《政府采购促进中小企业发展管理办法》的通知（财库〔2020〕46号）的规定的中小企业可享受优惠扶持。</w:t>
            </w:r>
          </w:p>
          <w:p>
            <w:pPr>
              <w:spacing w:line="360" w:lineRule="exact"/>
              <w:rPr>
                <w:rFonts w:ascii="宋体" w:hAnsi="宋体" w:cs="宋体"/>
                <w:bCs/>
                <w:color w:val="auto"/>
                <w:sz w:val="22"/>
                <w:highlight w:val="none"/>
              </w:rPr>
            </w:pPr>
            <w:r>
              <w:rPr>
                <w:rFonts w:hint="eastAsia" w:ascii="宋体" w:hAnsi="宋体" w:cs="宋体"/>
                <w:bCs/>
                <w:color w:val="auto"/>
                <w:sz w:val="22"/>
                <w:szCs w:val="22"/>
                <w:highlight w:val="none"/>
              </w:rPr>
              <w:t>3.满足关于政府采购支持监狱企业发展有关问题的通知（财库[2014]68号）的规定的供应商可享受优惠扶持。</w:t>
            </w:r>
          </w:p>
          <w:p>
            <w:pPr>
              <w:spacing w:line="360" w:lineRule="exact"/>
              <w:rPr>
                <w:rFonts w:ascii="宋体" w:hAnsi="宋体" w:cs="宋体"/>
                <w:bCs/>
                <w:color w:val="auto"/>
                <w:sz w:val="22"/>
                <w:highlight w:val="none"/>
              </w:rPr>
            </w:pPr>
            <w:r>
              <w:rPr>
                <w:rFonts w:hint="eastAsia" w:ascii="宋体" w:hAnsi="宋体" w:cs="宋体"/>
                <w:bCs/>
                <w:color w:val="auto"/>
                <w:sz w:val="22"/>
                <w:szCs w:val="22"/>
                <w:highlight w:val="none"/>
              </w:rPr>
              <w:t>4.满足关于促进残疾人就业政府采购政策的通知（财库[2017]141号）的规定的供应商可享受优惠扶持。</w:t>
            </w:r>
          </w:p>
          <w:p>
            <w:pPr>
              <w:rPr>
                <w:rFonts w:ascii="宋体" w:hAnsi="宋体" w:cs="宋体"/>
                <w:color w:val="auto"/>
                <w:sz w:val="22"/>
                <w:highlight w:val="none"/>
              </w:rPr>
            </w:pPr>
            <w:r>
              <w:rPr>
                <w:rFonts w:hint="eastAsia" w:ascii="宋体" w:hAnsi="宋体" w:cs="宋体"/>
                <w:bCs/>
                <w:color w:val="auto"/>
                <w:sz w:val="22"/>
                <w:szCs w:val="22"/>
                <w:highlight w:val="none"/>
              </w:rPr>
              <w:t>5.对节能、环保产品优先采购。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30</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供应商信用</w:t>
            </w:r>
          </w:p>
          <w:p>
            <w:pPr>
              <w:jc w:val="center"/>
              <w:rPr>
                <w:rFonts w:ascii="宋体" w:hAnsi="宋体" w:cs="宋体"/>
                <w:color w:val="auto"/>
                <w:sz w:val="22"/>
                <w:highlight w:val="none"/>
              </w:rPr>
            </w:pPr>
            <w:r>
              <w:rPr>
                <w:rFonts w:hint="eastAsia" w:ascii="宋体" w:hAnsi="宋体" w:cs="宋体"/>
                <w:color w:val="auto"/>
                <w:sz w:val="22"/>
                <w:szCs w:val="22"/>
                <w:highlight w:val="none"/>
              </w:rPr>
              <w:t>查询</w:t>
            </w:r>
          </w:p>
        </w:tc>
        <w:tc>
          <w:tcPr>
            <w:tcW w:w="7821" w:type="dxa"/>
            <w:vAlign w:val="center"/>
          </w:tcPr>
          <w:p>
            <w:pPr>
              <w:rPr>
                <w:rFonts w:ascii="宋体" w:hAnsi="宋体" w:cs="宋体"/>
                <w:color w:val="auto"/>
                <w:sz w:val="22"/>
                <w:highlight w:val="none"/>
              </w:rPr>
            </w:pPr>
            <w:r>
              <w:rPr>
                <w:rFonts w:hint="eastAsia" w:ascii="宋体" w:hAnsi="宋体" w:cs="宋体"/>
                <w:color w:val="auto"/>
                <w:sz w:val="22"/>
                <w:szCs w:val="22"/>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pPr>
              <w:rPr>
                <w:rFonts w:ascii="宋体" w:hAnsi="宋体" w:cs="宋体"/>
                <w:color w:val="auto"/>
                <w:sz w:val="22"/>
                <w:highlight w:val="none"/>
              </w:rPr>
            </w:pPr>
            <w:r>
              <w:rPr>
                <w:rFonts w:hint="eastAsia" w:ascii="宋体" w:hAnsi="宋体" w:cs="宋体"/>
                <w:color w:val="auto"/>
                <w:sz w:val="22"/>
                <w:szCs w:val="22"/>
                <w:highlight w:val="none"/>
              </w:rPr>
              <w:t>2、投标供应商信用信息查询截止时点：招标公告发布之日至投标截止时间前；</w:t>
            </w:r>
          </w:p>
          <w:p>
            <w:pPr>
              <w:rPr>
                <w:rFonts w:ascii="宋体" w:hAnsi="宋体" w:cs="宋体"/>
                <w:color w:val="auto"/>
                <w:sz w:val="22"/>
                <w:highlight w:val="none"/>
              </w:rPr>
            </w:pPr>
            <w:r>
              <w:rPr>
                <w:rFonts w:hint="eastAsia" w:ascii="宋体" w:hAnsi="宋体" w:cs="宋体"/>
                <w:color w:val="auto"/>
                <w:sz w:val="22"/>
                <w:szCs w:val="22"/>
                <w:highlight w:val="none"/>
              </w:rPr>
              <w:t>3、投标供应商信用信息查询记录和证据留存的具体方式：网页截图打印；</w:t>
            </w:r>
          </w:p>
          <w:p>
            <w:pPr>
              <w:rPr>
                <w:rFonts w:ascii="宋体" w:hAnsi="宋体" w:cs="宋体"/>
                <w:color w:val="auto"/>
                <w:sz w:val="22"/>
                <w:highlight w:val="none"/>
              </w:rPr>
            </w:pPr>
            <w:r>
              <w:rPr>
                <w:rFonts w:hint="eastAsia" w:ascii="宋体" w:hAnsi="宋体" w:cs="宋体"/>
                <w:color w:val="auto"/>
                <w:sz w:val="22"/>
                <w:szCs w:val="22"/>
                <w:highlight w:val="non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rPr>
                <w:rFonts w:ascii="宋体" w:hAnsi="宋体" w:cs="宋体"/>
                <w:color w:val="auto"/>
                <w:sz w:val="22"/>
                <w:highlight w:val="none"/>
                <w:u w:val="single"/>
              </w:rPr>
            </w:pPr>
            <w:r>
              <w:rPr>
                <w:rFonts w:hint="eastAsia" w:ascii="宋体" w:hAnsi="宋体" w:cs="宋体"/>
                <w:color w:val="auto"/>
                <w:sz w:val="22"/>
                <w:szCs w:val="22"/>
                <w:highlight w:val="none"/>
              </w:rPr>
              <w:t>5、▲</w:t>
            </w:r>
            <w:r>
              <w:rPr>
                <w:rFonts w:hint="eastAsia" w:ascii="宋体" w:hAnsi="宋体" w:cs="宋体"/>
                <w:color w:val="auto"/>
                <w:sz w:val="22"/>
                <w:szCs w:val="22"/>
                <w:highlight w:val="none"/>
                <w:u w:val="single"/>
              </w:rPr>
              <w:t>关于“信用中国”(www.creditchina.gov.cn) 信用记录网页截图相关说明：</w:t>
            </w:r>
          </w:p>
          <w:p>
            <w:pPr>
              <w:rPr>
                <w:rFonts w:ascii="宋体" w:hAnsi="宋体" w:cs="宋体"/>
                <w:color w:val="auto"/>
                <w:sz w:val="22"/>
                <w:highlight w:val="none"/>
              </w:rPr>
            </w:pPr>
            <w:r>
              <w:rPr>
                <w:rFonts w:hint="eastAsia" w:ascii="宋体" w:hAnsi="宋体" w:cs="宋体"/>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pPr>
              <w:rPr>
                <w:rFonts w:ascii="宋体" w:hAnsi="宋体" w:cs="宋体"/>
                <w:color w:val="auto"/>
                <w:sz w:val="22"/>
                <w:highlight w:val="none"/>
              </w:rPr>
            </w:pPr>
            <w:r>
              <w:rPr>
                <w:rFonts w:hint="eastAsia" w:ascii="宋体" w:hAnsi="宋体" w:cs="宋体"/>
                <w:color w:val="auto"/>
                <w:sz w:val="22"/>
                <w:szCs w:val="22"/>
                <w:highlight w:val="none"/>
              </w:rPr>
              <w:t>②若供应商在“信用中国”无数据，亦须将搜索结果页面打印，并附说明。</w:t>
            </w:r>
          </w:p>
          <w:p>
            <w:pPr>
              <w:rPr>
                <w:rFonts w:ascii="宋体" w:hAnsi="宋体" w:cs="宋体"/>
                <w:color w:val="auto"/>
                <w:sz w:val="22"/>
                <w:highlight w:val="none"/>
              </w:rPr>
            </w:pPr>
            <w:r>
              <w:rPr>
                <w:rFonts w:hint="eastAsia" w:ascii="宋体" w:hAnsi="宋体" w:cs="宋体"/>
                <w:color w:val="auto"/>
                <w:sz w:val="22"/>
                <w:szCs w:val="22"/>
                <w:highlight w:val="none"/>
              </w:rPr>
              <w:t>③未按照以上①-②条要求提供“信用中国”查询结果记录的，将按照资格审查不通过处理。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31</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合同备案</w:t>
            </w:r>
          </w:p>
        </w:tc>
        <w:tc>
          <w:tcPr>
            <w:tcW w:w="7821" w:type="dxa"/>
            <w:vAlign w:val="center"/>
          </w:tcPr>
          <w:p>
            <w:pPr>
              <w:rPr>
                <w:rFonts w:ascii="宋体" w:hAnsi="宋体" w:cs="宋体"/>
                <w:color w:val="auto"/>
                <w:sz w:val="22"/>
                <w:highlight w:val="none"/>
              </w:rPr>
            </w:pPr>
            <w:r>
              <w:rPr>
                <w:rFonts w:hint="eastAsia" w:ascii="宋体" w:hAnsi="宋体" w:cs="宋体"/>
                <w:color w:val="auto"/>
                <w:sz w:val="22"/>
                <w:szCs w:val="22"/>
                <w:highlight w:val="none"/>
              </w:rPr>
              <w:t>1、中标供应商须在发出中标通知书之日起30日历天内与采购人签订合同。</w:t>
            </w:r>
          </w:p>
          <w:p>
            <w:pPr>
              <w:rPr>
                <w:rFonts w:ascii="宋体" w:hAnsi="宋体" w:cs="宋体"/>
                <w:color w:val="auto"/>
                <w:sz w:val="22"/>
                <w:highlight w:val="none"/>
              </w:rPr>
            </w:pPr>
            <w:r>
              <w:rPr>
                <w:rFonts w:hint="eastAsia" w:ascii="宋体" w:hAnsi="宋体" w:cs="宋体"/>
                <w:color w:val="auto"/>
                <w:sz w:val="22"/>
                <w:szCs w:val="22"/>
                <w:highlight w:val="none"/>
              </w:rPr>
              <w:t>2、中标供应商与采购人签订合同后，2日历天内将合同原件交温州市华明招标代理有限公司备案。合同原件扫描件电子版发给温州市华明招标代理有限公司：邮箱：</w:t>
            </w:r>
            <w:r>
              <w:rPr>
                <w:color w:val="auto"/>
                <w:highlight w:val="none"/>
              </w:rPr>
              <w:fldChar w:fldCharType="begin"/>
            </w:r>
            <w:r>
              <w:rPr>
                <w:color w:val="auto"/>
                <w:highlight w:val="none"/>
              </w:rPr>
              <w:instrText xml:space="preserve"> HYPERLINK "mailto:250453502@qq.com" </w:instrText>
            </w:r>
            <w:r>
              <w:rPr>
                <w:color w:val="auto"/>
                <w:highlight w:val="none"/>
              </w:rPr>
              <w:fldChar w:fldCharType="separate"/>
            </w:r>
            <w:r>
              <w:rPr>
                <w:rStyle w:val="33"/>
                <w:rFonts w:hint="eastAsia" w:ascii="宋体" w:hAnsi="宋体" w:cs="宋体"/>
                <w:color w:val="auto"/>
                <w:sz w:val="22"/>
                <w:szCs w:val="22"/>
                <w:highlight w:val="none"/>
              </w:rPr>
              <w:t>516875482 @qq.com</w:t>
            </w:r>
            <w:r>
              <w:rPr>
                <w:rStyle w:val="33"/>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p>
          <w:p>
            <w:pPr>
              <w:rPr>
                <w:rFonts w:ascii="宋体" w:hAnsi="宋体" w:cs="宋体"/>
                <w:color w:val="auto"/>
                <w:sz w:val="22"/>
                <w:highlight w:val="none"/>
              </w:rPr>
            </w:pPr>
            <w:r>
              <w:rPr>
                <w:rFonts w:hint="eastAsia" w:ascii="宋体" w:hAnsi="宋体" w:cs="宋体"/>
                <w:color w:val="auto"/>
                <w:sz w:val="22"/>
                <w:szCs w:val="22"/>
                <w:highlight w:val="none"/>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7"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32</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合同履约管理</w:t>
            </w:r>
          </w:p>
        </w:tc>
        <w:tc>
          <w:tcPr>
            <w:tcW w:w="7821" w:type="dxa"/>
            <w:vAlign w:val="center"/>
          </w:tcPr>
          <w:p>
            <w:pPr>
              <w:rPr>
                <w:rFonts w:ascii="宋体" w:hAnsi="宋体" w:cs="宋体"/>
                <w:color w:val="auto"/>
                <w:sz w:val="22"/>
                <w:highlight w:val="none"/>
              </w:rPr>
            </w:pPr>
            <w:r>
              <w:rPr>
                <w:rFonts w:hint="eastAsia" w:ascii="宋体" w:hAnsi="宋体" w:cs="宋体"/>
                <w:color w:val="auto"/>
                <w:sz w:val="22"/>
                <w:szCs w:val="22"/>
                <w:highlight w:val="none"/>
              </w:rPr>
              <w:t>合同签订后，采购人依法加强对合同履约进行管理，并在成交供应商服务、项目验收等重要关节，如实填写《合同验收报告》，并及时向同级财政部门报告验收过程中遇到的问题。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0"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33</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免则声明</w:t>
            </w:r>
          </w:p>
        </w:tc>
        <w:tc>
          <w:tcPr>
            <w:tcW w:w="7821" w:type="dxa"/>
            <w:vAlign w:val="center"/>
          </w:tcPr>
          <w:p>
            <w:pPr>
              <w:rPr>
                <w:rFonts w:ascii="宋体" w:hAnsi="宋体" w:cs="宋体"/>
                <w:color w:val="auto"/>
                <w:sz w:val="22"/>
                <w:highlight w:val="none"/>
              </w:rPr>
            </w:pPr>
            <w:r>
              <w:rPr>
                <w:rFonts w:hint="eastAsia" w:ascii="宋体" w:hAnsi="宋体" w:cs="宋体"/>
                <w:color w:val="auto"/>
                <w:sz w:val="22"/>
                <w:szCs w:val="22"/>
                <w:highlight w:val="none"/>
              </w:rPr>
              <w:t>1、供应商自行承担投标过程中产生的费用。无论何种因素导致采购项目延期开标、废标（流标）、供应商未成交、项目终止采购的，采购人与代理机构均不承担供应商投标费用。</w:t>
            </w:r>
          </w:p>
          <w:p>
            <w:pPr>
              <w:rPr>
                <w:rFonts w:ascii="宋体" w:hAnsi="宋体" w:cs="宋体"/>
                <w:color w:val="auto"/>
                <w:sz w:val="22"/>
                <w:highlight w:val="none"/>
              </w:rPr>
            </w:pPr>
            <w:r>
              <w:rPr>
                <w:rFonts w:hint="eastAsia" w:ascii="宋体" w:hAnsi="宋体" w:cs="宋体"/>
                <w:color w:val="auto"/>
                <w:sz w:val="22"/>
                <w:szCs w:val="22"/>
                <w:highlight w:val="none"/>
              </w:rPr>
              <w:t>2、供应商在投标、合同履行过程中必须做好安全保障工作，不因项目实施而危及自身及第三方人员、财产安全。若发生任何安全事故，由成交供应商自行承担一切责任并赔偿损失。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8" w:hRule="atLeast"/>
          <w:jc w:val="center"/>
        </w:trPr>
        <w:tc>
          <w:tcPr>
            <w:tcW w:w="69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34</w:t>
            </w:r>
          </w:p>
        </w:tc>
        <w:tc>
          <w:tcPr>
            <w:tcW w:w="1715"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解释权</w:t>
            </w:r>
          </w:p>
        </w:tc>
        <w:tc>
          <w:tcPr>
            <w:tcW w:w="7821" w:type="dxa"/>
            <w:vAlign w:val="center"/>
          </w:tcPr>
          <w:p>
            <w:pPr>
              <w:rPr>
                <w:rFonts w:ascii="宋体" w:hAnsi="宋体" w:cs="宋体"/>
                <w:color w:val="auto"/>
                <w:sz w:val="22"/>
                <w:highlight w:val="none"/>
              </w:rPr>
            </w:pPr>
            <w:r>
              <w:rPr>
                <w:rFonts w:hint="eastAsia" w:ascii="宋体" w:hAns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8" w:hRule="atLeast"/>
          <w:jc w:val="center"/>
        </w:trPr>
        <w:tc>
          <w:tcPr>
            <w:tcW w:w="694" w:type="dxa"/>
            <w:tcBorders>
              <w:bottom w:val="single" w:color="auto" w:sz="12" w:space="0"/>
            </w:tcBorders>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35</w:t>
            </w:r>
          </w:p>
        </w:tc>
        <w:tc>
          <w:tcPr>
            <w:tcW w:w="1715" w:type="dxa"/>
            <w:tcBorders>
              <w:bottom w:val="single" w:color="auto" w:sz="12" w:space="0"/>
            </w:tcBorders>
            <w:vAlign w:val="center"/>
          </w:tcPr>
          <w:p>
            <w:pPr>
              <w:pStyle w:val="14"/>
              <w:spacing w:line="460" w:lineRule="atLeast"/>
              <w:jc w:val="center"/>
              <w:rPr>
                <w:rFonts w:hAnsi="宋体"/>
                <w:color w:val="auto"/>
                <w:sz w:val="22"/>
                <w:highlight w:val="none"/>
              </w:rPr>
            </w:pPr>
            <w:r>
              <w:rPr>
                <w:rFonts w:hint="eastAsia" w:hAnsi="宋体"/>
                <w:color w:val="auto"/>
                <w:sz w:val="22"/>
                <w:szCs w:val="22"/>
                <w:highlight w:val="none"/>
              </w:rPr>
              <w:t>招标代理服务费</w:t>
            </w:r>
          </w:p>
        </w:tc>
        <w:tc>
          <w:tcPr>
            <w:tcW w:w="7821" w:type="dxa"/>
            <w:tcBorders>
              <w:bottom w:val="single" w:color="auto" w:sz="12" w:space="0"/>
            </w:tcBorders>
            <w:vAlign w:val="center"/>
          </w:tcPr>
          <w:p>
            <w:pPr>
              <w:rPr>
                <w:rFonts w:ascii="宋体" w:hAnsi="宋体" w:cs="宋体"/>
                <w:color w:val="auto"/>
                <w:sz w:val="22"/>
                <w:highlight w:val="none"/>
              </w:rPr>
            </w:pPr>
            <w:r>
              <w:rPr>
                <w:rFonts w:hint="eastAsia" w:ascii="宋体" w:hAnsi="宋体" w:cs="宋体"/>
                <w:color w:val="auto"/>
                <w:sz w:val="22"/>
                <w:szCs w:val="22"/>
                <w:highlight w:val="none"/>
              </w:rPr>
              <w:t>本次项目招标代理服务</w:t>
            </w:r>
            <w:r>
              <w:rPr>
                <w:rFonts w:hint="eastAsia" w:ascii="宋体" w:hAnsi="宋体" w:cs="宋体"/>
                <w:color w:val="auto"/>
                <w:sz w:val="22"/>
                <w:szCs w:val="22"/>
                <w:highlight w:val="none"/>
                <w:lang w:val="zh-CN"/>
              </w:rPr>
              <w:t>费准：</w:t>
            </w:r>
            <w:r>
              <w:rPr>
                <w:rFonts w:hint="eastAsia" w:ascii="宋体" w:hAnsi="Times New Roman" w:eastAsia="宋体" w:cs="Arial"/>
                <w:b w:val="0"/>
                <w:color w:val="auto"/>
                <w:kern w:val="2"/>
                <w:sz w:val="22"/>
                <w:szCs w:val="22"/>
                <w:highlight w:val="none"/>
              </w:rPr>
              <w:t>中标供应商在领取中标通知书前向招标代理机构支付</w:t>
            </w:r>
            <w:r>
              <w:rPr>
                <w:rFonts w:hint="eastAsia" w:ascii="宋体" w:hAnsi="Times New Roman" w:eastAsia="宋体" w:cs="Arial"/>
                <w:b w:val="0"/>
                <w:color w:val="auto"/>
                <w:kern w:val="2"/>
                <w:sz w:val="22"/>
                <w:szCs w:val="22"/>
                <w:highlight w:val="none"/>
                <w:lang w:val="en-US" w:eastAsia="zh-CN"/>
              </w:rPr>
              <w:t>70000</w:t>
            </w:r>
            <w:r>
              <w:rPr>
                <w:rFonts w:hint="eastAsia" w:ascii="宋体" w:hAnsi="Times New Roman" w:eastAsia="宋体" w:cs="Arial"/>
                <w:b w:val="0"/>
                <w:color w:val="auto"/>
                <w:kern w:val="2"/>
                <w:sz w:val="22"/>
                <w:szCs w:val="22"/>
                <w:highlight w:val="none"/>
              </w:rPr>
              <w:t>元的招标代理服务费。由中标单位领取中标通知书时直接提交给招标代理单位。该费用投标单位在报价中考虑</w:t>
            </w:r>
            <w:r>
              <w:rPr>
                <w:rFonts w:hint="eastAsia" w:ascii="宋体" w:hAnsi="宋体" w:cs="宋体"/>
                <w:color w:val="auto"/>
                <w:sz w:val="22"/>
                <w:szCs w:val="22"/>
                <w:highlight w:val="none"/>
                <w:lang w:val="zh-CN"/>
              </w:rPr>
              <w:t>；</w:t>
            </w:r>
          </w:p>
        </w:tc>
      </w:tr>
    </w:tbl>
    <w:p>
      <w:pPr>
        <w:rPr>
          <w:rFonts w:ascii="宋体" w:hAnsi="宋体" w:cs="宋体"/>
          <w:color w:val="auto"/>
          <w:highlight w:val="none"/>
        </w:rPr>
      </w:pPr>
    </w:p>
    <w:p>
      <w:pPr>
        <w:pStyle w:val="3"/>
        <w:ind w:firstLine="210"/>
        <w:rPr>
          <w:rFonts w:ascii="宋体" w:hAnsi="宋体" w:cs="宋体"/>
          <w:color w:val="auto"/>
          <w:highlight w:val="none"/>
        </w:rPr>
      </w:pPr>
    </w:p>
    <w:p>
      <w:pPr>
        <w:pStyle w:val="3"/>
        <w:ind w:firstLine="210"/>
        <w:rPr>
          <w:rFonts w:ascii="宋体" w:hAnsi="宋体" w:cs="宋体"/>
          <w:color w:val="auto"/>
          <w:highlight w:val="none"/>
        </w:rPr>
      </w:pPr>
    </w:p>
    <w:p>
      <w:pPr>
        <w:widowControl/>
        <w:jc w:val="left"/>
        <w:rPr>
          <w:color w:val="auto"/>
          <w:highlight w:val="none"/>
        </w:rPr>
        <w:sectPr>
          <w:footerReference r:id="rId9" w:type="default"/>
          <w:pgSz w:w="11906" w:h="16838"/>
          <w:pgMar w:top="1134" w:right="1134" w:bottom="1134" w:left="1134" w:header="851" w:footer="850" w:gutter="0"/>
          <w:pgNumType w:start="1"/>
          <w:cols w:space="720" w:num="1"/>
          <w:titlePg/>
          <w:docGrid w:type="lines" w:linePitch="312" w:charSpace="0"/>
        </w:sectPr>
      </w:pPr>
      <w:bookmarkStart w:id="12" w:name="_Toc498343165"/>
      <w:bookmarkStart w:id="13" w:name="_Toc461563840"/>
    </w:p>
    <w:p>
      <w:pPr>
        <w:pStyle w:val="25"/>
        <w:rPr>
          <w:rFonts w:ascii="宋体" w:hAnsi="宋体" w:cs="宋体"/>
          <w:color w:val="auto"/>
          <w:sz w:val="30"/>
          <w:szCs w:val="30"/>
          <w:highlight w:val="none"/>
        </w:rPr>
      </w:pPr>
      <w:bookmarkStart w:id="14" w:name="_Toc73091434"/>
      <w:r>
        <w:rPr>
          <w:rFonts w:hint="eastAsia" w:ascii="宋体" w:hAnsi="宋体" w:cs="宋体"/>
          <w:color w:val="auto"/>
          <w:sz w:val="30"/>
          <w:szCs w:val="30"/>
          <w:highlight w:val="none"/>
        </w:rPr>
        <w:t xml:space="preserve">第二部份 </w:t>
      </w:r>
      <w:bookmarkEnd w:id="12"/>
      <w:bookmarkEnd w:id="13"/>
      <w:bookmarkEnd w:id="14"/>
      <w:r>
        <w:rPr>
          <w:rFonts w:hint="eastAsia" w:ascii="宋体" w:hAnsi="宋体" w:cs="宋体"/>
          <w:color w:val="auto"/>
          <w:sz w:val="30"/>
          <w:szCs w:val="30"/>
          <w:highlight w:val="none"/>
        </w:rPr>
        <w:t>采购内容及要求</w:t>
      </w:r>
    </w:p>
    <w:p>
      <w:pPr>
        <w:spacing w:line="360" w:lineRule="auto"/>
        <w:ind w:left="663" w:hanging="663" w:hangingChars="300"/>
        <w:rPr>
          <w:rFonts w:ascii="宋体" w:hAnsi="宋体" w:cs="宋体"/>
          <w:b/>
          <w:bCs/>
          <w:color w:val="auto"/>
          <w:sz w:val="22"/>
          <w:szCs w:val="22"/>
          <w:highlight w:val="none"/>
        </w:rPr>
      </w:pPr>
      <w:bookmarkStart w:id="15" w:name="_Toc461563851"/>
      <w:bookmarkStart w:id="16" w:name="_Toc498343168"/>
    </w:p>
    <w:p>
      <w:pPr>
        <w:numPr>
          <w:ilvl w:val="0"/>
          <w:numId w:val="3"/>
        </w:numPr>
        <w:spacing w:before="120" w:beforeLines="50" w:after="120" w:afterLines="50" w:line="360" w:lineRule="exact"/>
        <w:jc w:val="center"/>
        <w:outlineLvl w:val="1"/>
        <w:rPr>
          <w:rFonts w:ascii="宋体" w:hAnsi="宋体"/>
          <w:b/>
          <w:bCs/>
          <w:color w:val="auto"/>
          <w:sz w:val="24"/>
          <w:szCs w:val="24"/>
          <w:highlight w:val="none"/>
        </w:rPr>
      </w:pPr>
      <w:bookmarkStart w:id="17" w:name="_Toc23745"/>
      <w:r>
        <w:rPr>
          <w:rFonts w:hint="eastAsia" w:ascii="宋体" w:hAnsi="宋体"/>
          <w:b/>
          <w:bCs/>
          <w:color w:val="auto"/>
          <w:sz w:val="24"/>
          <w:szCs w:val="24"/>
          <w:highlight w:val="none"/>
        </w:rPr>
        <w:t>概述</w:t>
      </w:r>
      <w:bookmarkEnd w:id="17"/>
    </w:p>
    <w:p>
      <w:pPr>
        <w:widowControl/>
        <w:numPr>
          <w:ilvl w:val="0"/>
          <w:numId w:val="4"/>
        </w:numPr>
        <w:snapToGrid w:val="0"/>
        <w:spacing w:line="360" w:lineRule="auto"/>
        <w:ind w:left="0" w:firstLine="0"/>
        <w:rPr>
          <w:rFonts w:ascii="宋体" w:hAnsi="宋体"/>
          <w:color w:val="auto"/>
          <w:highlight w:val="none"/>
        </w:rPr>
      </w:pPr>
      <w:r>
        <w:rPr>
          <w:rFonts w:hint="eastAsia" w:ascii="宋体" w:hAnsi="宋体"/>
          <w:color w:val="auto"/>
          <w:highlight w:val="none"/>
        </w:rPr>
        <w:t>投标供应商必须完成招标内容和合同规定义务，不允许只对部分内容进行报价。</w:t>
      </w:r>
    </w:p>
    <w:p>
      <w:pPr>
        <w:widowControl/>
        <w:numPr>
          <w:ilvl w:val="0"/>
          <w:numId w:val="4"/>
        </w:numPr>
        <w:snapToGrid w:val="0"/>
        <w:spacing w:line="360" w:lineRule="auto"/>
        <w:ind w:left="0" w:firstLine="0"/>
        <w:rPr>
          <w:rFonts w:ascii="宋体" w:hAnsi="宋体"/>
          <w:color w:val="auto"/>
          <w:highlight w:val="none"/>
        </w:rPr>
      </w:pPr>
      <w:r>
        <w:rPr>
          <w:rFonts w:hint="eastAsia" w:ascii="宋体" w:hAnsi="宋体"/>
          <w:color w:val="auto"/>
          <w:highlight w:val="none"/>
        </w:rPr>
        <w:t>现场踏勘：各投标供应商于投标截止时间前自行到现场进行踏勘，以获取本次投标所需的现场资料及数据，投标供应商若未到现场踏勘，引起的一切后果均由其自行负责，由此造成投标价的偏差均不予调整。现场踏勘费用自理。</w:t>
      </w:r>
    </w:p>
    <w:p>
      <w:pPr>
        <w:widowControl/>
        <w:numPr>
          <w:ilvl w:val="0"/>
          <w:numId w:val="4"/>
        </w:numPr>
        <w:snapToGrid w:val="0"/>
        <w:spacing w:line="360" w:lineRule="auto"/>
        <w:ind w:left="0" w:firstLine="0"/>
        <w:rPr>
          <w:rFonts w:ascii="宋体" w:hAnsi="宋体"/>
          <w:color w:val="auto"/>
          <w:highlight w:val="none"/>
        </w:rPr>
      </w:pPr>
      <w:r>
        <w:rPr>
          <w:rFonts w:hint="eastAsia" w:ascii="宋体" w:hAnsi="宋体"/>
          <w:color w:val="auto"/>
          <w:highlight w:val="none"/>
        </w:rPr>
        <w:t>投标供应商需按采购文件的要求完成采购工作。按工作顺序提交所需的无论其是否被明细列在合同文件中的所有资料，提供的服务必须满足采购文件中提出的相关要求。</w:t>
      </w:r>
    </w:p>
    <w:p>
      <w:pPr>
        <w:widowControl/>
        <w:numPr>
          <w:ilvl w:val="0"/>
          <w:numId w:val="4"/>
        </w:numPr>
        <w:snapToGrid w:val="0"/>
        <w:spacing w:line="360" w:lineRule="auto"/>
        <w:ind w:left="0" w:firstLine="0"/>
        <w:rPr>
          <w:rFonts w:ascii="宋体" w:hAnsi="宋体"/>
          <w:color w:val="auto"/>
          <w:highlight w:val="none"/>
        </w:rPr>
      </w:pPr>
      <w:r>
        <w:rPr>
          <w:rFonts w:hint="eastAsia" w:ascii="宋体" w:hAnsi="宋体"/>
          <w:color w:val="auto"/>
          <w:highlight w:val="none"/>
        </w:rPr>
        <w:t>在投标之前，投标供应商须仔细阅读采购文件，如发现有任何疑问、冲突或技术问题，投标供应商在答疑截止时间前以书面形式向采购代理机构提出。逾期采购人不再作答复，有关风险及责任由投标供应商自行承担。</w:t>
      </w:r>
    </w:p>
    <w:p>
      <w:pPr>
        <w:widowControl/>
        <w:numPr>
          <w:ilvl w:val="0"/>
          <w:numId w:val="4"/>
        </w:numPr>
        <w:snapToGrid w:val="0"/>
        <w:spacing w:line="360" w:lineRule="auto"/>
        <w:ind w:left="0" w:firstLine="0"/>
        <w:rPr>
          <w:rFonts w:ascii="宋体" w:hAnsi="宋体"/>
          <w:color w:val="auto"/>
          <w:highlight w:val="none"/>
        </w:rPr>
      </w:pPr>
      <w:r>
        <w:rPr>
          <w:rFonts w:hint="eastAsia" w:ascii="宋体" w:hAnsi="宋体"/>
          <w:color w:val="auto"/>
          <w:highlight w:val="none"/>
        </w:rPr>
        <w:t>本项目优先采购本国货物和服务，必须进行的技术引进和转让需符合国家政策和有利于国内行业的发展。项目中涉及到的设备、材料属于政府采购节能产品、环境标志产品的，要求符合相关规定。</w:t>
      </w:r>
    </w:p>
    <w:p>
      <w:pPr>
        <w:numPr>
          <w:ilvl w:val="0"/>
          <w:numId w:val="3"/>
        </w:numPr>
        <w:spacing w:before="120" w:beforeLines="50" w:after="120" w:afterLines="50" w:line="360" w:lineRule="exact"/>
        <w:jc w:val="center"/>
        <w:outlineLvl w:val="1"/>
        <w:rPr>
          <w:rFonts w:ascii="宋体" w:hAnsi="宋体"/>
          <w:b/>
          <w:bCs/>
          <w:color w:val="auto"/>
          <w:sz w:val="24"/>
          <w:szCs w:val="24"/>
          <w:highlight w:val="none"/>
        </w:rPr>
      </w:pPr>
      <w:bookmarkStart w:id="18" w:name="_Toc30272"/>
      <w:r>
        <w:rPr>
          <w:rFonts w:hint="eastAsia" w:ascii="宋体" w:hAnsi="宋体"/>
          <w:b/>
          <w:bCs/>
          <w:color w:val="auto"/>
          <w:sz w:val="24"/>
          <w:szCs w:val="24"/>
          <w:highlight w:val="none"/>
        </w:rPr>
        <w:t>采购内容及标准</w:t>
      </w:r>
      <w:bookmarkEnd w:id="18"/>
    </w:p>
    <w:p>
      <w:pPr>
        <w:numPr>
          <w:ilvl w:val="0"/>
          <w:numId w:val="5"/>
        </w:numPr>
        <w:spacing w:line="360" w:lineRule="auto"/>
        <w:rPr>
          <w:rFonts w:ascii="Arial" w:hAnsi="Arial" w:cs="Arial"/>
          <w:color w:val="auto"/>
          <w:highlight w:val="none"/>
        </w:rPr>
      </w:pPr>
      <w:r>
        <w:rPr>
          <w:rFonts w:ascii="Arial" w:hAnsi="宋体" w:cs="Arial"/>
          <w:color w:val="auto"/>
          <w:highlight w:val="none"/>
        </w:rPr>
        <w:t>采购内容：</w:t>
      </w:r>
    </w:p>
    <w:p>
      <w:pPr>
        <w:numPr>
          <w:ilvl w:val="1"/>
          <w:numId w:val="5"/>
        </w:numPr>
        <w:spacing w:line="360" w:lineRule="auto"/>
        <w:rPr>
          <w:rFonts w:ascii="Arial" w:hAnsi="Arial" w:cs="Arial"/>
          <w:color w:val="auto"/>
          <w:highlight w:val="none"/>
        </w:rPr>
      </w:pPr>
      <w:r>
        <w:rPr>
          <w:rFonts w:ascii="Arial" w:hAnsi="宋体" w:cs="Arial"/>
          <w:color w:val="auto"/>
          <w:highlight w:val="none"/>
        </w:rPr>
        <w:t>本次采购内容为</w:t>
      </w:r>
      <w:r>
        <w:rPr>
          <w:rFonts w:hint="eastAsia" w:ascii="Arial" w:hAnsi="宋体" w:cs="Arial"/>
          <w:color w:val="auto"/>
          <w:highlight w:val="none"/>
          <w:lang w:eastAsia="zh-CN"/>
        </w:rPr>
        <w:t>永嘉县政法一体化执法办案管理中心信息智能化系统（第二次）</w:t>
      </w:r>
      <w:r>
        <w:rPr>
          <w:rFonts w:ascii="Arial" w:hAnsi="宋体" w:cs="Arial"/>
          <w:color w:val="auto"/>
          <w:highlight w:val="none"/>
        </w:rPr>
        <w:t>，</w:t>
      </w:r>
      <w:r>
        <w:rPr>
          <w:rFonts w:hint="eastAsia" w:ascii="Arial" w:hAnsi="Arial" w:cs="Arial"/>
          <w:color w:val="auto"/>
          <w:highlight w:val="none"/>
        </w:rPr>
        <w:t>包括产品的供货、运输、调试和售后服务等。</w:t>
      </w:r>
    </w:p>
    <w:p>
      <w:pPr>
        <w:pStyle w:val="3"/>
        <w:ind w:firstLine="210"/>
        <w:rPr>
          <w:color w:val="auto"/>
          <w:highlight w:val="none"/>
        </w:rPr>
      </w:pPr>
      <w:r>
        <w:rPr>
          <w:rFonts w:hint="eastAsia" w:ascii="Arial" w:hAnsi="Arial" w:cs="Arial"/>
          <w:color w:val="auto"/>
          <w:highlight w:val="none"/>
        </w:rPr>
        <w:t>1.2     本次采购系统接口需能够实现与浙江省公安厅数据无缝对接。</w:t>
      </w:r>
    </w:p>
    <w:p>
      <w:pPr>
        <w:numPr>
          <w:ilvl w:val="0"/>
          <w:numId w:val="5"/>
        </w:numPr>
        <w:spacing w:line="360" w:lineRule="auto"/>
        <w:rPr>
          <w:rFonts w:ascii="宋体" w:hAnsi="宋体"/>
          <w:b/>
          <w:bCs/>
          <w:color w:val="auto"/>
          <w:highlight w:val="none"/>
        </w:rPr>
      </w:pPr>
      <w:r>
        <w:rPr>
          <w:rFonts w:hint="eastAsia" w:ascii="宋体" w:hAnsi="宋体"/>
          <w:b/>
          <w:bCs/>
          <w:color w:val="auto"/>
          <w:highlight w:val="none"/>
        </w:rPr>
        <w:t>采购清单：</w:t>
      </w:r>
    </w:p>
    <w:p>
      <w:pPr>
        <w:numPr>
          <w:ilvl w:val="1"/>
          <w:numId w:val="5"/>
        </w:numPr>
        <w:spacing w:line="360" w:lineRule="auto"/>
        <w:rPr>
          <w:rFonts w:ascii="Arial" w:hAnsi="宋体" w:cs="Arial"/>
          <w:color w:val="auto"/>
          <w:highlight w:val="none"/>
        </w:rPr>
      </w:pPr>
      <w:r>
        <w:rPr>
          <w:rFonts w:hint="eastAsia" w:ascii="Arial" w:hAnsi="宋体" w:cs="Arial"/>
          <w:color w:val="auto"/>
          <w:highlight w:val="none"/>
        </w:rPr>
        <w:t>目录清单</w:t>
      </w:r>
    </w:p>
    <w:tbl>
      <w:tblPr>
        <w:tblStyle w:val="27"/>
        <w:tblW w:w="120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50"/>
        <w:gridCol w:w="39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8150" w:type="dxa"/>
            <w:shd w:val="clear" w:color="000000" w:fill="D9D9D9"/>
            <w:vAlign w:val="center"/>
          </w:tcPr>
          <w:p>
            <w:pPr>
              <w:widowControl/>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名称</w:t>
            </w:r>
          </w:p>
        </w:tc>
        <w:tc>
          <w:tcPr>
            <w:tcW w:w="3909" w:type="dxa"/>
            <w:shd w:val="clear" w:color="000000" w:fill="D9D9D9"/>
          </w:tcPr>
          <w:p>
            <w:pPr>
              <w:widowControl/>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8150" w:type="dxa"/>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1、执法办案管理系统</w:t>
            </w:r>
          </w:p>
        </w:tc>
        <w:tc>
          <w:tcPr>
            <w:tcW w:w="3909" w:type="dxa"/>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150" w:type="dxa"/>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2、综合布线系统</w:t>
            </w:r>
          </w:p>
        </w:tc>
        <w:tc>
          <w:tcPr>
            <w:tcW w:w="3909" w:type="dxa"/>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8150" w:type="dxa"/>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3、计算机网络系统</w:t>
            </w:r>
          </w:p>
        </w:tc>
        <w:tc>
          <w:tcPr>
            <w:tcW w:w="3909" w:type="dxa"/>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8150" w:type="dxa"/>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4、视频监控系统</w:t>
            </w:r>
          </w:p>
        </w:tc>
        <w:tc>
          <w:tcPr>
            <w:tcW w:w="3909" w:type="dxa"/>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150" w:type="dxa"/>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5、门禁系统</w:t>
            </w:r>
          </w:p>
        </w:tc>
        <w:tc>
          <w:tcPr>
            <w:tcW w:w="3909" w:type="dxa"/>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150" w:type="dxa"/>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6、广播系统</w:t>
            </w:r>
          </w:p>
        </w:tc>
        <w:tc>
          <w:tcPr>
            <w:tcW w:w="3909" w:type="dxa"/>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150" w:type="dxa"/>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7、报警系统</w:t>
            </w:r>
          </w:p>
        </w:tc>
        <w:tc>
          <w:tcPr>
            <w:tcW w:w="3909" w:type="dxa"/>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8150" w:type="dxa"/>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8、全息管理中心兼审讯指挥室</w:t>
            </w:r>
          </w:p>
        </w:tc>
        <w:tc>
          <w:tcPr>
            <w:tcW w:w="3909" w:type="dxa"/>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8150" w:type="dxa"/>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9、会议系统</w:t>
            </w:r>
          </w:p>
        </w:tc>
        <w:tc>
          <w:tcPr>
            <w:tcW w:w="3909" w:type="dxa"/>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8150" w:type="dxa"/>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10、道闸系统</w:t>
            </w:r>
          </w:p>
        </w:tc>
        <w:tc>
          <w:tcPr>
            <w:tcW w:w="3909" w:type="dxa"/>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8150" w:type="dxa"/>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11、模块化机房系统</w:t>
            </w:r>
          </w:p>
        </w:tc>
        <w:tc>
          <w:tcPr>
            <w:tcW w:w="3909" w:type="dxa"/>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150" w:type="dxa"/>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12、刑事技术信息化</w:t>
            </w:r>
          </w:p>
        </w:tc>
        <w:tc>
          <w:tcPr>
            <w:tcW w:w="3909" w:type="dxa"/>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1批</w:t>
            </w:r>
          </w:p>
        </w:tc>
      </w:tr>
    </w:tbl>
    <w:p>
      <w:pPr>
        <w:pStyle w:val="5"/>
        <w:spacing w:line="240" w:lineRule="auto"/>
        <w:jc w:val="left"/>
        <w:rPr>
          <w:color w:val="auto"/>
          <w:sz w:val="20"/>
          <w:szCs w:val="20"/>
          <w:highlight w:val="none"/>
        </w:rPr>
      </w:pPr>
      <w:bookmarkStart w:id="19" w:name="_Toc90043575"/>
      <w:r>
        <w:rPr>
          <w:color w:val="auto"/>
          <w:sz w:val="20"/>
          <w:szCs w:val="20"/>
          <w:highlight w:val="none"/>
        </w:rPr>
        <w:t>1</w:t>
      </w:r>
      <w:r>
        <w:rPr>
          <w:rFonts w:hint="eastAsia"/>
          <w:color w:val="auto"/>
          <w:sz w:val="20"/>
          <w:szCs w:val="20"/>
          <w:highlight w:val="none"/>
        </w:rPr>
        <w:t>、执法办案管理系统</w:t>
      </w:r>
      <w:bookmarkEnd w:id="19"/>
    </w:p>
    <w:tbl>
      <w:tblPr>
        <w:tblStyle w:val="27"/>
        <w:tblW w:w="13377" w:type="dxa"/>
        <w:jc w:val="center"/>
        <w:tblLayout w:type="fixed"/>
        <w:tblCellMar>
          <w:top w:w="0" w:type="dxa"/>
          <w:left w:w="108" w:type="dxa"/>
          <w:bottom w:w="0" w:type="dxa"/>
          <w:right w:w="108" w:type="dxa"/>
        </w:tblCellMar>
      </w:tblPr>
      <w:tblGrid>
        <w:gridCol w:w="806"/>
        <w:gridCol w:w="928"/>
        <w:gridCol w:w="928"/>
        <w:gridCol w:w="1245"/>
        <w:gridCol w:w="7938"/>
        <w:gridCol w:w="948"/>
        <w:gridCol w:w="584"/>
      </w:tblGrid>
      <w:tr>
        <w:tblPrEx>
          <w:tblCellMar>
            <w:top w:w="0" w:type="dxa"/>
            <w:left w:w="108" w:type="dxa"/>
            <w:bottom w:w="0" w:type="dxa"/>
            <w:right w:w="108" w:type="dxa"/>
          </w:tblCellMar>
        </w:tblPrEx>
        <w:trPr>
          <w:trHeight w:val="499" w:hRule="atLeast"/>
          <w:tblHeader/>
          <w:jc w:val="center"/>
        </w:trPr>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rPr>
              <w:t>序号</w:t>
            </w:r>
          </w:p>
        </w:tc>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rPr>
              <w:t>设备名称</w:t>
            </w:r>
          </w:p>
        </w:tc>
        <w:tc>
          <w:tcPr>
            <w:tcW w:w="9183" w:type="dxa"/>
            <w:gridSpan w:val="2"/>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rPr>
              <w:t>产品描述</w:t>
            </w:r>
          </w:p>
        </w:tc>
        <w:tc>
          <w:tcPr>
            <w:tcW w:w="94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rPr>
              <w:t>数量</w:t>
            </w:r>
          </w:p>
        </w:tc>
        <w:tc>
          <w:tcPr>
            <w:tcW w:w="584"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rPr>
              <w:t>单位</w:t>
            </w:r>
          </w:p>
        </w:tc>
      </w:tr>
      <w:tr>
        <w:tblPrEx>
          <w:tblCellMar>
            <w:top w:w="0" w:type="dxa"/>
            <w:left w:w="108" w:type="dxa"/>
            <w:bottom w:w="0" w:type="dxa"/>
            <w:right w:w="108" w:type="dxa"/>
          </w:tblCellMar>
        </w:tblPrEx>
        <w:trPr>
          <w:trHeight w:val="499" w:hRule="atLeast"/>
          <w:tblHeader/>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highlight w:val="none"/>
              </w:rPr>
            </w:pPr>
          </w:p>
        </w:tc>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highlight w:val="none"/>
              </w:rPr>
            </w:pPr>
          </w:p>
        </w:tc>
        <w:tc>
          <w:tcPr>
            <w:tcW w:w="9183" w:type="dxa"/>
            <w:gridSpan w:val="2"/>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b/>
                <w:bCs/>
                <w:color w:val="auto"/>
                <w:highlight w:val="none"/>
              </w:rPr>
            </w:pPr>
          </w:p>
        </w:tc>
        <w:tc>
          <w:tcPr>
            <w:tcW w:w="94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highlight w:val="none"/>
              </w:rPr>
            </w:pPr>
          </w:p>
        </w:tc>
        <w:tc>
          <w:tcPr>
            <w:tcW w:w="584"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hAnsi="宋体" w:cs="宋体"/>
                <w:b/>
                <w:bCs/>
                <w:color w:val="auto"/>
                <w:highlight w:val="none"/>
              </w:rPr>
            </w:pPr>
          </w:p>
        </w:tc>
      </w:tr>
      <w:tr>
        <w:tblPrEx>
          <w:tblCellMar>
            <w:top w:w="0" w:type="dxa"/>
            <w:left w:w="108" w:type="dxa"/>
            <w:bottom w:w="0" w:type="dxa"/>
            <w:right w:w="108" w:type="dxa"/>
          </w:tblCellMar>
        </w:tblPrEx>
        <w:trPr>
          <w:trHeight w:val="243"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highlight w:val="none"/>
              </w:rPr>
            </w:pPr>
            <w:r>
              <w:rPr>
                <w:rFonts w:hint="eastAsia" w:ascii="宋体" w:hAnsi="宋体" w:cs="宋体"/>
                <w:b/>
                <w:bCs/>
                <w:color w:val="auto"/>
                <w:kern w:val="0"/>
                <w:highlight w:val="none"/>
              </w:rPr>
              <w:t>（一）、入区登记</w:t>
            </w:r>
          </w:p>
        </w:tc>
      </w:tr>
      <w:tr>
        <w:tblPrEx>
          <w:tblCellMar>
            <w:top w:w="0" w:type="dxa"/>
            <w:left w:w="108" w:type="dxa"/>
            <w:bottom w:w="0" w:type="dxa"/>
            <w:right w:w="108" w:type="dxa"/>
          </w:tblCellMar>
        </w:tblPrEx>
        <w:trPr>
          <w:trHeight w:val="2612" w:hRule="atLeast"/>
          <w:jc w:val="center"/>
        </w:trPr>
        <w:tc>
          <w:tcPr>
            <w:tcW w:w="80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1856" w:type="dxa"/>
            <w:gridSpan w:val="2"/>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智能核验终端</w:t>
            </w:r>
          </w:p>
        </w:tc>
        <w:tc>
          <w:tcPr>
            <w:tcW w:w="9183" w:type="dxa"/>
            <w:gridSpan w:val="2"/>
            <w:tcBorders>
              <w:top w:val="nil"/>
              <w:left w:val="single" w:color="000000" w:sz="4" w:space="0"/>
              <w:bottom w:val="nil"/>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1、基于Android平台，系统内存不低于2GB DDR3</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2、触控屏尺寸不低于10.1寸，分辨率不低于1280x800</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3、内置摄像机不低于300万像素</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4、支持拍摄人脸照片并进行人证比对，应能通过智能语音提示指导验证过程，保证人证一致比对的准确性，</w:t>
            </w:r>
            <w:r>
              <w:rPr>
                <w:rFonts w:hint="eastAsia" w:ascii="宋体" w:hAnsi="宋体" w:cs="宋体"/>
                <w:b/>
                <w:bCs/>
                <w:color w:val="auto"/>
                <w:kern w:val="0"/>
                <w:sz w:val="18"/>
                <w:szCs w:val="18"/>
                <w:highlight w:val="none"/>
              </w:rPr>
              <w:t>由业主单位负责申请全国常住人口库、全国在逃人员库、全国涉毒库、温州常口系统、温州流口系统等公安业务系统的人像库数据比对接口，投标人需承诺在人像库数据比对接口满足对接条件时，对接以上人像库数据，利用智能核验终端抓拍的人像图片，经过公安业务系统的人像库比对、校正，快速确认嫌疑人身份，比对出的嫌疑人数据可以复制粘贴在警综平台上或者其它公安内网平台。</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5、支持人脸识别功能，支持智能逆光补偿，增强人脸轮廓边缘，通过程序自动化采集人脸照片，</w:t>
            </w:r>
            <w:r>
              <w:rPr>
                <w:rFonts w:hint="eastAsia" w:ascii="宋体" w:hAnsi="宋体" w:cs="宋体"/>
                <w:b/>
                <w:bCs/>
                <w:color w:val="auto"/>
                <w:kern w:val="0"/>
                <w:sz w:val="18"/>
                <w:szCs w:val="18"/>
                <w:highlight w:val="none"/>
              </w:rPr>
              <w:t>对出入区人员人脸比对</w:t>
            </w:r>
            <w:r>
              <w:rPr>
                <w:rFonts w:hint="eastAsia" w:ascii="宋体" w:hAnsi="宋体" w:cs="宋体"/>
                <w:b/>
                <w:bCs/>
                <w:color w:val="auto"/>
                <w:kern w:val="0"/>
                <w:sz w:val="18"/>
                <w:szCs w:val="18"/>
                <w:highlight w:val="none"/>
                <w:lang w:eastAsia="zh-CN"/>
              </w:rPr>
              <w:t>，</w:t>
            </w:r>
            <w:r>
              <w:rPr>
                <w:rFonts w:ascii="宋体" w:hAnsi="宋体" w:cs="宋体"/>
                <w:b/>
                <w:bCs/>
                <w:color w:val="auto"/>
                <w:kern w:val="0"/>
                <w:sz w:val="18"/>
                <w:szCs w:val="18"/>
                <w:highlight w:val="none"/>
              </w:rPr>
              <w:t>保障入区出区为同一</w:t>
            </w:r>
            <w:r>
              <w:rPr>
                <w:rFonts w:hint="eastAsia" w:ascii="宋体" w:hAnsi="宋体" w:cs="宋体"/>
                <w:b/>
                <w:bCs/>
                <w:color w:val="auto"/>
                <w:kern w:val="0"/>
                <w:sz w:val="18"/>
                <w:szCs w:val="18"/>
                <w:highlight w:val="none"/>
              </w:rPr>
              <w:t>嫌疑</w:t>
            </w:r>
            <w:r>
              <w:rPr>
                <w:rFonts w:ascii="宋体" w:hAnsi="宋体" w:cs="宋体"/>
                <w:b/>
                <w:bCs/>
                <w:color w:val="auto"/>
                <w:kern w:val="0"/>
                <w:sz w:val="18"/>
                <w:szCs w:val="18"/>
                <w:highlight w:val="none"/>
              </w:rPr>
              <w:t>人</w:t>
            </w:r>
            <w:r>
              <w:rPr>
                <w:rFonts w:hint="eastAsia" w:ascii="宋体" w:hAnsi="宋体" w:cs="宋体"/>
                <w:b/>
                <w:bCs/>
                <w:color w:val="auto"/>
                <w:kern w:val="0"/>
                <w:sz w:val="18"/>
                <w:szCs w:val="18"/>
                <w:highlight w:val="none"/>
              </w:rPr>
              <w:t>，实现自动出入所。</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6、内置公安部最新推出居民身份证阅读器，自动读取居民身份证芯片中的文字、人脸等特征信息</w:t>
            </w:r>
            <w:r>
              <w:rPr>
                <w:rFonts w:hint="eastAsia" w:ascii="宋体" w:hAnsi="宋体" w:cs="宋体"/>
                <w:color w:val="auto"/>
                <w:sz w:val="18"/>
                <w:szCs w:val="18"/>
                <w:highlight w:val="none"/>
              </w:rPr>
              <w:t>。</w:t>
            </w:r>
          </w:p>
        </w:tc>
        <w:tc>
          <w:tcPr>
            <w:tcW w:w="948"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509" w:hRule="atLeast"/>
          <w:jc w:val="center"/>
        </w:trPr>
        <w:tc>
          <w:tcPr>
            <w:tcW w:w="806"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打印机</w:t>
            </w:r>
          </w:p>
        </w:tc>
        <w:tc>
          <w:tcPr>
            <w:tcW w:w="9183" w:type="dxa"/>
            <w:gridSpan w:val="2"/>
            <w:tcBorders>
              <w:top w:val="single" w:color="000000" w:sz="4" w:space="0"/>
              <w:left w:val="single" w:color="000000" w:sz="4" w:space="0"/>
              <w:bottom w:val="single" w:color="auto"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激光多功能打印复印一体机</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089" w:hRule="atLeast"/>
          <w:jc w:val="center"/>
        </w:trPr>
        <w:tc>
          <w:tcPr>
            <w:tcW w:w="806"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指纹签章一体机</w:t>
            </w:r>
          </w:p>
        </w:tc>
        <w:tc>
          <w:tcPr>
            <w:tcW w:w="9183"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1、应具备指纹采集、电子签名功能，并实现电子签章、电子指纹采集过程同步录影录像，实现证据链的不间断和可追溯性</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2、显示屏不小于10.1寸，分辨率不低于1280x800，无故障点击次数不低于100万次</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3、标配人像鱼眼摄像机，并支持畸变矫正功能、3D降噪、颜色矫正、亮度矫正等功能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4、指纹仪认假率&lt;0.0001%</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5、内置安卓系统，支持原笔迹签名、信息交互、人像拍照、录音录像等应用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6、应内置国密芯片，能对整机的用户静态数据进行加密处理，保障用户的静态数据安全</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7、传输数据应采用加密+签名的手段，保证数据传输过程的保密性和防篡改，保障数据传输安全</w:t>
            </w:r>
          </w:p>
        </w:tc>
        <w:tc>
          <w:tcPr>
            <w:tcW w:w="94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651" w:hRule="atLeast"/>
          <w:jc w:val="center"/>
        </w:trPr>
        <w:tc>
          <w:tcPr>
            <w:tcW w:w="80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登记终端</w:t>
            </w:r>
          </w:p>
        </w:tc>
        <w:tc>
          <w:tcPr>
            <w:tcW w:w="9183" w:type="dxa"/>
            <w:gridSpan w:val="2"/>
            <w:tcBorders>
              <w:top w:val="single" w:color="auto"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i5 10505、8g内存、m2 </w:t>
            </w:r>
            <w:r>
              <w:rPr>
                <w:rFonts w:hint="eastAsia" w:ascii="宋体" w:hAnsi="宋体" w:cs="宋体"/>
                <w:color w:val="auto"/>
                <w:kern w:val="0"/>
                <w:sz w:val="18"/>
                <w:szCs w:val="18"/>
                <w:highlight w:val="none"/>
                <w:lang w:eastAsia="zh-CN"/>
              </w:rPr>
              <w:t>256Ｇssd</w:t>
            </w:r>
            <w:r>
              <w:rPr>
                <w:rFonts w:hint="eastAsia" w:ascii="宋体" w:hAnsi="宋体" w:cs="宋体"/>
                <w:color w:val="auto"/>
                <w:kern w:val="0"/>
                <w:sz w:val="18"/>
                <w:szCs w:val="18"/>
                <w:highlight w:val="none"/>
              </w:rPr>
              <w:t xml:space="preserve">  、Intel B460主板 pcl插槽、千兆网卡、260w电源、21. 5寸液晶</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844" w:hRule="atLeast"/>
          <w:jc w:val="center"/>
        </w:trPr>
        <w:tc>
          <w:tcPr>
            <w:tcW w:w="80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人体结构化建模摄像机</w:t>
            </w:r>
          </w:p>
        </w:tc>
        <w:tc>
          <w:tcPr>
            <w:tcW w:w="9183" w:type="dxa"/>
            <w:gridSpan w:val="2"/>
            <w:tcBorders>
              <w:top w:val="single" w:color="000000" w:sz="4" w:space="0"/>
              <w:left w:val="single" w:color="000000" w:sz="4" w:space="0"/>
              <w:bottom w:val="nil"/>
              <w:right w:val="single" w:color="000000" w:sz="4" w:space="0"/>
            </w:tcBorders>
            <w:shd w:val="clear" w:color="auto" w:fill="FFFFFF"/>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1、1/2.7英寸500万像素CMOS传感器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2、2.8～12mm高清电动变焦，支持一键聚焦</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3、支持三码流同时输出，主码流最高分辨率5MP(2592x1944)@25fps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4、支持人脸抓拍，单画面最多同时抓拍32张人脸数</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5、人脸抓拍率不低于97%</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6、支持不少于14颗红外灯，4颗暖光灯，红外补光距离不低于30米，白光补光距离不低于10米，支持补光变倍匹配功能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7、接口不少于：音频输入/输出各一个、内置MIC、扬声器、报警输入2个，报警输出1个，支持前端TF卡存储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8、支持宽动态、背光补偿、强光抑制、3D降噪和图像翻转功能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9、防护等级不低于：外壳防尘防水IP66，防暴等级IK10、4级防雷、防浪涌、2KV</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10、支持POE、DC12V供电</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95"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（二）、人身检查</w:t>
            </w:r>
          </w:p>
        </w:tc>
      </w:tr>
      <w:tr>
        <w:tblPrEx>
          <w:tblCellMar>
            <w:top w:w="0" w:type="dxa"/>
            <w:left w:w="108" w:type="dxa"/>
            <w:bottom w:w="0" w:type="dxa"/>
            <w:right w:w="108" w:type="dxa"/>
          </w:tblCellMar>
        </w:tblPrEx>
        <w:trPr>
          <w:trHeight w:val="2867" w:hRule="atLeast"/>
          <w:jc w:val="center"/>
        </w:trPr>
        <w:tc>
          <w:tcPr>
            <w:tcW w:w="80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1856" w:type="dxa"/>
            <w:gridSpan w:val="2"/>
            <w:tcBorders>
              <w:top w:val="nil"/>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伤疤抓拍摄像机</w:t>
            </w:r>
          </w:p>
        </w:tc>
        <w:tc>
          <w:tcPr>
            <w:tcW w:w="9183"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1、1/3英寸200万像素CMOS；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2、33倍光学变焦，16倍数字变倍；</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3、支持网络视频、BNC同步输出；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4、支持H.265、H.264（HP/MP/BP）编码压缩算法；</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5、支持三码流同时输出,主码流1080p@25fps、1080p@30fps 、1080p@50fps、1080p@60fps，副码流4CIF（704×576）@25fps，三码流1080p@25fps、1080p@30fps；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6、支持音频降噪、音频异常侦测功能；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7、水平360°连续旋转，垂直转动角度-30°～90°；</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8、手动水平控制速度：0.05～150°/s；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9、具备USB接口和TF卡接口，可扩展外置存储，具备RS485接口；</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10、支持内置无源MIC；</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11、支持POE+/12V两种供电方式。</w:t>
            </w:r>
          </w:p>
        </w:tc>
        <w:tc>
          <w:tcPr>
            <w:tcW w:w="948" w:type="dxa"/>
            <w:tcBorders>
              <w:top w:val="nil"/>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831" w:hRule="atLeast"/>
          <w:jc w:val="center"/>
        </w:trPr>
        <w:tc>
          <w:tcPr>
            <w:tcW w:w="806"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手持金属探测器</w:t>
            </w:r>
          </w:p>
        </w:tc>
        <w:tc>
          <w:tcPr>
            <w:tcW w:w="9183" w:type="dxa"/>
            <w:gridSpan w:val="2"/>
            <w:tcBorders>
              <w:top w:val="single" w:color="auto" w:sz="4" w:space="0"/>
              <w:left w:val="single" w:color="000000" w:sz="4" w:space="0"/>
              <w:bottom w:val="nil"/>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1、电源：9V方块电池</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2、测量距离：1～7cm</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3、产品尺寸（mm）：410*100*45</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1766" w:hRule="atLeast"/>
          <w:jc w:val="center"/>
        </w:trPr>
        <w:tc>
          <w:tcPr>
            <w:tcW w:w="806"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安检门</w:t>
            </w:r>
          </w:p>
        </w:tc>
        <w:tc>
          <w:tcPr>
            <w:tcW w:w="9183" w:type="dxa"/>
            <w:gridSpan w:val="2"/>
            <w:tcBorders>
              <w:top w:val="single" w:color="000000" w:sz="4" w:space="0"/>
              <w:left w:val="single" w:color="000000" w:sz="4" w:space="0"/>
              <w:bottom w:val="nil"/>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电源:220V</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测量方式:其它</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测量距离:70cm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工作环境:其它</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最大显示:9999</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产品净重(kg):70</w:t>
            </w:r>
          </w:p>
          <w:p>
            <w:pPr>
              <w:widowControl/>
              <w:jc w:val="left"/>
              <w:textAlignment w:val="top"/>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要达到检测对象身上的金属物品（如管制器具等）并报警提示。</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430" w:hRule="atLeast"/>
          <w:jc w:val="center"/>
        </w:trPr>
        <w:tc>
          <w:tcPr>
            <w:tcW w:w="806"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号服</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定制</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295"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（三）、指挥台</w:t>
            </w:r>
          </w:p>
        </w:tc>
      </w:tr>
      <w:tr>
        <w:tblPrEx>
          <w:tblCellMar>
            <w:top w:w="0" w:type="dxa"/>
            <w:left w:w="108" w:type="dxa"/>
            <w:bottom w:w="0" w:type="dxa"/>
            <w:right w:w="108" w:type="dxa"/>
          </w:tblCellMar>
        </w:tblPrEx>
        <w:trPr>
          <w:trHeight w:val="1927" w:hRule="atLeast"/>
          <w:jc w:val="center"/>
        </w:trPr>
        <w:tc>
          <w:tcPr>
            <w:tcW w:w="80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1856" w:type="dxa"/>
            <w:gridSpan w:val="2"/>
            <w:tcBorders>
              <w:top w:val="nil"/>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指纹签章一体机</w:t>
            </w:r>
          </w:p>
        </w:tc>
        <w:tc>
          <w:tcPr>
            <w:tcW w:w="9183"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1、应具备指纹采集、电子签名功能，并实现电子签章、电子指纹采集过程同步录影录像，实现证据链的不间断和可追溯性</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2、显示屏不小于10.1寸，分辨率不低于1280x800，无故障点击次数不低于100万次</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3、标配人像鱼眼摄像机，并支持畸变矫正功能、3D降噪、颜色矫正、亮度矫正等功能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4、指纹仪认假率&lt;0.0001%</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5、内置安卓系统，支持原笔迹签名、信息交互、人像拍照、录音录像等应用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6、应内置国密芯片，能对整机的用户静态数据进行加密处理，保障用户的静态数据安全</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7、传输数据应采用加密+签名的手段，保证数据传输过程的保密性和防篡改，保障数据传输安全</w:t>
            </w:r>
          </w:p>
        </w:tc>
        <w:tc>
          <w:tcPr>
            <w:tcW w:w="948" w:type="dxa"/>
            <w:tcBorders>
              <w:top w:val="nil"/>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669" w:hRule="atLeast"/>
          <w:jc w:val="center"/>
        </w:trPr>
        <w:tc>
          <w:tcPr>
            <w:tcW w:w="806"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多功能一体打印机</w:t>
            </w:r>
          </w:p>
        </w:tc>
        <w:tc>
          <w:tcPr>
            <w:tcW w:w="9183" w:type="dxa"/>
            <w:gridSpan w:val="2"/>
            <w:tcBorders>
              <w:top w:val="single" w:color="auto"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彩色激光多功能 复印扫描一体机</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669" w:hRule="atLeast"/>
          <w:jc w:val="center"/>
        </w:trPr>
        <w:tc>
          <w:tcPr>
            <w:tcW w:w="806"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登记终端</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i5 10505、8g内存、m2 </w:t>
            </w:r>
            <w:r>
              <w:rPr>
                <w:rFonts w:hint="eastAsia" w:ascii="宋体" w:hAnsi="宋体" w:cs="宋体"/>
                <w:color w:val="auto"/>
                <w:kern w:val="0"/>
                <w:sz w:val="18"/>
                <w:szCs w:val="18"/>
                <w:highlight w:val="none"/>
                <w:lang w:eastAsia="zh-CN"/>
              </w:rPr>
              <w:t>256Ｇssd</w:t>
            </w:r>
            <w:r>
              <w:rPr>
                <w:rFonts w:hint="eastAsia" w:ascii="宋体" w:hAnsi="宋体" w:cs="宋体"/>
                <w:color w:val="auto"/>
                <w:kern w:val="0"/>
                <w:sz w:val="18"/>
                <w:szCs w:val="18"/>
                <w:highlight w:val="none"/>
              </w:rPr>
              <w:t xml:space="preserve"> 、Intel B460主板 pcl插槽、千兆网卡、260w电源、21. 5寸液晶</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226" w:hRule="atLeast"/>
          <w:jc w:val="center"/>
        </w:trPr>
        <w:tc>
          <w:tcPr>
            <w:tcW w:w="806"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高拍仪</w:t>
            </w:r>
          </w:p>
        </w:tc>
        <w:tc>
          <w:tcPr>
            <w:tcW w:w="9183" w:type="dxa"/>
            <w:gridSpan w:val="2"/>
            <w:tcBorders>
              <w:top w:val="single" w:color="000000" w:sz="4" w:space="0"/>
              <w:left w:val="single" w:color="000000" w:sz="4" w:space="0"/>
              <w:bottom w:val="nil"/>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1、最大拍摄A4幅面</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2、高清500万定焦镜头</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3、光学分辨率2592×1944</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4、可拍物件类型：证件、文档、各类凭证、立体实物等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5、拍摄速度≤1秒</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6、接口类型USB2.0</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7、标配触控LED辅助灯</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8、图像格式：JPG、TIF、PNG、BMP、PDF</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9、图片大小：彩色≤300K；黑白≤60K</w:t>
            </w:r>
          </w:p>
          <w:p>
            <w:pPr>
              <w:widowControl/>
              <w:jc w:val="left"/>
              <w:textAlignment w:val="top"/>
              <w:rPr>
                <w:rFonts w:ascii="宋体" w:hAnsi="宋体" w:cs="宋体"/>
                <w:color w:val="auto"/>
                <w:sz w:val="18"/>
                <w:szCs w:val="18"/>
                <w:highlight w:val="none"/>
              </w:rPr>
            </w:pPr>
            <w:r>
              <w:rPr>
                <w:rFonts w:hint="eastAsia" w:ascii="宋体" w:hAnsi="宋体" w:cs="宋体"/>
                <w:b/>
                <w:bCs/>
                <w:color w:val="auto"/>
                <w:kern w:val="0"/>
                <w:sz w:val="18"/>
                <w:szCs w:val="18"/>
                <w:highlight w:val="none"/>
              </w:rPr>
              <w:t>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、所拍摄物品照片可导入随身物品登记系统中。</w:t>
            </w:r>
            <w:r>
              <w:rPr>
                <w:rFonts w:ascii="宋体" w:hAnsi="宋体" w:cs="宋体"/>
                <w:color w:val="auto"/>
                <w:sz w:val="18"/>
                <w:szCs w:val="18"/>
                <w:highlight w:val="none"/>
              </w:rPr>
              <w:t xml:space="preserve"> </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95"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（四）、随身物品暂存系统</w:t>
            </w:r>
          </w:p>
        </w:tc>
      </w:tr>
      <w:tr>
        <w:tblPrEx>
          <w:tblCellMar>
            <w:top w:w="0" w:type="dxa"/>
            <w:left w:w="108" w:type="dxa"/>
            <w:bottom w:w="0" w:type="dxa"/>
            <w:right w:w="108" w:type="dxa"/>
          </w:tblCellMar>
        </w:tblPrEx>
        <w:trPr>
          <w:trHeight w:val="2457"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1856"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随身物品柜（主柜）</w:t>
            </w:r>
          </w:p>
        </w:tc>
        <w:tc>
          <w:tcPr>
            <w:tcW w:w="9183"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1、随身物品保管柜由柜体、电控锁和电气控制箱三大部分组合而成</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2、柜体采用宝钢、δ≥0.8mm的优质镀锌钢板，箱体表面经过除锈、除油、打磨、磷化处理后喷塑</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3、箱门使用电控锁，采用电磁式单舌机械锁，同时作热涂锌防锈处理</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4、主柜包含24个箱门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5、支持二级管理密码，通过输入不同密码获取不同权限，支持对柜子进行开箱、消号、校时</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6、工业级液晶显示屏</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7、支持在停电情况下，通过机械方式开门；同时支持断电保护，断电情况下系统自动记录有关数据</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8、支持通过平台远程控制开箱</w:t>
            </w:r>
          </w:p>
          <w:p>
            <w:pPr>
              <w:pStyle w:val="9"/>
              <w:ind w:firstLine="0" w:firstLineChars="0"/>
              <w:rPr>
                <w:rFonts w:ascii="宋体" w:eastAsia="宋体"/>
                <w:color w:val="auto"/>
                <w:sz w:val="18"/>
                <w:szCs w:val="18"/>
                <w:highlight w:val="none"/>
              </w:rPr>
            </w:pPr>
            <w:r>
              <w:rPr>
                <w:rFonts w:hint="eastAsia" w:ascii="宋体" w:eastAsia="宋体" w:cs="宋体"/>
                <w:color w:val="auto"/>
                <w:sz w:val="18"/>
                <w:szCs w:val="18"/>
                <w:highlight w:val="none"/>
              </w:rPr>
              <w:t>9、可通过法智+平台的一键平台跳转功能实现跳转后在执法系统中自动提示随身物品的存放位置，实现物品操作存取功能，支持超级权限功能，支持显示随身物品的状态与处理结果（如邮寄、代领等）。</w:t>
            </w:r>
          </w:p>
        </w:tc>
        <w:tc>
          <w:tcPr>
            <w:tcW w:w="94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1071"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随身物品柜（从柜）</w:t>
            </w:r>
          </w:p>
        </w:tc>
        <w:tc>
          <w:tcPr>
            <w:tcW w:w="9183" w:type="dxa"/>
            <w:gridSpan w:val="2"/>
            <w:tcBorders>
              <w:top w:val="single" w:color="auto" w:sz="4" w:space="0"/>
              <w:left w:val="single" w:color="000000" w:sz="4" w:space="0"/>
              <w:bottom w:val="nil"/>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1、随身物品保管柜由柜体、电控锁和电气控制箱三大部分组合而成</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2、箱门使用电控锁，采用电磁式单舌机械锁，同时作热涂锌防锈处理</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3、从柜包含24个箱门</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4、支持与主柜之间级联，</w:t>
            </w:r>
            <w:r>
              <w:rPr>
                <w:rFonts w:hint="eastAsia" w:ascii="宋体" w:hAnsi="宋体" w:cs="宋体"/>
                <w:b/>
                <w:bCs/>
                <w:color w:val="auto"/>
                <w:kern w:val="0"/>
                <w:sz w:val="18"/>
                <w:szCs w:val="18"/>
                <w:highlight w:val="none"/>
              </w:rPr>
              <w:t>储存柜一定要形成整体，而且对随身物品的出所要有选项，而且选项可增减</w:t>
            </w:r>
            <w:r>
              <w:rPr>
                <w:rFonts w:hint="eastAsia" w:ascii="宋体" w:hAnsi="宋体" w:cs="宋体"/>
                <w:color w:val="auto"/>
                <w:sz w:val="18"/>
                <w:szCs w:val="18"/>
                <w:highlight w:val="none"/>
              </w:rPr>
              <w:t>。</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1071"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验钞机</w:t>
            </w:r>
          </w:p>
        </w:tc>
        <w:tc>
          <w:tcPr>
            <w:tcW w:w="9183" w:type="dxa"/>
            <w:gridSpan w:val="2"/>
            <w:tcBorders>
              <w:top w:val="single" w:color="000000" w:sz="4" w:space="0"/>
              <w:left w:val="single" w:color="000000" w:sz="4" w:space="0"/>
              <w:bottom w:val="nil"/>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计数显示屏：有</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点钞速度：≥900张/分钟</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95"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（五）、信息采集系统</w:t>
            </w:r>
          </w:p>
        </w:tc>
      </w:tr>
      <w:tr>
        <w:tblPrEx>
          <w:tblCellMar>
            <w:top w:w="0" w:type="dxa"/>
            <w:left w:w="108" w:type="dxa"/>
            <w:bottom w:w="0" w:type="dxa"/>
            <w:right w:w="108" w:type="dxa"/>
          </w:tblCellMar>
        </w:tblPrEx>
        <w:trPr>
          <w:trHeight w:val="6198" w:hRule="atLeast"/>
          <w:jc w:val="center"/>
        </w:trPr>
        <w:tc>
          <w:tcPr>
            <w:tcW w:w="806"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olor w:val="auto"/>
                <w:kern w:val="0"/>
                <w:sz w:val="18"/>
                <w:szCs w:val="18"/>
                <w:highlight w:val="none"/>
              </w:rPr>
              <w:t>标采设备一体机</w:t>
            </w:r>
          </w:p>
        </w:tc>
        <w:tc>
          <w:tcPr>
            <w:tcW w:w="92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采集工作台</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能够合理放置计算机、采集仪等采集设备的专业采集工作台：内置可自动控制的升降机，升降行程大于300mm；模块化设计，可根据需要分别安装单指、四连指、掌纹采集设备。</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整机含工业通风设备和电源保险，机柜总开关；</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工业环境：温度-15℃-40℃ 湿度≤90%；</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存储环境：温度-5℃-50℃湿度≤75%；</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主要技术指标：</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1）工作台外部尺寸不大于L1680mm×W700mm×H810mm（高度为桌面高度）；</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2）工作台采用分体式设计，分为左、中、右三部分组成，采集台安装时由三部分拼接而成，以保证其运输灵活性及安装便捷性。中间部分台面采用木质台面；</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3）台面采用整块高密度中纤板无拼接间隙；中纤板厚度为不少于35mm，防酸，耐磨，耐用，易清洁。显示器采用专业支架进行固定，显示器可左右旋转180度；</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显示器右旁安装自动升降相机杆，自动升降相机杆顶端安装照相设备，右侧面板边缘中间位置安装指掌纹采集器；面板下左侧柜体放防潮柜和打印机，托盘采用导轨活动托盘，右下部放置电脑，右侧柜体设有条码打印机和1个抽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5）左侧桌面上方安装工作面板处嵌入式安装二代证读卡器、左侧打印机上方面板处设计：计算机复位开关、USB扩展插孔等；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6）键盘使用桌面下方活动托盘；</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7）内部安装稳压防浪涌电源插座2个，为内部多个设备供电；防浪涌插座采用六位以上多功能插孔；电流：每相最大线路电流 10A浪涌保护及滤波峰值电流通用模式: 11 kAmp；电压：额定输入电压: 230V；</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8）所预留的内部位置必须满足能够安装投标人所提供的电脑、打印机、显示器、指纹采集器的空间，且使用方便，在桌面上有电脑开机按钮，可以直接控制电脑开机；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9）工作台台面及柜体各处边缘不得有棱角，全部需要做圆弧处理，防止碰撞自残；</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10）DNA条码阅读器放置于右侧桌面上方，方便办案人员对DNA检材进行条码扫描；</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11）人相采集设备机杆采用铝合金材质，可自由伸宿，标准伸缩长度为670mm～1200mm，杆外直径29mm，杆顶端装标准照相设备万向调节。</w:t>
            </w:r>
            <w:r>
              <w:rPr>
                <w:rFonts w:hint="eastAsia" w:ascii="宋体" w:hAnsi="宋体" w:cs="宋体"/>
                <w:b/>
                <w:bCs/>
                <w:color w:val="auto"/>
                <w:sz w:val="18"/>
                <w:szCs w:val="18"/>
                <w:highlight w:val="none"/>
              </w:rPr>
              <w:t>可对嫌疑人的指纹、虹膜、足迹、血样、声纹、身高、体重等信息进行一次性采集入库。</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969" w:hRule="atLeast"/>
          <w:jc w:val="center"/>
        </w:trPr>
        <w:tc>
          <w:tcPr>
            <w:tcW w:w="806"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18"/>
                <w:szCs w:val="18"/>
                <w:highlight w:val="none"/>
              </w:rPr>
            </w:pPr>
          </w:p>
        </w:tc>
        <w:tc>
          <w:tcPr>
            <w:tcW w:w="92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计算机</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（商用计算机） CPU：i5 内存：8G 硬盘：1T 14XUSB2.0 USB3.0扩展卡*2/外置光驱CPU：Intel 酷睿I5；内存：DDR4 2400MHz，8G； 硬盘：7200转，1TB电源：240W/220V 50Hz；显示器：DELL2219HN液晶显示器且可与标准化采集台显示器支架对接实现固定、走线及旋转。</w:t>
            </w: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547" w:hRule="atLeast"/>
          <w:jc w:val="center"/>
        </w:trPr>
        <w:tc>
          <w:tcPr>
            <w:tcW w:w="806"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18"/>
                <w:szCs w:val="18"/>
                <w:highlight w:val="none"/>
              </w:rPr>
            </w:pPr>
          </w:p>
        </w:tc>
        <w:tc>
          <w:tcPr>
            <w:tcW w:w="92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指掌纹采集仪</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1.高清晰光学成像原理（非扫描原理的采集设备），采用面阵方式采集，采集窗口不覆膜；支持掌纹、侧掌、四联指、单指平面采集，支持单指三面滚动采集；</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2.指掌纹采集：指掌纹采集仪应为指掌纹采集一体机，采用CMOS传感器，所有指掌纹采集在同一个采集窗口内完成；</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3.自动“除雾”，消除光晕、重影，自动清除采集窗口表面遗留的采集痕迹；自动降低手指干燥和潮湿的影响；</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4.采集过程中自动进行指掌纹图像质量检查，保证指纹、掌纹的图像为高质量，防止出现指掌纹采集无效、缺失，对采集图像进行自动检测，保证完整性和可用性；</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5.主要技术指标</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掌纹采集：≥117 mm×117mm，允许误差为±0.4mm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指纹图像的采集面积≥ 34.4 mm×34.4 mm；指纹采集有效图像尺寸≥32.5 mm ×32.5 mm；允许误差为±0.4mm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侧面掌纹采集有效图像尺寸≥52.0 mm ×99.9 mm；允许误差为±0.4mm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分辨率：500dpi ±1%</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采集速率：指纹采集速度≥15帧/秒；掌纹采集速率应不小于2帧/秒；</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图像大小：掌纹：2304×2304像素</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单指：≥640×640像素（最大800×800像素）</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灰度动态范围满足8位，256级灰度要求</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通过GA标准：GA/T625-2010, GA/T626.1-2010, GA/T626.2-2010,GA/T864-2010,GA/T865-2010, GA/T866-2010\</w:t>
            </w: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729" w:hRule="atLeast"/>
          <w:jc w:val="center"/>
        </w:trPr>
        <w:tc>
          <w:tcPr>
            <w:tcW w:w="806"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18"/>
                <w:szCs w:val="18"/>
                <w:highlight w:val="none"/>
              </w:rPr>
            </w:pPr>
          </w:p>
        </w:tc>
        <w:tc>
          <w:tcPr>
            <w:tcW w:w="92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条码阅读器</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1、红光660纳米</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2、扫描速率 100线/秒</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3、扫描模式 CCD扫描模式</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4、接触式图像识读器可减少诸多扫描错误</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可读取最宽达 67 毫米的条码，分辨率为 4mil，PCS 值为 30 %</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5、编程范围广，支持三套数据编辑、界面选择和符号识别配置</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6、支持多种语言，适合全球应用；提ScanManager 软件</w:t>
            </w: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6301" w:hRule="atLeast"/>
          <w:jc w:val="center"/>
        </w:trPr>
        <w:tc>
          <w:tcPr>
            <w:tcW w:w="806"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18"/>
                <w:szCs w:val="18"/>
                <w:highlight w:val="none"/>
              </w:rPr>
            </w:pPr>
          </w:p>
        </w:tc>
        <w:tc>
          <w:tcPr>
            <w:tcW w:w="92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人像拍照设备</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1、性能特征：SENSOR 尺寸：1/2.5" CMOS彩色；1/2.5" CMOS黑白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2、有效像素：2592H×1944V</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3、像素尺寸：2.2μm×2.2μm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4、最大帧率：6fps/s(2592×1944)； 22.8fps/s(640×480)</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5、镜头：C/CS接口</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6、信噪比：38.1dB-40.5dB</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7、动态范围：67.4dB-70.1dB</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8、快门类型：电子滚动快门（ROLLING SHUTTER）</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9、曝光时间：0.083-378ms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10、灵敏度：0.51V/lux-sec 550nm  1.4V/lux-sec 550nm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11、光谱响应：350-750nm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12、支持系统：Windows2000、XP、Vista、Windows7 32bit/64bit</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13数据接口：USB2.0 480Mb/s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14、工作温度：0-60℃1、性能特征：SENSOR 尺寸：1/2.5" CMOS彩色；1/2.5" CMOS黑白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2、有效像素：2592H×1944V</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3、像素尺寸：2.2μm×2.2μm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4、最大帧率：6fps/s(2592×1944)； 22.8fps/s(640×480)</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5、镜头：C/CS接口</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6、信噪比：38.1dB-40.5dB</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7、动态范围：67.4dB-70.1dB</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8、快门类型：电子滚动快门（ROLLING SHUTTER）</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9、曝光时间：0.083-378ms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10、灵敏度：0.51V/lux-sec 550nm  1.4V/lux-sec 550nm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11、光谱响应：350-750nm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12、支持系统：Windows2000、XP、Vista、Windows7 32bit/64bit</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13、数据接口：USB2.0 480Mb/s</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14、工作温度：0-60℃</w:t>
            </w: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528" w:hRule="atLeast"/>
          <w:jc w:val="center"/>
        </w:trPr>
        <w:tc>
          <w:tcPr>
            <w:tcW w:w="806"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18"/>
                <w:szCs w:val="18"/>
                <w:highlight w:val="none"/>
              </w:rPr>
            </w:pPr>
          </w:p>
        </w:tc>
        <w:tc>
          <w:tcPr>
            <w:tcW w:w="92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相机升降套件</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与标准化采集台集成，可以提供相机的升降功能。</w:t>
            </w: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287" w:hRule="atLeast"/>
          <w:jc w:val="center"/>
        </w:trPr>
        <w:tc>
          <w:tcPr>
            <w:tcW w:w="806"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18"/>
                <w:szCs w:val="18"/>
                <w:highlight w:val="none"/>
              </w:rPr>
            </w:pPr>
          </w:p>
        </w:tc>
        <w:tc>
          <w:tcPr>
            <w:tcW w:w="92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二代身份证阅读器</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可以读取第二代身份证；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验证第二代身份证真伪；</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实现所有身份证信息自动录入、上传；</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同时支持USB和串口通讯；</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内嵌公安部安全模块，方便拆卸和维护；具有断电保护功能，独立电源开关。</w:t>
            </w: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528" w:hRule="atLeast"/>
          <w:jc w:val="center"/>
        </w:trPr>
        <w:tc>
          <w:tcPr>
            <w:tcW w:w="806"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18"/>
                <w:szCs w:val="18"/>
                <w:highlight w:val="none"/>
              </w:rPr>
            </w:pPr>
          </w:p>
        </w:tc>
        <w:tc>
          <w:tcPr>
            <w:tcW w:w="92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激光打印机</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激光打印机；分辨率（dpi）：≥600×600；最大打印幅面：A4；最高打印速度30页/分钟</w:t>
            </w: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425" w:hRule="atLeast"/>
          <w:jc w:val="center"/>
        </w:trPr>
        <w:tc>
          <w:tcPr>
            <w:tcW w:w="806"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18"/>
                <w:szCs w:val="18"/>
                <w:highlight w:val="none"/>
              </w:rPr>
            </w:pPr>
          </w:p>
        </w:tc>
        <w:tc>
          <w:tcPr>
            <w:tcW w:w="92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条码打印机</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能自动生成编码，并及时打印。</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打印方式 热转印/热敏</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分辨率 203dpi（8点/mm）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最大列印宽度 104mm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最快列印速度 2~4IPS( 51mm /s)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打印长度 0.2~39英寸（ 5~991 毫米）</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内    存 8MB DRAM，4MB Flash</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通信接口 RS-232接口/标准并口/USE/Ethernet(CP-2140E选配)</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字元字体 标准字体/平滑字体</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图    形 PPLA/PPLB</w:t>
            </w: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490" w:hRule="atLeast"/>
          <w:jc w:val="center"/>
        </w:trPr>
        <w:tc>
          <w:tcPr>
            <w:tcW w:w="806"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18"/>
                <w:szCs w:val="18"/>
                <w:highlight w:val="none"/>
              </w:rPr>
            </w:pPr>
          </w:p>
        </w:tc>
        <w:tc>
          <w:tcPr>
            <w:tcW w:w="92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身高体重测量仪</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身高体重足长测量仪身高体重足长测量-自动数据读取</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1、实现身高体重足长的自动测量；</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2、具体技术要求：</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1）身高测量仪测量范围：800mm-2000mm（误差度：±5mm）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2）体重计测量范围：20kg-200Kg（误差度：±0.1Kg）</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3）足长测量仪测量范围：80mm-400mm（误差度：±2mm）</w:t>
            </w: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5640" w:hRule="atLeast"/>
          <w:jc w:val="center"/>
        </w:trPr>
        <w:tc>
          <w:tcPr>
            <w:tcW w:w="806"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18"/>
                <w:szCs w:val="18"/>
                <w:highlight w:val="none"/>
              </w:rPr>
            </w:pPr>
          </w:p>
        </w:tc>
        <w:tc>
          <w:tcPr>
            <w:tcW w:w="92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足迹采集设备</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（1）产品特点</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通过USB与计算机相连接，自动采集嫌疑人行走中足印。</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采集到的足印图像完整、清晰、自动校正变形，自动 标注比例尺，可以1：1打印输出。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可以采集精细的鞋子花纹，达到足印认定的精度要求。</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与《足印花纹自动识别系统》无缝结合，采集到得嫌疑人足印可以直接与现场库识别，提高破案效率。</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采集出来效果灰色，采集效果极佳，符合鉴定要求。</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（2）使用要求</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电源要求：220V交流电。</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计算机操作系统要求：Windows XP/Vista。</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计算机硬件要求：USB2.0。</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（3）技术参数</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电压：交流220V, 自配变压器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工作电压：直流12V</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工作电流：1.75A</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图像区域：≥350mm(长) x 150mm(宽)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图像灰度： 256级</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物理分辨率： &gt;170DPI</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光学畸变： F&lt;0.1%</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采集速度：&lt;3秒</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接口：USB2.0   自动休眠    </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工作温度：摄氏-20至40度</w:t>
            </w: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550" w:hRule="atLeast"/>
          <w:jc w:val="center"/>
        </w:trPr>
        <w:tc>
          <w:tcPr>
            <w:tcW w:w="806"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18"/>
                <w:szCs w:val="18"/>
                <w:highlight w:val="none"/>
              </w:rPr>
            </w:pPr>
          </w:p>
        </w:tc>
        <w:tc>
          <w:tcPr>
            <w:tcW w:w="92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虹膜采集设备</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用于虹膜注册采集工作，同时也支持认证功能。设备将采集到的虹膜图像通过USB接口传输给计算机进行处理，从而完成身份采集认证的功能。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尺寸（长*高*厚）：≤203*153*47.5mm、输入接口：USB2.0、供电方式：USB供电、USB线长：1.4m、功率：待机0.8W/工作1.8W、</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虹膜图像：分辨率640x480、眼睛的数目：双目、注册时间：≤2s、识别时间：≤1s、精确度FAR：＜0.0001%  FRR:＜0.1%</w:t>
            </w: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573" w:hRule="atLeast"/>
          <w:jc w:val="center"/>
        </w:trPr>
        <w:tc>
          <w:tcPr>
            <w:tcW w:w="806"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18"/>
                <w:szCs w:val="18"/>
                <w:highlight w:val="none"/>
              </w:rPr>
            </w:pPr>
          </w:p>
        </w:tc>
        <w:tc>
          <w:tcPr>
            <w:tcW w:w="92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声纹采集设备</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1.支持交谈模式采集；</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2.音频采集器能够同步采集的语音通道数为16个通道，实现高精度、高品质的录音；</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3.采集音频格式为16kHz采样率、16位量化精度，wav格式；</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4.拾音距离:支持0.8m到1.5m的远场采集；</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5.定向采集目标发言人的语音信息、准确分离问答双方；</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6.问答两路麦克风输出的信噪比达到25dB以上；</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7.采集设备具有良好的隔离度，目标说话人语音在整条语音中占比超过95%；</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8.供电接口:USB接口；</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9.供电需求: 5V/300mA；</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10.兼容操作系统: XP、Win7、 Win10；</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11.环境温度范围: -20~60℃</w:t>
            </w: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493" w:hRule="atLeast"/>
          <w:jc w:val="center"/>
        </w:trPr>
        <w:tc>
          <w:tcPr>
            <w:tcW w:w="806"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18"/>
                <w:szCs w:val="18"/>
                <w:highlight w:val="none"/>
              </w:rPr>
            </w:pPr>
          </w:p>
        </w:tc>
        <w:tc>
          <w:tcPr>
            <w:tcW w:w="92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人员信息标准化采反馈软件</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一站式采集人员的基本信息、指掌纹信息、人像信息、DNA检材信息、身高体重足长信息、手机卡信息等。采集完成后系统能自动判断民警采集的信息是否合格，如不符合要求，提示民警重新采集。采集信息后，将采集到的人员基本信息、活体信息等数据转换成各专业系统要求的数据格式，发送到各专业系统进行入库和比对，并自动接受和反馈各专业系统的实时比对结果信息，能与省厅及市局指纹库无缝对接。</w:t>
            </w: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789" w:hRule="atLeast"/>
          <w:jc w:val="center"/>
        </w:trPr>
        <w:tc>
          <w:tcPr>
            <w:tcW w:w="806"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18"/>
                <w:szCs w:val="18"/>
                <w:highlight w:val="none"/>
              </w:rPr>
            </w:pPr>
          </w:p>
        </w:tc>
        <w:tc>
          <w:tcPr>
            <w:tcW w:w="928" w:type="dxa"/>
            <w:tcBorders>
              <w:top w:val="single" w:color="000000" w:sz="4" w:space="0"/>
              <w:left w:val="single" w:color="auto" w:sz="4" w:space="0"/>
              <w:bottom w:val="nil"/>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（人员信息标准化采集反馈系统V1.5）</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其他建设要求：</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1.建设与其他公安业务系统的接口；</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2.建设标采系统与指（掌）纹自动识别系统的接口。</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3.建设标采系统与DNA LIMS系统的接口。该接口将标采系统DNA信息实时导入DNA LIMS系统数据库，通过身份证号进行查重，实时反馈比中结果。</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4.接口预留</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系统应预留与浙江省公安在用其他专业系统接口，并能实现与这些系统的数据交互和应用整</w:t>
            </w: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95"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（六）、毒检系统</w:t>
            </w:r>
          </w:p>
        </w:tc>
      </w:tr>
      <w:tr>
        <w:tblPrEx>
          <w:tblCellMar>
            <w:top w:w="0" w:type="dxa"/>
            <w:left w:w="108" w:type="dxa"/>
            <w:bottom w:w="0" w:type="dxa"/>
            <w:right w:w="108" w:type="dxa"/>
          </w:tblCellMar>
        </w:tblPrEx>
        <w:trPr>
          <w:trHeight w:val="3039"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证据抓拍摄像机</w:t>
            </w:r>
          </w:p>
        </w:tc>
        <w:tc>
          <w:tcPr>
            <w:tcW w:w="9183" w:type="dxa"/>
            <w:gridSpan w:val="2"/>
            <w:tcBorders>
              <w:top w:val="single" w:color="000000" w:sz="4" w:space="0"/>
              <w:left w:val="single" w:color="000000" w:sz="4" w:space="0"/>
              <w:bottom w:val="nil"/>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1、1/3英寸200万像素CMOS；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2、33倍光学变焦，16倍数字变倍；</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3、支持网络视频、BNC同步输出；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4、支持H.265、H.264（HP/MP/BP）编码压缩算法；</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5、支持三码流同时输出,主码流1080p@25fps、1080p@30fps 、1080p@50fps、1080p@60fps，副码流4CIF（704×576）@25fps，三码流1080p@25fps、1080p@30fps；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6、支持音频降噪、音频异常侦测功能；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7、水平360°连续旋转，垂直转动角度-30°～90°；</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8、手动水平控制速度：0.05～150°/s；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9、具备USB接口和TF卡接口，可扩展外置存储，具备RS485接口；</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10、支持内置无源MIC；</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11、支持POE+/12V两种供电方式。增加自动尿检功能。</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651"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登记终端</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i5 10505、8g内存、m2 </w:t>
            </w:r>
            <w:r>
              <w:rPr>
                <w:rFonts w:hint="eastAsia" w:ascii="宋体" w:hAnsi="宋体" w:cs="宋体"/>
                <w:color w:val="auto"/>
                <w:kern w:val="0"/>
                <w:sz w:val="18"/>
                <w:szCs w:val="18"/>
                <w:highlight w:val="none"/>
                <w:lang w:eastAsia="zh-CN"/>
              </w:rPr>
              <w:t>256Ｇssd</w:t>
            </w:r>
            <w:r>
              <w:rPr>
                <w:rFonts w:hint="eastAsia" w:ascii="宋体" w:hAnsi="宋体" w:cs="宋体"/>
                <w:color w:val="auto"/>
                <w:kern w:val="0"/>
                <w:sz w:val="18"/>
                <w:szCs w:val="18"/>
                <w:highlight w:val="none"/>
              </w:rPr>
              <w:t xml:space="preserve"> 、Intel B460主板 pcl插槽、千兆网卡、260w电源、21. 5寸液晶</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4245"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台式毛发毒品痕量快速分析仪</w:t>
            </w:r>
          </w:p>
        </w:tc>
        <w:tc>
          <w:tcPr>
            <w:tcW w:w="9183" w:type="dxa"/>
            <w:gridSpan w:val="2"/>
            <w:tcBorders>
              <w:top w:val="single" w:color="000000" w:sz="4" w:space="0"/>
              <w:left w:val="single" w:color="000000" w:sz="4" w:space="0"/>
              <w:bottom w:val="nil"/>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适用于毛发中毒品的快速半定量检测，在检出率为100%的前提下，浓度为10ng/mL，进样量为75μL，进样质量为0.75ng时，仪器应能够检测出一下毒品样品：吗啡、甲基安非他明、氯胺酮、可卡因、摇头丸；仪器配备吗啡/冰毒混合试剂卡，在对浓度均为10 ng/mL的吗啡和冰毒溶液进行1:1混合，且进样量为75μL时，仪器应能同时检测出吗啡和冰毒；仪器配备吗啡/冰毒/氯胺酮混合试剂卡。在对浓度均为10 ng/mL的吗啡、冰毒和氯胺酮溶液进行1:1:1混合，且进样量为75μL时，仪器应能同时检测出吗啡、冰毒和氯胺酮；</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设备检测速度快、数据存储量大、数据实时联网，</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适用于固定场所执法等大量样本初筛工作,非固定**人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群快速盲筛，可定制3种或者5种不同的试剂卡，同时检</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测三种或五种毒品种类。</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结果查询： 可按照样本编号、时间、项目查询结果，结果可删除</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检测通道： 2（单卡+多联卡）</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仪器净重量    6.8KG</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结果存储       &gt;10000个</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检测种类：可检测单种试剂如吗啡类、苯丙胺类（冰毒、摇头丸）、氯胺酮、大麻、可卡因等，也可检测同时检测2种到5种组合试剂。</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检测样本：毛发样本，可兼容其它生物样品，如唾液、汗液、尿液、血液及干血斑</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单个样本检测时间：≤5分钟</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1107"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单卡检测试剂</w:t>
            </w:r>
          </w:p>
        </w:tc>
        <w:tc>
          <w:tcPr>
            <w:tcW w:w="9183" w:type="dxa"/>
            <w:gridSpan w:val="2"/>
            <w:tcBorders>
              <w:top w:val="single" w:color="000000" w:sz="4" w:space="0"/>
              <w:left w:val="single" w:color="000000" w:sz="4" w:space="0"/>
              <w:bottom w:val="nil"/>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1、检测阈值0.2ng/mg，符合公安部标准。</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2、1分钟内完成毛发样本裂解和毒品分子释放，3分钟内完成毛发样本毒品的定量检测。</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3、常温储存及运输，保质期12个月。</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4、准确率达99%。</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张</w:t>
            </w:r>
          </w:p>
        </w:tc>
      </w:tr>
      <w:tr>
        <w:tblPrEx>
          <w:tblCellMar>
            <w:top w:w="0" w:type="dxa"/>
            <w:left w:w="108" w:type="dxa"/>
            <w:bottom w:w="0" w:type="dxa"/>
            <w:right w:w="108" w:type="dxa"/>
          </w:tblCellMar>
        </w:tblPrEx>
        <w:trPr>
          <w:trHeight w:val="295"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（七）、执法保障室</w:t>
            </w:r>
          </w:p>
        </w:tc>
      </w:tr>
      <w:tr>
        <w:tblPrEx>
          <w:tblCellMar>
            <w:top w:w="0" w:type="dxa"/>
            <w:left w:w="108" w:type="dxa"/>
            <w:bottom w:w="0" w:type="dxa"/>
            <w:right w:w="108" w:type="dxa"/>
          </w:tblCellMar>
        </w:tblPrEx>
        <w:trPr>
          <w:trHeight w:val="568"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w:t>
            </w: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管理终端</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i5 10505、8g内存、m2 </w:t>
            </w:r>
            <w:r>
              <w:rPr>
                <w:rFonts w:hint="eastAsia" w:ascii="宋体" w:hAnsi="宋体" w:cs="宋体"/>
                <w:color w:val="auto"/>
                <w:kern w:val="0"/>
                <w:sz w:val="18"/>
                <w:szCs w:val="18"/>
                <w:highlight w:val="none"/>
                <w:lang w:eastAsia="zh-CN"/>
              </w:rPr>
              <w:t>256Ｇssd</w:t>
            </w:r>
            <w:r>
              <w:rPr>
                <w:rFonts w:hint="eastAsia" w:ascii="宋体" w:hAnsi="宋体" w:cs="宋体"/>
                <w:color w:val="auto"/>
                <w:kern w:val="0"/>
                <w:sz w:val="18"/>
                <w:szCs w:val="18"/>
                <w:highlight w:val="none"/>
              </w:rPr>
              <w:t xml:space="preserve"> 、Intel B460主板 pcl插槽、千兆网卡、260w电源、21. 5寸液晶</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56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液体显示器</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75寸高清液晶显示器</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95"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（八）、侯问室</w:t>
            </w:r>
          </w:p>
        </w:tc>
      </w:tr>
      <w:tr>
        <w:tblPrEx>
          <w:tblCellMar>
            <w:top w:w="0" w:type="dxa"/>
            <w:left w:w="108" w:type="dxa"/>
            <w:bottom w:w="0" w:type="dxa"/>
            <w:right w:w="108" w:type="dxa"/>
          </w:tblCellMar>
        </w:tblPrEx>
        <w:trPr>
          <w:trHeight w:val="2418"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w:t>
            </w: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交互终端</w:t>
            </w:r>
          </w:p>
        </w:tc>
        <w:tc>
          <w:tcPr>
            <w:tcW w:w="9183" w:type="dxa"/>
            <w:gridSpan w:val="2"/>
            <w:tcBorders>
              <w:top w:val="single" w:color="000000" w:sz="4" w:space="0"/>
              <w:left w:val="single" w:color="000000" w:sz="4" w:space="0"/>
              <w:bottom w:val="nil"/>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1、支持10点触控电容触摸屏，尺寸不小于13寸</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2、支持RJ45接口，内置Mic，内置扬声器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3、内置补光灯，并可自动开关</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4、支持人员检测功能，通过红外感应有无人员自动控制屏幕点亮和熄灭</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5、支持人脸比对功能，比对结果反馈显示时间不超过3秒</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6、支持活体检测以防电子照片验证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7、性能容量不低于：用户数10000人，面部容量10000张，记录容量10万条</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8、人脸识别准确率不低于99%</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9、支持门禁控制功能，可通过人脸识别、刷卡和密码开门，</w:t>
            </w:r>
            <w:r>
              <w:rPr>
                <w:rFonts w:hint="eastAsia" w:ascii="宋体" w:hAnsi="宋体" w:cs="宋体"/>
                <w:b/>
                <w:bCs/>
                <w:color w:val="auto"/>
                <w:kern w:val="0"/>
                <w:sz w:val="18"/>
                <w:szCs w:val="18"/>
                <w:highlight w:val="none"/>
              </w:rPr>
              <w:t>可分配不同人员权限，实现对象刷脸登记、进入，工作人员刷脸带出，同步嫌疑人轨迹至执法系统办案区人员登记表中。</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62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电磁锁</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1、280kg单门两线拉丝磁力锁</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2、通电上锁，无残磁、无机械磨损</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tblPrEx>
          <w:tblCellMar>
            <w:top w:w="0" w:type="dxa"/>
            <w:left w:w="108" w:type="dxa"/>
            <w:bottom w:w="0" w:type="dxa"/>
            <w:right w:w="108" w:type="dxa"/>
          </w:tblCellMar>
        </w:tblPrEx>
        <w:trPr>
          <w:trHeight w:val="62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Z型支架</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1、配合电磁锁使用,尺寸：长*宽*高=25cm*3cm*5cm  </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62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门禁电源</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交流输入：AC 220V 50HZ；输出电压：DC 12V；持续电流：1.2A；瞬间电流：3A；开门延时：0-15S可调</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295"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（九）、侯问管理区</w:t>
            </w:r>
          </w:p>
        </w:tc>
      </w:tr>
      <w:tr>
        <w:tblPrEx>
          <w:tblCellMar>
            <w:top w:w="0" w:type="dxa"/>
            <w:left w:w="108" w:type="dxa"/>
            <w:bottom w:w="0" w:type="dxa"/>
            <w:right w:w="108" w:type="dxa"/>
          </w:tblCellMar>
        </w:tblPrEx>
        <w:trPr>
          <w:trHeight w:val="628"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w:t>
            </w: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登记终端</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i5 10505、8g内存、m2 </w:t>
            </w:r>
            <w:r>
              <w:rPr>
                <w:rFonts w:hint="eastAsia" w:ascii="宋体" w:hAnsi="宋体" w:cs="宋体"/>
                <w:color w:val="auto"/>
                <w:kern w:val="0"/>
                <w:sz w:val="18"/>
                <w:szCs w:val="18"/>
                <w:highlight w:val="none"/>
                <w:lang w:eastAsia="zh-CN"/>
              </w:rPr>
              <w:t>256Ｇssd</w:t>
            </w:r>
            <w:r>
              <w:rPr>
                <w:rFonts w:hint="eastAsia" w:ascii="宋体" w:hAnsi="宋体" w:cs="宋体"/>
                <w:color w:val="auto"/>
                <w:kern w:val="0"/>
                <w:sz w:val="18"/>
                <w:szCs w:val="18"/>
                <w:highlight w:val="none"/>
              </w:rPr>
              <w:t xml:space="preserve"> 、Intel B460主板 pcl插槽、千兆网卡、260w电源、21. 5寸液晶</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62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打印机</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激光多功能打印机 支持打印复印描</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95"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（十）、讯问室16间（标准13间、特殊室2间、未成年人1间）</w:t>
            </w:r>
          </w:p>
        </w:tc>
      </w:tr>
      <w:tr>
        <w:tblPrEx>
          <w:tblCellMar>
            <w:top w:w="0" w:type="dxa"/>
            <w:left w:w="108" w:type="dxa"/>
            <w:bottom w:w="0" w:type="dxa"/>
            <w:right w:w="108" w:type="dxa"/>
          </w:tblCellMar>
        </w:tblPrEx>
        <w:trPr>
          <w:trHeight w:val="5101"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1856"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时间温湿度数码屏</w:t>
            </w:r>
          </w:p>
        </w:tc>
        <w:tc>
          <w:tcPr>
            <w:tcW w:w="9183"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1、温湿度屏与超广角全景摄像机一体化设计，集时间、温湿度采集显示与全景画面采集功能于一体</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2、静态数字显示，适于同步录音录像</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3、内置MIC和扬声器，具有不少于1个RJ45接口、1路音频输入接口、1路音频输出接口、2路报警输入接口、1路报警输出接口、1个RS485接口、1个复位按钮、1个存储卡接口</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4、支持自动校准时钟，与摄像机、审讯主机时间同步</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5、支持通过触摸按键设置显示屏年、月、日、时、分、秒，支持调节年月日自动联动星期显示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6、支持将实时温湿度信息叠加到视频画面上</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7、不大于2.1mm超广角定焦镜头，支持ICR双滤切换</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8、摄像机分辨率不低于2592×1944</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9、支持音频异常检测报警提示，支持超高音报警</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10、支持音视频本地存储卡存储，录制的文件可使用通用播放软件播放</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11、摄像机支持畸变矫正、远端放大功能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12、支持红外、白光补光，红外距离不低于15m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13、支持值岗、攀高、人数异常等智能分析功能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14、支持三码流同时输出，主码流最高分辨率不低于2592*1944@30fps，最高帧率1920*1080@60 fps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15、支持POE、DC12V供电</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提供具备CMA标识的检测报告复印件加盖原厂公章佐证</w:t>
            </w:r>
          </w:p>
        </w:tc>
        <w:tc>
          <w:tcPr>
            <w:tcW w:w="94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6344"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智能审讯一体桌</w:t>
            </w:r>
          </w:p>
        </w:tc>
        <w:tc>
          <w:tcPr>
            <w:tcW w:w="9183" w:type="dxa"/>
            <w:gridSpan w:val="2"/>
            <w:tcBorders>
              <w:top w:val="single" w:color="auto"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智能审讯一体桌应集成审讯台、审讯终端、电动升降单元、示证单元、特写摄像机、拾音器、编码器、音箱、交换机、报警按钮、智能触摸中控系统、打印功能为一体，并预留审讯主机、示证展台和电子签名捺印设备安装位置</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2、审讯终端配置不低于intel I5处理器，8G内存，1TB机械硬盘，240GB固态硬盘</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3、电动升降单元：≥21寸，支持HDMI接口，仰角满足0－15°可调节角度，分辨率≥1920*1080</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4、示证单元：≥43寸，分辨率≥1920*1080</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5、内置编码器，支持1920*1080高清HDMI输出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6、内置高保真拾音器，具备高灵敏度、全向拾音</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7、审讯台桌面应采用木质材料</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8、智能触摸中控系统：≥7寸，应支持电控开关、智能审讯、大屏影像、生命体征、审讯椅控制五大应用模块</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9、电控开关模块，支持控制设备通断电</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10、智能审讯模块，支持一键开关机、示证切换、升降单元升降、开启审讯等功能，方便民警便捷开展审讯工作</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11、大屏影像模块，可以实时回显查看示证画面当前内容，便于民警核对</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12、生命体征模块，配合智能审讯椅使用，可以实时查看嫌疑人心率、体温数据</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13、审讯椅控制模块，配合智能审讯椅使用，可以控制智能审讯椅束缚装置打开</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14、特写摄像机：≥500万像素，2.8～12mm电动变焦，支持变倍聚焦</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15、特写摄像机角度可调，上下左右可调整角度不小于7度</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16、桌面提供接口不少于：音频3.5mm输入输出各一个、2个USB充电接口、5个USB2.0接口、1个AC 220V插口、1个网口</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17、桌面上支持手机无线充电</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18、打印模块隐蔽式嵌套于桌面下方，支持抽拉，可方便维护，桌面预留出纸口，纸张可无障碍摊放到桌面</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19、支持彩色打印</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20、支持按下桌面手动报警按钮触发应急报警</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21、提供配套键盘、鼠标</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62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审讯终端</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i5 10505、8g内存、m2 </w:t>
            </w:r>
            <w:r>
              <w:rPr>
                <w:rFonts w:hint="eastAsia" w:ascii="宋体" w:hAnsi="宋体" w:cs="宋体"/>
                <w:color w:val="auto"/>
                <w:kern w:val="0"/>
                <w:sz w:val="18"/>
                <w:szCs w:val="18"/>
                <w:highlight w:val="none"/>
                <w:lang w:eastAsia="zh-CN"/>
              </w:rPr>
              <w:t>256Ｇssd</w:t>
            </w:r>
            <w:r>
              <w:rPr>
                <w:rFonts w:hint="eastAsia" w:ascii="宋体" w:hAnsi="宋体" w:cs="宋体"/>
                <w:color w:val="auto"/>
                <w:kern w:val="0"/>
                <w:sz w:val="18"/>
                <w:szCs w:val="18"/>
                <w:highlight w:val="none"/>
              </w:rPr>
              <w:t xml:space="preserve">  、Intel B460主板 pcl插槽、千兆网卡、260w电源、21. 5寸液晶</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5</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6880"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公安审讯主机</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1、★支持不拆机箱更换光驱（提供具备CMA标识的检测报告复印件加盖原厂公章佐证） </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2、接口要求不少于：1个RJ45网络接口、4个POE网络接口、1个HDMI输入、1个VGA输入、1个VGA输出、8路报警输入接口，4路报警输出接口、4个USB2.0接口、1个USB3.0接口</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3、★支持4K（3840×2160）、5MP、1080P等分辨率的摄像机混合接入；支持1/2/3/4/5/6/8画面合成，合成画面支持（H.265、4K、60帧）独立编码（提供具备CMA标识的检测报告复印件加盖原厂公章佐证）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4、支持高音质音频接入，音频编码标准应采用AAC，音频采样率8KHz/32KHz/48KHz可调</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5、支持校正时钟</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6、单张光盘刻录的音视频时长不低于4小时，且不影响刻录的音视频质量（提供具备CMA标识的检测报告复印件加盖原厂公章佐证）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7、★支持采集讯问室实时音视频和环境信息，包括讯问民警人声、嫌疑人人声、其他环境声音、嫌疑人正面画面、室内全景画面、时间、温度、湿度等（提供具备CMA标识的检测报告复印件加盖原厂公章佐证）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8、支持视频自动叠加片头，叠加内容可设置案件编号、案件名称、审讯民警姓名、嫌疑人姓名等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9、支持打点功能，在硬盘存储和光盘刻录过程中可对重点内容进行打点标记</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10、支持视频、音频丢失报警功能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11、支持自动对光盘进行封盘</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12、讯问结束后刻录的时间不超过5分钟。支持通过硬盘音视频数据实现光盘更换自动回补刻录。支持静音光盘复制（提供具备CMA标识的检测报告复印件加盖原厂公章佐证）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13、讯问音视频回放应保证画面清晰，声音无提前或滞后且不失真</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14、★支持对光盘进行加密，未通过验证不可进行擦写或拷贝操作（提供具备CMA标识的检测报告复印件加盖原厂公章佐证）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15、访问主机需支持BS和CS两种方式</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16、支持一键直刻，光盘刻录可选择单盘直刻、双盘直刻或循环直刻，并可自定义刻录通道</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17、★支持GB/T28181、RTSP等接入协议，并具有H.323协议相关设置功能（提供具备CMA标识的检测报告复印件加盖原厂公章佐证）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18、磁盘管理支持盘组和配额两种模式，支持单块最大6T硬盘（提供具备CMA标识的检测报告复印件加盖原厂公章佐证）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19、支持上传证据资料</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20、支持接入人体生命体征信息，可在实时视频上同步叠加血压、血氧、心律等体征信息</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21、主机应标配1块不小于4T的硬盘</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34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一体化数字签名屏（含数字签名系统V1.0.0）</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功能：通过设备对接执法办案系统笔录文书，实现签名捺印写入文书。</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参数：驱动支持： Windows98，Me，NT4.0，2000，XP；</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支持电子签名、指纹识别</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供电电压 ：5.0V +/-.25V USB提供；</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接口连接线：定制mini USB线；功耗 ：最高1.0W；</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分辨率：1280*800分辨率24位真彩色</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像素点距：0.30(水平)*0.30（垂直）mm。</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触控：支持多点触控</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485"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智能交互终端</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1、支持10点触控电容触摸屏，尺寸不小于13寸</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2、支持RJ45接口，内置Mic，内置扬声器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3、内置补光灯，并可自动开关</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4、支持人员检测功能，通过红外感应有无人员自动控制屏幕点亮和熄灭</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5、支持人脸比对功能，比对结果反馈显示时间不超过3秒</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6、支持活体检测以防电子照片验证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7、性能容量不低于：用户数10000人，面部容量10000张，记录容量10万条</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8、人脸识别准确率不低于99%</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9、支持门禁控制功能，可通过人脸识别、刷卡和密码开门</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56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电磁锁</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1、280kg单门两线拉丝磁力锁</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2、通电上锁，无残磁、无机械磨损</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tblPrEx>
          <w:tblCellMar>
            <w:top w:w="0" w:type="dxa"/>
            <w:left w:w="108" w:type="dxa"/>
            <w:bottom w:w="0" w:type="dxa"/>
            <w:right w:w="108" w:type="dxa"/>
          </w:tblCellMar>
        </w:tblPrEx>
        <w:trPr>
          <w:trHeight w:val="56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Z型支架</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1、配合电磁锁使用,尺寸：长*宽*高=25cm*3cm*5cm  </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1347"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门禁电源</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交流输入：AC 220V 50HZ</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输出电压：DC 12V</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持续电流：1.2A</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瞬间电流：3A</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开门延时：0-15S可调</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1942"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窗口对讲机</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1、采用DSP双通道语音自动控制技术，有效防止啸叫和通道干扰，符合GA38-2015文件要求，实现数字高清全双工扩音对讲</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2、采用全触摸按钮设计的窗口对讲，按键使用无次数限制，并伴有光环灯</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3、能识别发声源，同时抑制环境噪声，自动调节音量，真实还原人的声音</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4、提供三种场景模式（安静、标准、嘈杂）一键调节</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5、内机与外机接线方式采用一根尾端线连接</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6、采用硬质金属腔体，能够杜绝机身共振</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7、提供模拟输出口，实现第三方同步录音</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509"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讯（询）问椅</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定制</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tblPrEx>
          <w:tblCellMar>
            <w:top w:w="0" w:type="dxa"/>
            <w:left w:w="108" w:type="dxa"/>
            <w:bottom w:w="0" w:type="dxa"/>
            <w:right w:w="108" w:type="dxa"/>
          </w:tblCellMar>
        </w:tblPrEx>
        <w:trPr>
          <w:trHeight w:val="509"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未成年人看护椅</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定制</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tblPrEx>
          <w:tblCellMar>
            <w:top w:w="0" w:type="dxa"/>
            <w:left w:w="108" w:type="dxa"/>
            <w:bottom w:w="0" w:type="dxa"/>
            <w:right w:w="108" w:type="dxa"/>
          </w:tblCellMar>
        </w:tblPrEx>
        <w:trPr>
          <w:trHeight w:val="509"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登记终端</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i5 10505、8g内存、m2 </w:t>
            </w:r>
            <w:r>
              <w:rPr>
                <w:rFonts w:hint="eastAsia" w:ascii="宋体" w:hAnsi="宋体" w:cs="宋体"/>
                <w:color w:val="auto"/>
                <w:kern w:val="0"/>
                <w:sz w:val="18"/>
                <w:szCs w:val="18"/>
                <w:highlight w:val="none"/>
                <w:lang w:eastAsia="zh-CN"/>
              </w:rPr>
              <w:t>256Ｇssd</w:t>
            </w:r>
            <w:r>
              <w:rPr>
                <w:rFonts w:hint="eastAsia" w:ascii="宋体" w:hAnsi="宋体" w:cs="宋体"/>
                <w:color w:val="auto"/>
                <w:kern w:val="0"/>
                <w:sz w:val="18"/>
                <w:szCs w:val="18"/>
                <w:highlight w:val="none"/>
              </w:rPr>
              <w:t xml:space="preserve"> 、Intel B460主板 pcl插槽、千兆网卡、260w电源、21. 5寸液晶</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509"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监听耳麦</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　专业监听头戴式耳机 90度旋转式耳罩单耳监听</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509"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（十一）、视频跟踪定位系统</w:t>
            </w:r>
          </w:p>
        </w:tc>
      </w:tr>
      <w:tr>
        <w:tblPrEx>
          <w:tblCellMar>
            <w:top w:w="0" w:type="dxa"/>
            <w:left w:w="108" w:type="dxa"/>
            <w:bottom w:w="0" w:type="dxa"/>
            <w:right w:w="108" w:type="dxa"/>
          </w:tblCellMar>
        </w:tblPrEx>
        <w:trPr>
          <w:trHeight w:val="3144"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11</w:t>
            </w: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视频跟踪主机</w:t>
            </w:r>
          </w:p>
        </w:tc>
        <w:tc>
          <w:tcPr>
            <w:tcW w:w="9183" w:type="dxa"/>
            <w:gridSpan w:val="2"/>
            <w:tcBorders>
              <w:top w:val="single" w:color="000000" w:sz="4" w:space="0"/>
              <w:left w:val="single" w:color="000000" w:sz="4" w:space="0"/>
              <w:bottom w:val="single" w:color="auto"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1、采用2U机架式机箱，Intel 64位多核处理器，内存不低于32G</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2、人脸人体抓拍机接入处理能力不低于200路</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3、支持不少于1个VGA接口、3个RJ45接口、4个USB接口、8个硬盘接口</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4、★支持人体结构化数据分析和人脸识别分析（提供具备CMA标识的检测报告复印件加盖原厂公章佐证）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5、支持通过人脸与人员信息关联（提供具备CMA标识的检测报告复印件加盖原厂公章佐证）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6、支持抓拍人脸或人体并存入系统，作为身份标识（提供具备CMA标识的检测报告复印件加盖原厂公章佐证）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7、★支持对实时视频进行人脸比对分析（提供具备CMA标识的检测报告复印件加盖原厂公章佐证）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8、★支持对图片和录像进行人脸比对分析（提供具备CMA标识的检测报告复印件加盖原厂公章佐证）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9、★支持对嫌疑人从入区到出区的全过程轨迹进行视频拼接（提供具备CMA标识的检测报告复印件加盖原厂公章佐证）</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10、支持在办案区地图界面，实时显示嫌疑人、民警及其它人员位置</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194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定位软件</w:t>
            </w:r>
          </w:p>
        </w:tc>
        <w:tc>
          <w:tcPr>
            <w:tcW w:w="9183"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1、实时处理人员行动轨迹和位置/进入区域时间及停留时长</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2、对危险区域/禁入区域动态监控，有人禁入，联动管理平台报警</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3、嫌疑人人员数量/信息/位置实时同步管理平台</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4、人员位置发生变化实时更新人员位置信息，数据同步传输地图服务器显示人员位置和视频</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5、汇总各区域工作人员数量，对于越权的行为进行及时告警，联动摄像头，查看人员视频信息等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6、支持人员的基本信息和详细信息的处理和数据关联</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7、监控记录查询对进出人员的区域记录，并提供关联查询到其进入区域的登记信息功能。监控记录信息包括记录时间、监控区域、监控对象</w:t>
            </w:r>
          </w:p>
        </w:tc>
        <w:tc>
          <w:tcPr>
            <w:tcW w:w="94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2945"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定位摄像机（变焦）</w:t>
            </w:r>
          </w:p>
        </w:tc>
        <w:tc>
          <w:tcPr>
            <w:tcW w:w="9183" w:type="dxa"/>
            <w:gridSpan w:val="2"/>
            <w:tcBorders>
              <w:top w:val="single" w:color="auto"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1、1/2.7英寸500万像素CMOS传感器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2、2.8～12mm高清电动变焦，支持一键聚焦</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3、支持三码流同时输出，主码流最高分辨率5MP(2592x1944)@25fps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4、支持人脸抓拍，单画面最多同时抓拍32张人脸数</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5、人脸抓拍率不低于97%</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6、支持不少于14颗红外灯，4颗暖光灯，红外补光距离不低于30米，白光补光距离不低于10米，支持补光变倍匹配功能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7、接口不少于：音频输入/输出各一个、内置MIC、扬声器、报警输入2个，报警输出1个，支持前端TF卡存储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8、支持宽动态、背光补偿、强光抑制、3D降噪和图像翻转功能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9、防护等级不低于：外壳防尘防水IP66，防暴等级IK10、4级防雷、防浪涌、2KV</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10、支持POE、DC12V供电</w:t>
            </w:r>
          </w:p>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1</w:t>
            </w:r>
            <w:r>
              <w:rPr>
                <w:rFonts w:ascii="宋体" w:hAnsi="宋体" w:cs="宋体"/>
                <w:b/>
                <w:bCs/>
                <w:color w:val="auto"/>
                <w:kern w:val="0"/>
                <w:sz w:val="18"/>
                <w:szCs w:val="18"/>
                <w:highlight w:val="none"/>
              </w:rPr>
              <w:t>1</w:t>
            </w:r>
            <w:r>
              <w:rPr>
                <w:rFonts w:hint="eastAsia" w:ascii="宋体" w:hAnsi="宋体" w:cs="宋体"/>
                <w:b/>
                <w:bCs/>
                <w:color w:val="auto"/>
                <w:kern w:val="0"/>
                <w:sz w:val="18"/>
                <w:szCs w:val="18"/>
                <w:highlight w:val="none"/>
              </w:rPr>
              <w:t>、支持智能监控、人脸抓拍双模式切换；智能监控模式下支持人体攀高、跌倒、音频异常、活动区域热度图以及值岗检测等。</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r>
              <w:rPr>
                <w:rFonts w:hint="eastAsia" w:ascii="宋体" w:hAnsi="宋体" w:cs="宋体"/>
                <w:color w:val="auto"/>
                <w:kern w:val="0"/>
                <w:sz w:val="18"/>
                <w:szCs w:val="18"/>
                <w:highlight w:val="none"/>
                <w:lang w:val="en-US" w:eastAsia="zh-CN"/>
              </w:rPr>
              <w:t>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90"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4K抓拍摄像机</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1、不低于800万像素CMOS传感器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2、2.7~13.5mm电动变焦，支持一键聚焦</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3、支持三码流同时输出，主码流最高分辨率可达8MP@20fps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4、支持人脸抓拍，单画面同时抓拍人脸数不低于32张</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5、人脸抓拍率不低于97%</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6、支持不少于14颗红外灯，不少于4颗白光灯，红外补光距离不低于50米，白光补光距离不低于10米，支持补光变倍匹配功能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7、接口不少于：音频输入/输出各一个、内置MIC、扬声器、报警输入2个，报警输出1个，支持前端TF卡存储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8、支持宽动态、背光补偿、强光抑制、3D降噪和图像翻转功能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9、防护等级不低于：外壳防尘防水IP66，防暴等级IK10，4级防雷</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10、支持POE、DC12V供电</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7</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4065"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无线话筒</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接收频道 :双通道接收</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机箱规格 :EIA标准1U金属机箱 </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面板显示 :LED段码显示器，可同时显示群组、频率、电池电量、静音位准、电子音量等相关信息；LED灯柱显示RF/AF强度</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预设频率数 :第1-4组预设16个无条件限制的互不干扰频率，第5－8预设24个互不干扰频率，第U组为用户自定义组，最多可提供2000频率供客户自定义选择使用。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接收方式 :天线分集式接收</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操作方式:采用飞梭旋钮与按键相结合的方式，方便各项功能操作。</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振荡模式 :PLL相位锁定频率合成</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载波频段: UHF530-690.000MHZ</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单机频带宽度 :50 MHz</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单机频道数量：2000个</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频率间隔：25KHz</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音频灵敏度: -48±3dB</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综合S/N比 : &gt;100dB(A)</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综合T.H.D. :&lt;0.5%@1kHz</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综合频率响应 : 70Hz-15kHz</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295"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（十二）、案卷管理系统</w:t>
            </w:r>
          </w:p>
        </w:tc>
      </w:tr>
      <w:tr>
        <w:tblPrEx>
          <w:tblCellMar>
            <w:top w:w="0" w:type="dxa"/>
            <w:left w:w="108" w:type="dxa"/>
            <w:bottom w:w="0" w:type="dxa"/>
            <w:right w:w="108" w:type="dxa"/>
          </w:tblCellMar>
        </w:tblPrEx>
        <w:trPr>
          <w:trHeight w:val="2568"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案卷管理柜（主柜）</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柜体、工控主机、触摸显示屏、IC卡阅读器、指纹识别、二维码扫描器、电控锁和电气控制箱八大部分组合而成；柜体采用宝钢、δ=1.0mm的冷轧板，箱体表面经过除锈、除油、打磨、磷化处理；箱体颜色可定制；箱门使用电控锁，采用电磁式单舌机械锁，同时作热涂锌防锈处理；每个箱门上有标签槽，可以插入卡片；每个箱门开透明窗；工控机触摸屏上方安装针孔摄像机；支持在停电情况下，通过机械方式开门；同时支持断电保护，断电情况下系统自动记录有关数据；管理查询功能：可以实现记录查询、当前箱子使用时间查询、累计使用次数查询等；支持多副机级联，可以拓展多个从柜；支持通过人脸识别、指纹识别、刷卡登陆终端客户端；支持通过终端以及平台软件远程控制开箱。</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主柜包含23门，每个箱体尺寸：宽*深*高≥320（470）*450*361.6；柜体尺寸：宽*深*高≥1800*450*1880mm；工控机配置：Intel Celeron J1900四核处理器、DDR3 4G内存、2.5英寸32G抽取式固态硬盘；触摸显示屏：15寸红外触摸屏；</w:t>
            </w:r>
            <w:r>
              <w:rPr>
                <w:rFonts w:hint="eastAsia" w:ascii="宋体" w:hAnsi="宋体" w:cs="宋体"/>
                <w:b/>
                <w:bCs/>
                <w:color w:val="auto"/>
                <w:kern w:val="0"/>
                <w:sz w:val="18"/>
                <w:szCs w:val="18"/>
                <w:highlight w:val="none"/>
              </w:rPr>
              <w:t>案卷管理柜要与法智+系统联通并实现需入所案倦的提示功能及在所案倦的出入状态提醒，可以通过法智+系统对民警进行提醒及其他操作</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1525"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案卷管理副柜</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柜体、电控锁和电气控制箱组合而成；柜体采用宝钢、δ=1.0mm的冷轧板，箱体表面经过除锈、除油、打磨、磷化处理；箱体颜色可定制；箱门使用电控锁，采用电磁式单舌机械锁，同时作热涂锌防锈处理每个箱门上有标签槽，可以插入卡片；每个箱门开透明窗；支持与主柜之间级联。</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※技术规格：从柜包含20个箱门，每个箱体尺寸：宽*深*高≥320*450*361.6；柜体尺寸：宽*深*高≥1300*450*1880mm；</w:t>
            </w:r>
            <w:r>
              <w:rPr>
                <w:rFonts w:hint="eastAsia" w:ascii="宋体" w:hAnsi="宋体" w:cs="宋体"/>
                <w:b/>
                <w:bCs/>
                <w:color w:val="auto"/>
                <w:kern w:val="0"/>
                <w:sz w:val="18"/>
                <w:szCs w:val="18"/>
                <w:highlight w:val="none"/>
              </w:rPr>
              <w:t>案卷管理柜要与法智+系统联通并实现需入所案倦的提示功能及在所案倦的出入状态提醒，可以通过法智+系统对民警进行提醒及其他操作</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711"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二维码生成器</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1、技术类型：标签打印</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2、连接方式：有线，USB，移动APP打印</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3、电源DC12V/4A</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222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签字板</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电子签名捺印：具备指纹采集、电子签名等功能的智能专用设备，相关人员可通过设备获得所需的签名捺印的服务</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同步录音录像：实现电子签章、电子指纹采集过程同步录影录像，实现证据链的不间断和可追溯性</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多应用服务：终端内置安卓系统，提供原笔迹签名、信息交互、人像拍照、录音录像、等多种成熟应用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高集成度：终端集成了视频、音频（录/播）、笔迹书写等诸多功能模块。</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数据安全：终端内置国密芯片，对整机的用户静态数据都能进行加密处理，保障用户的静态数据安全。当终端进行数据传输时，传输数据可采用加密+签名的手段，保证数据传输过程的保密性和防篡改，保障数据传输安全。</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56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管理终端</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i5 10505、8g内存、m2 </w:t>
            </w:r>
            <w:r>
              <w:rPr>
                <w:rFonts w:hint="eastAsia" w:ascii="宋体" w:hAnsi="宋体" w:cs="宋体"/>
                <w:color w:val="auto"/>
                <w:kern w:val="0"/>
                <w:sz w:val="18"/>
                <w:szCs w:val="18"/>
                <w:highlight w:val="none"/>
                <w:lang w:eastAsia="zh-CN"/>
              </w:rPr>
              <w:t>256Ｇssd</w:t>
            </w:r>
            <w:r>
              <w:rPr>
                <w:rFonts w:hint="eastAsia" w:ascii="宋体" w:hAnsi="宋体" w:cs="宋体"/>
                <w:color w:val="auto"/>
                <w:kern w:val="0"/>
                <w:sz w:val="18"/>
                <w:szCs w:val="18"/>
                <w:highlight w:val="none"/>
              </w:rPr>
              <w:t xml:space="preserve"> 、Intel B460主板 pcl插槽、千兆网卡、260w电源、21. 5寸液晶</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789"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短信猫</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1、七模全网通工业级数传终端，采用高性能的工业级32位通信处理器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2、支持移动、联通、电信4G/3G/2G网络</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3、支持标准RS232、RS485串口连接，实现短信收发功能</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56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打印机</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激光多功能打印机 支持打印复印描</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56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扫描仪</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2200万象素A3软底 曲面展平 电子签章</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95"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（十三）、涉案财物管理系统</w:t>
            </w:r>
          </w:p>
        </w:tc>
      </w:tr>
      <w:tr>
        <w:tblPrEx>
          <w:tblCellMar>
            <w:top w:w="0" w:type="dxa"/>
            <w:left w:w="108" w:type="dxa"/>
            <w:bottom w:w="0" w:type="dxa"/>
            <w:right w:w="108" w:type="dxa"/>
          </w:tblCellMar>
        </w:tblPrEx>
        <w:trPr>
          <w:trHeight w:val="928" w:hRule="atLeast"/>
          <w:jc w:val="center"/>
        </w:trPr>
        <w:tc>
          <w:tcPr>
            <w:tcW w:w="806" w:type="dxa"/>
            <w:vMerge w:val="restar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智能物证柜（涉案财物智能管理嵌入式软件）主柜</w:t>
            </w:r>
          </w:p>
        </w:tc>
        <w:tc>
          <w:tcPr>
            <w:tcW w:w="9183"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功能：1.使用场景：应用于物证中心；2.实现功能：实现与物证模块关联，小型物证存放；实现公安物证进行存取管理使用；电子锁控，关联存取记录，可追溯；单面存取配套涉案财物管理系统，实现对涉案财物的智能管理，</w:t>
            </w:r>
            <w:r>
              <w:rPr>
                <w:rFonts w:hint="eastAsia" w:ascii="宋体" w:hAnsi="宋体" w:cs="宋体"/>
                <w:b/>
                <w:bCs/>
                <w:color w:val="auto"/>
                <w:kern w:val="0"/>
                <w:sz w:val="18"/>
                <w:szCs w:val="18"/>
                <w:highlight w:val="none"/>
              </w:rPr>
              <w:t>需与法智+系统联通并实现涉案财物出入库、在库、待出库的提示功能状态提醒，可以通过法智+系统对民警进行提醒及其他操作</w:t>
            </w:r>
          </w:p>
        </w:tc>
        <w:tc>
          <w:tcPr>
            <w:tcW w:w="94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1011"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auto"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智能物证柜（涉案财物智能管理嵌入式软件）副柜</w:t>
            </w:r>
          </w:p>
        </w:tc>
        <w:tc>
          <w:tcPr>
            <w:tcW w:w="9183" w:type="dxa"/>
            <w:gridSpan w:val="2"/>
            <w:tcBorders>
              <w:top w:val="single" w:color="auto" w:sz="4" w:space="0"/>
              <w:left w:val="single" w:color="000000" w:sz="4" w:space="0"/>
              <w:bottom w:val="nil"/>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功能：1.使用场景：应用于物证中心；2.实现功能：实现与物证模块关联，小型物证存放；实现公安物证进行存取管理使用；电子锁控，关联存取记录，可追溯；单面存取，配套涉案财物管理系统，实现对涉案财物的智能管理，</w:t>
            </w:r>
            <w:r>
              <w:rPr>
                <w:rFonts w:hint="eastAsia" w:ascii="宋体" w:hAnsi="宋体" w:cs="宋体"/>
                <w:b/>
                <w:bCs/>
                <w:color w:val="auto"/>
                <w:kern w:val="0"/>
                <w:sz w:val="18"/>
                <w:szCs w:val="18"/>
                <w:highlight w:val="none"/>
              </w:rPr>
              <w:t>需与法智+系统联通并实现涉案财物出入库、在库、待出库的提示功能状态提醒，可以通过法智+系统对民警进行提醒及其他操作</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06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物品抓拍摄像机</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1/3英寸210万像素CMOS；33倍光学变焦，16倍数字变倍；支持网络视频、BNC同步输出；支持H.265、H.264（HP/MP/BP）编码压缩算法；支持三码流同时输出,主码流1080p@25fps、1080p@30fps 、1080p@50fps、1080p@60fps，副码流4CIF（704×576）@25fps，三码流1080p@25fps、1080p@30fps；支持智能分析，包括证人保护、绊线、周界、人脸检测、值岗检测和人数统计等功能；支持音频降噪、音频异常侦测功能；水平360°连续旋转，垂直转动角度-30°～90°；手动水平控制速度：0.05～150°/s；具备USB接口和TF卡接口，可扩展外置存储；支持镜像自动翻转；支持内置无源MIC；支持3路报警输入2路报警输出；支持1路音频输入和1路音频输出，支持AAC编码，48K采样率，高保真音频；支持POE+/12V两种供电方式。</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56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验钞机</w:t>
            </w:r>
          </w:p>
        </w:tc>
        <w:tc>
          <w:tcPr>
            <w:tcW w:w="9183" w:type="dxa"/>
            <w:gridSpan w:val="2"/>
            <w:tcBorders>
              <w:top w:val="single" w:color="000000" w:sz="4" w:space="0"/>
              <w:left w:val="single" w:color="000000" w:sz="4" w:space="0"/>
              <w:bottom w:val="nil"/>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计数显示屏：有，点钞速度：≥900张/分钟</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56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打印机</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激光多功能打印机 支持打印复印扫描</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56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管理终端</w:t>
            </w:r>
          </w:p>
        </w:tc>
        <w:tc>
          <w:tcPr>
            <w:tcW w:w="9183" w:type="dxa"/>
            <w:gridSpan w:val="2"/>
            <w:tcBorders>
              <w:top w:val="single" w:color="000000" w:sz="4" w:space="0"/>
              <w:left w:val="single" w:color="000000" w:sz="4" w:space="0"/>
              <w:bottom w:val="nil"/>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i5 10505、8g内存、m2 </w:t>
            </w:r>
            <w:r>
              <w:rPr>
                <w:rFonts w:hint="eastAsia" w:ascii="宋体" w:hAnsi="宋体" w:cs="宋体"/>
                <w:color w:val="auto"/>
                <w:kern w:val="0"/>
                <w:sz w:val="18"/>
                <w:szCs w:val="18"/>
                <w:highlight w:val="none"/>
                <w:lang w:eastAsia="zh-CN"/>
              </w:rPr>
              <w:t>256Ｇssd</w:t>
            </w:r>
            <w:r>
              <w:rPr>
                <w:rFonts w:hint="eastAsia" w:ascii="宋体" w:hAnsi="宋体" w:cs="宋体"/>
                <w:color w:val="auto"/>
                <w:kern w:val="0"/>
                <w:sz w:val="18"/>
                <w:szCs w:val="18"/>
                <w:highlight w:val="none"/>
              </w:rPr>
              <w:t xml:space="preserve"> 、Intel B460主板 pcl插槽、千兆网卡、260w电源、21. 5寸液晶</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56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自封袋</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10号透明自封</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tblPrEx>
          <w:tblCellMar>
            <w:top w:w="0" w:type="dxa"/>
            <w:left w:w="108" w:type="dxa"/>
            <w:bottom w:w="0" w:type="dxa"/>
            <w:right w:w="108" w:type="dxa"/>
          </w:tblCellMar>
        </w:tblPrEx>
        <w:trPr>
          <w:trHeight w:val="56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保险箱</w:t>
            </w:r>
          </w:p>
        </w:tc>
        <w:tc>
          <w:tcPr>
            <w:tcW w:w="9183" w:type="dxa"/>
            <w:gridSpan w:val="2"/>
            <w:tcBorders>
              <w:top w:val="single" w:color="000000" w:sz="4" w:space="0"/>
              <w:left w:val="single" w:color="000000" w:sz="4" w:space="0"/>
              <w:bottom w:val="single" w:color="auto"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高100CM指纹+密码双门保管箱 25M实心加粗全钢实心材质防割防撬</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852"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涉案财物储存专用架</w:t>
            </w:r>
          </w:p>
        </w:tc>
        <w:tc>
          <w:tcPr>
            <w:tcW w:w="9183"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4层配置，产品尺寸（长*宽*高）≥150*60*200cm、每层承载≥280KG</w:t>
            </w:r>
          </w:p>
        </w:tc>
        <w:tc>
          <w:tcPr>
            <w:tcW w:w="94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56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防磁柜</w:t>
            </w:r>
          </w:p>
        </w:tc>
        <w:tc>
          <w:tcPr>
            <w:tcW w:w="9183" w:type="dxa"/>
            <w:gridSpan w:val="2"/>
            <w:tcBorders>
              <w:top w:val="single" w:color="auto"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容积≥180L磁带存放量36盒/抽屉，光盘存放量90盒/抽屉，单门，8个抽屉，防止外来磁场对柜内磁性物品产生磁化作用</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56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专用冷藏柜</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外部尺寸≥600*500*1290有效容积310L,温度控制/制冷系统/安全系统等</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295"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（十四）、执法监督区</w:t>
            </w:r>
          </w:p>
        </w:tc>
      </w:tr>
      <w:tr>
        <w:tblPrEx>
          <w:tblCellMar>
            <w:top w:w="0" w:type="dxa"/>
            <w:left w:w="108" w:type="dxa"/>
            <w:bottom w:w="0" w:type="dxa"/>
            <w:right w:w="108" w:type="dxa"/>
          </w:tblCellMar>
        </w:tblPrEx>
        <w:trPr>
          <w:trHeight w:val="568"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14</w:t>
            </w: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指挥终端</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i7-8700K 16G 1T QuadroP6002G独显； 120G固态，含显示器、鼠标、键盘</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867"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调音台</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1、8路输入，高、中、低音独立调节</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2、立体声输出；立体声录音输出，2路辅助输出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3、1路辅助返送，1路立体声（平面声转换）返送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4、内置效果器，耳机监听功能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5、标准+48V幻像电源可分组接通</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6、增益：话筒65dB 线路45dB</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7、频率响应：20Hz～20KHz （＋1dB，－3dB ）</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8、失真度：≤0.2％</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9、信噪比：≥95dB</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10、额定电源电压：交流220V/50Hz</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1508"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功放</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输出功率500W</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桥接功率500W</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频响范围±1.0dB (1W、 8Ω、 20Hz 至 20kHz)</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失真度0.1% (1kHz、 10W) 0.3% (1kHz</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灵敏度20kΩ (平衡) 10kΩ (非平衡)</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信噪比100dB</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029"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音箱</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吸顶/壁挂</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音箱：</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额定/峰值功率：        80W / 320 W   </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额定阻抗：             8Ω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特性灵敏度：           92dB/W/m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输出声压级：           112dB/W/m(Continues)  118dB/W/m(Peak)                     </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额定频率范围:           50~ 20KHz</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扬声器单元：            LF:  8英寸</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tblPrEx>
          <w:tblCellMar>
            <w:top w:w="0" w:type="dxa"/>
            <w:left w:w="108" w:type="dxa"/>
            <w:bottom w:w="0" w:type="dxa"/>
            <w:right w:w="108" w:type="dxa"/>
          </w:tblCellMar>
        </w:tblPrEx>
        <w:trPr>
          <w:trHeight w:val="2167"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电源时序器</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1、采用MCU控制；不劣于80A电源输入带过流保护。</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2、LED电压指示监控当前电压。</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3、过压报警功能（带报警铃声）。</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4、支持单机控制、多机联机控制，串口控制、外接设备触法控制功能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5、支持不少于6路DC12V/1.2A和1路USB接口的DC5V输出。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6、压显示精准度：空载时±1%，满载时±10%</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7、输出通道数和插座模式不少于14路，万用电源插座</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8、每通道最大输出电流：20A</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9、时序开关频率：每1步/秒</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4641"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无线话筒</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接收频道 :双通道接收</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机箱规格 :EIA标准1U金属机箱 </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面板显示 :LED段码显示器，可同时显示群组、频率、电池电量、静音位准、电子音量等相关信息；LED灯柱显示RF/AF强度</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预设频率数 :第1-4组预设16个无条件限制的互不干扰频率，第5－8预设24个互不干扰频率，第U组为用户自定义组，最多可提供2000频率供客户自定义选择使用。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接收方式 :天线分集式接收</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操作方式:采用飞梭旋钮与按键相结合的方式，方便各项功能操作。</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振荡模式 :PLL相位锁定频率合成</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载波频段: UHF530-690.000MHZ</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单机频带宽度 :50 MHz</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单机频道数量：2000个</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频率间隔：25KHz</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音频灵敏度: -48±3dB</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综合S/N比 : &gt;100dB(A)</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综合T.H.D. :&lt;0.5%@1kHz</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综合频率响应 : 70Hz-15kHz</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综合S/N比 : &gt;100dB(A)</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综合T.H.D. :&lt;0.5%@1kHz</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综合频率响应 : 70Hz-15kHz</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1642"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55寸拼接屏</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1.55寸，1.8拼缝，高亮700cd/㎡,最大分辨率1920*1080；</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2.液晶拼接显示单元采用原厂原装A规屏，液晶拼接模组和整机单元需为同一品牌，采用ADSDS硬屏技术。</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3.为保证图像显示效果，液晶拼接显示单元采用55寸，拼接缝隙≤0.88mm，亮度≥500cd/㎡，对比度≥1400:1，可视角度≥178度，色彩1.07B(10bit)，色彩饱和度72%。具有高分辨率，高亮度，高对比度等特点。</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4.液晶拼接显示单元需通过IP6X防尘等级认证及抗震八级认证。</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5.液晶拼接显示单元稳定可靠，平均无故障运行时间（MTBF）不低于60000小时。</w:t>
            </w:r>
          </w:p>
          <w:p>
            <w:pPr>
              <w:widowControl/>
              <w:textAlignment w:val="top"/>
              <w:rPr>
                <w:rFonts w:ascii="宋体" w:hAnsi="宋体" w:cs="宋体"/>
                <w:color w:val="auto"/>
                <w:kern w:val="0"/>
                <w:sz w:val="18"/>
                <w:szCs w:val="18"/>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块</w:t>
            </w:r>
          </w:p>
        </w:tc>
      </w:tr>
      <w:tr>
        <w:tblPrEx>
          <w:tblCellMar>
            <w:top w:w="0" w:type="dxa"/>
            <w:left w:w="108" w:type="dxa"/>
            <w:bottom w:w="0" w:type="dxa"/>
            <w:right w:w="108" w:type="dxa"/>
          </w:tblCellMar>
        </w:tblPrEx>
        <w:trPr>
          <w:trHeight w:val="532"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55寸拼接屏支架</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定制前维护</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532"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高清线缆</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HDMI高清线</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条</w:t>
            </w:r>
          </w:p>
        </w:tc>
      </w:tr>
      <w:tr>
        <w:tblPrEx>
          <w:tblCellMar>
            <w:top w:w="0" w:type="dxa"/>
            <w:left w:w="108" w:type="dxa"/>
            <w:bottom w:w="0" w:type="dxa"/>
            <w:right w:w="108" w:type="dxa"/>
          </w:tblCellMar>
        </w:tblPrEx>
        <w:trPr>
          <w:trHeight w:val="90"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解码拼控一体云主机（专用机箱、编码卡、解码卡）</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1、纯FPGA架构硬拼控；</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2、支持4K高分辨率输入输出；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3、支持4路本地高清视频输入+12路视频解码输出；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4、高清视频输入支持HDMI，DVI-I； </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5、支持千兆光口；</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6、支持双电源备份功能；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7、支持H.264/265等编码格式；</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8、支持H.265、H.264的Baseline/Main/High-profile编码级别；</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9、支持16个系统预案及快速调取；</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10、音频解码支持G.711A、G.711U、AAC、ADPCM音频格式的解码；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11、整机解码通道路数256路；</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12、支持解码性能自由划分；</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13、支持12块屏级联拼接、开窗、叠加、漫游、跨屏等功能；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14、支持开窗、叠加、漫游、跨屏等功能；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15、任何一路信号都可以实现无级缩放功能；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16、支持报警输入/输出功能设置，支持布撤防时间设置；</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17、支持报警联动切换；</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18、支持单画面添加64路通道轮巡解码；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19、支持录像文件解码输出上墙；</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20、支持网络键盘/RS485键盘通过解码器控制前端；</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21、支持透明通道；</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22、高清视频输入可随解码一同分割、拼接、开窗、漫游、叠加等功能；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23、支持ONVIF标准协议接入设备；</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24、支持RTP/RTSP协议进行设备浏览；</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25、支持使用RTSP URL方式从编码设备取流解码；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26、支持平台以SDK方式集成设备；</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27、支持GB28181协议接入平台；</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28、支持WEB方式或平台访问、配置和管理；</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29、支持远程获取和配置参数，支持远程导出和导入参数；</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30、支持远程获取系统运行状态、系统日志；</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31、支持远程重启、恢复默认配置、升级等日常维护；</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32、整机包含复位按键1个。</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430"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（十五）、定制软件</w:t>
            </w:r>
          </w:p>
        </w:tc>
      </w:tr>
      <w:tr>
        <w:tblPrEx>
          <w:tblCellMar>
            <w:top w:w="0" w:type="dxa"/>
            <w:left w:w="108" w:type="dxa"/>
            <w:bottom w:w="0" w:type="dxa"/>
            <w:right w:w="108" w:type="dxa"/>
          </w:tblCellMar>
        </w:tblPrEx>
        <w:trPr>
          <w:trHeight w:val="1830"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执法办案管理模块</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color w:val="auto"/>
                <w:highlight w:val="none"/>
              </w:rPr>
            </w:pPr>
            <w:r>
              <w:rPr>
                <w:rFonts w:hint="eastAsia"/>
                <w:color w:val="auto"/>
                <w:highlight w:val="none"/>
              </w:rPr>
              <w:t xml:space="preserve">1、★支持办案流程化信息管理，包括人员登记、安全检查、物品暂存、信息采集、**检测、候问、讯问、物品返还、出区登记等（提供具备CMA标识的检测报告复印件加盖原厂公章佐证） </w:t>
            </w:r>
          </w:p>
          <w:p>
            <w:pPr>
              <w:widowControl/>
              <w:jc w:val="left"/>
              <w:textAlignment w:val="top"/>
              <w:rPr>
                <w:color w:val="auto"/>
                <w:highlight w:val="none"/>
              </w:rPr>
            </w:pPr>
            <w:r>
              <w:rPr>
                <w:rFonts w:hint="eastAsia"/>
                <w:color w:val="auto"/>
                <w:highlight w:val="none"/>
              </w:rPr>
              <w:t>2、支持办案预约功能，预约时可填写案件信息</w:t>
            </w:r>
          </w:p>
          <w:p>
            <w:pPr>
              <w:widowControl/>
              <w:jc w:val="left"/>
              <w:textAlignment w:val="top"/>
              <w:rPr>
                <w:color w:val="auto"/>
                <w:highlight w:val="none"/>
              </w:rPr>
            </w:pPr>
            <w:r>
              <w:rPr>
                <w:rFonts w:hint="eastAsia"/>
                <w:color w:val="auto"/>
                <w:highlight w:val="none"/>
              </w:rPr>
              <w:t>3、支持人员入区时进行信息登记，登记时可通过二代身份证读卡器读取并自动填充身份证号等信息，也可输入嫌疑人信息，并可对办案民警信息进行登记</w:t>
            </w:r>
          </w:p>
          <w:p>
            <w:pPr>
              <w:widowControl/>
              <w:jc w:val="left"/>
              <w:textAlignment w:val="top"/>
              <w:rPr>
                <w:color w:val="auto"/>
                <w:highlight w:val="none"/>
              </w:rPr>
            </w:pPr>
            <w:r>
              <w:rPr>
                <w:rFonts w:hint="eastAsia"/>
                <w:color w:val="auto"/>
                <w:highlight w:val="none"/>
              </w:rPr>
              <w:t>4、★人员入区登记时，可抓拍人员面部照片，并录入登记表（提供具备CMA标识的检测报告复印件加盖原厂公章佐证）</w:t>
            </w:r>
          </w:p>
          <w:p>
            <w:pPr>
              <w:widowControl/>
              <w:jc w:val="left"/>
              <w:textAlignment w:val="top"/>
              <w:rPr>
                <w:color w:val="auto"/>
                <w:highlight w:val="none"/>
              </w:rPr>
            </w:pPr>
            <w:r>
              <w:rPr>
                <w:rFonts w:hint="eastAsia"/>
                <w:color w:val="auto"/>
                <w:highlight w:val="none"/>
              </w:rPr>
              <w:t>5、进行人身安全检查时，可查看待检查人员列表，检查时可输入人员自述症状、检查情况并记录，还可对人员体表伤疤进行标注</w:t>
            </w:r>
          </w:p>
          <w:p>
            <w:pPr>
              <w:widowControl/>
              <w:jc w:val="left"/>
              <w:textAlignment w:val="top"/>
              <w:rPr>
                <w:color w:val="auto"/>
                <w:highlight w:val="none"/>
              </w:rPr>
            </w:pPr>
            <w:r>
              <w:rPr>
                <w:rFonts w:hint="eastAsia"/>
                <w:color w:val="auto"/>
                <w:highlight w:val="none"/>
              </w:rPr>
              <w:t>6、★支持对人员体表进行抓拍，可控制摄像机对准伤疤位置（提供具备CMA标识的检测报告复印件加盖原厂公章佐证）</w:t>
            </w:r>
          </w:p>
          <w:p>
            <w:pPr>
              <w:widowControl/>
              <w:jc w:val="left"/>
              <w:textAlignment w:val="top"/>
              <w:rPr>
                <w:color w:val="auto"/>
                <w:highlight w:val="none"/>
              </w:rPr>
            </w:pPr>
            <w:r>
              <w:rPr>
                <w:rFonts w:hint="eastAsia"/>
                <w:color w:val="auto"/>
                <w:highlight w:val="none"/>
              </w:rPr>
              <w:t>7、物品暂存时可输入物品信息并记录，根据物品是否涉案可区分为随身物品和涉案物品</w:t>
            </w:r>
          </w:p>
          <w:p>
            <w:pPr>
              <w:widowControl/>
              <w:jc w:val="left"/>
              <w:textAlignment w:val="top"/>
              <w:rPr>
                <w:color w:val="auto"/>
                <w:highlight w:val="none"/>
              </w:rPr>
            </w:pPr>
            <w:r>
              <w:rPr>
                <w:color w:val="auto"/>
                <w:highlight w:val="none"/>
              </w:rPr>
              <w:t>8</w:t>
            </w:r>
            <w:r>
              <w:rPr>
                <w:rFonts w:hint="eastAsia"/>
                <w:color w:val="auto"/>
                <w:highlight w:val="none"/>
              </w:rPr>
              <w:t>、★支持**检测登记功能，可控制摄像机对嫌疑人和尿检结果的物证拍照并自动上传图片（提供具备CMA标识的检测报告复印件加盖原厂公章佐证）</w:t>
            </w:r>
          </w:p>
          <w:p>
            <w:pPr>
              <w:widowControl/>
              <w:jc w:val="left"/>
              <w:textAlignment w:val="top"/>
              <w:rPr>
                <w:color w:val="auto"/>
                <w:highlight w:val="none"/>
              </w:rPr>
            </w:pPr>
            <w:r>
              <w:rPr>
                <w:color w:val="auto"/>
                <w:highlight w:val="none"/>
              </w:rPr>
              <w:t>9</w:t>
            </w:r>
            <w:r>
              <w:rPr>
                <w:rFonts w:hint="eastAsia"/>
                <w:color w:val="auto"/>
                <w:highlight w:val="none"/>
              </w:rPr>
              <w:t>、★候问环节可输入候问信息并记录。可对候问室进行自动分配，并可显示当前候问室状态，带出后可重新登记进入候问室（提供具备CMA标识的检测报告复印件加盖原厂公章佐证）</w:t>
            </w:r>
          </w:p>
          <w:p>
            <w:pPr>
              <w:widowControl/>
              <w:jc w:val="left"/>
              <w:textAlignment w:val="top"/>
              <w:rPr>
                <w:color w:val="auto"/>
                <w:highlight w:val="none"/>
              </w:rPr>
            </w:pPr>
            <w:r>
              <w:rPr>
                <w:color w:val="auto"/>
                <w:highlight w:val="none"/>
              </w:rPr>
              <w:t>10</w:t>
            </w:r>
            <w:r>
              <w:rPr>
                <w:rFonts w:hint="eastAsia"/>
                <w:color w:val="auto"/>
                <w:highlight w:val="none"/>
              </w:rPr>
              <w:t>、物品返还时可打开物品柜相应箱门返还物品</w:t>
            </w:r>
          </w:p>
          <w:p>
            <w:pPr>
              <w:widowControl/>
              <w:jc w:val="left"/>
              <w:textAlignment w:val="top"/>
              <w:rPr>
                <w:color w:val="auto"/>
                <w:highlight w:val="none"/>
              </w:rPr>
            </w:pPr>
            <w:r>
              <w:rPr>
                <w:rFonts w:hint="eastAsia"/>
                <w:color w:val="auto"/>
                <w:highlight w:val="none"/>
              </w:rPr>
              <w:t>1</w:t>
            </w:r>
            <w:r>
              <w:rPr>
                <w:color w:val="auto"/>
                <w:highlight w:val="none"/>
              </w:rPr>
              <w:t>1</w:t>
            </w:r>
            <w:r>
              <w:rPr>
                <w:rFonts w:hint="eastAsia"/>
                <w:color w:val="auto"/>
                <w:highlight w:val="none"/>
              </w:rPr>
              <w:t>、出区登记时可与相应人员解除绑定，支持常规出区和临时出区</w:t>
            </w:r>
          </w:p>
          <w:p>
            <w:pPr>
              <w:widowControl/>
              <w:jc w:val="left"/>
              <w:textAlignment w:val="top"/>
              <w:rPr>
                <w:color w:val="auto"/>
                <w:highlight w:val="none"/>
              </w:rPr>
            </w:pPr>
            <w:r>
              <w:rPr>
                <w:rFonts w:hint="eastAsia"/>
                <w:color w:val="auto"/>
                <w:highlight w:val="none"/>
              </w:rPr>
              <w:t>1</w:t>
            </w:r>
            <w:r>
              <w:rPr>
                <w:color w:val="auto"/>
                <w:highlight w:val="none"/>
              </w:rPr>
              <w:t>2</w:t>
            </w:r>
            <w:r>
              <w:rPr>
                <w:rFonts w:hint="eastAsia"/>
                <w:color w:val="auto"/>
                <w:highlight w:val="none"/>
              </w:rPr>
              <w:t>、支持对嫌疑人在办案中心的台账记录进行管理</w:t>
            </w:r>
          </w:p>
          <w:p>
            <w:pPr>
              <w:widowControl/>
              <w:jc w:val="left"/>
              <w:textAlignment w:val="top"/>
              <w:rPr>
                <w:color w:val="auto"/>
                <w:highlight w:val="none"/>
              </w:rPr>
            </w:pPr>
            <w:r>
              <w:rPr>
                <w:rFonts w:hint="eastAsia"/>
                <w:color w:val="auto"/>
                <w:highlight w:val="none"/>
              </w:rPr>
              <w:t>1</w:t>
            </w:r>
            <w:r>
              <w:rPr>
                <w:color w:val="auto"/>
                <w:highlight w:val="none"/>
              </w:rPr>
              <w:t>3</w:t>
            </w:r>
            <w:r>
              <w:rPr>
                <w:rFonts w:hint="eastAsia"/>
                <w:color w:val="auto"/>
                <w:highlight w:val="none"/>
              </w:rPr>
              <w:t>、支持对人员进行实时定位，并在地图上直观展示</w:t>
            </w:r>
          </w:p>
          <w:p>
            <w:pPr>
              <w:widowControl/>
              <w:jc w:val="left"/>
              <w:textAlignment w:val="top"/>
              <w:rPr>
                <w:color w:val="auto"/>
                <w:highlight w:val="none"/>
              </w:rPr>
            </w:pPr>
            <w:r>
              <w:rPr>
                <w:rFonts w:hint="eastAsia"/>
                <w:color w:val="auto"/>
                <w:highlight w:val="none"/>
              </w:rPr>
              <w:t>1</w:t>
            </w:r>
            <w:r>
              <w:rPr>
                <w:color w:val="auto"/>
                <w:highlight w:val="none"/>
              </w:rPr>
              <w:t>4</w:t>
            </w:r>
            <w:r>
              <w:rPr>
                <w:rFonts w:hint="eastAsia"/>
                <w:color w:val="auto"/>
                <w:highlight w:val="none"/>
              </w:rPr>
              <w:t>、支持在地图直观展示所有摄像机监控点位</w:t>
            </w:r>
          </w:p>
          <w:p>
            <w:pPr>
              <w:widowControl/>
              <w:jc w:val="left"/>
              <w:textAlignment w:val="top"/>
              <w:rPr>
                <w:color w:val="auto"/>
                <w:highlight w:val="none"/>
              </w:rPr>
            </w:pPr>
            <w:r>
              <w:rPr>
                <w:rFonts w:hint="eastAsia"/>
                <w:color w:val="auto"/>
                <w:highlight w:val="none"/>
              </w:rPr>
              <w:t>1</w:t>
            </w:r>
            <w:r>
              <w:rPr>
                <w:color w:val="auto"/>
                <w:highlight w:val="none"/>
              </w:rPr>
              <w:t>5</w:t>
            </w:r>
            <w:r>
              <w:rPr>
                <w:rFonts w:hint="eastAsia"/>
                <w:color w:val="auto"/>
                <w:highlight w:val="none"/>
              </w:rPr>
              <w:t>、点击地图上显示的人员可查看其基本信息以及自入区登记到当前的所有录像记录</w:t>
            </w:r>
          </w:p>
          <w:p>
            <w:pPr>
              <w:widowControl/>
              <w:jc w:val="left"/>
              <w:textAlignment w:val="top"/>
              <w:rPr>
                <w:color w:val="auto"/>
                <w:highlight w:val="none"/>
              </w:rPr>
            </w:pPr>
            <w:r>
              <w:rPr>
                <w:rFonts w:hint="eastAsia"/>
                <w:color w:val="auto"/>
                <w:highlight w:val="none"/>
              </w:rPr>
              <w:t>1</w:t>
            </w:r>
            <w:r>
              <w:rPr>
                <w:color w:val="auto"/>
                <w:highlight w:val="none"/>
              </w:rPr>
              <w:t>6</w:t>
            </w:r>
            <w:r>
              <w:rPr>
                <w:rFonts w:hint="eastAsia"/>
                <w:color w:val="auto"/>
                <w:highlight w:val="none"/>
              </w:rPr>
              <w:t>、支持单人审讯报警，当系统检测到审讯室存在嫌疑人且只有一名民警时触发报警信号</w:t>
            </w:r>
          </w:p>
          <w:p>
            <w:pPr>
              <w:widowControl/>
              <w:jc w:val="left"/>
              <w:textAlignment w:val="top"/>
              <w:rPr>
                <w:color w:val="auto"/>
                <w:highlight w:val="none"/>
              </w:rPr>
            </w:pPr>
            <w:r>
              <w:rPr>
                <w:rFonts w:hint="eastAsia"/>
                <w:color w:val="auto"/>
                <w:highlight w:val="none"/>
              </w:rPr>
              <w:t>1</w:t>
            </w:r>
            <w:r>
              <w:rPr>
                <w:color w:val="auto"/>
                <w:highlight w:val="none"/>
              </w:rPr>
              <w:t>7</w:t>
            </w:r>
            <w:r>
              <w:rPr>
                <w:rFonts w:hint="eastAsia"/>
                <w:color w:val="auto"/>
                <w:highlight w:val="none"/>
              </w:rPr>
              <w:t>、支持羁押超时报警，当系统检测到嫌疑人羁押时间超过规定时限时触发报警信号</w:t>
            </w:r>
          </w:p>
          <w:p>
            <w:pPr>
              <w:widowControl/>
              <w:jc w:val="left"/>
              <w:textAlignment w:val="top"/>
              <w:rPr>
                <w:color w:val="auto"/>
                <w:highlight w:val="none"/>
              </w:rPr>
            </w:pPr>
            <w:r>
              <w:rPr>
                <w:rFonts w:hint="eastAsia"/>
                <w:color w:val="auto"/>
                <w:highlight w:val="none"/>
              </w:rPr>
              <w:t>1</w:t>
            </w:r>
            <w:r>
              <w:rPr>
                <w:color w:val="auto"/>
                <w:highlight w:val="none"/>
              </w:rPr>
              <w:t>8</w:t>
            </w:r>
            <w:r>
              <w:rPr>
                <w:rFonts w:hint="eastAsia"/>
                <w:color w:val="auto"/>
                <w:highlight w:val="none"/>
              </w:rPr>
              <w:t>、支持非法出区报警，当系统检测到嫌疑人未进行出区登记授权的情况下离开办案区域时触发报警信号</w:t>
            </w:r>
          </w:p>
          <w:p>
            <w:pPr>
              <w:widowControl/>
              <w:jc w:val="left"/>
              <w:textAlignment w:val="top"/>
              <w:rPr>
                <w:color w:val="auto"/>
                <w:highlight w:val="none"/>
              </w:rPr>
            </w:pPr>
            <w:r>
              <w:rPr>
                <w:rFonts w:hint="eastAsia"/>
                <w:color w:val="auto"/>
                <w:highlight w:val="none"/>
              </w:rPr>
              <w:t>1</w:t>
            </w:r>
            <w:r>
              <w:rPr>
                <w:color w:val="auto"/>
                <w:highlight w:val="none"/>
              </w:rPr>
              <w:t>9</w:t>
            </w:r>
            <w:r>
              <w:rPr>
                <w:rFonts w:hint="eastAsia"/>
                <w:color w:val="auto"/>
                <w:highlight w:val="none"/>
              </w:rPr>
              <w:t>、支持人员主动报警，相关人员通过定位设备发出报警信号时，在地图上显示报警人员实时位置并自动展示相应位置的视频画面</w:t>
            </w:r>
          </w:p>
          <w:p>
            <w:pPr>
              <w:widowControl/>
              <w:jc w:val="left"/>
              <w:textAlignment w:val="top"/>
              <w:rPr>
                <w:color w:val="auto"/>
                <w:highlight w:val="none"/>
              </w:rPr>
            </w:pPr>
            <w:r>
              <w:rPr>
                <w:color w:val="auto"/>
                <w:highlight w:val="none"/>
              </w:rPr>
              <w:t>20</w:t>
            </w:r>
            <w:r>
              <w:rPr>
                <w:rFonts w:hint="eastAsia"/>
                <w:color w:val="auto"/>
                <w:highlight w:val="none"/>
              </w:rPr>
              <w:t>、系统可接入同步录音录像硬件设备，支持一键开始讯问，并进行同步录音录像</w:t>
            </w:r>
          </w:p>
          <w:p>
            <w:pPr>
              <w:widowControl/>
              <w:jc w:val="left"/>
              <w:textAlignment w:val="top"/>
              <w:rPr>
                <w:color w:val="auto"/>
                <w:highlight w:val="none"/>
              </w:rPr>
            </w:pPr>
            <w:r>
              <w:rPr>
                <w:rFonts w:hint="eastAsia"/>
                <w:color w:val="auto"/>
                <w:highlight w:val="none"/>
              </w:rPr>
              <w:t>2</w:t>
            </w:r>
            <w:r>
              <w:rPr>
                <w:color w:val="auto"/>
                <w:highlight w:val="none"/>
              </w:rPr>
              <w:t>1</w:t>
            </w:r>
            <w:r>
              <w:rPr>
                <w:rFonts w:hint="eastAsia"/>
                <w:color w:val="auto"/>
                <w:highlight w:val="none"/>
              </w:rPr>
              <w:t>、支持在主监控画面上同时显示副画面，实现画中画视频叠加</w:t>
            </w:r>
          </w:p>
          <w:p>
            <w:pPr>
              <w:widowControl/>
              <w:jc w:val="left"/>
              <w:textAlignment w:val="top"/>
              <w:rPr>
                <w:color w:val="auto"/>
                <w:highlight w:val="none"/>
              </w:rPr>
            </w:pPr>
            <w:r>
              <w:rPr>
                <w:rFonts w:hint="eastAsia"/>
                <w:color w:val="auto"/>
                <w:highlight w:val="none"/>
              </w:rPr>
              <w:t>2</w:t>
            </w:r>
            <w:r>
              <w:rPr>
                <w:color w:val="auto"/>
                <w:highlight w:val="none"/>
              </w:rPr>
              <w:t>2</w:t>
            </w:r>
            <w:r>
              <w:rPr>
                <w:rFonts w:hint="eastAsia"/>
                <w:color w:val="auto"/>
                <w:highlight w:val="none"/>
              </w:rPr>
              <w:t>、支持通过客户端查看讯问过程视频记录，并可将相应视频文件导出到本地或进行光盘刻录</w:t>
            </w:r>
          </w:p>
          <w:p>
            <w:pPr>
              <w:widowControl/>
              <w:jc w:val="left"/>
              <w:textAlignment w:val="top"/>
              <w:rPr>
                <w:color w:val="auto"/>
                <w:highlight w:val="none"/>
              </w:rPr>
            </w:pPr>
            <w:r>
              <w:rPr>
                <w:rFonts w:hint="eastAsia"/>
                <w:color w:val="auto"/>
                <w:highlight w:val="none"/>
              </w:rPr>
              <w:t>2</w:t>
            </w:r>
            <w:r>
              <w:rPr>
                <w:color w:val="auto"/>
                <w:highlight w:val="none"/>
              </w:rPr>
              <w:t>3</w:t>
            </w:r>
            <w:r>
              <w:rPr>
                <w:rFonts w:hint="eastAsia"/>
                <w:color w:val="auto"/>
                <w:highlight w:val="none"/>
              </w:rPr>
              <w:t>、支持不同类型的笔录问答模板，根据需要选择模板类型后自动加载，录入笔录时双击模板中内置的的问题和回答即可快速录入</w:t>
            </w:r>
          </w:p>
          <w:p>
            <w:pPr>
              <w:widowControl/>
              <w:jc w:val="left"/>
              <w:textAlignment w:val="top"/>
              <w:rPr>
                <w:color w:val="auto"/>
                <w:highlight w:val="none"/>
              </w:rPr>
            </w:pPr>
            <w:r>
              <w:rPr>
                <w:rFonts w:hint="eastAsia"/>
                <w:color w:val="auto"/>
                <w:highlight w:val="none"/>
              </w:rPr>
              <w:t>2</w:t>
            </w:r>
            <w:r>
              <w:rPr>
                <w:color w:val="auto"/>
                <w:highlight w:val="none"/>
              </w:rPr>
              <w:t>4</w:t>
            </w:r>
            <w:r>
              <w:rPr>
                <w:rFonts w:hint="eastAsia"/>
                <w:color w:val="auto"/>
                <w:highlight w:val="none"/>
              </w:rPr>
              <w:t>、支持视频打点功能，对重点讯问内容可对视频进行打点标记，需要查询时通过标记进行精准回溯</w:t>
            </w:r>
          </w:p>
          <w:p>
            <w:pPr>
              <w:widowControl/>
              <w:jc w:val="left"/>
              <w:textAlignment w:val="top"/>
              <w:rPr>
                <w:color w:val="auto"/>
                <w:highlight w:val="none"/>
              </w:rPr>
            </w:pPr>
            <w:r>
              <w:rPr>
                <w:rFonts w:hint="eastAsia"/>
                <w:color w:val="auto"/>
                <w:highlight w:val="none"/>
              </w:rPr>
              <w:t>2</w:t>
            </w:r>
            <w:r>
              <w:rPr>
                <w:color w:val="auto"/>
                <w:highlight w:val="none"/>
              </w:rPr>
              <w:t>5</w:t>
            </w:r>
            <w:r>
              <w:rPr>
                <w:rFonts w:hint="eastAsia"/>
                <w:color w:val="auto"/>
                <w:highlight w:val="none"/>
              </w:rPr>
              <w:t>、审讯时支持查询相关历史视频和笔录信息</w:t>
            </w:r>
          </w:p>
          <w:p>
            <w:pPr>
              <w:widowControl/>
              <w:jc w:val="left"/>
              <w:textAlignment w:val="top"/>
              <w:rPr>
                <w:color w:val="auto"/>
                <w:highlight w:val="none"/>
              </w:rPr>
            </w:pPr>
            <w:r>
              <w:rPr>
                <w:rFonts w:hint="eastAsia"/>
                <w:color w:val="auto"/>
                <w:highlight w:val="none"/>
              </w:rPr>
              <w:t>2</w:t>
            </w:r>
            <w:r>
              <w:rPr>
                <w:color w:val="auto"/>
                <w:highlight w:val="none"/>
              </w:rPr>
              <w:t>6</w:t>
            </w:r>
            <w:r>
              <w:rPr>
                <w:rFonts w:hint="eastAsia"/>
                <w:color w:val="auto"/>
                <w:highlight w:val="none"/>
              </w:rPr>
              <w:t>、支持两个讯问室实时共享视频和笔录信息，实现协同办案（提供具备CMA标识的检测报告复印件加盖原厂公章佐证）</w:t>
            </w:r>
          </w:p>
          <w:p>
            <w:pPr>
              <w:widowControl/>
              <w:jc w:val="left"/>
              <w:textAlignment w:val="top"/>
              <w:rPr>
                <w:color w:val="auto"/>
                <w:highlight w:val="none"/>
              </w:rPr>
            </w:pPr>
            <w:r>
              <w:rPr>
                <w:rFonts w:hint="eastAsia"/>
                <w:color w:val="auto"/>
                <w:highlight w:val="none"/>
              </w:rPr>
              <w:t>2</w:t>
            </w:r>
            <w:r>
              <w:rPr>
                <w:color w:val="auto"/>
                <w:highlight w:val="none"/>
              </w:rPr>
              <w:t>7</w:t>
            </w:r>
            <w:r>
              <w:rPr>
                <w:rFonts w:hint="eastAsia"/>
                <w:color w:val="auto"/>
                <w:highlight w:val="none"/>
              </w:rPr>
              <w:t>、支持同时查看两个讯问室的视频和笔录信息，实现并案指挥（提供具备CMA标识的检测报告复印件加盖原厂公章佐证）</w:t>
            </w:r>
          </w:p>
          <w:p>
            <w:pPr>
              <w:widowControl/>
              <w:jc w:val="left"/>
              <w:textAlignment w:val="top"/>
              <w:rPr>
                <w:color w:val="auto"/>
                <w:highlight w:val="none"/>
              </w:rPr>
            </w:pPr>
            <w:r>
              <w:rPr>
                <w:rFonts w:hint="eastAsia"/>
                <w:color w:val="auto"/>
                <w:highlight w:val="none"/>
              </w:rPr>
              <w:t>2</w:t>
            </w:r>
            <w:r>
              <w:rPr>
                <w:color w:val="auto"/>
                <w:highlight w:val="none"/>
              </w:rPr>
              <w:t>8</w:t>
            </w:r>
            <w:r>
              <w:rPr>
                <w:rFonts w:hint="eastAsia"/>
                <w:color w:val="auto"/>
                <w:highlight w:val="none"/>
              </w:rPr>
              <w:t xml:space="preserve">、支持笔录和视频关联，实现两者互相定位（提供具备CMA标识的检测报告复印件加盖原厂公章佐证） </w:t>
            </w:r>
          </w:p>
          <w:p>
            <w:pPr>
              <w:widowControl/>
              <w:jc w:val="left"/>
              <w:textAlignment w:val="top"/>
              <w:rPr>
                <w:color w:val="auto"/>
                <w:highlight w:val="none"/>
              </w:rPr>
            </w:pPr>
            <w:r>
              <w:rPr>
                <w:rFonts w:hint="eastAsia"/>
                <w:color w:val="auto"/>
                <w:highlight w:val="none"/>
              </w:rPr>
              <w:t>2</w:t>
            </w:r>
            <w:r>
              <w:rPr>
                <w:color w:val="auto"/>
                <w:highlight w:val="none"/>
              </w:rPr>
              <w:t>9</w:t>
            </w:r>
            <w:r>
              <w:rPr>
                <w:rFonts w:hint="eastAsia"/>
                <w:color w:val="auto"/>
                <w:highlight w:val="none"/>
              </w:rPr>
              <w:t>、支持法律法规检索</w:t>
            </w:r>
          </w:p>
          <w:p>
            <w:pPr>
              <w:widowControl/>
              <w:jc w:val="left"/>
              <w:textAlignment w:val="top"/>
              <w:rPr>
                <w:color w:val="auto"/>
                <w:highlight w:val="none"/>
              </w:rPr>
            </w:pPr>
            <w:r>
              <w:rPr>
                <w:color w:val="auto"/>
                <w:highlight w:val="none"/>
              </w:rPr>
              <w:t>30</w:t>
            </w:r>
            <w:r>
              <w:rPr>
                <w:rFonts w:hint="eastAsia"/>
                <w:color w:val="auto"/>
                <w:highlight w:val="none"/>
              </w:rPr>
              <w:t>、支持语音朗读权利义务告知书（提供具备CMA标识的检测报告复印件加盖原厂公章佐证）</w:t>
            </w:r>
          </w:p>
          <w:p>
            <w:pPr>
              <w:widowControl/>
              <w:jc w:val="left"/>
              <w:textAlignment w:val="top"/>
              <w:rPr>
                <w:color w:val="auto"/>
                <w:highlight w:val="none"/>
              </w:rPr>
            </w:pPr>
            <w:r>
              <w:rPr>
                <w:rFonts w:hint="eastAsia"/>
                <w:color w:val="auto"/>
                <w:highlight w:val="none"/>
              </w:rPr>
              <w:t>3</w:t>
            </w:r>
            <w:r>
              <w:rPr>
                <w:color w:val="auto"/>
                <w:highlight w:val="none"/>
              </w:rPr>
              <w:t>1</w:t>
            </w:r>
            <w:r>
              <w:rPr>
                <w:rFonts w:hint="eastAsia"/>
                <w:color w:val="auto"/>
                <w:highlight w:val="none"/>
              </w:rPr>
              <w:t>、支持语音朗读笔录，并可通过显示设备进行展示，也可打印为纸质笔录，以实现笔录校对（提供具备CMA标识的检测报告复印件加盖原厂公章佐证）</w:t>
            </w:r>
          </w:p>
          <w:p>
            <w:pPr>
              <w:pStyle w:val="11"/>
              <w:rPr>
                <w:rFonts w:hint="eastAsia" w:eastAsia="宋体"/>
                <w:color w:val="auto"/>
                <w:highlight w:val="none"/>
                <w:lang w:eastAsia="zh-CN"/>
              </w:rPr>
            </w:pPr>
            <w:r>
              <w:rPr>
                <w:rFonts w:hint="eastAsia"/>
                <w:color w:val="auto"/>
                <w:highlight w:val="none"/>
              </w:rPr>
              <w:t>3</w:t>
            </w:r>
            <w:r>
              <w:rPr>
                <w:color w:val="auto"/>
                <w:highlight w:val="none"/>
              </w:rPr>
              <w:t>2</w:t>
            </w:r>
            <w:r>
              <w:rPr>
                <w:rFonts w:hint="eastAsia"/>
                <w:color w:val="auto"/>
                <w:highlight w:val="none"/>
              </w:rPr>
              <w:t>、支持上传讯问所需的电子示证资料文档，并可通过审讯主机对上传的资料进行刻录</w:t>
            </w:r>
            <w:r>
              <w:rPr>
                <w:rFonts w:hint="eastAsia"/>
                <w:color w:val="auto"/>
                <w:highlight w:val="none"/>
                <w:lang w:eastAsia="zh-CN"/>
              </w:rPr>
              <w:t>。</w:t>
            </w:r>
          </w:p>
          <w:p>
            <w:pPr>
              <w:widowControl/>
              <w:jc w:val="left"/>
              <w:textAlignment w:val="top"/>
              <w:rPr>
                <w:color w:val="auto"/>
                <w:highlight w:val="none"/>
              </w:rPr>
            </w:pPr>
            <w:r>
              <w:rPr>
                <w:rFonts w:hint="eastAsia"/>
                <w:color w:val="auto"/>
                <w:highlight w:val="none"/>
              </w:rPr>
              <w:t>3</w:t>
            </w:r>
            <w:r>
              <w:rPr>
                <w:color w:val="auto"/>
                <w:highlight w:val="none"/>
              </w:rPr>
              <w:t>3</w:t>
            </w:r>
            <w:r>
              <w:rPr>
                <w:rFonts w:hint="eastAsia"/>
                <w:color w:val="auto"/>
                <w:highlight w:val="none"/>
              </w:rPr>
              <w:t>、支持通过显示设备对证据进行展示</w:t>
            </w:r>
          </w:p>
          <w:p>
            <w:pPr>
              <w:widowControl/>
              <w:jc w:val="left"/>
              <w:textAlignment w:val="top"/>
              <w:rPr>
                <w:color w:val="auto"/>
                <w:highlight w:val="none"/>
              </w:rPr>
            </w:pPr>
            <w:r>
              <w:rPr>
                <w:rFonts w:hint="eastAsia"/>
                <w:color w:val="auto"/>
                <w:highlight w:val="none"/>
              </w:rPr>
              <w:t>3</w:t>
            </w:r>
            <w:r>
              <w:rPr>
                <w:color w:val="auto"/>
                <w:highlight w:val="none"/>
              </w:rPr>
              <w:t>4</w:t>
            </w:r>
            <w:r>
              <w:rPr>
                <w:rFonts w:hint="eastAsia"/>
                <w:color w:val="auto"/>
                <w:highlight w:val="none"/>
              </w:rPr>
              <w:t>、★支持远程查看讯询问室的音视频、电子笔录、案件信息，实现相关人员对办案民警的远程参审指挥（提供具备CMA标识的检测报告复印件加盖原厂公章佐证）</w:t>
            </w:r>
          </w:p>
          <w:p>
            <w:pPr>
              <w:widowControl/>
              <w:jc w:val="left"/>
              <w:textAlignment w:val="top"/>
              <w:rPr>
                <w:color w:val="auto"/>
                <w:highlight w:val="none"/>
              </w:rPr>
            </w:pPr>
            <w:r>
              <w:rPr>
                <w:rFonts w:hint="eastAsia"/>
                <w:color w:val="auto"/>
                <w:highlight w:val="none"/>
              </w:rPr>
              <w:t>3</w:t>
            </w:r>
            <w:r>
              <w:rPr>
                <w:color w:val="auto"/>
                <w:highlight w:val="none"/>
              </w:rPr>
              <w:t>5</w:t>
            </w:r>
            <w:r>
              <w:rPr>
                <w:rFonts w:hint="eastAsia"/>
                <w:color w:val="auto"/>
                <w:highlight w:val="none"/>
              </w:rPr>
              <w:t>、★支持台账管理功能，可点播嫌疑人进入办案区的视频、笔录；支持案件资料全自动光盘刻录，并可进行光盘封面打印（提供具备CMA标识的检测报告复印件加盖原厂公章佐证）</w:t>
            </w:r>
          </w:p>
          <w:p>
            <w:pPr>
              <w:widowControl/>
              <w:jc w:val="left"/>
              <w:textAlignment w:val="top"/>
              <w:rPr>
                <w:color w:val="auto"/>
                <w:highlight w:val="none"/>
              </w:rPr>
            </w:pPr>
            <w:r>
              <w:rPr>
                <w:rFonts w:hint="eastAsia"/>
                <w:color w:val="auto"/>
                <w:highlight w:val="none"/>
              </w:rPr>
              <w:t>3</w:t>
            </w:r>
            <w:r>
              <w:rPr>
                <w:color w:val="auto"/>
                <w:highlight w:val="none"/>
              </w:rPr>
              <w:t>6</w:t>
            </w:r>
            <w:r>
              <w:rPr>
                <w:rFonts w:hint="eastAsia"/>
                <w:color w:val="auto"/>
                <w:highlight w:val="none"/>
              </w:rPr>
              <w:t>、支持民警在办案区远程审讯不在本地的嫌疑人（提供具备CMA标识的检测报告复印件加盖原厂公章佐证）</w:t>
            </w:r>
          </w:p>
          <w:p>
            <w:pPr>
              <w:widowControl/>
              <w:jc w:val="left"/>
              <w:textAlignment w:val="top"/>
              <w:rPr>
                <w:color w:val="auto"/>
                <w:highlight w:val="none"/>
              </w:rPr>
            </w:pPr>
            <w:r>
              <w:rPr>
                <w:rFonts w:hint="eastAsia"/>
                <w:color w:val="auto"/>
                <w:highlight w:val="none"/>
              </w:rPr>
              <w:t>3</w:t>
            </w:r>
            <w:r>
              <w:rPr>
                <w:color w:val="auto"/>
                <w:highlight w:val="none"/>
              </w:rPr>
              <w:t>7</w:t>
            </w:r>
            <w:r>
              <w:rPr>
                <w:rFonts w:hint="eastAsia"/>
                <w:color w:val="auto"/>
                <w:highlight w:val="none"/>
              </w:rPr>
              <w:t>、支持以台账的形式查看视频、笔录</w:t>
            </w:r>
          </w:p>
          <w:p>
            <w:pPr>
              <w:widowControl/>
              <w:jc w:val="left"/>
              <w:textAlignment w:val="top"/>
              <w:rPr>
                <w:color w:val="auto"/>
                <w:highlight w:val="none"/>
              </w:rPr>
            </w:pPr>
            <w:r>
              <w:rPr>
                <w:rFonts w:hint="eastAsia"/>
                <w:color w:val="auto"/>
                <w:highlight w:val="none"/>
              </w:rPr>
              <w:t>3</w:t>
            </w:r>
            <w:r>
              <w:rPr>
                <w:color w:val="auto"/>
                <w:highlight w:val="none"/>
              </w:rPr>
              <w:t>8</w:t>
            </w:r>
            <w:r>
              <w:rPr>
                <w:rFonts w:hint="eastAsia"/>
                <w:color w:val="auto"/>
                <w:highlight w:val="none"/>
              </w:rPr>
              <w:t>、支持民警单人讯问、嫌疑人无人看管、嫌疑人羁押超时等违规行为的自动分析和报警</w:t>
            </w:r>
          </w:p>
          <w:p>
            <w:pPr>
              <w:widowControl/>
              <w:jc w:val="left"/>
              <w:textAlignment w:val="top"/>
              <w:rPr>
                <w:color w:val="auto"/>
                <w:highlight w:val="none"/>
              </w:rPr>
            </w:pPr>
            <w:r>
              <w:rPr>
                <w:rFonts w:hint="eastAsia"/>
                <w:color w:val="auto"/>
                <w:highlight w:val="none"/>
              </w:rPr>
              <w:t>3</w:t>
            </w:r>
            <w:r>
              <w:rPr>
                <w:color w:val="auto"/>
                <w:highlight w:val="none"/>
              </w:rPr>
              <w:t>9</w:t>
            </w:r>
            <w:r>
              <w:rPr>
                <w:rFonts w:hint="eastAsia"/>
                <w:color w:val="auto"/>
                <w:highlight w:val="none"/>
              </w:rPr>
              <w:t>、支持违规督导功能，发现讯询问室内出现违规行为时下发给相关管理人员，同时可发送违规照片，对违规行为进行督导整改（提供具备CMA标识的检测报告复印件加盖原厂公章佐证）</w:t>
            </w:r>
          </w:p>
          <w:p>
            <w:pPr>
              <w:widowControl/>
              <w:jc w:val="left"/>
              <w:textAlignment w:val="top"/>
              <w:rPr>
                <w:color w:val="auto"/>
                <w:highlight w:val="none"/>
              </w:rPr>
            </w:pPr>
            <w:r>
              <w:rPr>
                <w:color w:val="auto"/>
                <w:highlight w:val="none"/>
              </w:rPr>
              <w:t>40</w:t>
            </w:r>
            <w:r>
              <w:rPr>
                <w:rFonts w:hint="eastAsia"/>
                <w:color w:val="auto"/>
                <w:highlight w:val="none"/>
              </w:rPr>
              <w:t>、支持通过Onvif、GB28181等协议接入设备</w:t>
            </w:r>
          </w:p>
          <w:p>
            <w:pPr>
              <w:widowControl/>
              <w:jc w:val="left"/>
              <w:textAlignment w:val="top"/>
              <w:rPr>
                <w:rFonts w:hint="eastAsia"/>
                <w:color w:val="auto"/>
                <w:highlight w:val="none"/>
                <w:lang w:eastAsia="zh-CN"/>
              </w:rPr>
            </w:pPr>
            <w:r>
              <w:rPr>
                <w:rFonts w:hint="eastAsia"/>
                <w:color w:val="auto"/>
                <w:highlight w:val="none"/>
              </w:rPr>
              <w:t>4</w:t>
            </w:r>
            <w:r>
              <w:rPr>
                <w:color w:val="auto"/>
                <w:highlight w:val="none"/>
              </w:rPr>
              <w:t>1</w:t>
            </w:r>
            <w:r>
              <w:rPr>
                <w:rFonts w:hint="eastAsia"/>
                <w:color w:val="auto"/>
                <w:highlight w:val="none"/>
              </w:rPr>
              <w:t>、要求：实现省公安厅要求的数据正常对接</w:t>
            </w:r>
            <w:r>
              <w:rPr>
                <w:rFonts w:hint="eastAsia"/>
                <w:color w:val="auto"/>
                <w:highlight w:val="none"/>
                <w:lang w:eastAsia="zh-CN"/>
              </w:rPr>
              <w:t>。</w:t>
            </w:r>
          </w:p>
          <w:p>
            <w:pPr>
              <w:pStyle w:val="11"/>
              <w:rPr>
                <w:rFonts w:hint="default"/>
                <w:color w:val="auto"/>
                <w:highlight w:val="none"/>
                <w:lang w:val="en-US" w:eastAsia="zh-CN"/>
              </w:rPr>
            </w:pPr>
            <w:r>
              <w:rPr>
                <w:color w:val="auto"/>
                <w:sz w:val="18"/>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39370</wp:posOffset>
                      </wp:positionV>
                      <wp:extent cx="75565" cy="75565"/>
                      <wp:effectExtent l="12700" t="12700" r="26035" b="26035"/>
                      <wp:wrapNone/>
                      <wp:docPr id="1" name="等腰三角形 1"/>
                      <wp:cNvGraphicFramePr/>
                      <a:graphic xmlns:a="http://schemas.openxmlformats.org/drawingml/2006/main">
                        <a:graphicData uri="http://schemas.microsoft.com/office/word/2010/wordprocessingShape">
                          <wps:wsp>
                            <wps:cNvSpPr/>
                            <wps:spPr>
                              <a:xfrm>
                                <a:off x="2886075" y="3328670"/>
                                <a:ext cx="75565" cy="7556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25pt;margin-top:3.1pt;height:5.95pt;width:5.95pt;z-index:251659264;v-text-anchor:middle;mso-width-relative:page;mso-height-relative:page;" fillcolor="#000000 [3200]" filled="t" stroked="t" coordsize="21600,21600" o:gfxdata="UEsDBAoAAAAAAIdO4kAAAAAAAAAAAAAAAAAEAAAAZHJzL1BLAwQUAAAACACHTuJAutQyu9QAAAAF AQAADwAAAGRycy9kb3ducmV2LnhtbE2OzU7DMBCE70i8g7VI3KiTUqIojVOJSj0VgUiLuG7jbZIS ryPb/eHtcU/0NBrNaOYrFxcziBM531tWkE4SEMSN1T23Crab1VMOwgdkjYNlUvBLHhbV/V2JhbZn /qRTHVoRR9gXqKALYSyk9E1HBv3EjsQx21tnMETrWqkdnuO4GeQ0STJpsOf40OFIy46an/poFDzr 94PhvB7x25m6Wa4/3r5e90o9PqTJHESgS/gvwxU/okMVmXb2yNqLQcHsJRYVZFMQ1zSbgdhFzVOQ VSlv6as/UEsDBBQAAAAIAIdO4kAalai9iAIAABQFAAAOAAAAZHJzL2Uyb0RvYy54bWytVL1u2zAQ 3gv0HQjujWzHfzUiB0aMFAWCxkBadD5TlESAfyVpy+neIWsfIUunAh279G1aNI/RI6X8Z8hQD/Sd 7njffZ/udHC4U5JsufPC6Jz293qUcM1MIXSV0w/vj19NKfEBdAHSaJ7Tc+7p4fzli4PGzvjA1EYW 3BEsov2ssTmtQ7CzLPOs5gr8nrFcY7A0TkFA11VZ4aDB6kpmg15vnDXGFdYZxr3Hp8s2SLuK7jkF TVkKxpeGbRTXoa3quISAlHwtrKfz1G1ZchZOy9LzQGROkWlIJ4KgvY5nNj+AWeXA1oJ1LcBzWnjA SYHQCHpTagkByMaJR6WUYM54U4Y9ZlTWEkmKIIt+74E2ZzVYnrig1N7eiO7/X1n2brtyRBQ4CZRo UPjC/36/uPry4/fPi6tvX//8uiT9KFJj/Qxzz+zKdZ5HMzLelU7Ff+RCdjkdTKfj3mREyXlO9/cH 0/GkE5nvAmGYMBmNxhhmGG9NrJfdlrHOhzfcKBKNnAYnQFcyqgAz2J740KZfp8XH3khRHAspk+Oq 9ZF0ZAvxjadf7B8R7qVJTRpsdjTs4SQwwDkucX7QVBa18LqiBGSFC8KCS9j3bvsnQBJ4DQVvoUcR +hq5TX/cRWSxBF+3VxJEd0VqzI6itzJHa22Kc3xXzrRD7C07Fnj/BHxYgcOpRSa41+EUj1IapGc6 i5LauM9PPY/5OEwYpaTBLUDqnzbgOCXyrcYxe90fDuPaJGc4mgzQcXcj67sRvVFHBmXHUcLukhnz g7w2S2fUR1z/RUTFEGiG2K3InXMU2u3EDwjji0VKw1WxEE70mWWxeFRam8UmmFKkcbhVpxMNlyWJ 3S123Ma7fsq6/ZjN/wF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D1BAAAW0NvbnRlbnRfVHlwZXNdLnhtbFBLAQIUAAoAAAAAAIdO4kAAAAAAAAAA AAAAAAAGAAAAAAAAAAAAEAAAANcDAABfcmVscy9QSwECFAAUAAAACACHTuJAihRmPNEAAACUAQAA CwAAAAAAAAABACAAAAD7AwAAX3JlbHMvLnJlbHNQSwECFAAKAAAAAACHTuJAAAAAAAAAAAAAAAAA BAAAAAAAAAAAABAAAAAAAAAAZHJzL1BLAQIUABQAAAAIAIdO4kC61DK71AAAAAUBAAAPAAAAAAAA AAEAIAAAACIAAABkcnMvZG93bnJldi54bWxQSwECFAAUAAAACACHTuJAGpWovYgCAAAUBQAADgAA AAAAAAABACAAAAAjAQAAZHJzL2Uyb0RvYy54bWxQSwUGAAAAAAYABgBZAQAAHQYAAAAA " adj="10800">
                      <v:fill on="t" focussize="0,0"/>
                      <v:stroke weight="2pt" color="#000000 [3200]" joinstyle="round"/>
                      <v:imagedata o:title=""/>
                      <o:lock v:ext="edit" aspectratio="f"/>
                    </v:shape>
                  </w:pict>
                </mc:Fallback>
              </mc:AlternateContent>
            </w:r>
            <w:r>
              <w:rPr>
                <w:rFonts w:hint="eastAsia" w:ascii="宋体"/>
                <w:b/>
                <w:bCs/>
                <w:color w:val="auto"/>
                <w:sz w:val="18"/>
                <w:szCs w:val="18"/>
                <w:highlight w:val="none"/>
                <w:lang w:val="en-US" w:eastAsia="zh-CN"/>
              </w:rPr>
              <w:t>　42、</w:t>
            </w:r>
            <w:r>
              <w:rPr>
                <w:rFonts w:hint="eastAsia" w:ascii="宋体" w:hAnsi="宋体"/>
                <w:b/>
                <w:bCs/>
                <w:color w:val="auto"/>
                <w:sz w:val="18"/>
                <w:szCs w:val="18"/>
                <w:highlight w:val="none"/>
              </w:rPr>
              <w:t>与法智+平台门户</w:t>
            </w:r>
            <w:r>
              <w:rPr>
                <w:rFonts w:hint="eastAsia" w:ascii="宋体" w:hAnsi="宋体"/>
                <w:b/>
                <w:bCs/>
                <w:color w:val="auto"/>
                <w:sz w:val="18"/>
                <w:szCs w:val="18"/>
                <w:highlight w:val="none"/>
                <w:lang w:eastAsia="zh-CN"/>
              </w:rPr>
              <w:t>整合为一个新系统</w:t>
            </w:r>
            <w:r>
              <w:rPr>
                <w:rFonts w:hint="eastAsia" w:ascii="宋体" w:hAnsi="宋体"/>
                <w:b/>
                <w:bCs/>
                <w:color w:val="auto"/>
                <w:sz w:val="18"/>
                <w:szCs w:val="18"/>
                <w:highlight w:val="none"/>
              </w:rPr>
              <w:t>，</w:t>
            </w:r>
            <w:r>
              <w:rPr>
                <w:rFonts w:hint="eastAsia" w:ascii="宋体" w:hAnsi="宋体"/>
                <w:b/>
                <w:bCs/>
                <w:color w:val="auto"/>
                <w:sz w:val="18"/>
                <w:szCs w:val="18"/>
                <w:highlight w:val="none"/>
                <w:lang w:eastAsia="zh-CN"/>
              </w:rPr>
              <w:t>并具有法智</w:t>
            </w:r>
            <w:r>
              <w:rPr>
                <w:rFonts w:hint="eastAsia" w:ascii="宋体" w:hAnsi="宋体"/>
                <w:b/>
                <w:bCs/>
                <w:color w:val="auto"/>
                <w:sz w:val="18"/>
                <w:szCs w:val="18"/>
                <w:highlight w:val="none"/>
                <w:lang w:val="en-US" w:eastAsia="zh-CN"/>
              </w:rPr>
              <w:t>+现有功能，包括并不限于现有法智+系统功能，添减并开发新旧功能，</w:t>
            </w:r>
            <w:r>
              <w:rPr>
                <w:rFonts w:hint="eastAsia" w:ascii="宋体" w:hAnsi="宋体"/>
                <w:b/>
                <w:bCs/>
                <w:color w:val="auto"/>
                <w:sz w:val="18"/>
                <w:szCs w:val="18"/>
                <w:highlight w:val="none"/>
              </w:rPr>
              <w:t>实现</w:t>
            </w:r>
            <w:r>
              <w:rPr>
                <w:rFonts w:ascii="宋体" w:hAnsi="宋体"/>
                <w:b/>
                <w:bCs/>
                <w:color w:val="auto"/>
                <w:sz w:val="18"/>
                <w:szCs w:val="18"/>
                <w:highlight w:val="none"/>
              </w:rPr>
              <w:t>法律</w:t>
            </w:r>
            <w:r>
              <w:rPr>
                <w:rFonts w:hint="eastAsia" w:ascii="宋体" w:hAnsi="宋体"/>
                <w:b/>
                <w:bCs/>
                <w:color w:val="auto"/>
                <w:sz w:val="18"/>
                <w:szCs w:val="18"/>
                <w:highlight w:val="none"/>
              </w:rPr>
              <w:t>法规的关键字检索、查看功能，为办案提供法律依据，方便民警查询，提高办案质量；实现常用问答模板辅助民警讯问问答、告知书副屏展示并全文朗读，实现单人审讯、嫌疑人无人看管等违规行为自动预警提醒，工作人员可对办案人员发起语音、文字督导</w:t>
            </w:r>
            <w:r>
              <w:rPr>
                <w:rFonts w:hint="eastAsia" w:ascii="宋体" w:hAnsi="宋体"/>
                <w:b/>
                <w:bCs/>
                <w:color w:val="auto"/>
                <w:sz w:val="18"/>
                <w:szCs w:val="18"/>
                <w:highlight w:val="none"/>
                <w:lang w:eastAsia="zh-CN"/>
              </w:rPr>
              <w:t>等功能</w:t>
            </w:r>
            <w:r>
              <w:rPr>
                <w:rFonts w:hint="eastAsia" w:ascii="宋体" w:hAnsi="宋体"/>
                <w:b/>
                <w:bCs/>
                <w:color w:val="auto"/>
                <w:sz w:val="18"/>
                <w:szCs w:val="18"/>
                <w:highlight w:val="none"/>
              </w:rPr>
              <w:t>，提醒办案人员避免出现违规执法，提高办案效率；充分利用法智+平台功能，提高执法服务质量，充分发挥中心“一站式”办案功能等等。</w:t>
            </w:r>
            <w:r>
              <w:rPr>
                <w:rFonts w:ascii="宋体" w:hAnsi="宋体"/>
                <w:b/>
                <w:bCs/>
                <w:color w:val="auto"/>
                <w:sz w:val="18"/>
                <w:szCs w:val="18"/>
                <w:highlight w:val="none"/>
              </w:rPr>
              <w:t xml:space="preserve"> </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484"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案卷管理模块</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1、支持对案卷最新动态、智能柜使用统计、案卷出入统计等信息进行集成化展示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2、支持对案卷信息进行录入、编辑、查询、查看和批量导入</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3、支持根据编号、名称、立案时间、在柜状态、问题状态等进行条件检索</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4、支持生成案卷二维码，并与案卷进行绑定管理</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5、支持案卷流程化管理并自动记录流转信息，包括借阅、归还、移交等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6、支持根据需求分配智能案卷柜箱门，配合平台实现远程开柜，并可对案卷柜进行可视化管理</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7、支持案卷新增入柜，可对刑事案卷和行政案卷进行添加、导入文件、导出、删除和查询，对入柜事件案卷进行导出、删除和查询</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8、支持新增案卷资料，支持对刑事案件、行政案件、事件进行导出、删除和查询</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支持案卷出柜管理，支持案卷借阅、移交、归还和事件管理，案卷借阅时可按照案卷编号、案卷名称、借阅人对案卷进行查询，根据查询结果进行借阅和导出；案卷移交时可按照案卷编号、案卷名称、申请状态、环节时间对案卷进行查询，根据查询结果进行申请移交和导出；案卷归还时支持按照案卷编号、案卷名称、借阅人、借阅单位、归还时间进行查询，根据查询结果进行申请归还和导出；事件管理支持按照事件编号、报案人姓名、报案人电话、承办部门进行时间查询和导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支持对案卷预警进行催办，可按照预警类型、是否超期和案卷类型对我的催办进行查询；按照预警类型、是否超期和是否查收对催办记录进行催办记录查询，按照预警类型、主办民警和协办民警对未超期预警和已超期待办进行查询</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11、支持通过案卷进行执法监督，可按照案卷编号、名称、类型、部门、涉案人员、主办民警进行执法监督记录的查询，并可对查询结果进行导出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12、支持案卷数据统计，支持根据部门查看卷柜使用状态和查询行政、刑事案件，根据时间，查询案卷出入数量、案卷状态和部门民警案件数量，根据案件类型，查看各类案件和强制措施人员统计</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13、支持对案卷进行综合查询，并可对查询结果进行导出，支持按照案卷编号、名称、部门、涉案人员进行查询</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14、支持存取卷管理，存卷时可对案卷进行添加、删除、查询和导出，取卷时可按照案卷编号、名称、承办人、主办民警、承办部门进行查询和导出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15、支持多维度数据统计分析并进行图形化直观展示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16、支持与办案区系统进行数据对接</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17、支持视频预览和回放</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18、支持主流格式视频接入，例如1080p/720p/4CIF等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19、支持选择允许或禁止智能案卷保管柜自动开门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20、支持自定义系统名称，支持系统日志记录</w:t>
            </w:r>
          </w:p>
          <w:p>
            <w:pPr>
              <w:widowControl/>
              <w:jc w:val="left"/>
              <w:textAlignment w:val="top"/>
              <w:rPr>
                <w:rFonts w:ascii="宋体" w:hAnsi="宋体" w:cs="宋体"/>
                <w:color w:val="auto"/>
                <w:sz w:val="18"/>
                <w:szCs w:val="18"/>
                <w:highlight w:val="none"/>
              </w:rPr>
            </w:pPr>
            <w:r>
              <w:rPr>
                <w:rFonts w:hint="eastAsia"/>
                <w:color w:val="auto"/>
                <w:highlight w:val="none"/>
              </w:rPr>
              <w:t>★</w:t>
            </w:r>
            <w:r>
              <w:rPr>
                <w:rFonts w:hint="eastAsia" w:ascii="宋体" w:hAnsi="宋体" w:cs="宋体"/>
                <w:color w:val="auto"/>
                <w:kern w:val="0"/>
                <w:sz w:val="18"/>
                <w:szCs w:val="18"/>
                <w:highlight w:val="none"/>
              </w:rPr>
              <w:t>21、支持用户角色管理，</w:t>
            </w:r>
            <w:r>
              <w:rPr>
                <w:rFonts w:hint="eastAsia" w:ascii="宋体" w:hAnsi="宋体" w:cs="宋体"/>
                <w:b/>
                <w:bCs/>
                <w:color w:val="auto"/>
                <w:kern w:val="0"/>
                <w:sz w:val="18"/>
                <w:szCs w:val="18"/>
                <w:highlight w:val="none"/>
              </w:rPr>
              <w:t>需要跟永嘉县法智+系统整合在一起，实现智能卷宗，需实现待入柜案件的提示功能及在柜案件的出入状态提醒，可以通过法智+系统对民警进行提醒及其他操作</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3604"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涉案财物管理模块</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支持条码管理；支持对物品进行录入、编辑、查看，自动分配条码，可添加相关附件，支持涉案物品信息批量导入</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支持涉案物品查询，可按照编号、名称、承办部门、涉案人员、创建日期等多种条件查询 </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支持涉案物品抓拍，将抓拍的图片保存到涉案物品信息</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支持涉案物品入库、出库、借阅、归还、移送主要流程，流转信息系统自动记录</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支持物品借出、归还等超时报警</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支持远程控制涉案物品柜开柜，支持根据民警实际使用需求分配涉案物品保管柜</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支持按照涉案物品柜箱门数选择不同的排列方式</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支持对涉案物品柜进行添加、修改和删除操作</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支持统计分析功能，具备多种统计维度，统计结果图表展现 </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支持登录到执法办案区，支持执法办案区数据对接</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支持视频预览监控功能，可以预览、回放、视频基础功能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支持1080p/720p/4CIF等主流视频格式接</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支持用户操作日志管理，支持设置系统名称</w:t>
            </w:r>
          </w:p>
          <w:p>
            <w:pPr>
              <w:widowControl/>
              <w:jc w:val="left"/>
              <w:textAlignment w:val="top"/>
              <w:rPr>
                <w:rFonts w:ascii="宋体" w:hAnsi="宋体" w:cs="宋体"/>
                <w:color w:val="auto"/>
                <w:sz w:val="18"/>
                <w:szCs w:val="18"/>
                <w:highlight w:val="none"/>
              </w:rPr>
            </w:pPr>
            <w:r>
              <w:rPr>
                <w:rFonts w:hint="eastAsia"/>
                <w:color w:val="auto"/>
                <w:highlight w:val="none"/>
              </w:rPr>
              <w:t>★</w:t>
            </w:r>
            <w:r>
              <w:rPr>
                <w:rFonts w:hint="eastAsia" w:ascii="宋体" w:hAnsi="宋体" w:cs="宋体"/>
                <w:color w:val="auto"/>
                <w:kern w:val="0"/>
                <w:sz w:val="18"/>
                <w:szCs w:val="18"/>
                <w:highlight w:val="none"/>
              </w:rPr>
              <w:t>支持角色分配和用户管理，</w:t>
            </w:r>
            <w:r>
              <w:rPr>
                <w:rFonts w:hint="eastAsia" w:ascii="宋体" w:hAnsi="宋体" w:cs="宋体"/>
                <w:b/>
                <w:bCs/>
                <w:color w:val="auto"/>
                <w:kern w:val="0"/>
                <w:sz w:val="18"/>
                <w:szCs w:val="18"/>
                <w:highlight w:val="none"/>
              </w:rPr>
              <w:t>需要跟永嘉县法智+系统整合在一起，需实现待入库涉案财物的提示功能及在库涉案财物的出入状态提醒，可以通过法智+系统对民警进行提醒及其他操作</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5537"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电子证据采集系统</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1）高性能主机配置，处理器：不低于I9-9880H；内存：不低于32G；不低于硬盘1T SSD+2T SSD；显卡：不低于NVIDIA 显存8GB 。</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据。</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二、软件功能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1.超级ADB技术，支持三星、华为、小米、OPPO、VIVO、魅族、乐视、HTC等各品牌手机在未ROOT情况下免刷机直接提取镜像进行并自动解密。</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2.支持iPhone 4、iPhone 3GS、iPad 1破解4位开机密码。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3.iPhone提权取证，突破iOS系统（支持iOS10.0-13.5版本，不包含12.4.7）限制，无需越狱，即可绕过备份密码，提取更丰富的手机数据。</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4.突破Android手机权限限制，在取证过程中无需频繁点击授权提示，大大提升用户体验，提高取证效率。</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5.支持OPPO、华为、魅族、小米等手机自动备份取证，减轻用户取证的工作量。</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支持获取手机IMEI、IMSI、通讯簿、短信、通话记录、位置信息、备忘录、日程表、Wi-Fi/蓝牙连接记录、多媒体文件（图片/视频/音频）、系统日志（开关机时间、应用程序使用卸载记录、iOS设备使用过的手机号、iOS设备连接过的主机、iOS PushStore推送消息）和密码密钥等信息，支持恢复已删除的电话簿、短信、通话记录、日程表等信息。</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7.支持提取SIM卡上的通讯录、短信、通话记录以及SIM使用记录。</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8.支持Android、iPhone手机各类文档的分类取证，文档格式有：.doc、.xls、.ppt、.db、.pdf、.txt、.plist、.xml、.lst、.dat、.ini等。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9.支持手机已删除数据的恢复，支持删除数据恢复的平台包括： iPhone手机、Android手机。其中iPhone手机越狱和未越狱均可实现删除数据恢复，Android手机可自动ROOT后进行删除数据恢复，在ROOT失败情况下，也能支持Android手机解析和恢复QQ、微信、微博等应用程序数据。</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10.支持手机内存镜像的获取和解析，包括Android手机、iPhone手机。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11.基于微信备份原理以及基于镜像的深度数据恢复，可深度恢复微信、短信等删除数据，解决高版本微信无法恢复数据的行业难题。</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支持使用设备自带显卡进行GPU并行运算解密、支持密钥数据库文件解密、支持缓存文件解密Android微信多账号数据；支持各种即时通讯软件多媒体文件的转码，并在软件内直接播放；支持部分应用程序删除数据的恢复；支持部分应用程序密码/密钥的提取。</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13.支持微博数据的获取解析，包含新浪微博、腾讯微博、Twitter等。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14.支持上网日志的获取解析，包含自带浏览器、QQ浏览器、UC浏览器、欧朋浏览器、Safari、百度浏览器、海豚浏览器、傲游云浏览器、Chrome、搜狗浏览器、天天浏览器、手机百度、猎豹浏览器、360浏览器、绿茶浏览器、Firefox浏览器、水星浏览器、2345浏览器、百度极速版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15.支持手机邮件的获取解析，包含内置邮箱、QQ邮箱、139邮箱、Gmail邮箱、网易邮箱大师、189邮箱、邮件大师等。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16.支持手机行程记录的获取解析，包含谷歌地图、百度地图、腾讯地图、搜狗地图、航旅纵横、高德地图、滴滴出行、快的打车、携程旅行、去哪儿旅行、嘀嗒拼车、Uber、桌面天气、12306、神州租车、ofo共享单车、智行火车票、交管12123、航班管家、摩拜单车、途牛旅游、艺龙旅行、华住会、曹操出行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17.支持手机电子商务数据的获取解析，包含淘宝、天猫、京东商城、支付宝、美团、大众点评、百度糯米、转转、闲鱼、饿了么、唯品会、拼多多、微拍堂、口碑、当当等。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18.支持手机Wi-Fi、蓝牙连接记录的提取，支持手机GPS、Wi-Fi、基站、照片位置信息及部分应用程序位置信息的提取。</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支持第三方安全软件的获取解析，包含360手机卫士(Android)、360隐私保险箱(Android)、来电通、360手机助手、冰箱、一键清理大师、猎豹清理大师、百度手机助手、腾讯手机管家、鲁大师、360清理大师、极速清理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20.支持车载导航记录的获取解析，包含E路航。</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21.支持视听软件的获取解析，包含爱奇艺、百度音乐、QQ音乐、乐视视频、搜狐视频、腾讯视频、优酷视频、酷狗音乐、快手、抖音、斗鱼直播、网易云音乐等。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22.支持360安全云盘、易联OVPN、华为手机云、iCloud等应用的获取解析。</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23.支持中国银行、建设银行、农业银行、交通银行、招商银行、工商银行等银行类APP的获取解析。</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24.支持其他应用解析，如搜狗输入法、imToken、币牛牛、115网盘、金十数据、豌豆荚、今日头条、赶集网、58同城、学习强国、脉脉、腾讯微云、随手记、顺丰速运、菜鸟裹裹、同花顺等。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25.新增近400个小众应用解析，如小米天气、搜狐邮箱、密友、365日历、SUGAR苏格、百聊、百合婚恋、新浪邮箱、巴士管家、印象笔记、Hello语音、华为智慧生活、益盟操盘手、阿里巴巴、平安普惠、贝店、悟空理财、他趣、华为应用市场、微信读书、Nico、Keep、云约、云信、比邻、悦跑圈、Microsoft Office Mobile、Microsoft Excel、Microsoft Word、Microsoft PowerPoint等。</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26.支持手机APK静态行为分析，支持提取权限、开发者、服务器地址等信息，取代繁琐的手工分析。</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490"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3D地图模块</w:t>
            </w:r>
          </w:p>
        </w:tc>
        <w:tc>
          <w:tcPr>
            <w:tcW w:w="918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sz w:val="18"/>
                <w:szCs w:val="18"/>
                <w:highlight w:val="none"/>
              </w:rPr>
            </w:pPr>
            <w:r>
              <w:rPr>
                <w:rStyle w:val="80"/>
                <w:rFonts w:hint="default"/>
                <w:color w:val="auto"/>
                <w:highlight w:val="none"/>
              </w:rPr>
              <w:t>3D地图建模根据办案区现场实际房间布局</w:t>
            </w:r>
            <w:r>
              <w:rPr>
                <w:rStyle w:val="94"/>
                <w:rFonts w:hint="default"/>
                <w:color w:val="auto"/>
                <w:highlight w:val="none"/>
              </w:rPr>
              <w:t>定制</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295"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（十六）、运行环境服务器</w:t>
            </w:r>
          </w:p>
        </w:tc>
      </w:tr>
      <w:tr>
        <w:tblPrEx>
          <w:tblCellMar>
            <w:top w:w="0" w:type="dxa"/>
            <w:left w:w="108" w:type="dxa"/>
            <w:bottom w:w="0" w:type="dxa"/>
            <w:right w:w="108" w:type="dxa"/>
          </w:tblCellMar>
        </w:tblPrEx>
        <w:trPr>
          <w:jc w:val="center"/>
        </w:trPr>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1856"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超融合系统</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新宋体" w:hAnsi="新宋体" w:eastAsia="新宋体" w:cs="宋体"/>
                <w:b/>
                <w:bCs/>
                <w:color w:val="auto"/>
                <w:kern w:val="0"/>
                <w:sz w:val="18"/>
                <w:szCs w:val="18"/>
                <w:highlight w:val="none"/>
              </w:rPr>
              <w:t>本次配置3个超融合节点，每个节点配置如下：</w:t>
            </w:r>
          </w:p>
        </w:tc>
        <w:tc>
          <w:tcPr>
            <w:tcW w:w="94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1</w:t>
            </w:r>
          </w:p>
        </w:tc>
        <w:tc>
          <w:tcPr>
            <w:tcW w:w="58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CPU</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配置2CPU，要求单颗CPU主频≥2.</w:t>
            </w:r>
            <w:r>
              <w:rPr>
                <w:rFonts w:ascii="新宋体" w:hAnsi="新宋体" w:eastAsia="新宋体" w:cs="宋体"/>
                <w:color w:val="auto"/>
                <w:kern w:val="0"/>
                <w:sz w:val="18"/>
                <w:szCs w:val="18"/>
                <w:highlight w:val="none"/>
              </w:rPr>
              <w:t>4</w:t>
            </w:r>
            <w:r>
              <w:rPr>
                <w:rFonts w:hint="eastAsia" w:ascii="新宋体" w:hAnsi="新宋体" w:eastAsia="新宋体" w:cs="宋体"/>
                <w:color w:val="auto"/>
                <w:kern w:val="0"/>
                <w:sz w:val="18"/>
                <w:szCs w:val="18"/>
                <w:highlight w:val="none"/>
              </w:rPr>
              <w:t>GHz，单颗CPU核数≥</w:t>
            </w:r>
            <w:r>
              <w:rPr>
                <w:rFonts w:ascii="新宋体" w:hAnsi="新宋体" w:eastAsia="新宋体" w:cs="宋体"/>
                <w:color w:val="auto"/>
                <w:kern w:val="0"/>
                <w:sz w:val="18"/>
                <w:szCs w:val="18"/>
                <w:highlight w:val="none"/>
              </w:rPr>
              <w:t>16</w:t>
            </w:r>
            <w:r>
              <w:rPr>
                <w:rFonts w:hint="eastAsia" w:ascii="新宋体" w:hAnsi="新宋体" w:eastAsia="新宋体" w:cs="宋体"/>
                <w:color w:val="auto"/>
                <w:kern w:val="0"/>
                <w:sz w:val="18"/>
                <w:szCs w:val="18"/>
                <w:highlight w:val="none"/>
              </w:rPr>
              <w:t xml:space="preserve">核 </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内存实配规格</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配置</w:t>
            </w:r>
            <w:r>
              <w:rPr>
                <w:rFonts w:ascii="新宋体" w:hAnsi="新宋体" w:eastAsia="新宋体" w:cs="宋体"/>
                <w:color w:val="auto"/>
                <w:kern w:val="0"/>
                <w:sz w:val="18"/>
                <w:szCs w:val="18"/>
                <w:highlight w:val="none"/>
              </w:rPr>
              <w:t>8</w:t>
            </w:r>
            <w:r>
              <w:rPr>
                <w:rFonts w:hint="eastAsia" w:ascii="新宋体" w:hAnsi="新宋体" w:eastAsia="新宋体" w:cs="宋体"/>
                <w:color w:val="auto"/>
                <w:kern w:val="0"/>
                <w:sz w:val="18"/>
                <w:szCs w:val="18"/>
                <w:highlight w:val="none"/>
              </w:rPr>
              <w:t>条32GB DDR4</w:t>
            </w:r>
            <w:r>
              <w:rPr>
                <w:rFonts w:ascii="新宋体" w:hAnsi="新宋体" w:eastAsia="新宋体" w:cs="宋体"/>
                <w:color w:val="auto"/>
                <w:kern w:val="0"/>
                <w:sz w:val="18"/>
                <w:szCs w:val="18"/>
                <w:highlight w:val="none"/>
              </w:rPr>
              <w:t xml:space="preserve"> 3200</w:t>
            </w:r>
            <w:r>
              <w:rPr>
                <w:rFonts w:hint="eastAsia" w:ascii="新宋体" w:hAnsi="新宋体" w:eastAsia="新宋体" w:cs="宋体"/>
                <w:color w:val="auto"/>
                <w:kern w:val="0"/>
                <w:sz w:val="18"/>
                <w:szCs w:val="18"/>
                <w:highlight w:val="none"/>
              </w:rPr>
              <w:t>内存条</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内存可扩展数量</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最大支持32根DDR4内存，最高速率3200MT/s，支持RDIMM或LRDIMM</w:t>
            </w:r>
          </w:p>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支持16根英特尔®傲腾®持久内存PMem 200系列（Barlow Pass）最大可支持内存容量高达12TB</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硬盘槽位</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 xml:space="preserve">配置8个3.5寸硬盘槽位，4个3.5寸NVME硬盘槽位 </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实配硬盘及托架</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配置2块</w:t>
            </w:r>
            <w:r>
              <w:rPr>
                <w:rFonts w:ascii="新宋体" w:hAnsi="新宋体" w:eastAsia="新宋体" w:cs="宋体"/>
                <w:color w:val="auto"/>
                <w:kern w:val="0"/>
                <w:sz w:val="18"/>
                <w:szCs w:val="18"/>
                <w:highlight w:val="none"/>
              </w:rPr>
              <w:t>48</w:t>
            </w:r>
            <w:r>
              <w:rPr>
                <w:rFonts w:hint="eastAsia" w:ascii="新宋体" w:hAnsi="新宋体" w:eastAsia="新宋体" w:cs="宋体"/>
                <w:color w:val="auto"/>
                <w:kern w:val="0"/>
                <w:sz w:val="18"/>
                <w:szCs w:val="18"/>
                <w:highlight w:val="none"/>
              </w:rPr>
              <w:t>0GB SSD硬盘（系统盘），</w:t>
            </w:r>
            <w:r>
              <w:rPr>
                <w:rFonts w:ascii="新宋体" w:hAnsi="新宋体" w:eastAsia="新宋体" w:cs="宋体"/>
                <w:color w:val="auto"/>
                <w:kern w:val="0"/>
                <w:sz w:val="18"/>
                <w:szCs w:val="18"/>
                <w:highlight w:val="none"/>
              </w:rPr>
              <w:t>4</w:t>
            </w:r>
            <w:r>
              <w:rPr>
                <w:rFonts w:hint="eastAsia" w:ascii="新宋体" w:hAnsi="新宋体" w:eastAsia="新宋体" w:cs="宋体"/>
                <w:color w:val="auto"/>
                <w:kern w:val="0"/>
                <w:sz w:val="18"/>
                <w:szCs w:val="18"/>
                <w:highlight w:val="none"/>
              </w:rPr>
              <w:t>块</w:t>
            </w:r>
            <w:r>
              <w:rPr>
                <w:rFonts w:ascii="新宋体" w:hAnsi="新宋体" w:eastAsia="新宋体" w:cs="宋体"/>
                <w:color w:val="auto"/>
                <w:kern w:val="0"/>
                <w:sz w:val="18"/>
                <w:szCs w:val="18"/>
                <w:highlight w:val="none"/>
              </w:rPr>
              <w:t>8</w:t>
            </w:r>
            <w:r>
              <w:rPr>
                <w:rFonts w:hint="eastAsia" w:ascii="新宋体" w:hAnsi="新宋体" w:eastAsia="新宋体" w:cs="宋体"/>
                <w:color w:val="auto"/>
                <w:kern w:val="0"/>
                <w:sz w:val="18"/>
                <w:szCs w:val="18"/>
                <w:highlight w:val="none"/>
              </w:rPr>
              <w:t>TB SATA HDD硬盘（数据盘），</w:t>
            </w:r>
            <w:r>
              <w:rPr>
                <w:rFonts w:ascii="新宋体" w:hAnsi="新宋体" w:eastAsia="新宋体" w:cs="宋体"/>
                <w:color w:val="auto"/>
                <w:kern w:val="0"/>
                <w:sz w:val="18"/>
                <w:szCs w:val="18"/>
                <w:highlight w:val="none"/>
              </w:rPr>
              <w:t>2</w:t>
            </w:r>
            <w:r>
              <w:rPr>
                <w:rFonts w:hint="eastAsia" w:ascii="新宋体" w:hAnsi="新宋体" w:eastAsia="新宋体" w:cs="宋体"/>
                <w:color w:val="auto"/>
                <w:kern w:val="0"/>
                <w:sz w:val="18"/>
                <w:szCs w:val="18"/>
                <w:highlight w:val="none"/>
              </w:rPr>
              <w:t>块960G Nvme SSD硬盘（缓存盘）</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阵列控制器</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配置1个LSI Raid 阵列卡（1GB缓存），支持RAID0/1/10/5/6/50/60/1E/Simple Volume，用于数据盘</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启动盘可选项</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支持双MicroSD和双M.2 SSD配置RAID1</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PCI I/O插槽</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支持≥</w:t>
            </w:r>
            <w:r>
              <w:rPr>
                <w:rFonts w:ascii="新宋体" w:hAnsi="新宋体" w:eastAsia="新宋体" w:cs="宋体"/>
                <w:color w:val="auto"/>
                <w:kern w:val="0"/>
                <w:sz w:val="18"/>
                <w:szCs w:val="18"/>
                <w:highlight w:val="none"/>
              </w:rPr>
              <w:t>13</w:t>
            </w:r>
            <w:r>
              <w:rPr>
                <w:rFonts w:hint="eastAsia" w:ascii="新宋体" w:hAnsi="新宋体" w:eastAsia="新宋体" w:cs="宋体"/>
                <w:color w:val="auto"/>
                <w:kern w:val="0"/>
                <w:sz w:val="18"/>
                <w:szCs w:val="18"/>
                <w:highlight w:val="none"/>
              </w:rPr>
              <w:t>个标准PCIE3.0插槽，提供官网清晰截图及链接证明</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网卡</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提供≥1个网卡专用插槽（不占用PCIE扩展槽），配置</w:t>
            </w:r>
            <w:r>
              <w:rPr>
                <w:rFonts w:ascii="新宋体" w:hAnsi="新宋体" w:eastAsia="新宋体" w:cs="宋体"/>
                <w:color w:val="auto"/>
                <w:kern w:val="0"/>
                <w:sz w:val="18"/>
                <w:szCs w:val="18"/>
                <w:highlight w:val="none"/>
              </w:rPr>
              <w:t>1</w:t>
            </w:r>
            <w:r>
              <w:rPr>
                <w:rFonts w:hint="eastAsia" w:ascii="新宋体" w:hAnsi="新宋体" w:eastAsia="新宋体" w:cs="宋体"/>
                <w:color w:val="auto"/>
                <w:kern w:val="0"/>
                <w:sz w:val="18"/>
                <w:szCs w:val="18"/>
                <w:highlight w:val="none"/>
              </w:rPr>
              <w:t>张4端口千兆以太网电接口卡，</w:t>
            </w:r>
            <w:r>
              <w:rPr>
                <w:rFonts w:ascii="新宋体" w:hAnsi="新宋体" w:eastAsia="新宋体" w:cs="宋体"/>
                <w:color w:val="auto"/>
                <w:kern w:val="0"/>
                <w:sz w:val="18"/>
                <w:szCs w:val="18"/>
                <w:highlight w:val="none"/>
              </w:rPr>
              <w:t>2</w:t>
            </w:r>
            <w:r>
              <w:rPr>
                <w:rFonts w:hint="eastAsia" w:ascii="新宋体" w:hAnsi="新宋体" w:eastAsia="新宋体" w:cs="宋体"/>
                <w:color w:val="auto"/>
                <w:kern w:val="0"/>
                <w:sz w:val="18"/>
                <w:szCs w:val="18"/>
                <w:highlight w:val="none"/>
              </w:rPr>
              <w:t>张双端口万兆以太网光接口卡（含</w:t>
            </w:r>
            <w:r>
              <w:rPr>
                <w:rFonts w:ascii="新宋体" w:hAnsi="新宋体" w:eastAsia="新宋体" w:cs="宋体"/>
                <w:color w:val="auto"/>
                <w:kern w:val="0"/>
                <w:sz w:val="18"/>
                <w:szCs w:val="18"/>
                <w:highlight w:val="none"/>
              </w:rPr>
              <w:t>4</w:t>
            </w:r>
            <w:r>
              <w:rPr>
                <w:rFonts w:hint="eastAsia" w:ascii="新宋体" w:hAnsi="新宋体" w:eastAsia="新宋体" w:cs="宋体"/>
                <w:color w:val="auto"/>
                <w:kern w:val="0"/>
                <w:sz w:val="18"/>
                <w:szCs w:val="18"/>
                <w:highlight w:val="none"/>
              </w:rPr>
              <w:t>个万多模光模块）</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GPU</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支持≥</w:t>
            </w:r>
            <w:r>
              <w:rPr>
                <w:rFonts w:ascii="新宋体" w:hAnsi="新宋体" w:eastAsia="新宋体" w:cs="宋体"/>
                <w:color w:val="auto"/>
                <w:kern w:val="0"/>
                <w:sz w:val="18"/>
                <w:szCs w:val="18"/>
                <w:highlight w:val="none"/>
              </w:rPr>
              <w:t>4</w:t>
            </w:r>
            <w:r>
              <w:rPr>
                <w:rFonts w:hint="eastAsia" w:ascii="新宋体" w:hAnsi="新宋体" w:eastAsia="新宋体" w:cs="宋体"/>
                <w:color w:val="auto"/>
                <w:kern w:val="0"/>
                <w:sz w:val="18"/>
                <w:szCs w:val="18"/>
                <w:highlight w:val="none"/>
              </w:rPr>
              <w:t>块双宽或8块单宽GPU卡，提供官网清晰截图证明</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接口</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可支持前部：1个Type-C; 2个USB3.0;1个VGA；后部：2xUSB3.0; 1x串口；1xVGA；内置：2xUSB3.0</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嵌入式管理</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新宋体" w:hAnsi="新宋体" w:eastAsia="新宋体" w:cs="宋体"/>
                <w:color w:val="auto"/>
                <w:kern w:val="0"/>
                <w:sz w:val="18"/>
                <w:szCs w:val="18"/>
                <w:highlight w:val="none"/>
                <w:lang w:eastAsia="zh-CN"/>
              </w:rPr>
            </w:pPr>
            <w:r>
              <w:rPr>
                <w:rFonts w:hint="eastAsia" w:ascii="新宋体" w:hAnsi="新宋体" w:eastAsia="新宋体" w:cs="宋体"/>
                <w:color w:val="auto"/>
                <w:kern w:val="0"/>
                <w:sz w:val="18"/>
                <w:szCs w:val="18"/>
                <w:highlight w:val="none"/>
              </w:rPr>
              <w:t>配置≥1Gb独立的远程管理控制端口；</w:t>
            </w:r>
          </w:p>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安全性</w:t>
            </w:r>
          </w:p>
        </w:tc>
        <w:tc>
          <w:tcPr>
            <w:tcW w:w="7938" w:type="dxa"/>
            <w:tcBorders>
              <w:top w:val="single" w:color="000000" w:sz="4" w:space="0"/>
              <w:left w:val="single" w:color="000000" w:sz="4" w:space="0"/>
              <w:bottom w:val="single" w:color="000000" w:sz="4" w:space="0"/>
              <w:right w:val="single" w:color="000000" w:sz="4" w:space="0"/>
            </w:tcBorders>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提供UEFI安全启动；支持中国标准TCM 1.0可信计算，（支持国际标准TPM模块）；提供官网清晰截图证明；</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9183"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b/>
                <w:bCs/>
                <w:color w:val="auto"/>
                <w:sz w:val="18"/>
                <w:szCs w:val="18"/>
                <w:highlight w:val="none"/>
              </w:rPr>
              <w:t>配置超融合管理软件License-管理</w:t>
            </w:r>
            <w:r>
              <w:rPr>
                <w:rFonts w:ascii="新宋体" w:hAnsi="新宋体" w:eastAsia="新宋体"/>
                <w:b/>
                <w:bCs/>
                <w:color w:val="auto"/>
                <w:sz w:val="18"/>
                <w:szCs w:val="18"/>
                <w:highlight w:val="none"/>
              </w:rPr>
              <w:t>6</w:t>
            </w:r>
            <w:r>
              <w:rPr>
                <w:rFonts w:hint="eastAsia" w:ascii="新宋体" w:hAnsi="新宋体" w:eastAsia="新宋体"/>
                <w:b/>
                <w:bCs/>
                <w:color w:val="auto"/>
                <w:sz w:val="18"/>
                <w:szCs w:val="18"/>
                <w:highlight w:val="none"/>
              </w:rPr>
              <w:t>个物理CPU授权；</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资源管理要求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通过超融合管理平台即可实现对计算、存储、网络等资源进行统一管理，所有功能无需界面跳转即可实现全部操作，真正融合、简化管理</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ascii="新宋体" w:hAnsi="新宋体" w:eastAsia="新宋体"/>
                <w:color w:val="auto"/>
                <w:sz w:val="18"/>
                <w:szCs w:val="18"/>
                <w:highlight w:val="none"/>
              </w:rPr>
            </w:pPr>
            <w:r>
              <w:rPr>
                <w:rFonts w:hint="eastAsia" w:ascii="新宋体" w:hAnsi="新宋体" w:eastAsia="新宋体"/>
                <w:color w:val="auto"/>
                <w:sz w:val="18"/>
                <w:szCs w:val="18"/>
                <w:highlight w:val="none"/>
              </w:rPr>
              <w:t>统一运维要求</w:t>
            </w:r>
          </w:p>
        </w:tc>
        <w:tc>
          <w:tcPr>
            <w:tcW w:w="7938" w:type="dxa"/>
            <w:tcBorders>
              <w:top w:val="single" w:color="000000" w:sz="4" w:space="0"/>
              <w:left w:val="single" w:color="000000" w:sz="4" w:space="0"/>
              <w:bottom w:val="single" w:color="000000" w:sz="4" w:space="0"/>
              <w:right w:val="single" w:color="000000" w:sz="4" w:space="0"/>
            </w:tcBorders>
          </w:tcPr>
          <w:p>
            <w:pPr>
              <w:widowControl/>
              <w:rPr>
                <w:rFonts w:ascii="新宋体" w:hAnsi="新宋体" w:eastAsia="新宋体"/>
                <w:color w:val="auto"/>
                <w:sz w:val="18"/>
                <w:szCs w:val="18"/>
                <w:highlight w:val="none"/>
              </w:rPr>
            </w:pPr>
            <w:r>
              <w:rPr>
                <w:rFonts w:hint="eastAsia" w:ascii="新宋体" w:hAnsi="新宋体" w:eastAsia="新宋体"/>
                <w:color w:val="auto"/>
                <w:sz w:val="18"/>
                <w:szCs w:val="18"/>
                <w:highlight w:val="none"/>
              </w:rPr>
              <w:t>针对超融合整体软硬件故障问题，提供统一的可视的监控管理中心，可视化实时监控中心从硬件可靠性（包括CPU、内存、磁盘、物理网卡和Raid卡）、系统可靠性（包括集群主机、分布式存储、集群网络配置状态和集群资源过载状态）、服务可靠性（包括站点容灾、集群可靠性HA、应用HA、计算资源DRS、虚拟机运行状态和虚拟机备份）三大层面进行实时监控、分层展示，运维人员可以直观查看集群的整体运行情况，可以快速诊断集群的健康状态，同时支持对无需关注的检测异常启用屏蔽功能，启用屏蔽功能的检测异常将不会上报显示，现实可视、可控、可管，简化运维</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rPr>
                <w:rFonts w:ascii="新宋体" w:hAnsi="新宋体" w:eastAsia="新宋体"/>
                <w:color w:val="auto"/>
                <w:sz w:val="18"/>
                <w:szCs w:val="18"/>
                <w:highlight w:val="none"/>
              </w:rPr>
            </w:pPr>
            <w:r>
              <w:rPr>
                <w:rFonts w:hint="eastAsia" w:ascii="新宋体" w:hAnsi="新宋体" w:eastAsia="新宋体"/>
                <w:color w:val="auto"/>
                <w:sz w:val="18"/>
                <w:szCs w:val="18"/>
                <w:highlight w:val="none"/>
              </w:rPr>
              <w:t>资源扩容要求</w:t>
            </w:r>
          </w:p>
        </w:tc>
        <w:tc>
          <w:tcPr>
            <w:tcW w:w="7938" w:type="dxa"/>
            <w:tcBorders>
              <w:top w:val="single" w:color="000000" w:sz="4" w:space="0"/>
              <w:left w:val="single" w:color="000000" w:sz="4" w:space="0"/>
              <w:bottom w:val="single" w:color="000000" w:sz="4" w:space="0"/>
              <w:right w:val="single" w:color="000000" w:sz="4" w:space="0"/>
            </w:tcBorders>
          </w:tcPr>
          <w:p>
            <w:pPr>
              <w:widowControl/>
              <w:rPr>
                <w:rFonts w:ascii="新宋体" w:hAnsi="新宋体" w:eastAsia="新宋体"/>
                <w:color w:val="auto"/>
                <w:sz w:val="18"/>
                <w:szCs w:val="18"/>
                <w:highlight w:val="none"/>
              </w:rPr>
            </w:pPr>
            <w:r>
              <w:rPr>
                <w:rFonts w:hint="eastAsia" w:ascii="新宋体" w:hAnsi="新宋体" w:eastAsia="新宋体"/>
                <w:color w:val="auto"/>
                <w:sz w:val="18"/>
                <w:szCs w:val="18"/>
                <w:highlight w:val="none"/>
              </w:rPr>
              <w:t>后期客户可以依据资源的使用情况，按需选择扩容计算存储型融合节点、计算虚拟化型节点即无需配置数据盘及相应存储虚拟化功能授权、存储虚拟化型节点即无需配置计算虚拟化相应功能授权，满足后期按业务对资源的需求进行灵活扩容，并节省采购成本。要求提供CNAS认可的检测机构出具的该功能检测报告检测结果页作为证明材料</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olor w:val="auto"/>
                <w:sz w:val="18"/>
                <w:szCs w:val="18"/>
                <w:highlight w:val="none"/>
              </w:rPr>
            </w:pPr>
            <w:r>
              <w:rPr>
                <w:rFonts w:hint="eastAsia" w:ascii="新宋体" w:hAnsi="新宋体" w:eastAsia="新宋体"/>
                <w:color w:val="auto"/>
                <w:sz w:val="18"/>
                <w:szCs w:val="18"/>
                <w:highlight w:val="none"/>
              </w:rPr>
              <w:t>集群规模要求</w:t>
            </w:r>
          </w:p>
          <w:p>
            <w:pPr>
              <w:rPr>
                <w:rFonts w:ascii="新宋体" w:hAnsi="新宋体" w:eastAsia="新宋体"/>
                <w:color w:val="auto"/>
                <w:sz w:val="18"/>
                <w:szCs w:val="18"/>
                <w:highlight w:val="none"/>
              </w:rPr>
            </w:pPr>
          </w:p>
        </w:tc>
        <w:tc>
          <w:tcPr>
            <w:tcW w:w="7938" w:type="dxa"/>
            <w:tcBorders>
              <w:top w:val="single" w:color="000000" w:sz="4" w:space="0"/>
              <w:left w:val="single" w:color="000000" w:sz="4" w:space="0"/>
              <w:bottom w:val="single" w:color="000000" w:sz="4" w:space="0"/>
              <w:right w:val="single" w:color="000000" w:sz="4" w:space="0"/>
            </w:tcBorders>
          </w:tcPr>
          <w:p>
            <w:pPr>
              <w:widowControl/>
              <w:rPr>
                <w:rFonts w:ascii="新宋体" w:hAnsi="新宋体" w:eastAsia="新宋体"/>
                <w:color w:val="auto"/>
                <w:sz w:val="18"/>
                <w:szCs w:val="18"/>
                <w:highlight w:val="none"/>
              </w:rPr>
            </w:pPr>
            <w:r>
              <w:rPr>
                <w:rFonts w:hint="eastAsia" w:ascii="新宋体" w:hAnsi="新宋体" w:eastAsia="新宋体"/>
                <w:color w:val="auto"/>
                <w:sz w:val="18"/>
                <w:szCs w:val="18"/>
                <w:highlight w:val="none"/>
              </w:rPr>
              <w:t>集群节点数≥2节点，并支持超融合节点数为2节点时，最少扩容节点数为1，扩容时要求原有集群业务不停机，以满足依不同业务分区分域 部署需求，最小化配置集群规模，以降低初始投入，并满足资源无缝、按需扩展。要求提供CNAS认可的检测机构出具的该功能检测报告检测结果页作为证明材料</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业务迁移要求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超融合管理平台集成融合在线的p2v、v2v迁移工具，支持业界主流的操作系统、虚拟化平台、公有云。包括但不限于VMware、微软、华为、H3C 、阿里云、紫光云、深信服等厂商平台的迁移，提升被迁移业务平台的普适性、提升业务迁移的便捷性，降低业务迁移的工作量。</w:t>
            </w:r>
            <w:r>
              <w:rPr>
                <w:rFonts w:hint="eastAsia" w:ascii="新宋体" w:hAnsi="新宋体" w:eastAsia="新宋体"/>
                <w:color w:val="auto"/>
                <w:sz w:val="18"/>
                <w:szCs w:val="18"/>
                <w:highlight w:val="none"/>
              </w:rPr>
              <w:t>要求提供CNAS认可的检测机构出具的该功能检测报告检测结果页作为证明材料</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平台安全要求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超融合管理平台需支持无代理杀毒功能，降低资源开销，同时现实对Hypervisor层及主流Windows和Linux操作系统主机进行整体的安全防护，管理平台集成并提供统一的防病毒配置界面以提升便捷性，支持不少于2种业界主流防病毒软件供用户按需灵活选择。</w:t>
            </w:r>
            <w:r>
              <w:rPr>
                <w:rFonts w:hint="eastAsia" w:ascii="新宋体" w:hAnsi="新宋体" w:eastAsia="新宋体"/>
                <w:color w:val="auto"/>
                <w:sz w:val="18"/>
                <w:szCs w:val="18"/>
                <w:highlight w:val="none"/>
              </w:rPr>
              <w:t>要求提供CNAS认可的检测机构出具的该功能检测报告检测结果页作为证明材料</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容量故障预测</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支持资源容量预测服务，内置时间序列模型，管理平台自动化实现数据检索预测，为提供用户易用的数据预测服务，服务支持呈现实时的CPU、内存和存储容量资源使用数据信息展示，并给出基于AI机器学习算法预测分析得到的预警时间点的提示，支持通过硬盘状态检测与预警技术，提供硬盘故障预测，提供资源扩容规划、硬盘故障预警的智能工具，提升业务整体可靠性。</w:t>
            </w:r>
            <w:r>
              <w:rPr>
                <w:rFonts w:hint="eastAsia" w:ascii="新宋体" w:hAnsi="新宋体" w:eastAsia="新宋体"/>
                <w:color w:val="auto"/>
                <w:sz w:val="18"/>
                <w:szCs w:val="18"/>
                <w:highlight w:val="none"/>
              </w:rPr>
              <w:t>要求提供CNAS认可的检测机构出具的该功能检测报告检测结果页作为证明材料</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SSD寿命展示</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支持实时展示SSD固态硬盘寿命信息，以百分比展示SSD固态硬盘剩余寿命，作为及时更换硬盘提供信息支撑，保证业务的可连续性</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拓扑管理要求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支持对整个平台虚拟设备实现统一的管理，虚拟化 WEB 管理平台可以完成网络拓扑的构建，完成各类虚拟设备的自助逻辑编排，支持在管理平台上连接、开启、关闭各类虚拟设备，拓扑呈现业务流量信息，所画即所得，方便运维管理</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自动部署要求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管理平台对于新上线节点设备可基于链路层协议、被管理节点自动发现，自动分配其IP地址，降低管理难度</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9183"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b/>
                <w:bCs/>
                <w:color w:val="auto"/>
                <w:sz w:val="18"/>
                <w:szCs w:val="18"/>
                <w:highlight w:val="none"/>
              </w:rPr>
              <w:t>配置计算虚拟化软件License-管理</w:t>
            </w:r>
            <w:r>
              <w:rPr>
                <w:rFonts w:ascii="新宋体" w:hAnsi="新宋体" w:eastAsia="新宋体"/>
                <w:b/>
                <w:bCs/>
                <w:color w:val="auto"/>
                <w:sz w:val="18"/>
                <w:szCs w:val="18"/>
                <w:highlight w:val="none"/>
              </w:rPr>
              <w:t>6</w:t>
            </w:r>
            <w:r>
              <w:rPr>
                <w:rFonts w:hint="eastAsia" w:ascii="新宋体" w:hAnsi="新宋体" w:eastAsia="新宋体"/>
                <w:b/>
                <w:bCs/>
                <w:color w:val="auto"/>
                <w:sz w:val="18"/>
                <w:szCs w:val="18"/>
                <w:highlight w:val="none"/>
              </w:rPr>
              <w:t>个物理CPU授权；</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olor w:val="auto"/>
                <w:sz w:val="18"/>
                <w:szCs w:val="18"/>
                <w:highlight w:val="none"/>
              </w:rPr>
            </w:pPr>
            <w:r>
              <w:rPr>
                <w:rFonts w:hint="eastAsia" w:ascii="新宋体" w:hAnsi="新宋体" w:eastAsia="新宋体" w:cs="宋体"/>
                <w:color w:val="auto"/>
                <w:kern w:val="0"/>
                <w:sz w:val="18"/>
                <w:szCs w:val="18"/>
                <w:highlight w:val="none"/>
              </w:rPr>
              <w:t>品牌要求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虚拟化软件非OEM或贴牌产品，禁止借用第三方软件的整合，以保证功能的可靠性和安全性</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兼容性要求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支持现有市场上主要国内外操作系统，包括Windows、CentOS、Fedora、RedHat、SUSE、Ubuntu、FreeBSD、MacOS、中标红旗、中标麒麟、中标普华、深度、一铭、凝思等，</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vMerge w:val="restart"/>
            <w:tcBorders>
              <w:top w:val="single" w:color="000000" w:sz="4" w:space="0"/>
              <w:left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基本功能要求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提供虚拟机启动、暂停、恢复、休眠、重启、关闭、克隆、迁移、删除、快照等功能的批量操作</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vMerge w:val="continue"/>
            <w:tcBorders>
              <w:left w:val="single" w:color="000000" w:sz="4" w:space="0"/>
              <w:right w:val="single" w:color="000000" w:sz="4" w:space="0"/>
            </w:tcBorders>
            <w:vAlign w:val="center"/>
          </w:tcPr>
          <w:p>
            <w:pPr>
              <w:widowControl/>
              <w:textAlignment w:val="top"/>
              <w:rPr>
                <w:rFonts w:ascii="宋体" w:hAnsi="宋体" w:cs="宋体"/>
                <w:color w:val="auto"/>
                <w:sz w:val="18"/>
                <w:szCs w:val="18"/>
                <w:highlight w:val="none"/>
              </w:rPr>
            </w:pP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提供集群HA（高可用），DRS（动态资源调度）等功能配置</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vMerge w:val="continue"/>
            <w:tcBorders>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sz w:val="18"/>
                <w:szCs w:val="18"/>
                <w:highlight w:val="none"/>
              </w:rPr>
            </w:pP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支持虚拟机的入方向、出方向、出入方向安全访问控制功能，可基于IP、MAC、端口号、时间段等设置访问规则</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审计回溯要求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支持虚拟机迁移历史记录功能，记录中包含迁移的操作员、迁移方式、源主机、目的主机、开始时间、迁移耗时等信息，便于对虚拟机的迁移路径进行回溯。</w:t>
            </w:r>
            <w:r>
              <w:rPr>
                <w:rFonts w:hint="eastAsia" w:ascii="新宋体" w:hAnsi="新宋体" w:eastAsia="新宋体"/>
                <w:color w:val="auto"/>
                <w:sz w:val="18"/>
                <w:szCs w:val="18"/>
                <w:highlight w:val="none"/>
              </w:rPr>
              <w:t>要求提供CNAS认可的检测机构出具的该功能检测报告检测结果页作为证明材料</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olor w:val="auto"/>
                <w:sz w:val="18"/>
                <w:szCs w:val="18"/>
                <w:highlight w:val="none"/>
              </w:rPr>
              <w:t>★</w:t>
            </w:r>
            <w:r>
              <w:rPr>
                <w:rFonts w:hint="eastAsia" w:ascii="新宋体" w:hAnsi="新宋体" w:eastAsia="新宋体" w:cs="宋体"/>
                <w:color w:val="auto"/>
                <w:kern w:val="0"/>
                <w:sz w:val="18"/>
                <w:szCs w:val="18"/>
                <w:highlight w:val="none"/>
              </w:rPr>
              <w:t>运维管理要求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支持批量修改虚拟机的配置参数，包括：I/O优先级、启动优先级、是否自动迁移、CPU调度优先级、CPU个数、内存大小、自动启动、VM启动设备、tools自动升级等；支持虚拟机桌面预览功能，无需登录虚拟机即可在虚拟化管理平台上看到虚拟机当前桌面的状态，降低配置工作量及运维难度。</w:t>
            </w:r>
            <w:r>
              <w:rPr>
                <w:rFonts w:hint="eastAsia" w:ascii="新宋体" w:hAnsi="新宋体" w:eastAsia="新宋体"/>
                <w:color w:val="auto"/>
                <w:sz w:val="18"/>
                <w:szCs w:val="18"/>
                <w:highlight w:val="none"/>
              </w:rPr>
              <w:t>要求提供CNAS认可的检测机构出具的该功能检测报告检测结果页作为证明材料</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9183"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olor w:val="auto"/>
                <w:sz w:val="18"/>
                <w:szCs w:val="18"/>
                <w:highlight w:val="none"/>
              </w:rPr>
            </w:pPr>
            <w:r>
              <w:rPr>
                <w:rFonts w:hint="eastAsia" w:ascii="新宋体" w:hAnsi="新宋体" w:eastAsia="新宋体"/>
                <w:b/>
                <w:bCs/>
                <w:color w:val="auto"/>
                <w:sz w:val="18"/>
                <w:szCs w:val="18"/>
                <w:highlight w:val="none"/>
              </w:rPr>
              <w:t>配置存储虚拟化软件License-管理</w:t>
            </w:r>
            <w:r>
              <w:rPr>
                <w:rFonts w:ascii="新宋体" w:hAnsi="新宋体" w:eastAsia="新宋体"/>
                <w:b/>
                <w:bCs/>
                <w:color w:val="auto"/>
                <w:sz w:val="18"/>
                <w:szCs w:val="18"/>
                <w:highlight w:val="none"/>
              </w:rPr>
              <w:t>6</w:t>
            </w:r>
            <w:r>
              <w:rPr>
                <w:rFonts w:hint="eastAsia" w:ascii="新宋体" w:hAnsi="新宋体" w:eastAsia="新宋体"/>
                <w:b/>
                <w:bCs/>
                <w:color w:val="auto"/>
                <w:sz w:val="18"/>
                <w:szCs w:val="18"/>
                <w:highlight w:val="none"/>
              </w:rPr>
              <w:t>个物理CPU授权，单台服务器管理容量不限（至少不小于500T的存储虚拟化授权）</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架构要求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采用分布式的软件定义存储架构，在通用服务器部署，把所有服务器硬盘组织成一个虚拟存储资源池，提供分布式存储服务，无需独立的元数据及控制器节点，使用超融合管理平台统一管理，无需在计算虚拟化平台上部署存储控制器，存储集群规模支持≥256个节点。</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能力要求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同一节点同时提供服务器虚拟化及分式布块、对象、文件种存储功能，3个节点集群即可同时提供虚拟化、分布式块、对象、文件存储服务。为了确保性能其中对象和文件服务须在宿主机上提供。</w:t>
            </w:r>
            <w:r>
              <w:rPr>
                <w:rFonts w:hint="eastAsia" w:ascii="新宋体" w:hAnsi="新宋体" w:eastAsia="新宋体"/>
                <w:color w:val="auto"/>
                <w:sz w:val="18"/>
                <w:szCs w:val="18"/>
                <w:highlight w:val="none"/>
              </w:rPr>
              <w:t>要求提供CNAS认可的检测机构出具的该功能检测报告检测结果页作为证明材料</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vMerge w:val="restart"/>
            <w:tcBorders>
              <w:top w:val="single" w:color="000000" w:sz="4" w:space="0"/>
              <w:left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功能要求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Calibri"/>
                <w:color w:val="auto"/>
                <w:sz w:val="18"/>
                <w:szCs w:val="18"/>
                <w:highlight w:val="none"/>
              </w:rPr>
              <w:t>支持厚配置，可以根据业务需求分配固定的物理存储空间、支持精简配置，可以根据应用实际写需要时才分配相应的物理存储空间</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vMerge w:val="continue"/>
            <w:tcBorders>
              <w:left w:val="single" w:color="000000" w:sz="4" w:space="0"/>
              <w:right w:val="single" w:color="000000" w:sz="4" w:space="0"/>
            </w:tcBorders>
            <w:vAlign w:val="center"/>
          </w:tcPr>
          <w:p>
            <w:pPr>
              <w:widowControl/>
              <w:textAlignment w:val="top"/>
              <w:rPr>
                <w:rFonts w:ascii="宋体" w:hAnsi="宋体" w:cs="宋体"/>
                <w:color w:val="auto"/>
                <w:sz w:val="18"/>
                <w:szCs w:val="18"/>
                <w:highlight w:val="none"/>
              </w:rPr>
            </w:pP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Calibri"/>
                <w:color w:val="auto"/>
                <w:sz w:val="18"/>
                <w:szCs w:val="18"/>
                <w:highlight w:val="none"/>
              </w:rPr>
              <w:t>支持卷快照，支持可写快照、定时快照，一致性组快照;支持链式卷克隆、完整克隆。</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vMerge w:val="continue"/>
            <w:tcBorders>
              <w:left w:val="single" w:color="000000" w:sz="4" w:space="0"/>
              <w:right w:val="single" w:color="000000" w:sz="4" w:space="0"/>
            </w:tcBorders>
            <w:vAlign w:val="center"/>
          </w:tcPr>
          <w:p>
            <w:pPr>
              <w:widowControl/>
              <w:textAlignment w:val="top"/>
              <w:rPr>
                <w:rFonts w:ascii="宋体" w:hAnsi="宋体" w:cs="宋体"/>
                <w:color w:val="auto"/>
                <w:sz w:val="18"/>
                <w:szCs w:val="18"/>
                <w:highlight w:val="none"/>
              </w:rPr>
            </w:pP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Calibri"/>
                <w:color w:val="auto"/>
                <w:sz w:val="18"/>
                <w:szCs w:val="18"/>
                <w:highlight w:val="none"/>
              </w:rPr>
              <w:t>支持卷拷贝、卷迁移，如从低性能资源池迁移至高性能池</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vMerge w:val="continue"/>
            <w:tcBorders>
              <w:left w:val="single" w:color="000000" w:sz="4" w:space="0"/>
              <w:right w:val="single" w:color="000000" w:sz="4" w:space="0"/>
            </w:tcBorders>
            <w:vAlign w:val="center"/>
          </w:tcPr>
          <w:p>
            <w:pPr>
              <w:widowControl/>
              <w:textAlignment w:val="top"/>
              <w:rPr>
                <w:rFonts w:ascii="宋体" w:hAnsi="宋体" w:cs="宋体"/>
                <w:color w:val="auto"/>
                <w:sz w:val="18"/>
                <w:szCs w:val="18"/>
                <w:highlight w:val="none"/>
              </w:rPr>
            </w:pP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Calibri"/>
                <w:color w:val="auto"/>
                <w:sz w:val="18"/>
                <w:szCs w:val="18"/>
                <w:highlight w:val="none"/>
              </w:rPr>
              <w:t>支持含跨主机、跨机柜、跨机房三种故障隔离能力。如故障域为机柜时，能够实现整机柜故障，数据不丢失，业务不中断。</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vMerge w:val="continue"/>
            <w:tcBorders>
              <w:left w:val="single" w:color="000000" w:sz="4" w:space="0"/>
              <w:bottom w:val="single" w:color="000000" w:sz="4" w:space="0"/>
              <w:right w:val="single" w:color="000000" w:sz="4" w:space="0"/>
            </w:tcBorders>
            <w:vAlign w:val="center"/>
          </w:tcPr>
          <w:p>
            <w:pPr>
              <w:widowControl/>
              <w:textAlignment w:val="top"/>
              <w:rPr>
                <w:rFonts w:ascii="宋体" w:hAnsi="宋体" w:cs="宋体"/>
                <w:color w:val="auto"/>
                <w:sz w:val="18"/>
                <w:szCs w:val="18"/>
                <w:highlight w:val="none"/>
              </w:rPr>
            </w:pP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Calibri"/>
                <w:color w:val="auto"/>
                <w:sz w:val="18"/>
                <w:szCs w:val="18"/>
                <w:highlight w:val="none"/>
              </w:rPr>
              <w:t>支持卷的IOPS和带宽可同时设置，同时生效；支持按容量对卷的IOPS和带宽同时设置，同时生效</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olor w:val="auto"/>
                <w:sz w:val="18"/>
                <w:szCs w:val="18"/>
                <w:highlight w:val="none"/>
              </w:rPr>
              <w:t>★</w:t>
            </w:r>
            <w:r>
              <w:rPr>
                <w:rFonts w:hint="eastAsia" w:ascii="新宋体" w:hAnsi="新宋体" w:eastAsia="新宋体" w:cs="宋体"/>
                <w:color w:val="auto"/>
                <w:kern w:val="0"/>
                <w:sz w:val="18"/>
                <w:szCs w:val="18"/>
                <w:highlight w:val="none"/>
              </w:rPr>
              <w:t>副本机制要求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支持多副本保护机制，可选择2~5副本，支持依据业务数据重要性进行灵活设置副本数量机制，提供供检测证明材料。`</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数据自动重建要求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磁盘或者节点故障之后无需人工干预，数据在集群内硬盘的剩余空间中自动重构，每T数据重构时间不大于3分钟。</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投资保障需求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支持使用一键鼠标按钮分析后端存储上的无效镜像文件，并提供一键清理和释放存储空间能力；支持使用一键鼠标按钮快速查看、启动、删除、批量启动和批量删除长时间未使用且处于关闭状态的虚拟机，进行资源利用率统计，提升资源利用率及运维效率。</w:t>
            </w:r>
            <w:r>
              <w:rPr>
                <w:rFonts w:hint="eastAsia" w:ascii="新宋体" w:hAnsi="新宋体" w:eastAsia="新宋体"/>
                <w:color w:val="auto"/>
                <w:sz w:val="18"/>
                <w:szCs w:val="18"/>
                <w:highlight w:val="none"/>
              </w:rPr>
              <w:t>要求提供CNAS认可的检测机构出具的该功能检测报告检测结果页作为证明材料</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新宋体" w:hAnsi="新宋体" w:eastAsia="新宋体" w:cs="宋体"/>
                <w:b/>
                <w:bCs/>
                <w:color w:val="auto"/>
                <w:kern w:val="0"/>
                <w:sz w:val="18"/>
                <w:szCs w:val="18"/>
                <w:highlight w:val="none"/>
              </w:rPr>
              <w:t>本次配置2台存储网交换机，每台交换机配置如下：</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性能要求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 xml:space="preserve">基本要求：交换容量≥23Tbps， 包转发率≥480Mpps </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★硬件要求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配置≥24个1/10G SFP Plus端口，扩展插槽≥1、支持下一代防火墙业务板卡扩展（提供官网选配信息截图），配置冗余电源，配置</w:t>
            </w:r>
            <w:r>
              <w:rPr>
                <w:rFonts w:ascii="新宋体" w:hAnsi="新宋体" w:eastAsia="新宋体" w:cs="宋体"/>
                <w:color w:val="auto"/>
                <w:kern w:val="0"/>
                <w:sz w:val="18"/>
                <w:szCs w:val="18"/>
                <w:highlight w:val="none"/>
              </w:rPr>
              <w:t>16</w:t>
            </w:r>
            <w:r>
              <w:rPr>
                <w:rFonts w:hint="eastAsia" w:ascii="新宋体" w:hAnsi="新宋体" w:eastAsia="新宋体" w:cs="宋体"/>
                <w:color w:val="auto"/>
                <w:kern w:val="0"/>
                <w:sz w:val="18"/>
                <w:szCs w:val="18"/>
                <w:highlight w:val="none"/>
              </w:rPr>
              <w:t>块万兆多模光模块</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功能要求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支持多虚一、纵向虚拟化，支持Openflow1.3.1、支持等价路由、VRRP、OSPFv1/v2、OSPF v3、BGP、ISIS等三层路由协议</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管理要求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支持CLI命令行、Web网管、TELNET多管配置方式。</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可靠性要求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支持设备级和链路级的多重可靠性保护。</w:t>
            </w:r>
          </w:p>
        </w:tc>
        <w:tc>
          <w:tcPr>
            <w:tcW w:w="94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服务要求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提供原厂3年质保</w:t>
            </w:r>
          </w:p>
        </w:tc>
        <w:tc>
          <w:tcPr>
            <w:tcW w:w="94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58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流媒体服务器</w:t>
            </w:r>
          </w:p>
        </w:tc>
        <w:tc>
          <w:tcPr>
            <w:tcW w:w="9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1、嵌入式Linux操作系统，全WEB方式配置管理界面；</w:t>
            </w:r>
          </w:p>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 xml:space="preserve">2、支持私有SDK、Onvif，兼容主流品牌网络视频设备，可接入IPC、NVR/DVR、解码器、网络矩阵、网络报警主机等多种设备； </w:t>
            </w:r>
          </w:p>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3、单台服务器支持高清视频1000路*2Mbps码流的接入和1000路*2Mbps码流的转发，支持多级流媒体；</w:t>
            </w:r>
          </w:p>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4、支持平台级联服务，支持上下级平台间的信令转分发，支持跨网段/网关传输；</w:t>
            </w:r>
          </w:p>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5、可被多个上级管理平台级联访问，资源可多次共享；</w:t>
            </w:r>
          </w:p>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 xml:space="preserve">6、采用中间件技术，可分布式部署，提高存储效率和数据安全性； </w:t>
            </w:r>
          </w:p>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7、支持管理平台根据指定路由规则，自动组建中间件集群路由连接；</w:t>
            </w:r>
          </w:p>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8、基于平台客户端，录像回放定位准确，支持多路回放、切片快照、录像标签、单帧播放、快放慢放、电子放大、回放抓拍，可实现秒级检索、录像解码上墙、地图回放录像；</w:t>
            </w:r>
          </w:p>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9、通过转分发机制，最大限度利用现有网络资源，节约网络带宽，减轻多路回放时对设备端的压力，实现海量数据的接入和分发；</w:t>
            </w:r>
          </w:p>
          <w:p>
            <w:pPr>
              <w:widowControl/>
              <w:jc w:val="left"/>
              <w:rPr>
                <w:rFonts w:ascii="新宋体" w:hAnsi="新宋体" w:eastAsia="新宋体" w:cs="宋体"/>
                <w:color w:val="auto"/>
                <w:kern w:val="0"/>
                <w:sz w:val="18"/>
                <w:szCs w:val="18"/>
                <w:highlight w:val="none"/>
              </w:rPr>
            </w:pPr>
            <w:r>
              <w:rPr>
                <w:rFonts w:hint="eastAsia" w:ascii="新宋体" w:hAnsi="新宋体" w:eastAsia="新宋体" w:cs="宋体"/>
                <w:color w:val="auto"/>
                <w:kern w:val="0"/>
                <w:sz w:val="18"/>
                <w:szCs w:val="18"/>
                <w:highlight w:val="none"/>
              </w:rPr>
              <w:t>10、支持报警联动和报警转发。</w:t>
            </w:r>
          </w:p>
        </w:tc>
        <w:tc>
          <w:tcPr>
            <w:tcW w:w="948"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84"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1643" w:hRule="atLeast"/>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热备软件</w:t>
            </w:r>
          </w:p>
        </w:tc>
        <w:tc>
          <w:tcPr>
            <w:tcW w:w="9183" w:type="dxa"/>
            <w:gridSpan w:val="2"/>
            <w:tcBorders>
              <w:top w:val="single" w:color="000000" w:sz="4" w:space="0"/>
              <w:left w:val="single" w:color="000000" w:sz="4" w:space="0"/>
              <w:right w:val="single" w:color="000000" w:sz="4" w:space="0"/>
            </w:tcBorders>
            <w:vAlign w:val="center"/>
          </w:tcPr>
          <w:p>
            <w:pPr>
              <w:widowControl/>
              <w:jc w:val="left"/>
              <w:rPr>
                <w:rFonts w:ascii="新宋体" w:hAnsi="新宋体" w:eastAsia="新宋体" w:cs="宋体"/>
                <w:color w:val="auto"/>
                <w:kern w:val="0"/>
                <w:sz w:val="18"/>
                <w:szCs w:val="18"/>
                <w:highlight w:val="none"/>
              </w:rPr>
            </w:pPr>
            <w:r>
              <w:rPr>
                <w:rFonts w:hint="eastAsia" w:ascii="宋体" w:hAnsi="宋体" w:cs="宋体"/>
                <w:color w:val="auto"/>
                <w:kern w:val="0"/>
                <w:sz w:val="18"/>
                <w:szCs w:val="18"/>
                <w:highlight w:val="none"/>
              </w:rPr>
              <w:t>Rose Mirror HA 7.0版本双机热备软件for win平台，支持完全镜像和差分镜像；按需复制性能资源最佳化，支持复制数据集的定义;支持目标写入暂停，支持Active主机传输暂停;当出现网络故障或传输暂停等情况，服务可将数据暂存在数据缓冲池中，当网络恢复后将自动地将数据缓冲池中的数据发送到目标机，而不需要重新进行同步，保证数据不会丢失，而且有效地减少了网络和CPU的负担;支持多数据流复制，支持ACL复制;支持Socket和RS232两种类型的心跳，支持心跳冗余，允许三条心跳;实时将生产数据传递到备机端，实现数据冗余的同时，减少切换时间;系统支持A/S和A/A两种模式;支持MSSQL、Oracle、Exchange、IIS等及用户自定义应用;支持最多８个活动IP; 支持主机别名;支持以自定义方式对用户自己的应用进程监控;支持对主机网卡和活动IP的状态监控，当发生故障时通过在线消息等进行通知;按需复制性能资源最佳化，用户可以选择定制需要复制的目录和文件。</w:t>
            </w:r>
          </w:p>
        </w:tc>
        <w:tc>
          <w:tcPr>
            <w:tcW w:w="948" w:type="dxa"/>
            <w:tcBorders>
              <w:left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jc w:val="center"/>
        </w:trPr>
        <w:tc>
          <w:tcPr>
            <w:tcW w:w="806"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p>
        </w:tc>
        <w:tc>
          <w:tcPr>
            <w:tcW w:w="1856"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Eszy7流媒体模块</w:t>
            </w:r>
          </w:p>
        </w:tc>
        <w:tc>
          <w:tcPr>
            <w:tcW w:w="9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嵌入式Linux操作系统，全WEB方式配置管理界面。</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支持私有SDK、Onvif，兼容主流品牌网络视频设备，可接入IPC、NVR/DVR、解码器、网络矩阵、网络报警主机等多种设备，兼容天地伟业交通一体机，实现交通和监控视频流的统一管理。</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单台服务器支持高清视频1000路*2Mbps码流的接入和1000路*2Mbps码流的转发（以推荐服务器硬件配置为准），支持多级流媒体。</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支持云调度，实时监测系统核心单元的状态，支持负载均衡，防止转分发数据量或用户连接通道数超过负荷上限。</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支持文件存储和流式存储，可通过数据块方式直存或代理转存，减少文件创建/删除导致的磁盘压力。</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基于平台客户端，录像回放定位准确，支持多路回放、切片快照、录像标签、单帧播放、快放慢放、电子放大、回放抓拍，可实现秒级检索、录像解码上墙、地图回放录像。</w:t>
            </w:r>
          </w:p>
          <w:p>
            <w:pPr>
              <w:widowControl/>
              <w:jc w:val="left"/>
              <w:rPr>
                <w:rFonts w:ascii="新宋体" w:hAnsi="新宋体" w:eastAsia="新宋体" w:cs="宋体"/>
                <w:color w:val="auto"/>
                <w:kern w:val="0"/>
                <w:sz w:val="18"/>
                <w:szCs w:val="18"/>
                <w:highlight w:val="none"/>
              </w:rPr>
            </w:pPr>
            <w:r>
              <w:rPr>
                <w:rFonts w:hint="eastAsia" w:ascii="宋体" w:hAnsi="宋体" w:cs="宋体"/>
                <w:color w:val="auto"/>
                <w:kern w:val="0"/>
                <w:sz w:val="18"/>
                <w:szCs w:val="18"/>
                <w:highlight w:val="none"/>
              </w:rPr>
              <w:t>支持定时、报警、移动侦测等多种存储策略，支持DAS、NAS、IP-SAN多种存储设备，支持PB级海量音视频数据存储。</w:t>
            </w:r>
          </w:p>
        </w:tc>
        <w:tc>
          <w:tcPr>
            <w:tcW w:w="948"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84"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3065"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36盘位网络存储服务器</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1、4U/36盘位集中存储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2、支持流式存储和文件存储两种存储方式；</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3、流式存储方式：接入带宽512Mbps，同时512Mbps转发（直存）；</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4、文件存储方式：接入带宽512Mbps同时转发512Mbps（直存）；</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5、出厂自带Linux操作系统；</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6、2核4线程处理器，标配内存8GB；</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7、最大支持36块3.5寸硬盘；</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8、支持通过onvif协议接入前端设备；</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9、使用软RAID系统，支持RAID0、1、5、6、10、50、60；</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10、4个RJ45千兆网口；</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11、采用800W，1+1白金效率冗余电源；</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12、功率：工作功耗：≤600W；额定功耗：≤800W。</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1837"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6T企业级硬盘</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1、6T企业级硬盘</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2、支持温度传感器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3、不低于256MB缓存</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4、平均故障间隔时间MTBF：2,000,000小时</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5、转速不低于：7200rpm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6、接口访问速度：6.0、3.0、1.5 Gb/秒</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7、最高可持续传输率可达：226MB/秒</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172</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块</w:t>
            </w:r>
          </w:p>
        </w:tc>
      </w:tr>
      <w:tr>
        <w:tblPrEx>
          <w:tblCellMar>
            <w:top w:w="0" w:type="dxa"/>
            <w:left w:w="108" w:type="dxa"/>
            <w:bottom w:w="0" w:type="dxa"/>
            <w:right w:w="108" w:type="dxa"/>
          </w:tblCellMar>
        </w:tblPrEx>
        <w:trPr>
          <w:trHeight w:val="2601"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人脸识别主机</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1、单台主机至少可接32路监控摄像机或100路人脸抓拍机，完成抓拍、存储、比对和预警功能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2、通过头肩模型智能跟踪活动目标，实时抓拍提取较清晰的人脸照片</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3、支持存储亿级人脸抓拍记录</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4、支持智能适配人脸质量阈值，实时更新比对相似度</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5、支持按时间/点位/人脸属性/人脸照片等信息查询抓拍记录</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6、支持将抓拍的人脸与目标库实时比对，发现布控人员时实时报警提示和联动声音报警</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7、支持突出显示比中人脸照片和人员属性，提醒管理者重点关注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8、可显示比中人员队列，方便随时快速查看比中记录</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9、支持查询比中报警信息和统计报表</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10、支持多目标库管理，可对目标库信息进行增删改查，人脸照片可单张添加和批量导入到目标库</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062"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强电控制器</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1、嵌入式操作系统，嵌入式架构，高度集成一体化设计</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2、1U机架式机箱，便于安装</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3、用于控制设备电源的开关（直流/交流均可）</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4、内置不少于10路继电器，每路开关动作提供状态指示灯</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5、支持手动和通讯命令控制，提供通讯状态指示灯</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6、可通过串口（RS-232/485）或网络实现远程控制</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7、可支持手动按键控制（远程操作故障时可备用）</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8、每路开关可独立控制，支持时序控制</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95"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（十七）、门禁系统</w:t>
            </w:r>
          </w:p>
        </w:tc>
      </w:tr>
      <w:tr>
        <w:tblPrEx>
          <w:tblCellMar>
            <w:top w:w="0" w:type="dxa"/>
            <w:left w:w="108" w:type="dxa"/>
            <w:bottom w:w="0" w:type="dxa"/>
            <w:right w:w="108" w:type="dxa"/>
          </w:tblCellMar>
        </w:tblPrEx>
        <w:trPr>
          <w:trHeight w:val="663"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w:t>
            </w:r>
          </w:p>
        </w:tc>
        <w:tc>
          <w:tcPr>
            <w:tcW w:w="1856"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门禁管理终端</w:t>
            </w:r>
          </w:p>
        </w:tc>
        <w:tc>
          <w:tcPr>
            <w:tcW w:w="9183" w:type="dxa"/>
            <w:gridSpan w:val="2"/>
            <w:tcBorders>
              <w:top w:val="single" w:color="000000" w:sz="4" w:space="0"/>
              <w:left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I5 4G 1T 1G独显 DVDRW 千兆网卡；含显示器、鼠标、键盘</w:t>
            </w:r>
          </w:p>
        </w:tc>
        <w:tc>
          <w:tcPr>
            <w:tcW w:w="94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661"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四门门禁控制器 </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1、支持脱机和联网两种应用模式；</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2、通信线路光电隔离技术，大容量输出继电器满足各种锁具；</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3、支持设置32个时间段/天（最小时间段5分钟）、32种时间段，满足各种特定时间下的权限要求；</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4、支持10万条脱机记录和2万张卡+姓名的存储，1024个权限组以及44种报警和事件的上传；</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5、支持卡、卡＋密码、密码（8位）、反胁迫报警密码、卡号输入、卡号+密码输入等多种开门方式，支持APB控制；</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6、开关门锁可按时间表，也可远程控制或保持常开/关；</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7、可联网设置门锁开时间、开门超时时间、倒计时开门时间、门磁报警、门开超时报警；</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8、支持一键锁死控制器的功能，锁死后任何动作不能打开门；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9、支持报警输入输出功能；</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10、支持首卡开门、多卡开门、倒计时卡开门等多种特殊的开门方式。</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170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IC卡发卡器</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1、读卡距离：≥5cm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2、感应时间：≤0.2s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3、工作电压：6～12V</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4、工作电流：≤100mA</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5、工作温度：-10°到+70°</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6、工作湿度：10%～90%</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7、防水等级：IP65</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170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IC卡读卡器</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1、读卡距离：≥5cm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2、感应时间：≤0.2s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3、工作电压：6～12V</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4、工作电流：≤100mA</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5、工作温度：-10°到+70°</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6、工作湿度：10%～90%</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7、防水等级：IP65</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789"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门禁电源(带蓄电池）</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钢制机箱，专为门禁工程设计；采用优质元件，更稳定；内置保险管过载及短路保护，更安全；多功能输出接点，适用不同要求；不间断电源，当市电供电时，负载由交流提供电压，停电时由蓄电池供电。</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789"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电磁锁</w:t>
            </w:r>
          </w:p>
        </w:tc>
        <w:tc>
          <w:tcPr>
            <w:tcW w:w="918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1、280kg单门两线拉丝磁力锁</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2、通电上锁，无残磁、无机械磨损</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35</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789"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L型支架</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配合电磁锁使用,尺寸：长*宽*高=25cm*3cm*5cm  </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35</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1071"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闭门器</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最大门宽：1100mm；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门重：65-85KGS；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关门力度等级：固定4号力；</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最大开门角度：180度</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295"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IC卡</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UID白卡</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张</w:t>
            </w:r>
          </w:p>
        </w:tc>
      </w:tr>
      <w:tr>
        <w:tblPrEx>
          <w:tblCellMar>
            <w:top w:w="0" w:type="dxa"/>
            <w:left w:w="108" w:type="dxa"/>
            <w:bottom w:w="0" w:type="dxa"/>
            <w:right w:w="108" w:type="dxa"/>
          </w:tblCellMar>
        </w:tblPrEx>
        <w:trPr>
          <w:trHeight w:val="789"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门禁读头</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支持IC卡+密码识别方式开门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支持多种验证方式组合，满足不同场景需求</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离线状态下，设备轻松识别</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295"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出门按钮</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机械开关</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35</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2840"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人脸门禁</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1、不小于8寸LCD大屏显示；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2、防护等级不小于IP65，室外防水，可用于室内室外；</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3、屏幕分辨率不小于1280*800；</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4、支持1/2.8" 2MP CMOS高清宽动态双摄像头；</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5、不少于用户容量10000个，人脸底库10000张，存储容量100000条日志记录，2000图片记录；</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6、人脸识别距离0.3m～2.0m，身高范围0.9m～2.0m；</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7、支持刷卡/远程/密码/二维码/人脸识别开门模式，支持组合开门模式设置；</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8、多种接口不少于：报警2入1出，1路485，1个USB接口，1路网口，韦根接口1入1出，1路开门按钮，1路门锁控制；</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9、支持多用户开门，实时监控，多重认证，刷卡拍照，WEB配置，防潜回，防拆报警，胁迫报警，门开启超时报警，闯入报警，非法卡超次报警，报警联动，陌生人抓拍。</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295"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（十八）、安防监控系统</w:t>
            </w:r>
          </w:p>
        </w:tc>
      </w:tr>
      <w:tr>
        <w:tblPrEx>
          <w:tblCellMar>
            <w:top w:w="0" w:type="dxa"/>
            <w:left w:w="108" w:type="dxa"/>
            <w:bottom w:w="0" w:type="dxa"/>
            <w:right w:w="108" w:type="dxa"/>
          </w:tblCellMar>
        </w:tblPrEx>
        <w:trPr>
          <w:trHeight w:val="3503"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w:t>
            </w: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全景摄像机</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 不低于200万像素CMOS传感器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 2.8~12mm电动变焦，支持一键聚焦（AF）</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 补光灯数及距离：≥14颗红外灯，≥4颗白光灯；红外补光距离不小于30米，白光补光距离不小于10米</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 最低照度需满足：彩色：0.002Lux（AGC ON @F1.8）、黑白：0.001Lux（AGC ON @F1.8）</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 支持三码流，主码流最高分辨率≥1080P@25fps（P制）</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 支持智能分析：奔跑、徘徊、热度图、人群聚集、视频诊断、双绊线、物品丢失、物品遗留、虚焦检测、音频异常、值岗检测</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 支持音频1入1出，报警2入1出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 支持1路RS485、RTC、TF卡接口、内置MIC、扬声器、硬复位</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 支持警戒：白光警戒、声音警戒，语音支持自定义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 DC12V±20%供电，支持POE供电及反向供电</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11、 工作温度及湿度：-35℃~65℃，湿度小于95%(无凝结)；</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176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拾音器</w:t>
            </w:r>
          </w:p>
        </w:tc>
        <w:tc>
          <w:tcPr>
            <w:tcW w:w="9183" w:type="dxa"/>
            <w:gridSpan w:val="2"/>
            <w:tcBorders>
              <w:top w:val="single" w:color="000000" w:sz="4" w:space="0"/>
              <w:left w:val="single" w:color="000000" w:sz="4" w:space="0"/>
              <w:bottom w:val="single" w:color="auto"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1、采用高保真预极化电容传声器，可对前期音频无差别拾取</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2、可实时对拾取到的音频信号进行噪音滤除</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3、内置雷击保护、电源极性反接保护和静电保护</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4、内置可调电位器，音量调节最小可关闭（无声音输出）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5、音频传输距离不小于3000米</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6、监听面积5～150㎡（内置电位器可调）</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63</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5862"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单目摄像机</w:t>
            </w:r>
          </w:p>
        </w:tc>
        <w:tc>
          <w:tcPr>
            <w:tcW w:w="9183"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1、不低于500万像素CMOS传感器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2、★图像分辨率支持2592×1944（提供具备CMA标识的检测报告复印件加盖原厂公章佐证）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3、接口要求不少于：1路RJ45网络接口、1路音频输入、1路音频输出、1个RS485接口、2路报警输入、1路报警输出、1个复位、1个内置SD卡接口、1个内置扬声器、2个内置麦克风</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4、支持H.265、H.264（MP/HP/BP）、M-JPEG等视频编码标准</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5、彩色分辨力不低于1900TVL，分辨率不低于2592*1944</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6、亮度等级不低于11级</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7、★水平视场角≥140°，垂直视场角≥100°，支持畸变矫正和远端放大（提供具备CMA标识的检测报告复印件加盖原厂公章佐证）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8、最低照度：彩色≤0.004Lx，黑白≤0.0003Lx</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9、★可根据热度信息生成热度图，并通过不同颜色标示不同热度。（提供具备CMA标识的检测报告复印件加盖原厂公章佐证）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10、支持三码流输出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11、支持回声抑制、音频降噪等功能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12、支持语音对讲</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13、支持强光抑制、背光补偿、数字降噪、透雾、电子防抖、场景设置、走廊模式功能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14、支持彩色模式和黑白模式自动转换，也可选择手动转换</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15、支持不少于4颗白光灯、14颗红外灯，白光灯和红外灯须支持亮度调节且可调亮度等级不少于10级，白光灯支持警戒联动闪烁，也可设置为常亮，红外灯功率可根据目标距离自动调节（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16、红外距离不低于15米</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17、支持不低于5%的抗丢包处理能力</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18、支持绊线、进入区域、离开区域、物品遗留、物品丢失、奔跑、人脸检测、人数统计等智能检测功能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19、支持声音和白光报警提示（提供具备CMA标识的检测报告复印件加盖原厂公章佐证）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20、支持DC12V和POE供电</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21、防护等级不低于IP67，防暴性能不低于IK10</w:t>
            </w:r>
          </w:p>
        </w:tc>
        <w:tc>
          <w:tcPr>
            <w:tcW w:w="94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rPr>
              <w:t>14</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4697"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警戒摄像机</w:t>
            </w:r>
          </w:p>
        </w:tc>
        <w:tc>
          <w:tcPr>
            <w:tcW w:w="9183" w:type="dxa"/>
            <w:gridSpan w:val="2"/>
            <w:tcBorders>
              <w:top w:val="single" w:color="auto"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1/2.8英寸200万像素CMOS传感器；</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2.8~12mm电动变焦，支持一键聚焦（AF）；</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补光灯数及距离：4颗红外灯+3颗白光灯；红外补光距离50米，白光补光距离10米；</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照度：彩色：0.002Lux（AGC ON @F1.8）、黑白：0.001Lux（AGC ON @F1.8）；</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支持三码流，主码流最高分辨率1080P@25fps（P制）；</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支持智能分析：奔跑、徘徊、热度图、人群聚集、人数统计（垂直、区域）、视频诊断、双绊线、停车、物品丢失、物品遗留、虚焦检测、音频异常、值岗检测；</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支持音频1入1出，报警2入1出，1路RS485、RTC、TF卡接口（512G）、内置MIC、扬声器、硬复位；</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支持网络协议：IPv4, IPv6, IGMP, ICMP, ARP, TCP, UDP, DHCP, PPPoE, RTP, RTSP, RTCP, DNS, DDNS, NTP, FTP, UPnP, HTTP, HTTPS, SMTP, 802.1x, SNMP, SSL, QoS, Telnet,RTMP（推流）; SFTP; Multicast; NFS;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支持CGI、GAT1400、GB28181-2016版、Milestone、Onvif ProfileG/S/T、RTSP、阿里云协议；</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支持智能监控、人脸抓拍双模式切换；</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人脸抓拍：支持年龄、性别、口罩、胡子、眼镜、人脸属性可信度等属性叠加；</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单画面人脸检测及抓拍数：16张、8张；</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支持警戒：白光警戒、声音警戒、语音自定义；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GB28181，GAT1400与P2P互斥不能同时开启</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DC12V±20%供电，支持POE供电及反向供电；最大功率15W</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工作温度及湿度：-35℃~65℃，湿度小于95%(无凝结)</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6883"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球型摄像机</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1、不低于200万像素CMOS传感器，变焦范围2.8-12mm，尺寸不超过3寸（提供彩页复印件并加盖原厂公章佐证）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2、接口要求不少于：1路RJ45网络接口、1个音频输入接口、1个音频输出接口、1个RS485接口、2路报警输入接口，1路报警输出接口、1个内置MicroSD接口（提供具备CMA标识的检测报告复印件加盖原厂公章佐证）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3、支持H.265、H.264（MP/HP/BP）、M-JPEG等视频编码标准和AAC、G.711A、G.711U、ADPCM等音频编码标准</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4、彩色分辨力不低于1000TVL，分辨率不低于1920×1080</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5、最低照度彩色不高于0.002lx（@F1.4，彩色模式）；黑白不高于0.001lx（@F1.6，黑白模式）</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6、视频画面可根据球机的转动自动翻转，使画面保持正像（提供具备CMA标识的检测报告复印件加盖原厂公章佐证）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7、亮度等级不低于11级</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8、信噪比不低于60dB</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9、水平旋转范围不低于350°，垂直旋转范围不低于0°～90°（提供具备CMA标识的检测报告复印件加盖原厂公章佐证）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10、支持音频检测功能，出现异常情况时可进行报警，例如音频信号丢失、音频剧烈升降等（提供具备CMA标识的检测报告复印件加盖原厂公章佐证）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11、支持不低于5%的抗丢包处理能力</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12、支持设置不少于4块感兴趣区域（提供具备CMA标识的检测报告复印件加盖原厂公章佐证）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13、支持设置黑白名单</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14、支持字符显示，并支持自定义字符颜色（提供具备CMA标识的检测报告复印件加盖原厂公章佐证）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15、★支持通过扬声器进行喊话或播放录制的语音文件，摄像机检测到警戒区域有人员出现时，自动抓拍、录像，并进行语音警示（提供具备CMA标识的检测报告复印件加盖原厂公章佐证）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16、支持绊线、区域入侵、奔跑、人员聚集、物品移除、物品遗留、徘徊、出现人脸检测等智能检测功能（提供具备CMA标识的检测报告复印件加盖原厂公章佐证）</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17、支持不低于30米红外距离</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8</w:t>
            </w:r>
            <w:r>
              <w:rPr>
                <w:rFonts w:hint="eastAsia" w:ascii="宋体" w:hAnsi="宋体" w:cs="宋体"/>
                <w:color w:val="auto"/>
                <w:kern w:val="0"/>
                <w:sz w:val="18"/>
                <w:szCs w:val="18"/>
                <w:highlight w:val="none"/>
              </w:rPr>
              <w:t>、支持DC12V和POE供电</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3065"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指挥摄像机</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1、1/3英寸200万像素CMOS；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2、33倍光学变焦，16倍数字变倍；</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3、支持网络视频、BNC同步输出；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4、支持H.265、H.264（HP/MP/BP）编码压缩算法；</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5、支持三码流同时输出,主码流1080p@25fps、1080p@30fps 、1080p@50fps、1080p@60fps，副码流4CIF（704×576）@25fps，三码流1080p@25fps、1080p@30fps；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6、支持音频降噪、音频异常侦测功能；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7、水平360°连续旋转，垂直转动角度-30°～90°；</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8、手动水平控制速度：0.05～150°/s；</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9、具备USB接口和TF卡接口，可扩展外置存储，具备RS485接口；</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10、支持内置无源MIC；</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11、支持POE+/12V两种供电方式。</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295"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手动报警按钮</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支持报警信号传至**值班室提示</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891"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声光报警器</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1、支持直流12V</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2、防火ABS阻燃外壳</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3、支持声光报警</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295" w:hRule="atLeast"/>
          <w:jc w:val="center"/>
        </w:trPr>
        <w:tc>
          <w:tcPr>
            <w:tcW w:w="13377" w:type="dxa"/>
            <w:gridSpan w:val="7"/>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（十九）、执法一体化中心配套设备</w:t>
            </w:r>
          </w:p>
        </w:tc>
      </w:tr>
      <w:tr>
        <w:tblPrEx>
          <w:tblCellMar>
            <w:top w:w="0" w:type="dxa"/>
            <w:left w:w="108" w:type="dxa"/>
            <w:bottom w:w="0" w:type="dxa"/>
            <w:right w:w="108" w:type="dxa"/>
          </w:tblCellMar>
        </w:tblPrEx>
        <w:trPr>
          <w:trHeight w:val="5401"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19</w:t>
            </w: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远程讯问受害人、证人设备系统</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1、程序中的调查取证流程具有较为合理的顺序，整体易用性、普适性可方便不精通数码产品的人群使用。 </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2、具有对所有的文书进行远程签字，包括询问通知书、权利义务告知书、笔录、辨认笔录、调取证据通知书、调取证据清单，接收证据清单等</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3、询问结束后，所有书证可以以电子档的形式保存、打印，音视频录像可以保存并加密刻盘，所有材料均可作为案件材料保存</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4、支持创建远程询问室，并进行权限验证登录。</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5、具有权利义务告知书、询问通知书编辑、预览、展示等功能。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6、本地询问时显示远程被询问人的音视频，远程被询问人显示本地询问室讯问人员音视频，实现双方音视频沟通，并进行同步录音录像保存。</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7、具有电子笔录功能，提供笔录模板，实现笔录编辑笔录保存笔录展示笔录打印等功能。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8、具有证据照片导入预览展示保存等功能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9、具有PDF文档资料的导出预览展示保存等功能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10、具有实物示证预览展示等功能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11、具有辨认照片导入、预览、展示、确认保存等功能</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12、整个询问流程可配置化，可选择任意文书模板。</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13、签名位置可自主选择位置。</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14、支持账号绑定动态令牌。</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15、支持通过高拍仪上传扫描件及证据。</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16、支持数据看版显示。</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17、支持笔录环节表单录入。</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18、可与微信公众号做绑定，从公安微信公众号端口接入</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19、签字白板 可以同步显示签字人的签字过程</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957"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录音刻录机</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 采用嵌入式系统设计，Linux系统</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2. 内置工业级固态存储（非民用SD卡存储），容量32G/64G</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3. 高清多路自动录音</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4. 内置显示屏，无需电脑直接显示设备IP地址</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5. 内置RJ45网口，插入网线，自动接入网络</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6. 内置Web系统，浏览器中输入设备IP地址，可以局域网或者广域网登录</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7. 登录Web系统可以查询、播放，下载语音</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8. 可直接在手机、平板、电脑在线播放，下载，查询录音</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9. 设备支持语音自动备份到电脑</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10. 可实现多个设备语音集中管理</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11. 设备支持录满自动循环覆盖</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12. 支持U盘软件自动升级</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3505"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讯问室语音转写</w:t>
            </w:r>
          </w:p>
        </w:tc>
        <w:tc>
          <w:tcPr>
            <w:tcW w:w="9183"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实时编辑</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在实时审讯转写过程中用户可以实时对转写出的结果进行编</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辑，并进行文字的排版布局。用户可以一边即时播放音频进</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行文本校对编辑，也可选择查看原始结果，对比修改，方便</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快捷，会后即可直接成稿。</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角色分离</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基于说话人自动分离技术，采用微信的对话方式，更好的了</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解双方通话内容。</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自动分段</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基于 VAD 语音端点检测技术，将每个人的语音进行分段。</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文本顺滑</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系统自动将语气词和多余的词汇去除，以保证文稿的规整。</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文本摘录</w:t>
            </w:r>
          </w:p>
          <w:p>
            <w:pPr>
              <w:widowControl/>
              <w:jc w:val="left"/>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rPr>
              <w:t>系统提供多种文本摘录方式（如：双击、右击、回车等）与</w:t>
            </w:r>
          </w:p>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第三方系统进行文本内容交互。</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6869"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highlight w:val="none"/>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**机器人系统</w:t>
            </w:r>
          </w:p>
        </w:tc>
        <w:tc>
          <w:tcPr>
            <w:tcW w:w="9183" w:type="dxa"/>
            <w:gridSpan w:val="2"/>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机交互、人体感应识别、人脸跟踪、远程监控、声源定位、超声红外传感、行走自己避障、激光传感探测障碍、参照物定位、视频会议、全视角触屏、情绪模拟、电源管理、咨询服务、语音语义识别技术、自己定义内容、自定义显示界面。应用于日常业务交流，自主学习，支持定制。</w:t>
            </w:r>
          </w:p>
          <w:p>
            <w:pPr>
              <w:rPr>
                <w:rFonts w:ascii="宋体" w:hAnsi="宋体"/>
                <w:color w:val="auto"/>
                <w:sz w:val="18"/>
                <w:szCs w:val="18"/>
                <w:highlight w:val="none"/>
              </w:rPr>
            </w:pPr>
            <w:r>
              <w:rPr>
                <w:rFonts w:hint="eastAsia" w:ascii="宋体" w:hAnsi="宋体"/>
                <w:b/>
                <w:bCs/>
                <w:color w:val="auto"/>
                <w:sz w:val="18"/>
                <w:szCs w:val="18"/>
                <w:highlight w:val="none"/>
              </w:rPr>
              <w:t>一、基础模块</w:t>
            </w:r>
            <w:r>
              <w:rPr>
                <w:rFonts w:hint="eastAsia" w:ascii="宋体" w:hAnsi="宋体"/>
                <w:color w:val="auto"/>
                <w:sz w:val="18"/>
                <w:szCs w:val="18"/>
                <w:highlight w:val="none"/>
              </w:rPr>
              <w:t>：</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1）核心板：操作系统基于Android 9，硬件平台SDA845，Memory8G UFS2.1，Storage64G LPDDR4X，基础架构八核Kryo 385 2.8GHz×4,1.8GHz×4，GPUAdreno 630 710MHz</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2）4G：FDD B1/B3/B5/B8，TDD B34/B38/B39/B40/B41，WCD MA B1/B8，TDSCD MA B34/B39，</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CDMA2000BC0</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3）WIFI&amp;BT ：WIFI 802.11b/g/n/ac,2.4G/5G,2*2MIMO，BT BR/EDR/BLE，2.4G，蓝牙5.0</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BLE</w:t>
            </w:r>
            <w:r>
              <w:rPr>
                <w:rFonts w:hint="eastAsia" w:ascii="宋体" w:hAnsi="宋体" w:cs="宋体"/>
                <w:color w:val="auto"/>
                <w:kern w:val="0"/>
                <w:sz w:val="18"/>
                <w:szCs w:val="18"/>
                <w:highlight w:val="none"/>
              </w:rPr>
              <w:tab/>
            </w:r>
            <w:r>
              <w:rPr>
                <w:rFonts w:hint="eastAsia" w:ascii="宋体" w:hAnsi="宋体" w:cs="宋体"/>
                <w:color w:val="auto"/>
                <w:kern w:val="0"/>
                <w:sz w:val="18"/>
                <w:szCs w:val="18"/>
                <w:highlight w:val="none"/>
              </w:rPr>
              <w:t>支持组网，多设备连接通讯</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4）屏幕：尺寸14寸，亮度</w:t>
            </w:r>
            <w:r>
              <w:rPr>
                <w:rFonts w:hint="eastAsia" w:ascii="宋体" w:hAnsi="宋体" w:cs="宋体"/>
                <w:color w:val="auto"/>
                <w:kern w:val="0"/>
                <w:sz w:val="18"/>
                <w:szCs w:val="18"/>
                <w:highlight w:val="none"/>
              </w:rPr>
              <w:tab/>
            </w:r>
            <w:r>
              <w:rPr>
                <w:rFonts w:hint="eastAsia" w:ascii="宋体" w:hAnsi="宋体" w:cs="宋体"/>
                <w:color w:val="auto"/>
                <w:kern w:val="0"/>
                <w:sz w:val="18"/>
                <w:szCs w:val="18"/>
                <w:highlight w:val="none"/>
              </w:rPr>
              <w:t>"300cd/m²（1st）/250cd/m²（2nd）"，分辨率FHD(1920*1080)</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可视角度170°，色域</w:t>
            </w:r>
            <w:r>
              <w:rPr>
                <w:rFonts w:hint="eastAsia" w:ascii="宋体" w:hAnsi="宋体" w:cs="宋体"/>
                <w:color w:val="auto"/>
                <w:kern w:val="0"/>
                <w:sz w:val="18"/>
                <w:szCs w:val="18"/>
                <w:highlight w:val="none"/>
              </w:rPr>
              <w:tab/>
            </w:r>
            <w:r>
              <w:rPr>
                <w:rFonts w:hint="eastAsia" w:ascii="宋体" w:hAnsi="宋体" w:cs="宋体"/>
                <w:color w:val="auto"/>
                <w:kern w:val="0"/>
                <w:sz w:val="18"/>
                <w:szCs w:val="18"/>
                <w:highlight w:val="none"/>
              </w:rPr>
              <w:t xml:space="preserve">72%NTSC </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5）触摸屏：贴合方式框贴GFF，触控方式10点触控，表面工艺</w:t>
            </w:r>
            <w:r>
              <w:rPr>
                <w:rFonts w:hint="eastAsia" w:ascii="宋体" w:hAnsi="宋体" w:cs="宋体"/>
                <w:color w:val="auto"/>
                <w:kern w:val="0"/>
                <w:sz w:val="18"/>
                <w:szCs w:val="18"/>
                <w:highlight w:val="none"/>
              </w:rPr>
              <w:tab/>
            </w:r>
            <w:r>
              <w:rPr>
                <w:rFonts w:hint="eastAsia" w:ascii="宋体" w:hAnsi="宋体" w:cs="宋体"/>
                <w:color w:val="auto"/>
                <w:kern w:val="0"/>
                <w:sz w:val="18"/>
                <w:szCs w:val="18"/>
                <w:highlight w:val="none"/>
              </w:rPr>
              <w:t>AF coating</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6）拍照摄像头：像素48M，SensorImx586，光圈f1.8，Lens6P ，HDR支持自动对焦支持</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7）广角摄像头：像素2M，Sensor OS02c10，视场角</w:t>
            </w:r>
            <w:r>
              <w:rPr>
                <w:rFonts w:hint="eastAsia" w:ascii="宋体" w:hAnsi="宋体" w:cs="宋体"/>
                <w:color w:val="auto"/>
                <w:kern w:val="0"/>
                <w:sz w:val="18"/>
                <w:szCs w:val="18"/>
                <w:highlight w:val="none"/>
              </w:rPr>
              <w:tab/>
            </w:r>
            <w:r>
              <w:rPr>
                <w:rFonts w:hint="eastAsia" w:ascii="宋体" w:hAnsi="宋体" w:cs="宋体"/>
                <w:color w:val="auto"/>
                <w:kern w:val="0"/>
                <w:sz w:val="18"/>
                <w:szCs w:val="18"/>
                <w:highlight w:val="none"/>
              </w:rPr>
              <w:t>H: 110° V:57° D:136°</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8）麦克阵列：类型数字麦克，数量</w:t>
            </w:r>
            <w:r>
              <w:rPr>
                <w:rFonts w:hint="eastAsia" w:ascii="宋体" w:hAnsi="宋体" w:cs="宋体"/>
                <w:color w:val="auto"/>
                <w:kern w:val="0"/>
                <w:sz w:val="18"/>
                <w:szCs w:val="18"/>
                <w:highlight w:val="none"/>
              </w:rPr>
              <w:tab/>
            </w:r>
            <w:r>
              <w:rPr>
                <w:rFonts w:hint="eastAsia" w:ascii="宋体" w:hAnsi="宋体" w:cs="宋体"/>
                <w:color w:val="auto"/>
                <w:kern w:val="0"/>
                <w:sz w:val="18"/>
                <w:szCs w:val="18"/>
                <w:highlight w:val="none"/>
              </w:rPr>
              <w:t>6</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9）身体喇叭：位置身体，声道2.1，中高音5W*2+10w*2，低音15w，频率80Hz-10KHz</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10）头部喇叭：设计兼容设计，位置头部下方出音</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11）Sim卡：位置头部，插取卡卡针取卡，类型Nano，Debug口支持</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12）导航传感器：回冲摄像头支持，重定位摄像头支持，深度摄像头支持，激光雷达支持</w:t>
            </w:r>
          </w:p>
          <w:p>
            <w:pPr>
              <w:ind w:firstLine="180" w:firstLineChars="100"/>
              <w:rPr>
                <w:rFonts w:ascii="宋体" w:hAnsi="宋体"/>
                <w:color w:val="auto"/>
                <w:sz w:val="18"/>
                <w:szCs w:val="18"/>
                <w:highlight w:val="none"/>
              </w:rPr>
            </w:pPr>
          </w:p>
          <w:p>
            <w:pPr>
              <w:rPr>
                <w:rFonts w:ascii="宋体" w:hAnsi="宋体"/>
                <w:color w:val="auto"/>
                <w:sz w:val="18"/>
                <w:szCs w:val="18"/>
                <w:highlight w:val="none"/>
              </w:rPr>
            </w:pPr>
            <w:r>
              <w:rPr>
                <w:rFonts w:hint="eastAsia" w:ascii="宋体" w:hAnsi="宋体"/>
                <w:b/>
                <w:bCs/>
                <w:color w:val="auto"/>
                <w:sz w:val="18"/>
                <w:szCs w:val="18"/>
                <w:highlight w:val="none"/>
              </w:rPr>
              <w:t>二、交互模块</w:t>
            </w:r>
            <w:r>
              <w:rPr>
                <w:rFonts w:hint="eastAsia" w:ascii="宋体" w:hAnsi="宋体"/>
                <w:color w:val="auto"/>
                <w:sz w:val="18"/>
                <w:szCs w:val="18"/>
                <w:highlight w:val="none"/>
              </w:rPr>
              <w:t>：</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1）机身指示灯：设计位置机身胸前，正常使用蓝色常亮，正在充电绿色闪烁，充满电时绿色常亮，按急停后红色常亮，电量低于10%</w:t>
            </w:r>
            <w:r>
              <w:rPr>
                <w:rFonts w:hint="eastAsia" w:ascii="宋体" w:hAnsi="宋体" w:cs="宋体"/>
                <w:color w:val="auto"/>
                <w:kern w:val="0"/>
                <w:sz w:val="18"/>
                <w:szCs w:val="18"/>
                <w:highlight w:val="none"/>
              </w:rPr>
              <w:tab/>
            </w:r>
            <w:r>
              <w:rPr>
                <w:rFonts w:hint="eastAsia" w:ascii="宋体" w:hAnsi="宋体" w:cs="宋体"/>
                <w:color w:val="auto"/>
                <w:kern w:val="0"/>
                <w:sz w:val="18"/>
                <w:szCs w:val="18"/>
                <w:highlight w:val="none"/>
              </w:rPr>
              <w:t>红色常亮，导航模式蓝色闪动</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2）其他模块：光感感应支持，距离感应支持，摄像头指示灯支持，马达支持，</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隐私保护板支持，背后把手支持</w:t>
            </w:r>
          </w:p>
          <w:p>
            <w:pPr>
              <w:rPr>
                <w:rFonts w:ascii="宋体" w:hAnsi="宋体"/>
                <w:b/>
                <w:bCs/>
                <w:color w:val="auto"/>
                <w:sz w:val="18"/>
                <w:szCs w:val="18"/>
                <w:highlight w:val="none"/>
              </w:rPr>
            </w:pPr>
          </w:p>
          <w:p>
            <w:pPr>
              <w:numPr>
                <w:ilvl w:val="0"/>
                <w:numId w:val="6"/>
              </w:numPr>
              <w:rPr>
                <w:rFonts w:ascii="宋体" w:hAnsi="宋体"/>
                <w:b/>
                <w:bCs/>
                <w:color w:val="auto"/>
                <w:sz w:val="18"/>
                <w:szCs w:val="18"/>
                <w:highlight w:val="none"/>
              </w:rPr>
            </w:pPr>
            <w:r>
              <w:rPr>
                <w:rFonts w:hint="eastAsia" w:ascii="宋体" w:hAnsi="宋体"/>
                <w:b/>
                <w:bCs/>
                <w:color w:val="auto"/>
                <w:sz w:val="18"/>
                <w:szCs w:val="18"/>
                <w:highlight w:val="none"/>
              </w:rPr>
              <w:t>运动模块</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1）头部：初始方向同雷达开口方向，初始角度屏幕与垂直成26°夹角，MIC与水平成6°夹角，俯仰范围</w:t>
            </w:r>
            <w:r>
              <w:rPr>
                <w:rFonts w:hint="eastAsia" w:ascii="宋体" w:hAnsi="宋体" w:cs="宋体"/>
                <w:color w:val="auto"/>
                <w:kern w:val="0"/>
                <w:sz w:val="18"/>
                <w:szCs w:val="18"/>
                <w:highlight w:val="none"/>
              </w:rPr>
              <w:tab/>
            </w:r>
            <w:r>
              <w:rPr>
                <w:rFonts w:hint="eastAsia" w:ascii="宋体" w:hAnsi="宋体" w:cs="宋体"/>
                <w:color w:val="auto"/>
                <w:kern w:val="0"/>
                <w:sz w:val="18"/>
                <w:szCs w:val="18"/>
                <w:highlight w:val="none"/>
              </w:rPr>
              <w:t>负15°-正40°</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2）轮毂：尺寸5.5寸，数量2个</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从动轮</w:t>
            </w:r>
            <w:r>
              <w:rPr>
                <w:rFonts w:hint="eastAsia" w:ascii="宋体" w:hAnsi="宋体" w:cs="宋体"/>
                <w:color w:val="auto"/>
                <w:kern w:val="0"/>
                <w:sz w:val="18"/>
                <w:szCs w:val="18"/>
                <w:highlight w:val="none"/>
              </w:rPr>
              <w:tab/>
            </w:r>
            <w:r>
              <w:rPr>
                <w:rFonts w:hint="eastAsia" w:ascii="宋体" w:hAnsi="宋体" w:cs="宋体"/>
                <w:color w:val="auto"/>
                <w:kern w:val="0"/>
                <w:sz w:val="18"/>
                <w:szCs w:val="18"/>
                <w:highlight w:val="none"/>
              </w:rPr>
              <w:t>类型</w:t>
            </w:r>
            <w:r>
              <w:rPr>
                <w:rFonts w:hint="eastAsia" w:ascii="宋体" w:hAnsi="宋体" w:cs="宋体"/>
                <w:color w:val="auto"/>
                <w:kern w:val="0"/>
                <w:sz w:val="18"/>
                <w:szCs w:val="18"/>
                <w:highlight w:val="none"/>
              </w:rPr>
              <w:tab/>
            </w:r>
            <w:r>
              <w:rPr>
                <w:rFonts w:hint="eastAsia" w:ascii="宋体" w:hAnsi="宋体" w:cs="宋体"/>
                <w:color w:val="auto"/>
                <w:kern w:val="0"/>
                <w:sz w:val="18"/>
                <w:szCs w:val="18"/>
                <w:highlight w:val="none"/>
              </w:rPr>
              <w:t>静音脚轮</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3）尺寸：2寸*2、3寸*1，运动能力最小速度0.1m/s最大速度1.2m/s，默认速度0.7m/s，越障高度≤1.3cm，越障宽度≤2.0cm，爬坡能力</w:t>
            </w:r>
            <w:r>
              <w:rPr>
                <w:rFonts w:hint="eastAsia" w:ascii="宋体" w:hAnsi="宋体" w:cs="宋体"/>
                <w:color w:val="auto"/>
                <w:kern w:val="0"/>
                <w:sz w:val="18"/>
                <w:szCs w:val="18"/>
                <w:highlight w:val="none"/>
              </w:rPr>
              <w:tab/>
            </w:r>
            <w:r>
              <w:rPr>
                <w:rFonts w:hint="eastAsia" w:ascii="宋体" w:hAnsi="宋体" w:cs="宋体"/>
                <w:color w:val="auto"/>
                <w:kern w:val="0"/>
                <w:sz w:val="18"/>
                <w:szCs w:val="18"/>
                <w:highlight w:val="none"/>
              </w:rPr>
              <w:t>≤8°</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4）导航避障：标准建图面积≤500㎡，导航精度≤15cm，视觉重定位精度≤15cm，避障高度≥5cm，通过宽度≥55cm，多机协作支持，防跌落支持</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5）辅助功能：轮毂锁止不支持，倒车后退支持，原路倒退，支持地面地板、水泥、大理石、硬地毯、软地毯（10mm），行走噪音50db ，1m距离</w:t>
            </w:r>
          </w:p>
          <w:p>
            <w:pPr>
              <w:ind w:left="210" w:leftChars="100"/>
              <w:rPr>
                <w:rFonts w:ascii="宋体" w:hAnsi="宋体"/>
                <w:color w:val="auto"/>
                <w:sz w:val="18"/>
                <w:szCs w:val="18"/>
                <w:highlight w:val="none"/>
              </w:rPr>
            </w:pPr>
          </w:p>
          <w:p>
            <w:pPr>
              <w:numPr>
                <w:ilvl w:val="0"/>
                <w:numId w:val="6"/>
              </w:numPr>
              <w:rPr>
                <w:rFonts w:ascii="宋体" w:hAnsi="宋体"/>
                <w:color w:val="auto"/>
                <w:sz w:val="18"/>
                <w:szCs w:val="18"/>
                <w:highlight w:val="none"/>
              </w:rPr>
            </w:pPr>
            <w:r>
              <w:rPr>
                <w:rFonts w:hint="eastAsia" w:ascii="宋体" w:hAnsi="宋体"/>
                <w:b/>
                <w:bCs/>
                <w:color w:val="auto"/>
                <w:sz w:val="18"/>
                <w:szCs w:val="18"/>
                <w:highlight w:val="none"/>
              </w:rPr>
              <w:t>按键设置</w:t>
            </w:r>
            <w:r>
              <w:rPr>
                <w:rFonts w:hint="eastAsia" w:ascii="宋体" w:hAnsi="宋体"/>
                <w:color w:val="auto"/>
                <w:sz w:val="18"/>
                <w:szCs w:val="18"/>
                <w:highlight w:val="none"/>
              </w:rPr>
              <w:tab/>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1）开关机键：位置脖子上方，系统开机长按3秒，系统开机，系统待机短按1次，灭屏唤醒，不支持亮屏，系统关机长按3秒，弹出关机面版，菜单指令选择关机，关机RTC</w:t>
            </w:r>
            <w:r>
              <w:rPr>
                <w:rFonts w:hint="eastAsia" w:ascii="宋体" w:hAnsi="宋体" w:cs="宋体"/>
                <w:color w:val="auto"/>
                <w:kern w:val="0"/>
                <w:sz w:val="18"/>
                <w:szCs w:val="18"/>
                <w:highlight w:val="none"/>
              </w:rPr>
              <w:tab/>
            </w:r>
            <w:r>
              <w:rPr>
                <w:rFonts w:hint="eastAsia" w:ascii="宋体" w:hAnsi="宋体" w:cs="宋体"/>
                <w:color w:val="auto"/>
                <w:kern w:val="0"/>
                <w:sz w:val="18"/>
                <w:szCs w:val="18"/>
                <w:highlight w:val="none"/>
              </w:rPr>
              <w:t>支持</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2）急停按键：位置背部下方，外观急停器件红色，周围衬托为黄色，</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按下按下按键，机器人急停后，轮毂锁止，复位按键复位后，通过主动指令触发运动</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3）运输模式：</w:t>
            </w:r>
            <w:r>
              <w:rPr>
                <w:rFonts w:hint="eastAsia" w:ascii="宋体" w:hAnsi="宋体" w:cs="宋体"/>
                <w:color w:val="auto"/>
                <w:kern w:val="0"/>
                <w:sz w:val="18"/>
                <w:szCs w:val="18"/>
                <w:highlight w:val="none"/>
              </w:rPr>
              <w:tab/>
            </w:r>
            <w:r>
              <w:rPr>
                <w:rFonts w:hint="eastAsia" w:ascii="宋体" w:hAnsi="宋体" w:cs="宋体"/>
                <w:color w:val="auto"/>
                <w:kern w:val="0"/>
                <w:sz w:val="18"/>
                <w:szCs w:val="18"/>
                <w:highlight w:val="none"/>
              </w:rPr>
              <w:t>进入开机状态，通过暗码指令，系统进入shipping mode</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退出长按开机键5s退出，或者充电退出shipping mode</w:t>
            </w:r>
          </w:p>
          <w:p>
            <w:pPr>
              <w:ind w:left="210" w:leftChars="100"/>
              <w:rPr>
                <w:rFonts w:ascii="宋体" w:hAnsi="宋体"/>
                <w:color w:val="auto"/>
                <w:sz w:val="18"/>
                <w:szCs w:val="18"/>
                <w:highlight w:val="none"/>
              </w:rPr>
            </w:pPr>
          </w:p>
          <w:p>
            <w:pPr>
              <w:numPr>
                <w:ilvl w:val="0"/>
                <w:numId w:val="6"/>
              </w:numPr>
              <w:rPr>
                <w:rFonts w:ascii="宋体" w:hAnsi="宋体"/>
                <w:b/>
                <w:bCs/>
                <w:color w:val="auto"/>
                <w:sz w:val="18"/>
                <w:szCs w:val="18"/>
                <w:highlight w:val="none"/>
              </w:rPr>
            </w:pPr>
            <w:r>
              <w:rPr>
                <w:rFonts w:hint="eastAsia" w:ascii="宋体" w:hAnsi="宋体"/>
                <w:b/>
                <w:bCs/>
                <w:color w:val="auto"/>
                <w:sz w:val="18"/>
                <w:szCs w:val="18"/>
                <w:highlight w:val="none"/>
              </w:rPr>
              <w:t>充放电</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1）电池功耗：电池容量10Ah 25.2V，巡逻&gt;8小时（50%背光亮度， 0.7m/s  ，水泥地），使用寿命&gt;300次（电池电量&gt;80% 额定电量），返回充电电量低于10%时，提示是否自动返回充电，</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充电桩：电压110v-240v，兼容国内海外，线长1.5米，充电电极白铜，指示灯默认蓝灯常亮，待机充电≤4.5小时，充电绿灯闪烁，充满绿灯常亮，电量显示电量显示平滑无跳变，安全无负载无输出电压，支持短路保护；回充距离≥1.3米，成功率≥98%，ID绑定兼容支持，支持地面地板、水泥、大理石、硬地毯</w:t>
            </w:r>
          </w:p>
          <w:p>
            <w:pPr>
              <w:ind w:firstLine="180" w:firstLineChars="100"/>
              <w:rPr>
                <w:rFonts w:ascii="宋体" w:hAnsi="宋体"/>
                <w:color w:val="auto"/>
                <w:sz w:val="18"/>
                <w:szCs w:val="18"/>
                <w:highlight w:val="none"/>
              </w:rPr>
            </w:pPr>
          </w:p>
          <w:p>
            <w:pPr>
              <w:numPr>
                <w:ilvl w:val="0"/>
                <w:numId w:val="6"/>
              </w:numPr>
              <w:rPr>
                <w:rFonts w:ascii="宋体" w:hAnsi="宋体"/>
                <w:b/>
                <w:bCs/>
                <w:color w:val="auto"/>
                <w:sz w:val="18"/>
                <w:szCs w:val="18"/>
                <w:highlight w:val="none"/>
              </w:rPr>
            </w:pPr>
            <w:r>
              <w:rPr>
                <w:rFonts w:hint="eastAsia" w:ascii="宋体" w:hAnsi="宋体"/>
                <w:b/>
                <w:bCs/>
                <w:color w:val="auto"/>
                <w:sz w:val="18"/>
                <w:szCs w:val="18"/>
                <w:highlight w:val="none"/>
              </w:rPr>
              <w:t>整机</w:t>
            </w:r>
          </w:p>
          <w:p>
            <w:pPr>
              <w:rPr>
                <w:rFonts w:ascii="宋体" w:hAnsi="宋体" w:cs="宋体"/>
                <w:color w:val="auto"/>
                <w:kern w:val="0"/>
                <w:sz w:val="18"/>
                <w:szCs w:val="18"/>
                <w:highlight w:val="none"/>
              </w:rPr>
            </w:pPr>
            <w:r>
              <w:rPr>
                <w:rFonts w:hint="eastAsia" w:ascii="宋体" w:hAnsi="宋体"/>
                <w:color w:val="auto"/>
                <w:sz w:val="18"/>
                <w:szCs w:val="18"/>
                <w:highlight w:val="none"/>
              </w:rPr>
              <w:t>1</w:t>
            </w:r>
            <w:r>
              <w:rPr>
                <w:rFonts w:hint="eastAsia" w:ascii="宋体" w:hAnsi="宋体" w:cs="宋体"/>
                <w:color w:val="auto"/>
                <w:kern w:val="0"/>
                <w:sz w:val="18"/>
                <w:szCs w:val="18"/>
                <w:highlight w:val="none"/>
              </w:rPr>
              <w:t>）重量：整机重量约18kg</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2）尺寸：整机尺寸约100cm*41cm，充电桩尺寸约204×221×251 mm</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3）存储：使用温度0°C ~ +40°C，存储温度</w:t>
            </w:r>
            <w:r>
              <w:rPr>
                <w:rFonts w:hint="eastAsia" w:ascii="宋体" w:hAnsi="宋体" w:cs="宋体"/>
                <w:color w:val="auto"/>
                <w:kern w:val="0"/>
                <w:sz w:val="18"/>
                <w:szCs w:val="18"/>
                <w:highlight w:val="none"/>
              </w:rPr>
              <w:tab/>
            </w:r>
            <w:r>
              <w:rPr>
                <w:rFonts w:hint="eastAsia" w:ascii="宋体" w:hAnsi="宋体" w:cs="宋体"/>
                <w:color w:val="auto"/>
                <w:kern w:val="0"/>
                <w:sz w:val="18"/>
                <w:szCs w:val="18"/>
                <w:highlight w:val="none"/>
              </w:rPr>
              <w:t>负40°C~70°C，存储湿度</w:t>
            </w:r>
            <w:r>
              <w:rPr>
                <w:rFonts w:hint="eastAsia" w:ascii="宋体" w:hAnsi="宋体" w:cs="宋体"/>
                <w:color w:val="auto"/>
                <w:kern w:val="0"/>
                <w:sz w:val="18"/>
                <w:szCs w:val="18"/>
                <w:highlight w:val="none"/>
              </w:rPr>
              <w:tab/>
            </w:r>
            <w:r>
              <w:rPr>
                <w:rFonts w:hint="eastAsia" w:ascii="宋体" w:hAnsi="宋体" w:cs="宋体"/>
                <w:color w:val="auto"/>
                <w:kern w:val="0"/>
                <w:sz w:val="18"/>
                <w:szCs w:val="18"/>
                <w:highlight w:val="none"/>
              </w:rPr>
              <w:t>(RH):10%~90%</w:t>
            </w:r>
          </w:p>
          <w:p>
            <w:pPr>
              <w:widowControl/>
              <w:jc w:val="left"/>
              <w:textAlignment w:val="top"/>
              <w:rPr>
                <w:rFonts w:ascii="宋体" w:hAnsi="宋体" w:cs="宋体"/>
                <w:color w:val="auto"/>
                <w:sz w:val="18"/>
                <w:szCs w:val="18"/>
                <w:highlight w:val="none"/>
              </w:rPr>
            </w:pP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bl>
    <w:p>
      <w:pPr>
        <w:rPr>
          <w:rFonts w:ascii="宋体" w:hAnsi="宋体" w:cs="宋体"/>
          <w:color w:val="auto"/>
          <w:sz w:val="20"/>
          <w:szCs w:val="20"/>
          <w:highlight w:val="none"/>
        </w:rPr>
      </w:pPr>
    </w:p>
    <w:p>
      <w:pPr>
        <w:pStyle w:val="5"/>
        <w:spacing w:line="240" w:lineRule="auto"/>
        <w:jc w:val="left"/>
        <w:rPr>
          <w:color w:val="auto"/>
          <w:sz w:val="20"/>
          <w:szCs w:val="20"/>
          <w:highlight w:val="none"/>
        </w:rPr>
      </w:pPr>
      <w:bookmarkStart w:id="20" w:name="_Toc90043576"/>
      <w:r>
        <w:rPr>
          <w:color w:val="auto"/>
          <w:sz w:val="20"/>
          <w:szCs w:val="20"/>
          <w:highlight w:val="none"/>
        </w:rPr>
        <w:t>2</w:t>
      </w:r>
      <w:r>
        <w:rPr>
          <w:rFonts w:hint="eastAsia"/>
          <w:color w:val="auto"/>
          <w:sz w:val="20"/>
          <w:szCs w:val="20"/>
          <w:highlight w:val="none"/>
        </w:rPr>
        <w:t>、综合布线系统</w:t>
      </w:r>
      <w:bookmarkEnd w:id="20"/>
    </w:p>
    <w:tbl>
      <w:tblPr>
        <w:tblStyle w:val="27"/>
        <w:tblW w:w="13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53"/>
        <w:gridCol w:w="9161"/>
        <w:gridCol w:w="963"/>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31"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853"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9161"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产品描述</w:t>
            </w:r>
          </w:p>
        </w:tc>
        <w:tc>
          <w:tcPr>
            <w:tcW w:w="963"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590"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98" w:type="dxa"/>
            <w:gridSpan w:val="5"/>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（一）、工作区子系统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单口信息面板</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1、86型单口信息面板；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2、材料：优质ABS；</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3、带有防尘盖，防止灰尘；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4、带有标识条，方便编号管理和维护使用；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5、组合式结构，前后双层面板设计；</w:t>
            </w:r>
          </w:p>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6、颜色：白色。</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双口信息面板</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1、86型双口信息面板；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2、材料：优质ABS；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3、带有防尘盖，防止灰尘；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4、带有标识条，方便编号管理和维护使用；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5、组合式结构，前后双层面板设计；</w:t>
            </w:r>
          </w:p>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6、颜色：白色。</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350</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六类非屏蔽模块</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1、六类非屏蔽信息插座模块；</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2、产品性能超越TIA/EIA-568C.2 对六类的硬件标准；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3、45度倾斜设计，同时拉开IDC端子间距离；</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4、后盖带线缆固定设计,避免在拉动时直接影响卡线部位,保证产品性能的稳定；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5、弧形金针设计，有效提升近端串音余量；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6、RJ45端口金针：磷青铜、表面镀金；</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7、插头与插座插合次数:≥1000；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8、线端接次数:≥250；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9、卡接导体线规:22~26AWG；</w:t>
            </w:r>
          </w:p>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10、工作温度:-25～60℃。</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720</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低烟无卤六类非屏蔽网络跳线（2米）</w:t>
            </w:r>
          </w:p>
        </w:tc>
        <w:tc>
          <w:tcPr>
            <w:tcW w:w="9161"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1、2米六类非屏蔽低烟无卤网络双绞跳线；</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2、标准软跳线采用多股线芯设计生产而成；</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3、性能超越ANSI/TIA/EIA-568B.2-1标准；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4、特别设计的RJ45接头，确保优异性能；</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5、RJ45头、护套、线缆一体化，确保多次插拔；</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6、多种颜色可供选择，充分满足综合布线系统色彩管理思想；</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7、多种长度可供选择，充分满足综合布线系统灵活应用要求；</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8、支持千兆网络应用；</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9、符合IEC防火标准；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10、导线间有PE绝缘层；</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11、外护套为低烟无卤材料；</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12、可以向下与五类和超五类产品兼容。</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1440</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水晶头</w:t>
            </w:r>
          </w:p>
        </w:tc>
        <w:tc>
          <w:tcPr>
            <w:tcW w:w="9161"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1、符合T568A和T568B线序；</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2、结构：两件式设计，8P8C；</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3、金片：三叉铜合金；</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4、塑胶壳材料：聚碳酸脂，符合UL-94V-2；</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5、镀金厚度：50u”；</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6、屏蔽材质：铜壳镀镍Fu”；</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7、适用芯线直径：0.98mm~1.05mm；</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8、插拔次数：≥1000次；</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9、拉力测试：≥20N；</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10、介质耐电压：1000VAC/60S。</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1440</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主干电源线</w:t>
            </w:r>
          </w:p>
        </w:tc>
        <w:tc>
          <w:tcPr>
            <w:tcW w:w="9161"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RVV3*2.5，国标，导体为无氧铜，纯度99.99%。</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3500</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监控电源线</w:t>
            </w:r>
          </w:p>
        </w:tc>
        <w:tc>
          <w:tcPr>
            <w:tcW w:w="9161"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RVV2*1.0，国标，导体为无氧铜，纯度99.99%。</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17500</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98" w:type="dxa"/>
            <w:gridSpan w:val="5"/>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（二）、水平区子系统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低烟无卤六类非屏蔽双绞线</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1、UTP Cat.6数据电缆，LSZH、紫色；</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2、通过ANSI/TIA/EIA-568-C.2 250MHz带宽测试要求；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3、内部十字骨架设计，在分开线对时保证在使用和穿线过程线对位置，减少近端串扰损耗和保持了阻抗稳定；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4、单根导体直流电阻：≤9.0</w:t>
            </w:r>
            <w:r>
              <w:rPr>
                <w:rStyle w:val="82"/>
                <w:color w:val="auto"/>
                <w:sz w:val="20"/>
                <w:szCs w:val="20"/>
                <w:highlight w:val="none"/>
              </w:rPr>
              <w:t>Ω</w:t>
            </w:r>
            <w:r>
              <w:rPr>
                <w:rStyle w:val="89"/>
                <w:rFonts w:hint="default"/>
                <w:color w:val="auto"/>
                <w:sz w:val="20"/>
                <w:szCs w:val="20"/>
                <w:highlight w:val="none"/>
              </w:rPr>
              <w:t>/100m</w:t>
            </w:r>
            <w:r>
              <w:rPr>
                <w:rFonts w:hint="eastAsia" w:ascii="宋体" w:hAnsi="宋体" w:cs="宋体"/>
                <w:color w:val="auto"/>
                <w:kern w:val="0"/>
                <w:sz w:val="20"/>
                <w:szCs w:val="20"/>
                <w:highlight w:val="none"/>
              </w:rPr>
              <w:t>；</w:t>
            </w:r>
          </w:p>
          <w:p>
            <w:pPr>
              <w:widowControl/>
              <w:jc w:val="left"/>
              <w:textAlignment w:val="center"/>
              <w:rPr>
                <w:rStyle w:val="89"/>
                <w:rFonts w:hint="default"/>
                <w:color w:val="auto"/>
                <w:sz w:val="20"/>
                <w:szCs w:val="20"/>
                <w:highlight w:val="none"/>
              </w:rPr>
            </w:pPr>
            <w:r>
              <w:rPr>
                <w:rStyle w:val="89"/>
                <w:rFonts w:hint="default"/>
                <w:color w:val="auto"/>
                <w:sz w:val="20"/>
                <w:szCs w:val="20"/>
                <w:highlight w:val="none"/>
              </w:rPr>
              <w:t>5、线对直流电阻不平衡：≤2.5%</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6、线对对地电容不平衡：＜330pF/100m</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7、延迟偏差：≤45ns/100m</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8、额定传输速率(NVP)：68%</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9、绝缘电阻: ≥5000M</w:t>
            </w:r>
            <w:r>
              <w:rPr>
                <w:rStyle w:val="82"/>
                <w:color w:val="auto"/>
                <w:sz w:val="20"/>
                <w:szCs w:val="20"/>
                <w:highlight w:val="none"/>
              </w:rPr>
              <w:t>Ω</w:t>
            </w:r>
            <w:r>
              <w:rPr>
                <w:rStyle w:val="89"/>
                <w:rFonts w:hint="default"/>
                <w:color w:val="auto"/>
                <w:sz w:val="20"/>
                <w:szCs w:val="20"/>
                <w:highlight w:val="none"/>
              </w:rPr>
              <w:t>/km +20℃ DC (100-500)</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10、导体材料：无氧圆铜（纯度99.99%）</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11、线规：23AWG</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12、护套护套材料:LSZH</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13、符合REACH、FCC、3P、ETL产品认证。</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35990</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低烟无卤六类非屏蔽双绞线（蓝）</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1、UTP Cat.6数据电缆，LSZH、蓝色；</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2、通过ANSI/TIA/EIA-568-C.2 250MHz带宽测试要求；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3、内部十字骨架设计，在分开线对时保证在使用和穿线过程线对位置，减少近端串扰损耗和保持了阻抗稳定；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4、单根导体直流电阻：≤9.0</w:t>
            </w:r>
            <w:r>
              <w:rPr>
                <w:rStyle w:val="82"/>
                <w:color w:val="auto"/>
                <w:sz w:val="20"/>
                <w:szCs w:val="20"/>
                <w:highlight w:val="none"/>
              </w:rPr>
              <w:t>Ω</w:t>
            </w:r>
            <w:r>
              <w:rPr>
                <w:rStyle w:val="89"/>
                <w:rFonts w:hint="default"/>
                <w:color w:val="auto"/>
                <w:sz w:val="20"/>
                <w:szCs w:val="20"/>
                <w:highlight w:val="none"/>
              </w:rPr>
              <w:t>/100m</w:t>
            </w:r>
            <w:r>
              <w:rPr>
                <w:rFonts w:hint="eastAsia" w:ascii="宋体" w:hAnsi="宋体" w:cs="宋体"/>
                <w:color w:val="auto"/>
                <w:kern w:val="0"/>
                <w:sz w:val="20"/>
                <w:szCs w:val="20"/>
                <w:highlight w:val="none"/>
              </w:rPr>
              <w:t>；</w:t>
            </w:r>
          </w:p>
          <w:p>
            <w:pPr>
              <w:widowControl/>
              <w:jc w:val="left"/>
              <w:textAlignment w:val="center"/>
              <w:rPr>
                <w:rStyle w:val="89"/>
                <w:rFonts w:hint="default"/>
                <w:color w:val="auto"/>
                <w:sz w:val="20"/>
                <w:szCs w:val="20"/>
                <w:highlight w:val="none"/>
              </w:rPr>
            </w:pPr>
            <w:r>
              <w:rPr>
                <w:rStyle w:val="89"/>
                <w:rFonts w:hint="default"/>
                <w:color w:val="auto"/>
                <w:sz w:val="20"/>
                <w:szCs w:val="20"/>
                <w:highlight w:val="none"/>
              </w:rPr>
              <w:t>5、线对直流电阻不平衡：≤2.5%</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6、线对对地电容不平衡：＜330pF/100m</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7、延迟偏差：≤45ns/100m</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8、额定传输速率(NVP)：68%</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9、绝缘电阻: ≥5000M</w:t>
            </w:r>
            <w:r>
              <w:rPr>
                <w:rStyle w:val="82"/>
                <w:color w:val="auto"/>
                <w:sz w:val="20"/>
                <w:szCs w:val="20"/>
                <w:highlight w:val="none"/>
              </w:rPr>
              <w:t>Ω</w:t>
            </w:r>
            <w:r>
              <w:rPr>
                <w:rStyle w:val="89"/>
                <w:rFonts w:hint="default"/>
                <w:color w:val="auto"/>
                <w:sz w:val="20"/>
                <w:szCs w:val="20"/>
                <w:highlight w:val="none"/>
              </w:rPr>
              <w:t>/km +20℃ DC (100-500)</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10、导体材料：无氧圆铜（纯度99.99%）</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11、线规：23AWG</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12、护套护套材料:LSZH</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13、符合REACH、FCC、3P、ETL产品认证。</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15250</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室外4芯单模光纤</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1、标准：YD/T769，ISO/IEC11801，ANSI/TIA -568-C.3；</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2、全截面阻水结构，松套管填充特种油膏，确保良好的阻水防潮性能；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3、光纤规格：B1.3；</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4、衰减＠20℃（dB/Km）：＠1310≤0.36，＠1550≤0.22/＠850≤3.0，＠1300≤1.0；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5、光纤芯数：4芯；</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6、护套：夹带钢丝的钢-聚乙烯粘结护套，MDPE，黑色；</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7、允许拉伸力：长期：600N，短期：1500N；</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8、允许压扁力：长期：300N/100mm，短期：1000N/100mm；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9、最小弯曲半径：动态：20D，静态：10D。</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600</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六类24口模块配线架（含模块）</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1、24位模块式六类非屏蔽插座配线架；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2、符合并超越ANSI/TIA/EIA-568-C.2 对六类标准的规定；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3、标准19英寸机架式传统安装、采用优质高强度冷轧钢材，表面防静电处理；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4、采用模块化设计，可拆卸式线缆托架，保证线缆垂直进线；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5、RJ45端口金针：磷青铜、表面镀金；</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6、插头与插座插合次数:≥1000；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7、线端接次数:≥250；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8、卡接导体线规:22~26AWG；</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9、工作温度:-25～60；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10、符合FCC认证要求。</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38</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100对110语音配线架（含卡接模块）</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1、110型100对机架式配线架；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2、110型配线架分为有无腿型和有腿型；</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3、无腿型适合安装在机柜、机架中；</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4、110型配线架分50、100对和200对多种规格；</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5、110连接端子是110型配线架不可分割的组成部分，端子有4对和5对两种规格可选择；</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6、110型100对配线架套件含20个四对端子、4个五对端子和2个标签条；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7、110型100对配线架需要和110背板组装在一起，方可安装在19英寸机柜、机架上；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8、机架中的110型配线架可自由组合成100对、200对等百的倍数；</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9、110型配线架采用阻燃PVC，材质符合 UL 94V-0 阻燃性标准；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10、配线架能承接22～26AWG规格的芯线；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11、施工完成后标识牌上可写标签，便于标识与管理；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12、110型配线架符合TIA/EIA-568C超五类连接件的性能要求；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13、采用5对打线工具端接，节省安装时间；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14、适合于语音布线和超5类布线的高速数据传输。</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理线器</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1、网络理线架；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2、理线架现代美观大方；</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3、两者风格相得益彰,统一和谐；</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4、1U高度，19”规格；</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5、应用于配线架和网络设备之间的跳线管理；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6、建议每两个1U配线架或1U网络设备之间安装；</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7、独特的夹接方式，可简单快速安装到机柜或机架中；</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8、最多可安装管理多达五十条跳线；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9、跳线安装拆卸简单方便；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10、更深设计的理线环，可确保线缆弯曲半径；</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11、盖板可以上下双向翻盖，也可以取下盖板，使用灵活方便。</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38</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低烟无卤六类非屏蔽网络跳线（2米）</w:t>
            </w:r>
          </w:p>
        </w:tc>
        <w:tc>
          <w:tcPr>
            <w:tcW w:w="9161"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1、2米六类非屏蔽低烟无卤网络双绞跳线；</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2、标准软跳线采用多股线芯设计生产而成；</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3、性能超越ANSI/TIA/EIA-568B.2-1标准；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4、特别设计的RJ45接头，确保优异性能；</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5、RJ45头、护套、线缆一体化，确保多次插拔；</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6、多种颜色可供选择，充分满足综合布线系统色彩管理思想；</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7、多种长度可供选择，充分满足综合布线系统灵活应用要求；</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8、支持千兆网络应用；</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9、符合IEC防火标准；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10、导线间有PE绝缘层；</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11、外护套为低烟无卤材料；</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12、可以向下与五类和超五类产品兼容。</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912</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RJ45-110语音跳线（2米）</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1、1对110-RJ45型快接式语音跳线；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2、110-110/RJ45型跳线由鸭嘴头/RJ45水晶头和多股线芯超五类双绞线设计生产而成，柔软、易弯曲不易折断；</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3、110型插头分为1对、2对和4对插头三种规格；</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4、110型插头无需专用工具即可制做成型跳线；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5、110型插头所制成的成型跳线特别适合于语音系统的使用，也可用于语音和数据转换；</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6、多种颜色可供选择，充分满足综合布线系统色彩管理思想；</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7、多种长度可供选择，充分满足综合布线系统灵活应用要求；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8、性能向下兼容三类、五类系统；</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9、外护套：PVC/ LSZH可选；</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10、防火等级：CMR，LSZH，CM可选。</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127</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12口（24芯）光纤配线架（含LC耦合器）</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1、通用型12口光纤配线架；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2、配线架内可容纳多达12芯SC尾纤或24芯LC尾纤的熔接；</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3、配线架抽屉式设计，保证安装、检查、测试均非常方便；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4、带有涂层的钢结构骨架，坚固耐用；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5、开创性的设计能确保安装、移动以及未来的变更时，均非常灵活；</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6、设计时充分考虑到光纤应用的多样性，BAS光纤配线架能够安装不同类型的光纤模板和耦合器，以满足不同功能和性能的要求；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7、1U高度、19英寸宽度；</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8、空间合理，保证光纤跳接、熔接的合理弯曲半径；</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9、单模、多模两种光纤均适用；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10、配线架设计有用于固定到机柜的耳朵(每套2个)；</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11、框架材料选用高级钢板；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12、备选件光纤熔接盘可以安装到光纤配线架内部；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13、配线架上有两个直径25mm 圆孔，便于光缆进出；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14、从技术和使用角度，充分考虑光纤跳线和熔接的空间；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15、从技术上充分考虑光纤的安全性、储存和合理端接；</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17、前端空间便于跳线的管理和保护；</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18、安装、检查、测试都非常方便。</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双工LC-LC单模（OM3）万兆光纤跳线（3米）</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1、3米单模低烟无卤双芯LC-LC9/125光纤跳线；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2、光纤跳线是一种光纤连接小型化的产品，外皮材料采用低烟无卤材料；</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3、符合TIA/EIA-568C.3、ISO/IEC 11801标准；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4、在配线架／箱中使用，可以大大节省安装空间；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5、具有极小的插入损耗；</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6、提供高密度的连接方式；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7、符合国际标准对SFP的要求；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8、提供多种规格和长度的跳线；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9、平均连接损耗：≤ 0.2 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10、重复插拔：&lt; 0.2 dB，每500次插拔；</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11、最小反射损耗：20 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12、最大回损：-50 dB。</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LC尾纤（OM3)（1米）</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1、1.5米单模低烟无卤LC光纤尾纤；</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2、光纤尾纤是一种光纤连接小型化的产品，外皮材料采用低烟无卤材料；</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3、符合TIA/EIA-568C.3、ISO/IEC 11801标准；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4、在配线架／箱中使用，可以大大节省安装空间；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5、具有极小的插入损耗；</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6、提供高密度的连接方式；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7、符合国际标准对SFP的要求；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8、平均连接损耗：≤ 0.2 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9、重复插拔：&lt; 0.2 dB，每500次插拔；</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10、最小反射损耗：20 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11、最大回损：-50 dB。</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98" w:type="dxa"/>
            <w:gridSpan w:val="5"/>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（四）、垂直干线子系统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低烟无卤12芯单模光纤</w:t>
            </w:r>
          </w:p>
        </w:tc>
        <w:tc>
          <w:tcPr>
            <w:tcW w:w="91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1、低烟无卤光缆符合TIA/EIA-568-C.3标准，ITU G.651 、IEC793-2A1b技术要求；</w:t>
            </w:r>
          </w:p>
          <w:p>
            <w:pPr>
              <w:rPr>
                <w:rFonts w:ascii="宋体" w:hAnsi="宋体" w:cs="宋体"/>
                <w:color w:val="auto"/>
                <w:sz w:val="20"/>
                <w:szCs w:val="20"/>
                <w:highlight w:val="none"/>
              </w:rPr>
            </w:pPr>
            <w:r>
              <w:rPr>
                <w:rFonts w:hint="eastAsia" w:ascii="宋体" w:hAnsi="宋体" w:cs="宋体"/>
                <w:color w:val="auto"/>
                <w:sz w:val="20"/>
                <w:szCs w:val="20"/>
                <w:highlight w:val="none"/>
              </w:rPr>
              <w:t>2、紧套光纤外径均匀，具有很好的剥离效果；</w:t>
            </w:r>
          </w:p>
          <w:p>
            <w:pPr>
              <w:rPr>
                <w:rFonts w:ascii="宋体" w:hAnsi="宋体" w:cs="宋体"/>
                <w:color w:val="auto"/>
                <w:sz w:val="20"/>
                <w:szCs w:val="20"/>
                <w:highlight w:val="none"/>
              </w:rPr>
            </w:pPr>
            <w:r>
              <w:rPr>
                <w:rFonts w:hint="eastAsia" w:ascii="宋体" w:hAnsi="宋体" w:cs="宋体"/>
                <w:color w:val="auto"/>
                <w:sz w:val="20"/>
                <w:szCs w:val="20"/>
                <w:highlight w:val="none"/>
              </w:rPr>
              <w:t xml:space="preserve">3、外皮和紧套光纤之间有多股纺纶丝，增加了光纤的强度； </w:t>
            </w:r>
          </w:p>
          <w:p>
            <w:pPr>
              <w:rPr>
                <w:rFonts w:ascii="宋体" w:hAnsi="宋体" w:cs="宋体"/>
                <w:color w:val="auto"/>
                <w:sz w:val="20"/>
                <w:szCs w:val="20"/>
                <w:highlight w:val="none"/>
              </w:rPr>
            </w:pPr>
            <w:r>
              <w:rPr>
                <w:rFonts w:hint="eastAsia" w:ascii="宋体" w:hAnsi="宋体" w:cs="宋体"/>
                <w:color w:val="auto"/>
                <w:sz w:val="20"/>
                <w:szCs w:val="20"/>
                <w:highlight w:val="none"/>
              </w:rPr>
              <w:t>4、外皮材料采用低烟无卤材料；</w:t>
            </w:r>
          </w:p>
          <w:p>
            <w:pPr>
              <w:rPr>
                <w:rFonts w:ascii="宋体" w:hAnsi="宋体" w:cs="宋体"/>
                <w:color w:val="auto"/>
                <w:sz w:val="20"/>
                <w:szCs w:val="20"/>
                <w:highlight w:val="none"/>
              </w:rPr>
            </w:pPr>
            <w:r>
              <w:rPr>
                <w:rFonts w:hint="eastAsia" w:ascii="宋体" w:hAnsi="宋体" w:cs="宋体"/>
                <w:color w:val="auto"/>
                <w:sz w:val="20"/>
                <w:szCs w:val="20"/>
                <w:highlight w:val="none"/>
              </w:rPr>
              <w:t>5、外皮为黄色，易于施工区分；</w:t>
            </w:r>
          </w:p>
          <w:p>
            <w:pPr>
              <w:rPr>
                <w:rFonts w:ascii="宋体" w:hAnsi="宋体" w:cs="宋体"/>
                <w:color w:val="auto"/>
                <w:sz w:val="20"/>
                <w:szCs w:val="20"/>
                <w:highlight w:val="none"/>
              </w:rPr>
            </w:pPr>
            <w:r>
              <w:rPr>
                <w:rFonts w:hint="eastAsia" w:ascii="宋体" w:hAnsi="宋体" w:cs="宋体"/>
                <w:color w:val="auto"/>
                <w:sz w:val="20"/>
                <w:szCs w:val="20"/>
                <w:highlight w:val="none"/>
              </w:rPr>
              <w:t>6、光纤类别：9/125μm；</w:t>
            </w:r>
          </w:p>
          <w:p>
            <w:pPr>
              <w:rPr>
                <w:rFonts w:ascii="宋体" w:hAnsi="宋体" w:cs="宋体"/>
                <w:color w:val="auto"/>
                <w:sz w:val="20"/>
                <w:szCs w:val="20"/>
                <w:highlight w:val="none"/>
              </w:rPr>
            </w:pPr>
            <w:r>
              <w:rPr>
                <w:rFonts w:hint="eastAsia" w:ascii="宋体" w:hAnsi="宋体" w:cs="宋体"/>
                <w:color w:val="auto"/>
                <w:sz w:val="20"/>
                <w:szCs w:val="20"/>
                <w:highlight w:val="none"/>
              </w:rPr>
              <w:t>7、芯核直径(ìm)：9.3±0.4；</w:t>
            </w:r>
          </w:p>
          <w:p>
            <w:pPr>
              <w:rPr>
                <w:rFonts w:ascii="宋体" w:hAnsi="宋体" w:cs="宋体"/>
                <w:color w:val="auto"/>
                <w:sz w:val="20"/>
                <w:szCs w:val="20"/>
                <w:highlight w:val="none"/>
              </w:rPr>
            </w:pPr>
            <w:r>
              <w:rPr>
                <w:rFonts w:hint="eastAsia" w:ascii="宋体" w:hAnsi="宋体" w:cs="宋体"/>
                <w:color w:val="auto"/>
                <w:sz w:val="20"/>
                <w:szCs w:val="20"/>
                <w:highlight w:val="none"/>
              </w:rPr>
              <w:t>8、包层直径(ìm)：125±2；</w:t>
            </w:r>
          </w:p>
          <w:p>
            <w:pPr>
              <w:rPr>
                <w:rFonts w:ascii="宋体" w:hAnsi="宋体" w:cs="宋体"/>
                <w:color w:val="auto"/>
                <w:sz w:val="20"/>
                <w:szCs w:val="20"/>
                <w:highlight w:val="none"/>
              </w:rPr>
            </w:pPr>
            <w:r>
              <w:rPr>
                <w:rFonts w:hint="eastAsia" w:ascii="宋体" w:hAnsi="宋体" w:cs="宋体"/>
                <w:color w:val="auto"/>
                <w:sz w:val="20"/>
                <w:szCs w:val="20"/>
                <w:highlight w:val="none"/>
              </w:rPr>
              <w:t>9、包层不圆度 (%)：≤1%；</w:t>
            </w:r>
          </w:p>
          <w:p>
            <w:pPr>
              <w:rPr>
                <w:rFonts w:ascii="宋体" w:hAnsi="宋体" w:cs="宋体"/>
                <w:color w:val="auto"/>
                <w:sz w:val="20"/>
                <w:szCs w:val="20"/>
                <w:highlight w:val="none"/>
              </w:rPr>
            </w:pPr>
            <w:r>
              <w:rPr>
                <w:rFonts w:hint="eastAsia" w:ascii="宋体" w:hAnsi="宋体" w:cs="宋体"/>
                <w:color w:val="auto"/>
                <w:sz w:val="20"/>
                <w:szCs w:val="20"/>
                <w:highlight w:val="none"/>
              </w:rPr>
              <w:t>10、涂覆层直径(ìm)：245±10；</w:t>
            </w:r>
          </w:p>
          <w:p>
            <w:pPr>
              <w:rPr>
                <w:rFonts w:ascii="宋体" w:hAnsi="宋体" w:cs="宋体"/>
                <w:color w:val="auto"/>
                <w:sz w:val="20"/>
                <w:szCs w:val="20"/>
                <w:highlight w:val="none"/>
              </w:rPr>
            </w:pPr>
            <w:r>
              <w:rPr>
                <w:rFonts w:hint="eastAsia" w:ascii="宋体" w:hAnsi="宋体" w:cs="宋体"/>
                <w:color w:val="auto"/>
                <w:sz w:val="20"/>
                <w:szCs w:val="20"/>
                <w:highlight w:val="none"/>
              </w:rPr>
              <w:t>11、涂覆层不圆度 (%)：≤6%；</w:t>
            </w:r>
          </w:p>
          <w:p>
            <w:pPr>
              <w:rPr>
                <w:rFonts w:ascii="宋体" w:hAnsi="宋体" w:cs="宋体"/>
                <w:color w:val="auto"/>
                <w:sz w:val="20"/>
                <w:szCs w:val="20"/>
                <w:highlight w:val="none"/>
              </w:rPr>
            </w:pPr>
            <w:r>
              <w:rPr>
                <w:rFonts w:hint="eastAsia" w:ascii="宋体" w:hAnsi="宋体" w:cs="宋体"/>
                <w:color w:val="auto"/>
                <w:sz w:val="20"/>
                <w:szCs w:val="20"/>
                <w:highlight w:val="none"/>
              </w:rPr>
              <w:t>12、芯核/包层同心度误差(ìm)：&lt;0.8；</w:t>
            </w:r>
          </w:p>
          <w:p>
            <w:pPr>
              <w:rPr>
                <w:rFonts w:ascii="宋体" w:hAnsi="宋体" w:cs="宋体"/>
                <w:color w:val="auto"/>
                <w:sz w:val="20"/>
                <w:szCs w:val="20"/>
                <w:highlight w:val="none"/>
              </w:rPr>
            </w:pPr>
            <w:r>
              <w:rPr>
                <w:rFonts w:hint="eastAsia" w:ascii="宋体" w:hAnsi="宋体" w:cs="宋体"/>
                <w:color w:val="auto"/>
                <w:sz w:val="20"/>
                <w:szCs w:val="20"/>
                <w:highlight w:val="none"/>
              </w:rPr>
              <w:t>13、包层/涂覆层同心度误差(ìm)：&lt;12.0；</w:t>
            </w:r>
          </w:p>
          <w:p>
            <w:pPr>
              <w:rPr>
                <w:rFonts w:ascii="宋体" w:hAnsi="宋体" w:cs="宋体"/>
                <w:color w:val="auto"/>
                <w:sz w:val="20"/>
                <w:szCs w:val="20"/>
                <w:highlight w:val="none"/>
              </w:rPr>
            </w:pPr>
            <w:r>
              <w:rPr>
                <w:rFonts w:hint="eastAsia" w:ascii="宋体" w:hAnsi="宋体" w:cs="宋体"/>
                <w:color w:val="auto"/>
                <w:sz w:val="20"/>
                <w:szCs w:val="20"/>
                <w:highlight w:val="none"/>
              </w:rPr>
              <w:t>14、数值孔径：0.275±0.015；</w:t>
            </w:r>
          </w:p>
          <w:p>
            <w:pPr>
              <w:rPr>
                <w:rFonts w:ascii="宋体" w:hAnsi="宋体" w:cs="宋体"/>
                <w:color w:val="auto"/>
                <w:sz w:val="20"/>
                <w:szCs w:val="20"/>
                <w:highlight w:val="none"/>
              </w:rPr>
            </w:pPr>
            <w:r>
              <w:rPr>
                <w:rFonts w:hint="eastAsia" w:ascii="宋体" w:hAnsi="宋体" w:cs="宋体"/>
                <w:color w:val="auto"/>
                <w:sz w:val="20"/>
                <w:szCs w:val="20"/>
                <w:highlight w:val="none"/>
              </w:rPr>
              <w:t>15、衰减：1310nm  ≤0.36dB/km、1550nm  ≤0.22dB/km；</w:t>
            </w:r>
          </w:p>
          <w:p>
            <w:pPr>
              <w:rPr>
                <w:rFonts w:ascii="宋体" w:hAnsi="宋体" w:cs="宋体"/>
                <w:color w:val="auto"/>
                <w:sz w:val="20"/>
                <w:szCs w:val="20"/>
                <w:highlight w:val="none"/>
              </w:rPr>
            </w:pPr>
            <w:r>
              <w:rPr>
                <w:rFonts w:hint="eastAsia" w:ascii="宋体" w:hAnsi="宋体" w:cs="宋体"/>
                <w:color w:val="auto"/>
                <w:sz w:val="20"/>
                <w:szCs w:val="20"/>
                <w:highlight w:val="none"/>
              </w:rPr>
              <w:t>16、色散系数：1285~1340nm  -3.5～3.5ps/(nm.km)、1550nm  ≤18ps/(nm.km)；</w:t>
            </w:r>
          </w:p>
          <w:p>
            <w:pPr>
              <w:rPr>
                <w:rFonts w:ascii="宋体" w:hAnsi="宋体" w:cs="宋体"/>
                <w:color w:val="auto"/>
                <w:sz w:val="20"/>
                <w:szCs w:val="20"/>
                <w:highlight w:val="none"/>
              </w:rPr>
            </w:pPr>
            <w:r>
              <w:rPr>
                <w:rFonts w:hint="eastAsia" w:ascii="宋体" w:hAnsi="宋体" w:cs="宋体"/>
                <w:color w:val="auto"/>
                <w:sz w:val="20"/>
                <w:szCs w:val="20"/>
                <w:highlight w:val="none"/>
              </w:rPr>
              <w:t>17、零色散波长范围：1302~1324nm；</w:t>
            </w:r>
          </w:p>
          <w:p>
            <w:pPr>
              <w:rPr>
                <w:rFonts w:ascii="宋体" w:hAnsi="宋体" w:cs="宋体"/>
                <w:color w:val="auto"/>
                <w:sz w:val="20"/>
                <w:szCs w:val="20"/>
                <w:highlight w:val="none"/>
              </w:rPr>
            </w:pPr>
            <w:r>
              <w:rPr>
                <w:rFonts w:hint="eastAsia" w:ascii="宋体" w:hAnsi="宋体" w:cs="宋体"/>
                <w:color w:val="auto"/>
                <w:sz w:val="20"/>
                <w:szCs w:val="20"/>
                <w:highlight w:val="none"/>
              </w:rPr>
              <w:t>18、零色散斜率：≤0.093ps/(nm2.km)；</w:t>
            </w:r>
          </w:p>
          <w:p>
            <w:pPr>
              <w:rPr>
                <w:rFonts w:ascii="宋体" w:hAnsi="宋体" w:cs="宋体"/>
                <w:color w:val="auto"/>
                <w:sz w:val="20"/>
                <w:szCs w:val="20"/>
                <w:highlight w:val="none"/>
              </w:rPr>
            </w:pPr>
            <w:r>
              <w:rPr>
                <w:rFonts w:hint="eastAsia" w:ascii="宋体" w:hAnsi="宋体" w:cs="宋体"/>
                <w:color w:val="auto"/>
                <w:sz w:val="20"/>
                <w:szCs w:val="20"/>
                <w:highlight w:val="none"/>
              </w:rPr>
              <w:t>19、截止波长：1150≤ëc≤1330nm；</w:t>
            </w:r>
          </w:p>
          <w:p>
            <w:pPr>
              <w:rPr>
                <w:rFonts w:ascii="宋体" w:hAnsi="宋体" w:cs="宋体"/>
                <w:color w:val="auto"/>
                <w:sz w:val="20"/>
                <w:szCs w:val="20"/>
                <w:highlight w:val="none"/>
              </w:rPr>
            </w:pPr>
            <w:r>
              <w:rPr>
                <w:rFonts w:hint="eastAsia" w:ascii="宋体" w:hAnsi="宋体" w:cs="宋体"/>
                <w:color w:val="auto"/>
                <w:sz w:val="20"/>
                <w:szCs w:val="20"/>
                <w:highlight w:val="none"/>
              </w:rPr>
              <w:t>20、模长直径 (MFD)：1310nm  9.3±0.4ìm；</w:t>
            </w:r>
          </w:p>
          <w:p>
            <w:pPr>
              <w:rPr>
                <w:rFonts w:ascii="宋体" w:hAnsi="宋体" w:cs="宋体"/>
                <w:color w:val="auto"/>
                <w:sz w:val="20"/>
                <w:szCs w:val="20"/>
                <w:highlight w:val="none"/>
              </w:rPr>
            </w:pPr>
            <w:r>
              <w:rPr>
                <w:rFonts w:hint="eastAsia" w:ascii="宋体" w:hAnsi="宋体" w:cs="宋体"/>
                <w:color w:val="auto"/>
                <w:sz w:val="20"/>
                <w:szCs w:val="20"/>
                <w:highlight w:val="none"/>
              </w:rPr>
              <w:t>21、光纤翘曲特性参数R：4.0 m；</w:t>
            </w:r>
          </w:p>
          <w:p>
            <w:pPr>
              <w:rPr>
                <w:rFonts w:ascii="宋体" w:hAnsi="宋体" w:cs="宋体"/>
                <w:color w:val="auto"/>
                <w:sz w:val="20"/>
                <w:szCs w:val="20"/>
                <w:highlight w:val="none"/>
              </w:rPr>
            </w:pPr>
            <w:r>
              <w:rPr>
                <w:rFonts w:hint="eastAsia" w:ascii="宋体" w:hAnsi="宋体" w:cs="宋体"/>
                <w:color w:val="auto"/>
                <w:sz w:val="20"/>
                <w:szCs w:val="20"/>
                <w:highlight w:val="none"/>
              </w:rPr>
              <w:t>22、工作温度：-25～75℃；</w:t>
            </w:r>
          </w:p>
          <w:p>
            <w:pPr>
              <w:rPr>
                <w:rFonts w:ascii="宋体" w:hAnsi="宋体" w:cs="宋体"/>
                <w:color w:val="auto"/>
                <w:kern w:val="0"/>
                <w:sz w:val="20"/>
                <w:szCs w:val="20"/>
                <w:highlight w:val="none"/>
              </w:rPr>
            </w:pPr>
            <w:r>
              <w:rPr>
                <w:rFonts w:hint="eastAsia" w:ascii="宋体" w:hAnsi="宋体" w:cs="宋体"/>
                <w:color w:val="auto"/>
                <w:sz w:val="20"/>
                <w:szCs w:val="20"/>
                <w:highlight w:val="none"/>
              </w:rPr>
              <w:t>23、弯曲半径：10X O.D.(静置)、 20X O.D.(动态)。</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400</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50对3类大对数电缆</w:t>
            </w:r>
          </w:p>
        </w:tc>
        <w:tc>
          <w:tcPr>
            <w:tcW w:w="91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1、室内三类50对大对数低烟无卤线缆；</w:t>
            </w:r>
          </w:p>
          <w:p>
            <w:pPr>
              <w:rPr>
                <w:rFonts w:ascii="宋体" w:hAnsi="宋体" w:cs="宋体"/>
                <w:color w:val="auto"/>
                <w:sz w:val="20"/>
                <w:szCs w:val="20"/>
                <w:highlight w:val="none"/>
              </w:rPr>
            </w:pPr>
            <w:r>
              <w:rPr>
                <w:rFonts w:hint="eastAsia" w:ascii="宋体" w:hAnsi="宋体" w:cs="宋体"/>
                <w:color w:val="auto"/>
                <w:sz w:val="20"/>
                <w:szCs w:val="20"/>
                <w:highlight w:val="none"/>
              </w:rPr>
              <w:t>2、100欧姆25线对非屏蔽双绞线，采用单芯裸铜，导体规格为26AWG，每芯带有彩色护套，聚乙烯类高分子材料为绝缘体，外皮材料采用低烟无卤材料，使得线缆更好地实现语音系统信道传输；</w:t>
            </w:r>
          </w:p>
          <w:p>
            <w:pPr>
              <w:rPr>
                <w:rFonts w:ascii="宋体" w:hAnsi="宋体" w:cs="宋体"/>
                <w:color w:val="auto"/>
                <w:sz w:val="20"/>
                <w:szCs w:val="20"/>
                <w:highlight w:val="none"/>
              </w:rPr>
            </w:pPr>
            <w:r>
              <w:rPr>
                <w:rFonts w:hint="eastAsia" w:ascii="宋体" w:hAnsi="宋体" w:cs="宋体"/>
                <w:color w:val="auto"/>
                <w:sz w:val="20"/>
                <w:szCs w:val="20"/>
                <w:highlight w:val="none"/>
              </w:rPr>
              <w:t>3、双绞线符合国际规范(ISO/IEC)，美国规范(TIA/EIA)，欧洲规范(EN)和澳洲规范的要求。电气特性超过TIA/EIA-568C  Cat.3规范的要求；</w:t>
            </w:r>
          </w:p>
          <w:p>
            <w:pPr>
              <w:rPr>
                <w:rFonts w:ascii="宋体" w:hAnsi="宋体" w:cs="宋体"/>
                <w:color w:val="auto"/>
                <w:sz w:val="20"/>
                <w:szCs w:val="20"/>
                <w:highlight w:val="none"/>
              </w:rPr>
            </w:pPr>
            <w:r>
              <w:rPr>
                <w:rFonts w:hint="eastAsia" w:ascii="宋体" w:hAnsi="宋体" w:cs="宋体"/>
                <w:color w:val="auto"/>
                <w:sz w:val="20"/>
                <w:szCs w:val="20"/>
                <w:highlight w:val="none"/>
              </w:rPr>
              <w:t>4、阻抗：100欧姆+/-20；</w:t>
            </w:r>
          </w:p>
          <w:p>
            <w:pPr>
              <w:rPr>
                <w:rFonts w:ascii="宋体" w:hAnsi="宋体" w:cs="宋体"/>
                <w:color w:val="auto"/>
                <w:sz w:val="20"/>
                <w:szCs w:val="20"/>
                <w:highlight w:val="none"/>
              </w:rPr>
            </w:pPr>
            <w:r>
              <w:rPr>
                <w:rFonts w:hint="eastAsia" w:ascii="宋体" w:hAnsi="宋体" w:cs="宋体"/>
                <w:color w:val="auto"/>
                <w:sz w:val="20"/>
                <w:szCs w:val="20"/>
                <w:highlight w:val="none"/>
              </w:rPr>
              <w:t>5、静电电容，Max：17.1nf / 每千英尺；</w:t>
            </w:r>
          </w:p>
          <w:p>
            <w:pPr>
              <w:rPr>
                <w:rFonts w:ascii="宋体" w:hAnsi="宋体" w:cs="宋体"/>
                <w:color w:val="auto"/>
                <w:sz w:val="20"/>
                <w:szCs w:val="20"/>
                <w:highlight w:val="none"/>
              </w:rPr>
            </w:pPr>
            <w:r>
              <w:rPr>
                <w:rFonts w:hint="eastAsia" w:ascii="宋体" w:hAnsi="宋体" w:cs="宋体"/>
                <w:color w:val="auto"/>
                <w:sz w:val="20"/>
                <w:szCs w:val="20"/>
                <w:highlight w:val="none"/>
              </w:rPr>
              <w:t>6、直流电阻，Max：8.83欧姆 / 每100米；</w:t>
            </w:r>
          </w:p>
          <w:p>
            <w:pPr>
              <w:rPr>
                <w:rFonts w:ascii="宋体" w:hAnsi="宋体" w:cs="宋体"/>
                <w:color w:val="auto"/>
                <w:sz w:val="20"/>
                <w:szCs w:val="20"/>
                <w:highlight w:val="none"/>
              </w:rPr>
            </w:pPr>
            <w:r>
              <w:rPr>
                <w:rFonts w:hint="eastAsia" w:ascii="宋体" w:hAnsi="宋体" w:cs="宋体"/>
                <w:color w:val="auto"/>
                <w:sz w:val="20"/>
                <w:szCs w:val="20"/>
                <w:highlight w:val="none"/>
              </w:rPr>
              <w:t>7、线对不平衡直流电阻，Max：5%；</w:t>
            </w:r>
          </w:p>
          <w:p>
            <w:pPr>
              <w:rPr>
                <w:rFonts w:ascii="宋体" w:hAnsi="宋体" w:cs="宋体"/>
                <w:color w:val="auto"/>
                <w:sz w:val="20"/>
                <w:szCs w:val="20"/>
                <w:highlight w:val="none"/>
              </w:rPr>
            </w:pPr>
            <w:r>
              <w:rPr>
                <w:rFonts w:hint="eastAsia" w:ascii="宋体" w:hAnsi="宋体" w:cs="宋体"/>
                <w:color w:val="auto"/>
                <w:sz w:val="20"/>
                <w:szCs w:val="20"/>
                <w:highlight w:val="none"/>
              </w:rPr>
              <w:t>8、最大电容：53.6nF/100m；</w:t>
            </w:r>
          </w:p>
          <w:p>
            <w:pPr>
              <w:rPr>
                <w:rFonts w:ascii="宋体" w:hAnsi="宋体" w:cs="宋体"/>
                <w:color w:val="auto"/>
                <w:sz w:val="20"/>
                <w:szCs w:val="20"/>
                <w:highlight w:val="none"/>
              </w:rPr>
            </w:pPr>
            <w:r>
              <w:rPr>
                <w:rFonts w:hint="eastAsia" w:ascii="宋体" w:hAnsi="宋体" w:cs="宋体"/>
                <w:color w:val="auto"/>
                <w:sz w:val="20"/>
                <w:szCs w:val="20"/>
                <w:highlight w:val="none"/>
              </w:rPr>
              <w:t>9、传播延迟偏差：45纳秒/100米；</w:t>
            </w:r>
          </w:p>
          <w:p>
            <w:pPr>
              <w:rPr>
                <w:rFonts w:ascii="宋体" w:hAnsi="宋体" w:cs="宋体"/>
                <w:color w:val="auto"/>
                <w:sz w:val="20"/>
                <w:szCs w:val="20"/>
                <w:highlight w:val="none"/>
              </w:rPr>
            </w:pPr>
            <w:r>
              <w:rPr>
                <w:rFonts w:hint="eastAsia" w:ascii="宋体" w:hAnsi="宋体" w:cs="宋体"/>
                <w:color w:val="auto"/>
                <w:sz w:val="20"/>
                <w:szCs w:val="20"/>
                <w:highlight w:val="none"/>
              </w:rPr>
              <w:t>10、额定传输速率：65%导体直径：26AWG；</w:t>
            </w:r>
          </w:p>
          <w:p>
            <w:pPr>
              <w:rPr>
                <w:rFonts w:ascii="宋体" w:hAnsi="宋体" w:cs="宋体"/>
                <w:color w:val="auto"/>
                <w:sz w:val="20"/>
                <w:szCs w:val="20"/>
                <w:highlight w:val="none"/>
              </w:rPr>
            </w:pPr>
            <w:r>
              <w:rPr>
                <w:rFonts w:hint="eastAsia" w:ascii="宋体" w:hAnsi="宋体" w:cs="宋体"/>
                <w:color w:val="auto"/>
                <w:sz w:val="20"/>
                <w:szCs w:val="20"/>
                <w:highlight w:val="none"/>
              </w:rPr>
              <w:t>11、重量(kg/kft)：69.0(25PR)；</w:t>
            </w:r>
          </w:p>
          <w:p>
            <w:pPr>
              <w:rPr>
                <w:rFonts w:ascii="宋体" w:hAnsi="宋体" w:cs="宋体"/>
                <w:color w:val="auto"/>
                <w:sz w:val="20"/>
                <w:szCs w:val="20"/>
                <w:highlight w:val="none"/>
              </w:rPr>
            </w:pPr>
            <w:r>
              <w:rPr>
                <w:rFonts w:hint="eastAsia" w:ascii="宋体" w:hAnsi="宋体" w:cs="宋体"/>
                <w:color w:val="auto"/>
                <w:sz w:val="20"/>
                <w:szCs w:val="20"/>
                <w:highlight w:val="none"/>
              </w:rPr>
              <w:t>12、最小弯曲半径：O.D. X 6~8；</w:t>
            </w:r>
          </w:p>
          <w:p>
            <w:pPr>
              <w:rPr>
                <w:rFonts w:ascii="宋体" w:hAnsi="宋体" w:cs="宋体"/>
                <w:color w:val="auto"/>
                <w:sz w:val="20"/>
                <w:szCs w:val="20"/>
                <w:highlight w:val="none"/>
              </w:rPr>
            </w:pPr>
            <w:r>
              <w:rPr>
                <w:rFonts w:hint="eastAsia" w:ascii="宋体" w:hAnsi="宋体" w:cs="宋体"/>
                <w:color w:val="auto"/>
                <w:sz w:val="20"/>
                <w:szCs w:val="20"/>
                <w:highlight w:val="none"/>
              </w:rPr>
              <w:t>13、最大张力(kg)：2.5Kg/线对；</w:t>
            </w:r>
          </w:p>
          <w:p>
            <w:pPr>
              <w:rPr>
                <w:rFonts w:ascii="宋体" w:hAnsi="宋体" w:cs="宋体"/>
                <w:color w:val="auto"/>
                <w:sz w:val="20"/>
                <w:szCs w:val="20"/>
                <w:highlight w:val="none"/>
              </w:rPr>
            </w:pPr>
            <w:r>
              <w:rPr>
                <w:rFonts w:hint="eastAsia" w:ascii="宋体" w:hAnsi="宋体" w:cs="宋体"/>
                <w:color w:val="auto"/>
                <w:sz w:val="20"/>
                <w:szCs w:val="20"/>
                <w:highlight w:val="none"/>
              </w:rPr>
              <w:t>14、绝缘层：高密度聚乙烯/低烟无卤型材料可选，厚度0.2mm；</w:t>
            </w:r>
          </w:p>
          <w:p>
            <w:pPr>
              <w:rPr>
                <w:rFonts w:ascii="宋体" w:hAnsi="宋体" w:cs="宋体"/>
                <w:color w:val="auto"/>
                <w:sz w:val="20"/>
                <w:szCs w:val="20"/>
                <w:highlight w:val="none"/>
              </w:rPr>
            </w:pPr>
            <w:r>
              <w:rPr>
                <w:rFonts w:hint="eastAsia" w:ascii="宋体" w:hAnsi="宋体" w:cs="宋体"/>
                <w:color w:val="auto"/>
                <w:sz w:val="20"/>
                <w:szCs w:val="20"/>
                <w:highlight w:val="none"/>
              </w:rPr>
              <w:t>15、外护套：PVC/ LSZH可选，厚度0.6mm；</w:t>
            </w:r>
          </w:p>
          <w:p>
            <w:pPr>
              <w:rPr>
                <w:rFonts w:ascii="宋体" w:hAnsi="宋体" w:cs="宋体"/>
                <w:color w:val="auto"/>
                <w:sz w:val="20"/>
                <w:szCs w:val="20"/>
                <w:highlight w:val="none"/>
              </w:rPr>
            </w:pPr>
            <w:r>
              <w:rPr>
                <w:rFonts w:hint="eastAsia" w:ascii="宋体" w:hAnsi="宋体" w:cs="宋体"/>
                <w:color w:val="auto"/>
                <w:sz w:val="20"/>
                <w:szCs w:val="20"/>
                <w:highlight w:val="none"/>
              </w:rPr>
              <w:t>16、防火等级：CMR，LSZH，CM可选；</w:t>
            </w:r>
          </w:p>
          <w:p>
            <w:pPr>
              <w:rPr>
                <w:rFonts w:ascii="宋体" w:hAnsi="宋体" w:cs="宋体"/>
                <w:color w:val="auto"/>
                <w:sz w:val="20"/>
                <w:szCs w:val="20"/>
                <w:highlight w:val="none"/>
              </w:rPr>
            </w:pPr>
            <w:r>
              <w:rPr>
                <w:rFonts w:hint="eastAsia" w:ascii="宋体" w:hAnsi="宋体" w:cs="宋体"/>
                <w:color w:val="auto"/>
                <w:sz w:val="20"/>
                <w:szCs w:val="20"/>
                <w:highlight w:val="none"/>
              </w:rPr>
              <w:t>17、外皮厚度：0.92mm；</w:t>
            </w:r>
          </w:p>
          <w:p>
            <w:pPr>
              <w:rPr>
                <w:rFonts w:ascii="宋体" w:hAnsi="宋体" w:cs="宋体"/>
                <w:color w:val="auto"/>
                <w:sz w:val="20"/>
                <w:szCs w:val="20"/>
                <w:highlight w:val="none"/>
              </w:rPr>
            </w:pPr>
            <w:r>
              <w:rPr>
                <w:rFonts w:hint="eastAsia" w:ascii="宋体" w:hAnsi="宋体" w:cs="宋体"/>
                <w:color w:val="auto"/>
                <w:sz w:val="20"/>
                <w:szCs w:val="20"/>
                <w:highlight w:val="none"/>
              </w:rPr>
              <w:t>18、工作温度：-25~75℃。</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98" w:type="dxa"/>
            <w:gridSpan w:val="5"/>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（五）、设备间子系统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100对110语音配线架（含卡接模块）</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1、110型100对机架式配线架；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2、110型配线架分为有无腿型和有腿型；</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3、无腿型适合安装在机柜、机架中；</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4、110型配线架分50、100对和200对多种规格；</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5、110连接端子是110型配线架不可分割的组成部分，端子有4对和5对两种规格可选择；</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6、110型100对配线架套件含20个四对端子、4个五对端子和2个标签条；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7、110型100对配线架需要和110背板组装在一起，方可安装在19英寸机柜、机架上；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8、机架中的110型配线架可自由组合成100对、200对等百的倍数；</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9、110型配线架采用阻燃PVC，材质符合 UL 94V-0 阻燃性标准；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10、配线架能承接22～26AWG规格的芯线；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11、施工完成后标识牌上可写标签，便于标识与管理；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12、110型配线架符合TIA/EIA-568C超五类连接件的性能要求；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13、采用5对打线工具端接，节省安装时间；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14、适合于语音布线和超5类布线的高速数据传输。</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理线器</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1、网络理线架；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2、理线架现代美观大方；</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3、两者风格相得益彰,统一和谐；</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4、1U高度，19”规格；</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5、应用于配线架和网络设备之间的跳线管理；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6、建议每两个1U配线架或1U网络设备之间安装；</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7、独特的夹接方式，可简单快速安装到机柜或机架中；</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8、最多可安装管理多达五十条跳线；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9、跳线安装拆卸简单方便；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10、更深设计的理线环，可确保线缆弯曲半径；</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11、盖板可以上下双向翻盖，也可以取下盖板，使用灵活方便。</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110-110语音跳线（2米）</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1、2米六类非屏蔽低烟无卤网络跳线；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2、标准软跳线采用多股线芯设计生产而成；</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3、性能超越ANSI/TIA/EIA-568B.2-1标准；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4、特别设计的RJ45接头，确保优异性能；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5、RJ45头、护套、线缆一体化，确保多次插拔；</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6、多种颜色可供选择，充分满足综合布线系统色彩管理思想；</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7、多种长度可供选择，充分满足综合布线系统灵活应用要求；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8、支持千兆网络应用；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9、符合IEC防火标准；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10、导线间有PE绝缘层；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11、外护套为低烟无卤材料；</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12、可以向下与5类和超5类产品兼容。</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110</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12口（24芯）光纤配线架（含LC耦合器）</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1、通用型12口光纤配线架；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2、配线架内可容纳多达12芯SC尾纤或24芯LC尾纤的熔接；</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3、配线架抽屉式设计，保证安装、检查、测试均非常方便；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4、带有涂层的钢结构骨架，坚固耐用；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5、开创性的设计能确保安装、移动以及未来的变更时，均非常灵活；</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6、设计时充分考虑到光纤应用的多样性，BAS光纤配线架能够安装不同类型的光纤模板和耦合器，以满足不同功能和性能的要求；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7、1U高度、19英寸宽度；</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8、空间合理，保证光纤跳接、熔接的合理弯曲半径；</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9、单模、多模两种光纤均适用；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10、配线架设计有用于固定到机柜的耳朵(每套2个)；</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11、框架材料选用高级钢板；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12、备选件光纤熔接盘可以安装到光纤配线架内部；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13、配线架上有两个直径25mm 圆孔，便于光缆进出；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14、从技术和使用角度，充分考虑光纤跳线和熔接的空间；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15、从技术上充分考虑光纤的安全性、储存和合理端接；</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17、前端空间便于跳线的管理和保护；</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18、安装、检查、测试都非常方便。</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双工LC-LC单模（OM3）光纤跳线（3米）</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1、3米单模低烟无卤双芯LC-LC9/125光纤跳线；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2、光纤跳线是一种光纤连接小型化的产品，外皮材料采用低烟无卤材料；</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3、符合TIA/EIA-568C.3、ISO/IEC 11801标准；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4、在配线架／箱中使用，可以大大节省安装空间；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5、具有极小的插入损耗；</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6、提供高密度的连接方式；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7、符合国际标准对SFP的要求；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8、提供多种规格和长度的跳线；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9、平均连接损耗：≤ 0.2 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10、重复插拔：&lt; 0.2 dB，每500次插拔；</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11、最小反射损耗：20 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12、最大回损：-50 dB。</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LC尾纤（OM3)（1米）</w:t>
            </w:r>
          </w:p>
        </w:tc>
        <w:tc>
          <w:tcPr>
            <w:tcW w:w="9161"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1、1.5米单模低烟无卤LC光纤尾纤；</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2、光纤尾纤是一种光纤连接小型化的产品，外皮材料采用低烟无卤材料；</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3、符合TIA/EIA-568C.3、ISO/IEC 11801标准；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4、在配线架／箱中使用，可以大大节省安装空间；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5、具有极小的插入损耗；</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6、提供高密度的连接方式；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7、符合国际标准对SFP的要求；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8、平均连接损耗：≤ 0.2 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9、重复插拔：&lt; 0.2 dB，每500次插拔；</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10、最小反射损耗：20 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11、最大回损：-50 dB。</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98" w:type="dxa"/>
            <w:gridSpan w:val="5"/>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（六）、其它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53"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可视化系统管理软件</w:t>
            </w:r>
          </w:p>
        </w:tc>
        <w:tc>
          <w:tcPr>
            <w:tcW w:w="9161"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智慧布线系统管理软件，能够仿真模拟出多栋大楼内的综合布线系统情况、交换机和配线架的连接情况、机柜内的设备端口与信息点的分配情况。将布线情况可视化，采用浏览器模式，图形直观操作，基于鼠标事件操作简单，所有的操作步骤均自动保存，方便后期查阅相关变动情况；</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2、采用B/S软件架构，使用谷歌浏览器等进行操作；</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3、支持多平台安装；</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4、分3种安全级模式；</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5、支持远程操作；</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6、安装配置方式简单直观；</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 现场配置建筑物及楼层信息</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 现场配置配线间、机柜信息</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 现场配置配线架及设备信息</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 现场配置楼层点位信息</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 楼层平面图纸采用SVG格式导入</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 配线架后端连接关系数据通过Excel导入</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 配线架端口跳线关系数据，导入时自动获取</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 能够显示楼层平面图和信息点位置</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 能显示实际配线间机柜，设备的布局</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7、综合布线系统的智能化管理；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 摆脱数据记录靠人工改变表格的状态</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 跳线关系实现智能化管理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 布线链路信息实时追踪</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 实现从交换机端口到终端的连接状态智能化管理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 跳线改变具备可追溯性</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 管理界面采用全图形化操作界面方式</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 指令的下发简单直观</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8、引导跳线操作；</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 引导跳线的连接</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 引导跳线的断开</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 引导跳线断开连接的交叉操作</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9、实现网络管理系统到信息点的延伸；</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 管理软件楼层平面图准确显示信息点位置</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 管理软件准确显示从交换机端口到终端的链路结构</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 终端信息实时显示</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10、采用不同的颜色显示连接状态；</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 端口状态</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 信息点状态</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 在鼠标移到对应端口时，显示端口连接线路</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853"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光纤熔接</w:t>
            </w:r>
          </w:p>
        </w:tc>
        <w:tc>
          <w:tcPr>
            <w:tcW w:w="9161"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熔接法单模，含配件</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96</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853"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金属桥架</w:t>
            </w:r>
          </w:p>
        </w:tc>
        <w:tc>
          <w:tcPr>
            <w:tcW w:w="9161"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400*200,包括支架制作安装、除锈、喷油,接地跨接，盖板</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40</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853"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金属桥架</w:t>
            </w:r>
          </w:p>
        </w:tc>
        <w:tc>
          <w:tcPr>
            <w:tcW w:w="9161"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300*150,包括支架制作安装、除锈、喷油,接地跨接，盖板</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40</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853"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金属桥架</w:t>
            </w:r>
          </w:p>
        </w:tc>
        <w:tc>
          <w:tcPr>
            <w:tcW w:w="9161" w:type="dxa"/>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200*100,包括支架制作安装、除锈、喷油,接地跨接，盖板</w:t>
            </w:r>
          </w:p>
        </w:tc>
        <w:tc>
          <w:tcPr>
            <w:tcW w:w="96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140</w:t>
            </w:r>
          </w:p>
        </w:tc>
        <w:tc>
          <w:tcPr>
            <w:tcW w:w="59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853"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金属桥架</w:t>
            </w:r>
          </w:p>
        </w:tc>
        <w:tc>
          <w:tcPr>
            <w:tcW w:w="9161" w:type="dxa"/>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100*100,包括支架制作安装、除锈、喷油,接地跨接，盖板</w:t>
            </w:r>
          </w:p>
        </w:tc>
        <w:tc>
          <w:tcPr>
            <w:tcW w:w="96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59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853"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防火堵料</w:t>
            </w:r>
          </w:p>
        </w:tc>
        <w:tc>
          <w:tcPr>
            <w:tcW w:w="9161" w:type="dxa"/>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防火泥防火封堵</w:t>
            </w:r>
          </w:p>
        </w:tc>
        <w:tc>
          <w:tcPr>
            <w:tcW w:w="96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60</w:t>
            </w:r>
          </w:p>
        </w:tc>
        <w:tc>
          <w:tcPr>
            <w:tcW w:w="59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85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PVC管</w:t>
            </w:r>
          </w:p>
        </w:tc>
        <w:tc>
          <w:tcPr>
            <w:tcW w:w="9161" w:type="dxa"/>
            <w:vAlign w:val="center"/>
          </w:tcPr>
          <w:p>
            <w:pPr>
              <w:widowControl/>
              <w:jc w:val="left"/>
              <w:rPr>
                <w:rFonts w:ascii="宋体" w:hAnsi="宋体" w:cs="宋体"/>
                <w:color w:val="auto"/>
                <w:kern w:val="0"/>
                <w:sz w:val="20"/>
                <w:szCs w:val="20"/>
                <w:highlight w:val="none"/>
              </w:rPr>
            </w:pPr>
            <w:r>
              <w:rPr>
                <w:rFonts w:hint="eastAsia" w:ascii="MS Gothic" w:hAnsi="MS Gothic" w:eastAsia="MS Gothic" w:cs="MS Gothic"/>
                <w:color w:val="auto"/>
                <w:kern w:val="0"/>
                <w:sz w:val="20"/>
                <w:szCs w:val="20"/>
                <w:highlight w:val="none"/>
              </w:rPr>
              <w:t>∅</w:t>
            </w:r>
            <w:r>
              <w:rPr>
                <w:rFonts w:hint="eastAsia" w:ascii="宋体" w:hAnsi="宋体" w:cs="宋体"/>
                <w:color w:val="auto"/>
                <w:kern w:val="0"/>
                <w:sz w:val="20"/>
                <w:szCs w:val="20"/>
                <w:highlight w:val="none"/>
              </w:rPr>
              <w:t>20、</w:t>
            </w:r>
            <w:r>
              <w:rPr>
                <w:rFonts w:hint="eastAsia" w:ascii="MS Gothic" w:hAnsi="MS Gothic" w:eastAsia="MS Gothic" w:cs="MS Gothic"/>
                <w:color w:val="auto"/>
                <w:kern w:val="0"/>
                <w:sz w:val="20"/>
                <w:szCs w:val="20"/>
                <w:highlight w:val="none"/>
              </w:rPr>
              <w:t>∅</w:t>
            </w:r>
            <w:r>
              <w:rPr>
                <w:rFonts w:hint="eastAsia" w:ascii="宋体" w:hAnsi="宋体" w:cs="宋体"/>
                <w:color w:val="auto"/>
                <w:kern w:val="0"/>
                <w:sz w:val="20"/>
                <w:szCs w:val="20"/>
                <w:highlight w:val="none"/>
              </w:rPr>
              <w:t>25、</w:t>
            </w:r>
            <w:r>
              <w:rPr>
                <w:rFonts w:hint="eastAsia" w:ascii="MS Gothic" w:hAnsi="MS Gothic" w:eastAsia="MS Gothic" w:cs="MS Gothic"/>
                <w:color w:val="auto"/>
                <w:kern w:val="0"/>
                <w:sz w:val="20"/>
                <w:szCs w:val="20"/>
                <w:highlight w:val="none"/>
              </w:rPr>
              <w:t>∅</w:t>
            </w:r>
            <w:r>
              <w:rPr>
                <w:rFonts w:hint="eastAsia" w:ascii="宋体" w:hAnsi="宋体" w:cs="宋体"/>
                <w:color w:val="auto"/>
                <w:kern w:val="0"/>
                <w:sz w:val="20"/>
                <w:szCs w:val="20"/>
                <w:highlight w:val="none"/>
              </w:rPr>
              <w:t>32</w:t>
            </w:r>
          </w:p>
        </w:tc>
        <w:tc>
          <w:tcPr>
            <w:tcW w:w="963"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4000</w:t>
            </w:r>
          </w:p>
        </w:tc>
        <w:tc>
          <w:tcPr>
            <w:tcW w:w="59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853"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JDG管</w:t>
            </w:r>
          </w:p>
        </w:tc>
        <w:tc>
          <w:tcPr>
            <w:tcW w:w="9161" w:type="dxa"/>
            <w:shd w:val="clear" w:color="auto" w:fill="auto"/>
            <w:vAlign w:val="center"/>
          </w:tcPr>
          <w:p>
            <w:pPr>
              <w:widowControl/>
              <w:jc w:val="left"/>
              <w:rPr>
                <w:rFonts w:ascii="宋体" w:hAnsi="宋体" w:cs="宋体"/>
                <w:color w:val="auto"/>
                <w:kern w:val="0"/>
                <w:sz w:val="20"/>
                <w:szCs w:val="20"/>
                <w:highlight w:val="none"/>
              </w:rPr>
            </w:pPr>
            <w:r>
              <w:rPr>
                <w:rFonts w:hint="eastAsia" w:ascii="MS Gothic" w:hAnsi="MS Gothic" w:eastAsia="MS Gothic" w:cs="MS Gothic"/>
                <w:color w:val="auto"/>
                <w:kern w:val="0"/>
                <w:sz w:val="20"/>
                <w:szCs w:val="20"/>
                <w:highlight w:val="none"/>
              </w:rPr>
              <w:t>∅</w:t>
            </w:r>
            <w:r>
              <w:rPr>
                <w:rFonts w:hint="eastAsia" w:ascii="宋体" w:hAnsi="宋体" w:cs="宋体"/>
                <w:color w:val="auto"/>
                <w:kern w:val="0"/>
                <w:sz w:val="20"/>
                <w:szCs w:val="20"/>
                <w:highlight w:val="none"/>
              </w:rPr>
              <w:t>20、</w:t>
            </w:r>
            <w:r>
              <w:rPr>
                <w:rFonts w:hint="eastAsia" w:ascii="MS Gothic" w:hAnsi="MS Gothic" w:eastAsia="MS Gothic" w:cs="MS Gothic"/>
                <w:color w:val="auto"/>
                <w:kern w:val="0"/>
                <w:sz w:val="20"/>
                <w:szCs w:val="20"/>
                <w:highlight w:val="none"/>
              </w:rPr>
              <w:t>∅</w:t>
            </w:r>
            <w:r>
              <w:rPr>
                <w:rFonts w:hint="eastAsia" w:ascii="宋体" w:hAnsi="宋体" w:cs="宋体"/>
                <w:color w:val="auto"/>
                <w:kern w:val="0"/>
                <w:sz w:val="20"/>
                <w:szCs w:val="20"/>
                <w:highlight w:val="none"/>
              </w:rPr>
              <w:t>25、</w:t>
            </w:r>
            <w:r>
              <w:rPr>
                <w:rFonts w:hint="eastAsia" w:ascii="MS Gothic" w:hAnsi="MS Gothic" w:eastAsia="MS Gothic" w:cs="MS Gothic"/>
                <w:color w:val="auto"/>
                <w:kern w:val="0"/>
                <w:sz w:val="20"/>
                <w:szCs w:val="20"/>
                <w:highlight w:val="none"/>
              </w:rPr>
              <w:t>∅</w:t>
            </w:r>
            <w:r>
              <w:rPr>
                <w:rFonts w:hint="eastAsia" w:ascii="宋体" w:hAnsi="宋体" w:cs="宋体"/>
                <w:color w:val="auto"/>
                <w:kern w:val="0"/>
                <w:sz w:val="20"/>
                <w:szCs w:val="20"/>
                <w:highlight w:val="none"/>
              </w:rPr>
              <w:t>32</w:t>
            </w:r>
          </w:p>
        </w:tc>
        <w:tc>
          <w:tcPr>
            <w:tcW w:w="96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w:t>
            </w:r>
          </w:p>
        </w:tc>
        <w:tc>
          <w:tcPr>
            <w:tcW w:w="59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1"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853"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辅材</w:t>
            </w:r>
          </w:p>
        </w:tc>
        <w:tc>
          <w:tcPr>
            <w:tcW w:w="9161" w:type="dxa"/>
            <w:shd w:val="clear" w:color="auto" w:fill="auto"/>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管路配件、接插件等</w:t>
            </w:r>
          </w:p>
        </w:tc>
        <w:tc>
          <w:tcPr>
            <w:tcW w:w="96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9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r>
    </w:tbl>
    <w:p>
      <w:pPr>
        <w:jc w:val="center"/>
        <w:rPr>
          <w:color w:val="auto"/>
          <w:sz w:val="20"/>
          <w:szCs w:val="20"/>
          <w:highlight w:val="none"/>
        </w:rPr>
      </w:pPr>
    </w:p>
    <w:p>
      <w:pPr>
        <w:pStyle w:val="5"/>
        <w:spacing w:line="240" w:lineRule="auto"/>
        <w:jc w:val="left"/>
        <w:rPr>
          <w:color w:val="auto"/>
          <w:sz w:val="20"/>
          <w:szCs w:val="20"/>
          <w:highlight w:val="none"/>
        </w:rPr>
      </w:pPr>
      <w:bookmarkStart w:id="21" w:name="_Toc90043577"/>
      <w:r>
        <w:rPr>
          <w:color w:val="auto"/>
          <w:sz w:val="20"/>
          <w:szCs w:val="20"/>
          <w:highlight w:val="none"/>
        </w:rPr>
        <w:t>3</w:t>
      </w:r>
      <w:r>
        <w:rPr>
          <w:rFonts w:hint="eastAsia"/>
          <w:color w:val="auto"/>
          <w:sz w:val="20"/>
          <w:szCs w:val="20"/>
          <w:highlight w:val="none"/>
        </w:rPr>
        <w:t>、计算机网络系统</w:t>
      </w:r>
      <w:bookmarkEnd w:id="21"/>
    </w:p>
    <w:tbl>
      <w:tblPr>
        <w:tblStyle w:val="27"/>
        <w:tblW w:w="13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868"/>
        <w:gridCol w:w="9684"/>
        <w:gridCol w:w="616"/>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614"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868"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9684"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产品描述</w:t>
            </w:r>
          </w:p>
        </w:tc>
        <w:tc>
          <w:tcPr>
            <w:tcW w:w="616"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16"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398" w:type="dxa"/>
            <w:gridSpan w:val="5"/>
            <w:vAlign w:val="center"/>
          </w:tcPr>
          <w:p>
            <w:pPr>
              <w:widowControl/>
              <w:jc w:val="left"/>
              <w:rPr>
                <w:rStyle w:val="34"/>
                <w:rFonts w:ascii="宋体" w:hAnsi="宋体" w:cs="宋体"/>
                <w:color w:val="auto"/>
                <w:sz w:val="20"/>
                <w:szCs w:val="20"/>
                <w:highlight w:val="none"/>
              </w:rPr>
            </w:pPr>
            <w:r>
              <w:rPr>
                <w:rFonts w:hint="eastAsia" w:ascii="宋体" w:hAnsi="宋体" w:cs="宋体"/>
                <w:b/>
                <w:bCs/>
                <w:color w:val="auto"/>
                <w:kern w:val="0"/>
                <w:sz w:val="20"/>
                <w:szCs w:val="20"/>
                <w:highlight w:val="none"/>
              </w:rPr>
              <w:t>（一）、公安信息网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4" w:hRule="atLeast"/>
          <w:jc w:val="center"/>
        </w:trPr>
        <w:tc>
          <w:tcPr>
            <w:tcW w:w="614" w:type="dxa"/>
            <w:vAlign w:val="center"/>
          </w:tcPr>
          <w:p>
            <w:pPr>
              <w:widowControl/>
              <w:jc w:val="center"/>
              <w:rPr>
                <w:rStyle w:val="34"/>
                <w:rFonts w:ascii="宋体" w:hAnsi="宋体" w:cs="宋体"/>
                <w:color w:val="auto"/>
                <w:sz w:val="20"/>
                <w:szCs w:val="20"/>
                <w:highlight w:val="none"/>
              </w:rPr>
            </w:pPr>
            <w:r>
              <w:rPr>
                <w:rStyle w:val="34"/>
                <w:rFonts w:hint="eastAsia" w:ascii="宋体" w:hAnsi="宋体" w:cs="宋体"/>
                <w:color w:val="auto"/>
                <w:sz w:val="20"/>
                <w:szCs w:val="20"/>
                <w:highlight w:val="none"/>
              </w:rPr>
              <w:t>1</w:t>
            </w:r>
          </w:p>
        </w:tc>
        <w:tc>
          <w:tcPr>
            <w:tcW w:w="1868" w:type="dxa"/>
            <w:vAlign w:val="center"/>
          </w:tcPr>
          <w:p>
            <w:pPr>
              <w:widowControl/>
              <w:jc w:val="center"/>
              <w:rPr>
                <w:rStyle w:val="34"/>
                <w:rFonts w:ascii="宋体" w:hAnsi="宋体" w:cs="宋体"/>
                <w:color w:val="auto"/>
                <w:sz w:val="20"/>
                <w:szCs w:val="20"/>
                <w:highlight w:val="none"/>
              </w:rPr>
            </w:pPr>
            <w:r>
              <w:rPr>
                <w:rStyle w:val="34"/>
                <w:rFonts w:hint="eastAsia" w:ascii="宋体" w:hAnsi="宋体" w:cs="宋体"/>
                <w:color w:val="auto"/>
                <w:sz w:val="20"/>
                <w:szCs w:val="20"/>
                <w:highlight w:val="none"/>
              </w:rPr>
              <w:t>核心交换机</w:t>
            </w:r>
          </w:p>
        </w:tc>
        <w:tc>
          <w:tcPr>
            <w:tcW w:w="968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1、业务板卡与交换网板采用完全正交设计，跨线卡业务流量通过正交连接器直接上交换网板，背板走线降低为零，极大规避信号衰减，具备平滑演进能力。提供官网证明和实物正反面图片。</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2、交换容量≥780Tbps、包转发率≥115000Mpps（以官网低指标为准，官网参数若标注为交换容量“A/B”，以A/B中更小值为准）；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3、支持业务槽位数量≥10；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4、采用5交换平面设计，并支持网板4+1冗余，最大程度的提高设备可靠性整机支持，整体支持提供≥5块交换网板，提供官网清晰截图证明；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5、单槽位可提供≥24端口万兆以太网电接口模块，单槽位40G端口密度≥32，单槽位100G端口密度≥32，提供产品官网选配信息截图证明；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 INQA 功能，通过直接对业务报文进行标记的方法，实现对网络级和设备级的丢包统计，提供权威机构颁发的第三方测试报告；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7、支持IPv4/IPv6 BFD功能，支持BFD与OSPFv2联动、BFD与VRRP联动、BFD与OSPFv3联动、BFD与BGP4+联动，支持BFD 3ms最小探测间隔测试，平均收敛性能≤10ms，提供权威机构颁发的第三方测试报告；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8、支持多虚一技术(N:1)，支持4框虚拟化技术：可将4台物理设备虚拟化，实现流量负载分担功能；支持一虚多技术MDC（1:N），提供工信部权威第三方测试报告；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9、★支持扩展硬件防火墙业务板、IPS入侵防御系统业务板、负载均衡业务板、应用控制网关业务板、SSL VPN业务板，提供生产厂商官网选配信息截图；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10、支持多业务融合板卡，与设备紧耦合无需外部连线，支持部署Windows Server及SDN控制器，实现方案与设备一体化部署，提供官网清晰截图证明；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11、支持融合终端安全管理板卡，实现对摄像头等物联终端统一识别、认证和管理；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支持PC终端、哑终端、网络设备等连接元素的准入控制和权限划分，确保网络的可信可控；支持设备识别、归类、类型定义，可以对全网资产进行梳理，识别异常终端链接，确保网络的安全性，提供工信部权威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13、配置主控引擎模块≥2，满足1+1冗余；单台配置交换网板≥2，单台配置≥2块2500W冗余交流电源，千兆电口≥48、万兆光口≥48，提供3m万兆堆叠线缆≥1。</w:t>
            </w:r>
          </w:p>
        </w:tc>
        <w:tc>
          <w:tcPr>
            <w:tcW w:w="616" w:type="dxa"/>
            <w:vAlign w:val="center"/>
          </w:tcPr>
          <w:p>
            <w:pPr>
              <w:widowControl/>
              <w:jc w:val="center"/>
              <w:rPr>
                <w:rStyle w:val="34"/>
                <w:rFonts w:ascii="宋体" w:hAnsi="宋体" w:cs="宋体"/>
                <w:color w:val="auto"/>
                <w:sz w:val="20"/>
                <w:szCs w:val="20"/>
                <w:highlight w:val="none"/>
              </w:rPr>
            </w:pPr>
            <w:r>
              <w:rPr>
                <w:rStyle w:val="34"/>
                <w:rFonts w:hint="eastAsia" w:ascii="宋体" w:hAnsi="宋体" w:cs="宋体"/>
                <w:color w:val="auto"/>
                <w:sz w:val="20"/>
                <w:szCs w:val="20"/>
                <w:highlight w:val="none"/>
              </w:rPr>
              <w:t>2</w:t>
            </w:r>
          </w:p>
        </w:tc>
        <w:tc>
          <w:tcPr>
            <w:tcW w:w="616" w:type="dxa"/>
            <w:vAlign w:val="center"/>
          </w:tcPr>
          <w:p>
            <w:pPr>
              <w:widowControl/>
              <w:jc w:val="center"/>
              <w:rPr>
                <w:rStyle w:val="34"/>
                <w:rFonts w:ascii="宋体" w:hAnsi="宋体" w:cs="宋体"/>
                <w:color w:val="auto"/>
                <w:sz w:val="20"/>
                <w:szCs w:val="20"/>
                <w:highlight w:val="none"/>
              </w:rPr>
            </w:pPr>
            <w:r>
              <w:rPr>
                <w:rStyle w:val="34"/>
                <w:rFonts w:hint="eastAsia" w:ascii="宋体" w:hAnsi="宋体" w:cs="宋体"/>
                <w:color w:val="auto"/>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614" w:type="dxa"/>
            <w:vAlign w:val="center"/>
          </w:tcPr>
          <w:p>
            <w:pPr>
              <w:widowControl/>
              <w:jc w:val="center"/>
              <w:rPr>
                <w:rStyle w:val="34"/>
                <w:rFonts w:ascii="宋体" w:hAnsi="宋体" w:cs="宋体"/>
                <w:color w:val="auto"/>
                <w:sz w:val="20"/>
                <w:szCs w:val="20"/>
                <w:highlight w:val="none"/>
              </w:rPr>
            </w:pPr>
            <w:r>
              <w:rPr>
                <w:rStyle w:val="34"/>
                <w:rFonts w:hint="eastAsia" w:ascii="宋体" w:hAnsi="宋体" w:cs="宋体"/>
                <w:color w:val="auto"/>
                <w:sz w:val="20"/>
                <w:szCs w:val="20"/>
                <w:highlight w:val="none"/>
              </w:rPr>
              <w:t>2</w:t>
            </w:r>
          </w:p>
        </w:tc>
        <w:tc>
          <w:tcPr>
            <w:tcW w:w="186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24口千兆接入交换机</w:t>
            </w:r>
          </w:p>
        </w:tc>
        <w:tc>
          <w:tcPr>
            <w:tcW w:w="968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1、交换容量≥335Gbps, 包转发率≥50Mpps（以官网低指标为准，官网参数若标注为交换容量“A/B”，以A/B中更小值为准）；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2、千兆电口≥24个,千兆光口≥4个；</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3、支持IPv4静态路由、RIP V1/V2、OSPF；支持IPv6静态路由、RIPng、OSPF v3；</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4、可配合上端管理设备，实现整网拓扑可视，实现在网络设备上对整网交换机的统一管理，无需再额外配置网管平台，提供官方清晰截图证明；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5、支持IRF本地负载分担，流量可以均匀负载分担到各个堆叠链路，要求提供权威机构颁发的第三方测试报告；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6、支持Smartlink，收敛时间≤50m s，要求提供权威机构颁发的第三方测试报告；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7、整机提供ACl条目数不小于1K条，支持出方向ACL，以便于灵活实现数据包过滤；要求提供权威机构颁发的第三方测试报告；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8、要求与核心交换机同一品牌，产品厂商要求在温州地区设有产品备件库。</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86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千兆多模光模块</w:t>
            </w:r>
          </w:p>
        </w:tc>
        <w:tc>
          <w:tcPr>
            <w:tcW w:w="968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光模块-SFP-GE-单模模块-(1310nm,10km,LC)</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398" w:type="dxa"/>
            <w:gridSpan w:val="5"/>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（二）、外网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61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6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核心交换机</w:t>
            </w:r>
          </w:p>
        </w:tc>
        <w:tc>
          <w:tcPr>
            <w:tcW w:w="968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1、交换容量≥4Tbps，转发性能≥2000Mpps，以官网所列最低参数为准。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2、高度1U，固定接口交换机，支持双电源，三风扇框，工作环境温度-5ºC～45ºC，提供官网链接证明；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3、实配10GE 光口端口数量≥24个，100GE 光口端口数量≥6个，提供官网清晰截图证明；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4、支持融合AC功能，可管理AP数≥1K；</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5、支持VRRP；</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6、支持跨设备链路聚合技术；</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7、支持STP/RSTP/MSTP；</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8、支持9台堆叠虚拟化技术；</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9、支持无损网络RoCE，提供官网清晰截图证明；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10、端口转发时延小于2微秒；</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11、支持二层、三层Vxlan网关和BGP EVPN特性；</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12、支持服务链Service chain功能，提供官网清晰截图证明；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13、支持黑洞MAC、动态ARP检测、ARP防攻击；</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14、支持IP、MAC、端口和VLAN的组合绑定；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15、支持端口隔离；</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16、支持AAA、Radius和TACACS认证；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17、支持DHCP Snooping；</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18、支持sFlow提供官网截图证明；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19、支持端口镜像ERSPAN；</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20、支持SNMP、Telnet、RMON、SSH；</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21、支持配置回滚，提供官网截图；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22、支持零配置技术，配置自动下发；</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23、提供工信部入网证；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24、单台配置冗余电源，三风扇框。</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61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868"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放装AP</w:t>
            </w:r>
          </w:p>
        </w:tc>
        <w:tc>
          <w:tcPr>
            <w:tcW w:w="968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1、采用整机双频4流设计，可同时工作在802.11a/b/g/n/ac/ac wave2/ax模式，提供官网截图证明；整机协商速率≥1.775Gbps，其中5G射频速率≥1.2G，2.4G速率≥0.575G。提供官网截图；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2、要求采用内置智能天线设计≥1个10/100/1000Mbps(RJ45)内置低功耗蓝牙5.0和 RFID 功能模块，可满足基于蓝牙协议的物联网业务，例如室内蓝牙定位、客流分析、蓝牙签到等，提供官网链接及清晰截图证明；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3、5GHz 射频 10 个终端，2.4GHz 射频 5 个终端，整机最大吞吐≥1Gbps，要求提供权威实验室出具的第三方测试报告多媒体点播性能（测试仪模拟）；</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4、每终端⾄少2Mbps 吞吐量，整机可支持≥350终端同时流畅点播，要求提供权威实验室出具的第三方测试报告整机接入用户规格1024，要求提供官网链接以及官网截图证明；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5、为避免设备携带铅(Pb)，镉(Cd)，汞(Hg)等重金属有害物质，投标产品提供Rosh证书；</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6、要求投标产品为成熟产品，投标设备必须持有国家工信部型号核准证；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7、为保证终端互联互通有效性，投标投标厂家需提供投标产品WiFi联盟证书。</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8、要求与无线控制器同一品牌，产品厂商要求在温州地区设有产品备件库。</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2" w:hRule="atLeast"/>
          <w:jc w:val="center"/>
        </w:trPr>
        <w:tc>
          <w:tcPr>
            <w:tcW w:w="61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868"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高密AP</w:t>
            </w:r>
          </w:p>
        </w:tc>
        <w:tc>
          <w:tcPr>
            <w:tcW w:w="968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1、采用三射频设计，可工作在802.11a/b/g/n/ac/ac wave2/ax模式，提供官网截图证明；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2、≥2个接口，其中1个100/1000M/2.5G电口，1个10M/100M/1000M电口，提供官网截图证明；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3、2个5GHz射频需支持WIFI 6协议，2.4GHz单射频最大协商速率≥0.575Gbps；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4、，整机接入速率≥3.2Gbps，提供官网清晰截图证明；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5、所投产品支持3个射频接入，其中两个5GHz射频，一个可以灵活选择2.4GHz或5GHz，最大支持三个5GHz射频工作,提供官网截图；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6、Wi-Fi 6射频可切换，其中一个射频支持2.4G射频和5G射频切换；</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7、为保证高密用户接入，整机5GHz射频空间流≥6流，2.4GHz射频空间流≥4流；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8、整机接入用户规格1280，提供官网清晰截图证明；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9、⽀持内置物联⽹BLE（蓝⽛）和 RFID 功能模块，要求提供权威实验室出具的第三方测试报告；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10、至少支持10个外置物联网模块链式扩展，要求提供工信部或下属实验室出具的第三方测试报告；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11、多媒体点播性能（测试仪模拟），每终端⾄少1Mbps 吞吐量，整机可支持≥610终端同时流畅点播，要求提供权威实验室出具的第三方测试报告；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12、整机接入120个用户，打开网页时，网页加载流畅不卡顿。要求提供工信部或下属实验室出具的第三方测试报告；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13、要求投标产品为成熟产品，投标设备必须持有国家工信部型号核准证；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14、为保证终端互联互通有效性，投标投标厂家需提供投标产品WiFi联盟证书。</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15、要求与无线控制器同一品牌，产品厂商要求在温州地区设有产品备件库。</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61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868"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无线控制器</w:t>
            </w:r>
          </w:p>
        </w:tc>
        <w:tc>
          <w:tcPr>
            <w:tcW w:w="968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1、支持常规AP最大数量≥144，本次实配管理无线AP授权License≥16；</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2、集中转发性能≥4Gbps；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3、支持8*GE + 2*SFP + 2*2.5GE端口，提供官网清晰截图证明；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4、为了满足设备的稳定性，要求所投产品支持双电源冗余供电；</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5、支持标准IETF 5415 CAPWAP协议，AP和AC之间支持L2/L3层网络拓扑，为提高网络安全，AP与控制器之间能够支持DTLS对CAPWAP隧道进行加密处理；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6、支持MAC 地址认证、802.1x认证（EAP-PAP、EAP-MD5、EAP-PEAP、EAP-TLS、EAP-TTLS）、Portal认证、MAC+Portal混合认证、WAPI认证；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7、支持WPA标准、WEP(WEP64/WEP128)、TKIP、CCMP；</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8、支持内置portal、dot1x服务器；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9、支持Private PSK方式的动态密码功能，可以为每终端分配独立秘钥；</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10、支持防PSK暴力破解，当用户密码错误超过预设的阀值之后，能够将该用户加入动态黑名单，一段时间内禁止其接入网络，要求提供工信部或下属实验室出具的第三方测试报告；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11、支持AC内漫游，支持跨AC间漫游，支持跨VLAN的三层漫游；</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12、支持基于802.11k/802.11v/802.11r协议的智能漫游，要求提供工信部或下属实验室出具的第三方测试报告；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13、支持IRF1+1热备，对外呈现一个IP地址，简化网络拓扑；对外统一管理界面，简化运维；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14、支持雷达检测SSID逃生功能：AC、AP支持SSID自主逃生，当AP射频检测到雷达信号时，会将本射频的SSID迁移到其他射频，保障关键业务正常通信。要求提供工信部或下属实验室出具的第三方测试报告；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15、支持MAC认证逃生功能：AC、AP支持MAC认证逃生功能，为提高无线网络认证可靠性，无线控制器支持MAC认证逃生功能。要求提供工信部或下属实验室出具的第三方测试报告。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16、要求与核心交换机同一品牌，产品厂商要求在温州地区设有产品备件库。</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61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86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24口POE接入交换机</w:t>
            </w:r>
          </w:p>
        </w:tc>
        <w:tc>
          <w:tcPr>
            <w:tcW w:w="9684" w:type="dxa"/>
            <w:vAlign w:val="center"/>
          </w:tcPr>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1、交换容量≥335Gbps, 包转发率≥50Mpps（以官网低指标为准，官网参数若标注为交换容量“A/B”，以A/B中更小值为准）；</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2、千兆电口≥24个,千兆光口≥4个（combo口），提供官网清晰截图证明；</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3、支持POE功能，整机提供最大POE供电功率≥370W；</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4、支持IPv4静态路由、RIP V1/V2、OSPF；支持IPv6静态路由、RIPng、OSPF v3；</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5、可配合上端管理设备，实现整网拓扑可视，实现在网络设备上对整网交换机的统一管理，无需再额外配置网管平台，提供官方清晰截图证明；</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6、支持IRF本地负载分担，流量可以均匀负载分担到各个堆叠链路，要求提供权威机构颁发的第三方测试报告；</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7、支持Smartlink，收敛时间≤50m s，要求提供权威机构颁发的第三方测试报告；</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8、整机提供ACl条目数不小于1K条，支持出方向ACL，以便于灵活实现数据包过滤；要求提供权威机构颁发的第三方测试报告。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9、要求与核心交换机同一品牌，产品厂商要求在温州地区设有产品备件库。</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61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86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24口千兆接入交换机</w:t>
            </w:r>
          </w:p>
        </w:tc>
        <w:tc>
          <w:tcPr>
            <w:tcW w:w="9684" w:type="dxa"/>
            <w:vAlign w:val="center"/>
          </w:tcPr>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1、交换容量≥335Gbps, 包转发率≥50Mpps（以官网低指标为准，官网参数若标注为交换容量“A/B”，以A/B中更小值为准）；</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2、千兆电口≥24个,千兆光口≥4个；</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3、支持IPv4静态路由、RIP V1/V2、OSPF；支持IPv6静态路由、RIPng、OSPF v3；</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4、可配合上端管理设备，实现整网拓扑可视，实现在网络设备上对整网交换机的统一管理，无需再额外配置网管平台，提供官方清晰截图证明；</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5、支持IRF本地负载分担，流量可以均匀负载分担到各个堆叠链路，要求提供权威机构颁发的第三方测试报告；</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6、支持Smartlink，收敛时间≤50m s，要求提供权威机构颁发的第三方测试报告；</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7、整机提供ACl条目数不小于1K条，支持出方向ACL，以便于灵活实现数据包过滤；要求提供权威机构颁发的第三方测试报告。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8、要求与核心交换机同一品牌，产品厂商要求在温州地区设有产品备件库。</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86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千兆多模光模块</w:t>
            </w:r>
          </w:p>
        </w:tc>
        <w:tc>
          <w:tcPr>
            <w:tcW w:w="968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光模块-SFP-GE-单模模块-(1310nm,10km,LC)</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61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86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防火墙</w:t>
            </w:r>
          </w:p>
        </w:tc>
        <w:tc>
          <w:tcPr>
            <w:tcW w:w="9684" w:type="dxa"/>
            <w:vAlign w:val="center"/>
          </w:tcPr>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1、硬件架构:采用非X86多核架构，配置可插拔冗余电源模块，可插拔冗余风扇模块；</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2、接口要求:配置16千兆电口+4端口千兆Combo口+4千兆光口+6万兆光口；</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3、存储要求:≥1个扩展插槽，配置480G SSD硬盘；</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4、性能要求:防火墙吞吐量≥20Gbps，最大并发连接数≥1000万，每秒新建连接数≥15万；内存：8G；</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5、升级服务：配置3年AV 防病毒安全，3年URL特征库升级服务授权，3年IPS 特征库升级服务，3年应用识别特征库升级服务，≥15个SSL VPN并发授权；</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6、部署模式:实现路由模式、透明（网桥）模式、混合模式；</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7、VPN:实现高性能IPSec、L2TP、GRE VPN、SSL VPN等功能；</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8、支持IPsec VPN智能选路，根据应用和隧道质量调度流量。（提供功能截图）；</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9、安全策略：支持一体化安全策略，能够基于时间、用户/用户组、应用层协议、五元组、内容安全统一界面进行安全策略配置；支持策略冗余分析，冲突策略分析以及命中率统计；</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10、应用识别:支持至少5000条以上的应用识别，且提示风险类型及风险级别，便于用户根据实际情况进行上网行为管理（提供截图）；</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11、入侵防御:支持基于对包括但不限于操作系统、网络设备、办公软件、网页服务等保护对象的入侵防御策略，支持基于对漏洞、恶意文件、信息收集类攻击等的攻击分类的防护策略，支持基于服务器、客户端的防护策略。且缺省动作支持黑名单（提供截图）；</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12、支持超过7000种特征的攻击检测和防御（提供截图）；</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13、防病毒:支持基于文件协议、邮件协议（SMTP/POP3/imap)、共享协议（NFS/SMB）的病毒功能（提供截图）。可基于病毒特征进行检测、动作响应、提供报表；</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14、支持云端防病毒，为保证检测时效性，特征缓存数至少保证20万条且缓存保留时间不应少于700分钟（提供截图）；</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15、数据安全:支持数据防泄露，对传输的文件和内容进行识别过滤，对内容与身份证、信用卡、银行卡、社会安全卡号等类型进行匹配。（提供截图）；</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16、共享上网管理:支持多用户共享上网行为管理；</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17、加密流量检测:支持HTTPS加密流量的安全检测，支持TCP代理和SSL代理，且代理策略中可同时配置多类过滤条件，具体包括：源安全域、目的安全域、源地址、目的地址、用户和服务。一类过滤条件可以配置多个匹配项（提供截图）；</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18、负载均衡:支持DNS透明代理功能，可基于负载均衡算法代理内网用户进行DNS请求转发，避免单运营商DNS解析出现单一链路流量过载，平衡多条运营商线路的带宽利用率。（需提供设备功能界面截图证明）；</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19、支持全局负载功能，支持就近性探测末班的配置（提供截图）；</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20、支持服务器负载均衡支持基于HTTP RADIUS MYSQL等应用类型的匹配，支持基于IP流量特征、ISP 、用户、入接口、tcp载荷等类型的匹配规则（提供截图）；</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21、DDoS防护:支持流量自学习功能，可设置自学习时间，并自动生成DDoS防范策略。（提供功能截图）；</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22、★虚拟化:支持2台设备堆叠成一台设备使用，实现统一管理，统一配置，所投设备支持高可靠性（包含主备</w:t>
            </w:r>
            <w:r>
              <w:rPr>
                <w:rFonts w:hint="eastAsia" w:ascii="宋体" w:hAnsi="宋体" w:cs="宋体"/>
                <w:color w:val="auto"/>
                <w:kern w:val="0"/>
                <w:sz w:val="20"/>
                <w:szCs w:val="20"/>
                <w:highlight w:val="none"/>
              </w:rPr>
              <w:t>和</w:t>
            </w:r>
            <w:r>
              <w:rPr>
                <w:rFonts w:ascii="宋体" w:hAnsi="宋体" w:cs="宋体"/>
                <w:color w:val="auto"/>
                <w:kern w:val="0"/>
                <w:sz w:val="20"/>
                <w:szCs w:val="20"/>
                <w:highlight w:val="none"/>
              </w:rPr>
              <w:t>主主模式）部署（提供截图）；</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23、设备管理:支持SNMPv1、SNMPv2、SNMPv3、RMON等网络管理协议，并且支持通过网管软件远程进行设备软件升级、配置等；</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24、厂商资质:设备制造厂商符合信息技术服务管理体系符合ISO/IEC 20000-1：2011标准，提供相关证书证明；符合信息安全管理体系符合ISO/IEC 27001：2013标准，提供相关证书证明；</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25、产品资质:所投产品须具备公安部监制的计算机信息系统安全专用产品销售许可证，提供相关证书证明；具备中国网络安全审查技术与认证中心颁发的EAL4增强级认证证书，提供相关证书证明；具备信息产业信息安全测评中心出具的防火墙EAL4+级型式试验报告，提供相关证书证明</w:t>
            </w:r>
            <w:r>
              <w:rPr>
                <w:rFonts w:hint="eastAsia" w:ascii="宋体" w:hAnsi="宋体" w:cs="宋体"/>
                <w:color w:val="auto"/>
                <w:kern w:val="0"/>
                <w:sz w:val="20"/>
                <w:szCs w:val="20"/>
                <w:highlight w:val="none"/>
              </w:rPr>
              <w:t>。</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398" w:type="dxa"/>
            <w:gridSpan w:val="5"/>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（三）、视频专网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3" w:hRule="atLeast"/>
          <w:jc w:val="center"/>
        </w:trPr>
        <w:tc>
          <w:tcPr>
            <w:tcW w:w="61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6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核心交换机</w:t>
            </w:r>
          </w:p>
        </w:tc>
        <w:tc>
          <w:tcPr>
            <w:tcW w:w="968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1、交换容量≥4Tbps，转发性能≥2000Mpps，以官网所列最低参数为准。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2、高度1U，固定接口交换机，支持双电源，三风扇框，工作环境温度-5ºC～45ºC，提供官网链接证明；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3、实配10GE 光口端口数量≥24个，100GE 光口端口数量≥6个，提供官网清晰截图证明；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4、支持融合AC功能，可管理AP数≥1K；</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5、支持VRRP；</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6、支持跨设备链路聚合技术；</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7、支持STP/RSTP/MSTP；</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8、支持9台堆叠虚拟化技术；</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9、支持无损网络RoCE，提供官网清晰截图证明；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10、端口转发时延小于2微秒；</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11、支持二层、三层Vxlan网关和BGP EVPN特性；</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12、支持服务链Service chain功能，提供官网清晰截图证明；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13、支持黑洞MAC、动态ARP检测、ARP防攻击；</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14、支持IP、MAC、端口和VLAN的组合绑定；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15、支持端口隔离；</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16、支持AAA、Radius和TACACS认证；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17、支持DHCP Snooping；</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18、支持sFlow提供官网截图证明；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19、支持端口镜像ERSPAN；</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20、支持SNMP、Telnet、RMON、SSH；</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21、支持配置回滚，提供官网截图；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22、支持零配置技术，配置自动下发；</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23、提供工信部入网证；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24、单台配置冗余电源，三风扇框。</w:t>
            </w:r>
          </w:p>
        </w:tc>
        <w:tc>
          <w:tcPr>
            <w:tcW w:w="616" w:type="dxa"/>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61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86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24口千兆接入交换机</w:t>
            </w:r>
          </w:p>
        </w:tc>
        <w:tc>
          <w:tcPr>
            <w:tcW w:w="9684" w:type="dxa"/>
            <w:vAlign w:val="center"/>
          </w:tcPr>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1、交换容量≥335Gbps, 包转发率≥50Mpps（以官网低指标为准，官网参数若标注为交换容量“A/B”，以A/B中更小值为准）；</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2、千兆电口≥24个,千兆光口≥4个；</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3、支持IPv4静态路由、RIP V1/V2、OSPF；支持IPv6静态路由、RIPng、OSPF v3；</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4、可配合上端管理设备，实现整网拓扑可视，实现在网络设备上对整网交换机的统一管理，无需再额外配置网管平台，提供官方清晰截图证明；</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5、支持IRF本地负载分担，流量可以均匀负载分担到各个堆叠链路，要求提供权威机构颁发的第三方测试报告；</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6、支持Smartlink，收敛时间≤50m s，要求提供权威机构颁发的第三方测试报告；</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7、整机提供ACl条目数不小于1K条，支持出方向ACL，以便于灵活实现数据包过滤；要求提供权威机构颁发的第三方测试报告。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8、要求与核心交换机同一品牌，产品厂商要求在温州地区设有产品备件库。</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86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千兆多模光模块</w:t>
            </w:r>
          </w:p>
        </w:tc>
        <w:tc>
          <w:tcPr>
            <w:tcW w:w="968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光模块-SFP-GE-单模模块-(1310nm,10km,LC)</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398" w:type="dxa"/>
            <w:gridSpan w:val="5"/>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（四）、设备网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61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6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核心交换机</w:t>
            </w:r>
          </w:p>
        </w:tc>
        <w:tc>
          <w:tcPr>
            <w:tcW w:w="968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1、交换容量≥4Tbps，转发性能≥2000Mpps，以官网所列最低参数为准。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2、高度1U，固定接口交换机，支持双电源，三风扇框，工作环境温度-5ºC～45ºC，提供官网链接证明；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3、实配10GE 光口端口数量≥24个，100GE 光口端口数量≥6个，提供官网清晰截图证明；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4、支持融合AC功能，可管理AP数≥1K；</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5、支持VRRP；</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6、支持跨设备链路聚合技术；</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7、支持STP/RSTP/MSTP；</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8、支持9台堆叠虚拟化技术；</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9、支持无损网络RoCE，提供官网清晰截图证明；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10、端口转发时延小于2微秒；</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11、支持二层、三层Vxlan网关和BGP EVPN特性；</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12、支持服务链Service chain功能，提供官网清晰截图证明；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13、支持黑洞MAC、动态ARP检测、ARP防攻击；</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14、支持IP、MAC、端口和VLAN的组合绑定；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15、支持端口隔离；</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16、支持AAA、Radius和TACACS认证；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17、支持DHCP Snooping；</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18、支持sFlow提供官网截图证明；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19、支持端口镜像ERSPAN；</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20、支持SNMP、Telnet、RMON、SSH；</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21、支持配置回滚，提供官网截图；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22、支持零配置技术，配置自动下发；</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23、提供工信部入网证；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24、单台配置冗余电源，三风扇框。</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jc w:val="center"/>
        </w:trPr>
        <w:tc>
          <w:tcPr>
            <w:tcW w:w="61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86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24口千兆接入交换机</w:t>
            </w:r>
          </w:p>
        </w:tc>
        <w:tc>
          <w:tcPr>
            <w:tcW w:w="9684" w:type="dxa"/>
            <w:vAlign w:val="center"/>
          </w:tcPr>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1、交换容量≥335Gbps, 包转发率≥50Mpps（以官网低指标为准，官网参数若标注为交换容量“A/B”，以A/B中更小值为准）；</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2、千兆电口≥24个,千兆光口≥4个；</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3、支持IPv4静态路由、RIP V1/V2、OSPF；支持IPv6静态路由、RIPng、OSPF v3；</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4、可配合上端管理设备，实现整网拓扑可视，实现在网络设备上对整网交换机的统一管理，无需再额外配置网管平台，提供官方清晰截图证明；</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5、支持IRF本地负载分担，流量可以均匀负载分担到各个堆叠链路，要求提供权威机构颁发的第三方测试报告；</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6、支持Smartlink，收敛时间≤50m s，要求提供权威机构颁发的第三方测试报告；</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7、整机提供ACl条目数不小于1K条，支持出方向ACL，以便于灵活实现数据包过滤；要求提供权威机构颁发的第三方测试报告。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8、要求与核心交换机同一品牌，产品厂商要求在温州地区设有产品备件库。</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jc w:val="center"/>
        </w:trPr>
        <w:tc>
          <w:tcPr>
            <w:tcW w:w="61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86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24口POE接入交换机</w:t>
            </w:r>
          </w:p>
        </w:tc>
        <w:tc>
          <w:tcPr>
            <w:tcW w:w="9684" w:type="dxa"/>
            <w:vAlign w:val="center"/>
          </w:tcPr>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1、交换容量≥335Gbps, 包转发率≥50Mpps（以官网低指标为准，官网参数若标注为交换容量“A/B”，以A/B中更小值为准）；</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2、千兆电口≥24个,千兆光口≥4个（combo口），提供官网清晰截图证明；</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3、支持POE功能，整机提供最大POE供电功率≥370W；</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4、支持IPv4静态路由、RIP V1/V2、OSPF；支持IPv6静态路由、RIPng、OSPF v3；</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5、可配合上端管理设备，实现整网拓扑可视，实现在网络设备上对整网交换机的统一管理，无需再额外配置网管平台，提供官方清晰截图证明；</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6、支持IRF本地负载分担，流量可以均匀负载分担到各个堆叠链路，要求提供权威机构颁发的第三方测试报告；</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7、支持Smartlink，收敛时间≤50m s，要求提供权威机构颁发的第三方测试报告；</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8、整机提供ACl条目数不小于1K条，支持出方向ACL，以便于灵活实现数据包过滤；要求提供权威机构颁发的第三方测试报告。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9、要求与核心交换机同一品牌，产品厂商要求在温州地区设有产品备件库。</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1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86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千兆多模光模块</w:t>
            </w:r>
          </w:p>
        </w:tc>
        <w:tc>
          <w:tcPr>
            <w:tcW w:w="968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光模块-SFP-GE-单模模块-(1310nm,10km,LC)</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616"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r>
    </w:tbl>
    <w:p>
      <w:pPr>
        <w:jc w:val="center"/>
        <w:rPr>
          <w:rFonts w:ascii="宋体" w:hAnsi="宋体" w:cs="宋体"/>
          <w:color w:val="auto"/>
          <w:sz w:val="20"/>
          <w:szCs w:val="20"/>
          <w:highlight w:val="none"/>
        </w:rPr>
      </w:pPr>
    </w:p>
    <w:p>
      <w:pPr>
        <w:pStyle w:val="5"/>
        <w:spacing w:line="240" w:lineRule="auto"/>
        <w:jc w:val="left"/>
        <w:rPr>
          <w:color w:val="auto"/>
          <w:sz w:val="20"/>
          <w:szCs w:val="20"/>
          <w:highlight w:val="none"/>
        </w:rPr>
      </w:pPr>
      <w:bookmarkStart w:id="22" w:name="_Toc90043578"/>
      <w:r>
        <w:rPr>
          <w:color w:val="auto"/>
          <w:sz w:val="20"/>
          <w:szCs w:val="20"/>
          <w:highlight w:val="none"/>
        </w:rPr>
        <w:t>4</w:t>
      </w:r>
      <w:r>
        <w:rPr>
          <w:rFonts w:hint="eastAsia"/>
          <w:color w:val="auto"/>
          <w:sz w:val="20"/>
          <w:szCs w:val="20"/>
          <w:highlight w:val="none"/>
        </w:rPr>
        <w:t>、视频监控系统</w:t>
      </w:r>
      <w:bookmarkEnd w:id="22"/>
    </w:p>
    <w:tbl>
      <w:tblPr>
        <w:tblStyle w:val="27"/>
        <w:tblW w:w="13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259"/>
        <w:gridCol w:w="8899"/>
        <w:gridCol w:w="827"/>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830"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2259"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8899"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产品描述</w:t>
            </w:r>
          </w:p>
        </w:tc>
        <w:tc>
          <w:tcPr>
            <w:tcW w:w="827"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564"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3379" w:type="dxa"/>
            <w:gridSpan w:val="5"/>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（一）、前端设备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400万筒型网络摄像机</w:t>
            </w:r>
          </w:p>
        </w:tc>
        <w:tc>
          <w:tcPr>
            <w:tcW w:w="8899"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1、400万1/3”CMOS ICR红外阵列筒型网络摄像机；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2、最低照度彩色：0.001 lx，黑白:0.0001 lx，最大亮度鉴别等级（灰度等级）不小于11级。（公安部检验报告证明）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3、宽动态: 120 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4、焦距&amp;视场角: 4 mm，水平视场角：78°（2.8 mm，6 mm，8 mm可选）</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5、红外补光距离不小于100米。（公安部检验报告证明）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6、最大图像尺寸: 2560 × 1440；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7、视频压缩标准: 主码流：H.265/H.264；</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8、网络存储: 支持NAS（NFS，SMB/CIFS均支持），支持Micro SD(即TF卡)/Micro SDHC/Micro SDXC卡（最大256 GB），断网本地录像存储及断网续传；</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9、音频: 1个内置麦克风; 1路输入（Line in），1路输出（Line out）；</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10、报警: 1路报警输入，1路报警输出（报警输出最大支持DC12 V，30 mA）；</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11、网络: 1个RJ45 10 M/100 M自适应以太网口；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12、复位: 支持；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13、电源输出: DC12 V，100 mA，建议用于拾音器供电；</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14、摄像机能够在-40~70摄氏度，湿度小于95%环境下稳定工作。（公安部检验报告证明）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15、供电方式: DC：12 V±25%，支持防反接保护；PoE：802.3af；</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16、电流及功耗: DC：12 V，0.55 A，最大功耗：6 W；PoE：802.3af，36 V~57 V，0.21 A~0.14 A，最大功耗：7 W；</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17、电源接口类型: Ø5.5 mm圆头电源接口；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18、防护: IP66。</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400万半球型网络摄像机</w:t>
            </w:r>
          </w:p>
        </w:tc>
        <w:tc>
          <w:tcPr>
            <w:tcW w:w="8899"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1、400万 1/3" CMOS ICR星光级半球型网络摄像机；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2、最低照度: 彩色：0.005 Lux @（F1.2，AGC ON)），0 Lux with IR；</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3、宽动态: 120 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4、调节角度: 水平：0°~355°，垂直：0°~75°；</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5、焦距&amp;视场角: 4 mm，水平视场角：78°（2.8 mm，6 mm，8 mm可选）；</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6、红外补光距离不小于50米。（公安部检验报告证明）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7、最大图像尺寸: 2560 × 1440；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8、视频压缩标准: 主码流：H.265/H.264；</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9、网络存储: 支持Micro SD(即TF卡)/Micro SDHC/Micro SDXC卡（最大256 GB），支持NAS（NFS，SMB/CIFS均支持）；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10、音频: 1路输入（Line in）；1路输出（Line out）；1个内置麦克风；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11、报警: 1路输入，1路输出（三极管：超过30 mA建议加继电器）；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12、复位: 支持；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13、网络: 1个RJ45 10 M/100 M自适应以太网口；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14、电源输出: DC12 V，100 mA电源输出，建议用于拾音器供电；</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15、启动和工作温湿度: -30 ℃~60 ℃，湿度小于95%（无凝结）；</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16、供电方式: DC：12 V ± 25%；PoE：802.3af；</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17、电流及功耗: DC：12 V，0.4 A，最大功耗：5 W；PoE：802.3af，36 V~57 V，0.20 A~0.15 A，最大功耗：6.5 W；</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18、电源接口类型: Ø5.5 mm圆口；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19、防护: IP66，IK10；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20、在2560x1440@ 25fps下，清晰度不小于1400TVL。（公安部检验报告证明）</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41</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人脸抓拍摄像机</w:t>
            </w:r>
          </w:p>
        </w:tc>
        <w:tc>
          <w:tcPr>
            <w:tcW w:w="8899"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1、400万 星光级 1/2.7"CMOS AI轻智能抓拍半球型网络摄像机；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2、人脸抓拍：支持同时检测并且抓拍30张人脸，支持对运动人脸进行检测、跟踪、抓拍、评分、筛选输出最优的人脸抓图，支持最佳抓拍，快速抓拍；</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周界防范功能，当区域入侵、越界侦测、进入区域、离开区域报警布防开启后，出现行人、非机动车、机动车目标时能触发报警，当检测区域中篮球滚动、小狗移动、树叶晃动及光线明暗变化时不会触发报警。（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4、道路监控：支持背向行驶车辆抓拍，支持车牌、子品牌、车身颜色、车辆类型。支持行人、非机动车、机动车的混行检测；</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5、最低照度彩色不大于0.0002 lx，黑白不大于0.0001 lx。（公安部检验报告证明）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6、调节角度: 水平：0~355°，垂直：0~75°，旋转：0~355°；</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7、宽动态: 120 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8、焦距&amp;视场角: 2.7~12mm：水平视场角：99.4°~32.6°，垂直视场角：53.0°~18.3°，对角线视场角：117.7°~37.5°；</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9、补光灯类型: 红外，850 nm；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10、补光距离: 2.7~12 mm：普通监控：30 m，人脸抓拍/识别：3 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11、防补光过曝: 支持防补光过曝开启和关闭，开启下支持自动和手动，手动支持根据距离等级控制补光灯亮度；</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12、最大图像尺寸: 2560 × 1440；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13、视频压缩标准: H.265/H.264/MJPEG；</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14、内置GPU芯片。（公安部检验报告证明）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15、支持固件安全检验功能，摄像机uboot应采用加密存储，通过离线烧写存储器方式写入的uboot执行程序，不能被硬件微引导程序加载执行。（公安部检验报告证明）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16、支持硬件微引导程序、uboot、OS、应用软件逐级校验功能，非法篡改的uboot、OS、应用软件固件包，不能通过命令行、浏览器、客户端方式进行升级。（公安部检验报告证明）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17、网络存储: 支持Micro SD(即TF卡)/Micro SDHC/Micro SDXC卡（最大256 GB）断网本地存储及断网续传，NAS（NFS，SMB/CIFS均支持）；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18、网络: 1个RJ45 10 M/100 M自适应以太网口；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19、音频: 2 路输入（Line in），1路输出（Line out），2个内置麦克风，1个内置扬声器；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20、报警: 3路输入，2路输出（报警输入支持开关量，报警输出最大支持DC12 V，30 mA）</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21、RS-485: 1路RS485接口；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22、复位: 支持；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23、电源输出: 支持DC12 V，100 mA；</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24、接口类型: 外甩线；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25、启动和工作温湿度: -30 ℃~60 ℃，湿度小于95%（无凝结）；</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26、电流及功耗: DC：12 V，0.93 A，最大功耗：11.2 W；AC：24 V，0.73 A，最大功耗：10.5 W；PoE：802.3at，42.5 V~57 V，0.26 A~0.2 A，最大功耗：11.2 W；</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27、供电方式: DC：12 V ± 20%，支持防反接保护；AC：24 V ± 20%；PoE：802.3at，Type 2 Class 4；</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28、电源接口类型: 3芯接口；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29、线缆长度: 25 cm；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30、防护: IP67。</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防油污网络摄像机（含支架）</w:t>
            </w:r>
          </w:p>
        </w:tc>
        <w:tc>
          <w:tcPr>
            <w:tcW w:w="8899"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1、防油污筒机，1/2.7" Progressive Scan CMOS；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2、最低照度彩色：0.002 lx (AGC开，RJ45输出)，黑白:0.0002 lx (AGC开，RJ45输出) ，灰度等级不小于11级。（公安部型式检验报告证明）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3、最高分辨率可达1920 × 1080 @25 fps，在该分辨率下可输出实时图像；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4、4 mm，水平视场角：87.6°，垂直视场角：44.4°，对角视场角：104.9°；</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5、智能侦测：支持越界侦测，区域入侵侦测；</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6、支持背光补偿，强光抑制，3D数字降噪，120 dB宽动态适应不同监控环境；</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7、支持1路报警输入，1路报警输出（报警输出最大支持DC12 V，30 mA）；</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8、支持1路音频输入，1路音频输出；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9、红外补光距离不小于85米。（公安部型式检验报告证明）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10、供电方式：DC：12 V ± 25%，支持防反接保护；</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11、符合IP67防尘防水设计，可靠性高；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12、需具有1个吸附式防护罩。（公安部型式检验报告证明）</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球型鹰眼摄像机</w:t>
            </w:r>
          </w:p>
        </w:tc>
        <w:tc>
          <w:tcPr>
            <w:tcW w:w="8899"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1、1600万180°球型鹰眼；</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2、传感器类型: （全景）1/1.8＂progressive scan CMOS，（细节）1/1.8＂progressive scan CMOS；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3、最低照度:（全景）0.0005 Lux/F1.0（彩色），0.0001 Lux/F1.0（黑白）；（细节）星光级超低照度，0.0005 Lux/F1.2（彩色），0.0001 Lux/F1.2（黑白），0 Lux with IR；</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4、宽动态: （细节）支持120 dB超宽动态；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5、主视频支持不小于40倍光学变倍，支持检测当前镜头指向方向与地平面夹角，并可根据夹角变化自动调整倍率。（以公安部检验报告为准）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6、焦距: （全景）2.8 mm；（细节）6~240 mm；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7、视场角: 水平视场角：56.6~1.8度（广角~望远） ; 垂直视场角：33.7~1.0度（广角~望远） ; 对角线视场角：63.4~2.0度（广角~望远）；</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8、红外灯开启时，样机可根据被摄物的距离自动调节红外灯功率密度。红外夜视距离：可识别距离样机550m外人体轮廓（以公安部检验报告为准）；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9、防补光过曝: 支持；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10、水平范围: 360°；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11、垂直范围: -15°~90°（自动翻转）；</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12、水平速度: 水平键控速度：0.1°~210°/s，速度可设；水平预置点速度：240°/s；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13、垂直速度: 垂直键控速度：0.1°~150°/s，速度可设；垂直预置点速度：200°/s；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14、内置不少于3个GPU芯片（以公安部检验报告为准）；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15、摄像机内置除湿器，可对样机内部进行除湿，除去玻璃罩上的水状附着物。（以公安部检验报告为准）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16、★支持远距离跟踪功能，可对距离样机至少700米处的不大于1.7米x0.5米的移动目标进行检测并联动细节通道进行跟踪。（以公安部检验报告为准）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17、主码流帧率分辨率:（全景）50 Hz：25 fps（5520 × 2400） ;60 Hz：30 fps（5520 × 2400）；（细节）50 Hz：25 fps （2560 × 1440） ; 60 Hz：30 fps （2560 × 1440）；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18、视频压缩标准: H.265，H.264，MJPEG；</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19、网络存储: NAS（NFS，SMB/CIFS），ANR；</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20、网络接口: RJ45网口，自适应10 M/100 M/1000 M网络数据；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21、光纤接口: FC接口，内置光纤模块，1000 M网络数据，波长TX1310/RX1550 nm，单模单纤，20 km传输距离；</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22、SD卡扩展: 支持MicroSD(即TF卡)/MicroSDHC/MicroSDXC卡，最大支持256 GB；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23、报警输入: 7路报警输入；报警输出: 2路报警输出；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24、音频输入: 1路音频输入；音频输出: 1路音频输出；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25、具有RS485接口；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26、供电方式: DC：36 V；</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27、设备功耗: 135 W max（其中红外灯12 W max）；</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28、工作温湿度: -40 ℃~70 ℃，湿度小于90%；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29、除雾: 支持；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30、防护: IP67。</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监控电源（12V/10A）</w:t>
            </w:r>
          </w:p>
        </w:tc>
        <w:tc>
          <w:tcPr>
            <w:tcW w:w="8899"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12V/2A两线、两端带线式，国标，输入线长500mm，输出线长1000mm</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监控电源（24V/10A）</w:t>
            </w:r>
          </w:p>
        </w:tc>
        <w:tc>
          <w:tcPr>
            <w:tcW w:w="8899"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1、颜色: 黑色；</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2、安装方式: 两端带线式；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3、输入规格: AC220V(±20%)/50Hz；</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4、输出规格: AC24V/2.2A；</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5、空载输出电压: AC27.5V；</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6、输出功率: 52.8W Max；</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7、输入接口: 国标；</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8、输出接口形式: 两线；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9、线长: 输入0.5m，输出0.23m。</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75寸电视机</w:t>
            </w:r>
          </w:p>
        </w:tc>
        <w:tc>
          <w:tcPr>
            <w:tcW w:w="8899"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75英寸4K超高清LED电视，支持语音或蓝牙遥控，Android操作系统，支持HDMI输入接口</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枪机支架</w:t>
            </w:r>
          </w:p>
        </w:tc>
        <w:tc>
          <w:tcPr>
            <w:tcW w:w="8899"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壁装支架</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球机支架</w:t>
            </w:r>
          </w:p>
        </w:tc>
        <w:tc>
          <w:tcPr>
            <w:tcW w:w="8899"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壁装支架/白色/铝合金</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3379" w:type="dxa"/>
            <w:gridSpan w:val="5"/>
            <w:vAlign w:val="center"/>
          </w:tcPr>
          <w:p>
            <w:pPr>
              <w:widowControl/>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（二）、中心管理平台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磁盘阵列</w:t>
            </w:r>
          </w:p>
        </w:tc>
        <w:tc>
          <w:tcPr>
            <w:tcW w:w="8899"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1、设备应配置≥64位多核处理器，≥4GB内存，内存支持扩展到≥32GB，需配置冗余金牌电源，支持双系统（其中电源仅以照片证明即可）；</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2、单设备应标配≥2个千兆网口，可增扩≥2个万兆口或≥2个光纤接口或增配≥4个HDMI接口或≥2个SAS3.0接口；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3、应支持FCSAN、IPSAN、NAS存储功能；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4、可接入2T/3T/4T/6T/8TSATA磁盘，支持磁盘交错启动和漫游，并支持在线热插拔；</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5、可接入硬盘≥24块，支持SATA和SAS混插，并支持≥12级扩展柜级联扩展；</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6、应能提供RAID0、1、3、5、6、10、50，60、JBOD模式，支持全局、局部等多种热备选择，支持坏盘自动重构；</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7、设备可对视音频、图片、智能数据（智能行为分析录像）流进行混合直存，无须存储服务器和图片服务器的参与，平台服务器宕机时，存储业务正常；</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8、应能接入并存储1880Mbps视频图像，同时转发1880Mbps的视频图像；同时回放512Mbps的视频图像；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9、支持不低于600MBps图片并发输入，同时不低于600MBps图片并发输出；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10、当RAID中某块工作正常的硬盘被误拔出后，60分钟内插回，该硬盘能恢复到原RAID中，系统自动恢复工作，而且会对拔掉的硬盘进行增量数据恢复；</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11、在RAID内丢失2块（含）以上硬盘但至少有1块正常磁盘时，无需等待丢失盘恢复，保留的硬盘中的数据可正常读出，且新数据可正常写入；</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12、支持接入单前端设备不超出30路码流冗余存储；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13、根据数据对象的重要性（例如：系统信息、配置信息、报警录像、普通录像等）、访问频率等属性按照预先设定的分层存储区域可进行自动分层存储并可实现快速访问；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14、设备在不增加任何外围服务器硬件的情况下可由存储设备直接进行虚拟化系统部署；</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15、设备应能预录报警触发前1-40分钟的视频录像。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16、可接入MPEG4、H.264、H.265、Smart265、SVAC编码格式的前端设备并存储录像文件,可将大华、宇视、海康等厂商SDK封装格式的视频流转成标准（MPEG4、H.264、H.265、SVAC、4K等编码格式）PS流（ProgramStream）输出。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17、可在视频画面上绘制区域或界线，检索指定范围内的报警录像；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18、可输入车牌号码可查证出相关图片和视频；可按照报警事件进行检索。</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19、可通过客户端将交通卡口数据（包括车标、车道、车速范围、车牌及车身颜色），行为分析的图片及数据（包括进入警戒线、进入警戒区、物品遗留、人脸检测）进行检索、查看、下载图片及进行录像；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20、网络中断后重新恢复，设备可续存断网期间存储在前端设备中的录像文件，并可通过IE浏览器设置自动回传和手动回传。支持256路4M的录像回传</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21、当录像视频流发生丢失5s以上可在日志中记录报警信息。</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22、设备可将接入的鱼眼摄像机、双目摄像机、全景自拼接摄像机（鹰眼摄像机）、深眸智能摄像机、热成像相机的图像以多画面分割方式显示；（以公安部检测报告为准）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23、提供多设备同步升级功能，可以通过一键式操作对整个局域网内的所有设备同步升级。（以公安部检测报告为准）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24、设备可同时支持视频、图片、智能流和文件直写存储。（以公安部检测报告为准）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25、支持多路文件采用非NAS方式直接上传存储，且速度可设置。（以公安部检测报告为准）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26、具有ONVIF、PSIA、TCP/IP、UDP、SIP、RTSP、RTP、RTCP、iSCSI、CIFS(SMB)、NFS、FTP、HTTP、AFP、RSYNC、SNMP、IPV4、IPV6设置选项，支持IP组播；</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27、通过客户端软件添加及删除手机号，启用短信网关报警功能后，可向添加的手机号码发送电源异常、系统卡容量不足、存储空间异常、自动修复失败、私有卷IO异常、无可用逻辑卷等报警信息，报警种类可设。（以公安部检测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28、可对指定的录像段或指定事件的1个或多个前端的不同时间段的录像段添加标签，并自动备份到存档卷中，使之不会被覆盖删除。（以公安部检测报告为准）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29、可根据事件名称查询所有相关联的不同前端或时间的录像段并进行回放和下载。（以公安部检测报告为准）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30、可通过IE浏览器对一台、多台样机或扩展柜中的磁盘进行定位，使对应的磁盘指示灯闪烁，闪烁的时长可设。（以公安部检测报告为准）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31、要求提供5个（含）以上2PB（2000TB）容量或50台以上网络存储设备案例合同复印件；提供单项目20PB以上存储容量案例合同复印件；提供5个（含）以上用户使用反馈证明文件复印件。</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6T硬盘</w:t>
            </w:r>
          </w:p>
        </w:tc>
        <w:tc>
          <w:tcPr>
            <w:tcW w:w="8899"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6T,7200RPM,3.5寸,SATA</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72</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网络键盘</w:t>
            </w:r>
          </w:p>
        </w:tc>
        <w:tc>
          <w:tcPr>
            <w:tcW w:w="8899"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1、支持7寸触摸屏，分辨率800*480；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2、支持网络控制方式；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3、支持RS232、RS485串口控制；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4、延时≤200ms；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5、支持两级用户权限，支持16个用户，1个管理员用户，15个操作员用户；</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6、支持≥6000台设备，并支持excel文件批量导入（公安部检验报告证明）；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7、支持1路1080P视频解码显示，支持在本地触控屏上预览图像（公安部检验报告证明）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8、支持四维摇杆控制；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9、具有回放控制键，支持回放控制功能；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10、支持切换前端输入通道或输入组到解码器、视频综合平台等设备，支持画面分割、场景切换等功能；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11、支持抓图和录像功能，文件可保存至外接U盘或上传至FTP服务器（公安部检验报告证明）。</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综合安防管理平台</w:t>
            </w:r>
          </w:p>
        </w:tc>
        <w:tc>
          <w:tcPr>
            <w:tcW w:w="8899"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1、含1000路视频接入授权，10万人信息录入授权。</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支持多样的人员信息采集途径，并支持人脸照片质量评分。采集途径包括但不限于：①通过多功能采集设备在线采集人脸、指纹、身份证信息；②在公网或内网环境下，通过APP方式实现人脸照片采集；③通过人证比对设备实现离线或在线自助采集人脸照片；④通过平台批量导入人脸照片，人脸照片可通过人脸照片预处理工具校验照片命名、大小和质量是否符合规范⑤人脸采集还可以通过h5页面进行采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3、支持获取报警主机所有防区信息，包括扩展防区；支持对扩展防区进行布防、撤防、旁路、旁路恢复操作；支持接收扩展防区上报事件；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4、支持人脸建模的大规模批量下发；支持初始化全量下发、增量异动下发；</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5、支持人员的卡权限在平台进行权限认证，当卡权限还未下发到设备时，平台可以根据刷卡事件进行人员权限判断并进行反控开门；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6、支持可设置门禁权限为长期有效；权限时间支持精确到秒；门禁权限手动冻结、解冻；自动清理长期未使用的门禁权限；</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7、支持访客足迹查看，包含门禁人员出入事件、可视对讲出入事件、人脸监控记录、梯控事件、停车场出入事件；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8、支持对陌生人识别，人脸不在名单内时，系统自动报警；</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9、支持以脸搜脸，对人脸图片进行检索，检索结果支持列表模式和地图模式，地图模式可以按照时间顺序形成人脸轨迹，用于描述目标人员在该区域的移动路线；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10、支持以脸搜脸多图模式，上传一张图片中有多个人脸，系统可以支持搜索多个目标人脸，最大不超过五个；</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11、2U双路标准机架式服务器；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12、CPU：1颗intel至强系列处理器，核数≥10核，主频≥2.2GHz；</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13、内存：16G*2 DDR4，16根内存插槽，最大支持扩展至2TB内存；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14、硬盘：2块1.2T 10K 2.5寸 SAS硬盘；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15、阵列卡：SAS_HBA卡, 支持RAID 0/1/10；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16、PCIE扩展：最大可支持6个PCIE扩展插槽；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17、网口：2个千兆电口；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18、其他接口：1个RJ45管理接口，后置2个USB 3.0接口，前置2个USB2.0接口，1个VGA接口；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19、电源：标配550W（1+1）高效铂金CRPS冗余电源。</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线缆</w:t>
            </w:r>
          </w:p>
        </w:tc>
        <w:tc>
          <w:tcPr>
            <w:tcW w:w="8899"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HDMI电缆,7m,黑色</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DVI-HDMI转接器</w:t>
            </w:r>
          </w:p>
        </w:tc>
        <w:tc>
          <w:tcPr>
            <w:tcW w:w="8899"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DVI转HDMI转接头，用来连接电脑</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管理电脑</w:t>
            </w:r>
          </w:p>
        </w:tc>
        <w:tc>
          <w:tcPr>
            <w:tcW w:w="8899"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1、商用台机；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2、显示屏：≥21.5英寸低蓝光液晶屏；分辨率≥1920*1080；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3、CPU：Intel i5第10代处理器或以上；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4、主板与接口：DDRDIMM插槽不少于2个（含），1个串口；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5、内存：容量≥8GB，DDR4-2666或以上；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6、硬盘：≥128GB SSD+1TB机械硬盘；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7、显卡：独立显卡；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8、声卡：集成5.1声卡；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9、网卡：集成千兆网卡；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10、接口：USB3.1接口6个或以上，话筒输入和耳麦输出，VGA、HDMI视频输出；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11、防水抗菌光电鼠标、标准防水抗菌键盘；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12、电源功率≤200W；</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13、配套软件 Windows10或Windows11。</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3379" w:type="dxa"/>
            <w:gridSpan w:val="5"/>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（三）、管线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六类非屏蔽双绞线</w:t>
            </w:r>
          </w:p>
        </w:tc>
        <w:tc>
          <w:tcPr>
            <w:tcW w:w="8899"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1、UTP Cat.6数据电缆，PVC、灰色；</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2、通过ANSI/TIA/EIA-568-C.2 250MHz带宽测试要求；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3、内部十字骨架设计，在分开线对时保证在使用和穿线过程线对位置，减少近端串扰损耗和保持了阻抗稳定；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4、单根导体直流电阻：≤9.0Ω/100m；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5、线对直流电阻不平衡：≤2.5%；</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6、线对对地电容不平衡：＜330pF/100m；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7、延迟偏差：≤45ns/100m；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8、额定传输速率(NVP)：68%；</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9、绝缘电阻: ≥5000MΩ/km +20℃ DC (100-500)；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10、导体材料：无氧圆铜（纯度99.99%）；</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11、线规：23AWG；</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12、护套护套材料:PVC；</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13、符合REACH、FCC、3P、ETL产品认证。</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3780</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3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2259"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监控电源线</w:t>
            </w:r>
          </w:p>
        </w:tc>
        <w:tc>
          <w:tcPr>
            <w:tcW w:w="8899"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RVV2*1.0，国标，导体为无氧铜，纯度99.99%。</w:t>
            </w:r>
          </w:p>
        </w:tc>
        <w:tc>
          <w:tcPr>
            <w:tcW w:w="82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3780</w:t>
            </w:r>
          </w:p>
        </w:tc>
        <w:tc>
          <w:tcPr>
            <w:tcW w:w="56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bl>
    <w:p>
      <w:pPr>
        <w:jc w:val="center"/>
        <w:rPr>
          <w:rFonts w:ascii="宋体" w:hAnsi="宋体" w:cs="宋体"/>
          <w:color w:val="auto"/>
          <w:sz w:val="20"/>
          <w:szCs w:val="20"/>
          <w:highlight w:val="none"/>
        </w:rPr>
      </w:pPr>
    </w:p>
    <w:p>
      <w:pPr>
        <w:pStyle w:val="5"/>
        <w:spacing w:line="240" w:lineRule="auto"/>
        <w:jc w:val="left"/>
        <w:rPr>
          <w:color w:val="auto"/>
          <w:sz w:val="20"/>
          <w:szCs w:val="20"/>
          <w:highlight w:val="none"/>
        </w:rPr>
      </w:pPr>
      <w:bookmarkStart w:id="23" w:name="_Toc90043579"/>
      <w:r>
        <w:rPr>
          <w:color w:val="auto"/>
          <w:sz w:val="20"/>
          <w:szCs w:val="20"/>
          <w:highlight w:val="none"/>
        </w:rPr>
        <w:t>5</w:t>
      </w:r>
      <w:r>
        <w:rPr>
          <w:rFonts w:hint="eastAsia"/>
          <w:color w:val="auto"/>
          <w:sz w:val="20"/>
          <w:szCs w:val="20"/>
          <w:highlight w:val="none"/>
        </w:rPr>
        <w:t>、门禁系统</w:t>
      </w:r>
      <w:bookmarkEnd w:id="23"/>
    </w:p>
    <w:tbl>
      <w:tblPr>
        <w:tblStyle w:val="27"/>
        <w:tblW w:w="13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142"/>
        <w:gridCol w:w="7884"/>
        <w:gridCol w:w="1331"/>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7"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2142"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7884"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产品描述</w:t>
            </w:r>
          </w:p>
        </w:tc>
        <w:tc>
          <w:tcPr>
            <w:tcW w:w="1331"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954"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8"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（一）、前端设备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214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人脸识别一体机</w:t>
            </w:r>
          </w:p>
        </w:tc>
        <w:tc>
          <w:tcPr>
            <w:tcW w:w="788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1、设备采用7英寸LCD触摸显示屏，屏幕流明度350cd/㎡，分辨率不小于1024*600，屏幕防暴等级IK04。（公安部检验报告证明）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2、摄像头参数：采用宽动态200万双目摄像头；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3、设备采用嵌入式Linux系统，支持刷脸认证，支持IC卡、身份证卡号读取，CPU卡内容读取，NFC刷卡功能，支持指纹认证。（公安部检验报告证明）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4、设备本地人脸库存储容量5000张，本地卡存储容量6000张，本地出入记录存储容量50000条。（公安部检验报告证明）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5、人脸识别：采用深度学习算法，支持照片、视频防假；1:N人脸识别速度≤0.2s，人脸验证准确率≥99%；</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6、硬件接口，应不少于以下硬件接口及能力：LAN*1（10M/100M/1000M自适应）；RS485*1；韦根*1； USB *1；喇叭扬声器；I/O输出*2； I/O输入*4； PSAM*1；SIM*1；机械防拆开关*1。（公安部检验报告证明）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7、支持在0.001lux低照度无补光环境下正常实现人脸识别；人脸识别距离：0.2~3m，识别高度范围为0.9~2.2m；人脸识别误识率≤0.01%的条件下，准确率99.85%； 人脸比对平均时间≤0.2s；5.支持防假体攻击功能，对视频、电子照片、打印照片中的人脸应不能进行人脸识别（公安部检验报告证明）；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8、设备支持以下认证方式：人脸识别、刷卡、二维码、密码； 支持上述任意一种、任意两组组合、任意三组组合的认证开门； 当设备与门锁联动时，应对识别媒介（人脸、指纹、卡、密码等）的使用权限进行设置，根据使用场景和组合认证方式实现开门功能：多重卡认证开门、多重卡+中心远程认证开门、多重卡+超级密码开门、多重卡+超级卡开门、 首卡开门、超级权限开门、管理中心远程开门、APP远程开门、室内机及管理机远程开门；支持普通卡、来宾卡、胁迫卡、超级卡、残疾人卡、巡更卡、黑名单卡等多种类型用户权限设置 支持按时间分时段管控门禁权限，支持255组时段计划模板，支持1024个假日计划管理；支持常开、常闭时段管理；支持首卡开门管理。（公安部检验报告证明）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9、设备支持多种人脸注册方式：设备本地人脸注册；本地U盘导入人员信息； 远程中心下发人脸；通过APP采集人脸并注册下发。</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10、设备支持中心下发黑名单信息；支持本地黑名单信息比对；支持本地黑名单报警功能，报警信息可上传平台。</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11、使用环境：IP65，室内外环境；</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12、安装方式：壁挂安装；</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13、工作电压： DC 12V/2A。</w:t>
            </w:r>
          </w:p>
        </w:tc>
        <w:tc>
          <w:tcPr>
            <w:tcW w:w="133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51</w:t>
            </w:r>
          </w:p>
        </w:tc>
        <w:tc>
          <w:tcPr>
            <w:tcW w:w="95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214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人脸录入仪</w:t>
            </w:r>
          </w:p>
        </w:tc>
        <w:tc>
          <w:tcPr>
            <w:tcW w:w="788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1、200万USB电视摄像机；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2、内置麦克风，拾音清晰；</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3、支持自动电子增益功能，亮度自适应；</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4、支持标准USB 2.0接口，免驱设计，即插即用；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5、支持Type-A接口，标准USB2.0协议，免驱设计，即插即用；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6、传感器类型: 2 MP CMOS；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7、分辨率: 1920 (水平) × 1080 (垂直)；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8、视频帧率:MJPG：1920 × 1080 @ 30 fps/25 fps； YUV：1920 × 1080 @ 5 fps；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9、最低照度: 0.1 Lux @(F1.2, AGC ON)；</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10、镜头: 定焦：2.8 mm（2.1 mm/3.6 mm/6 mm可选）；</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11、视场角:2.1 mm：水平137.2°，垂直80.1°，对角157°；2.8 mm：水平94°，垂直52°，对角线109°；3.6 mm：水平75°，垂直41°，对角线87°；6 mm：水平58°，垂直32°，对角线66°；</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12、三轴或两轴调节角度: 水平：0°；垂直：-10°~30°；旋转：0°；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13、线缆长度: 2 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14、视频输出: USB 2.0；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15、音频输入: 内置mic；</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16、工作温度和湿度: -10℃~45℃，湿度小于90%（无凝结）；</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17、供电方式: DC5 V ± 15%（USB接口）；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18、电流及功耗: 142 mA，0.8 W MAX。</w:t>
            </w:r>
          </w:p>
        </w:tc>
        <w:tc>
          <w:tcPr>
            <w:tcW w:w="133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214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指纹录入仪</w:t>
            </w:r>
          </w:p>
        </w:tc>
        <w:tc>
          <w:tcPr>
            <w:tcW w:w="788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1、电容式指纹录入仪；</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2、图像大小：256*360像素，508DPI；</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3、通讯接口：USB 2.0接口；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4、工作电压：DC 5V；</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5、工作电流：200mA。</w:t>
            </w:r>
          </w:p>
        </w:tc>
        <w:tc>
          <w:tcPr>
            <w:tcW w:w="133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214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单门磁力锁</w:t>
            </w:r>
          </w:p>
        </w:tc>
        <w:tc>
          <w:tcPr>
            <w:tcW w:w="788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1、最大静态直线拉力：280kg ± 15%；</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2、断电开锁，满足消防要求；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3、具有电锁状态指示灯（红灯为开锁状态， 绿灯为上锁状态）；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4、支持锁状态侦测信号(门磁)输出：NO/NC/COM接点；</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5、工作电压：12V/420mA 或 24V/210mA。</w:t>
            </w:r>
          </w:p>
        </w:tc>
        <w:tc>
          <w:tcPr>
            <w:tcW w:w="133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60</w:t>
            </w:r>
          </w:p>
        </w:tc>
        <w:tc>
          <w:tcPr>
            <w:tcW w:w="95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214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双门磁力锁</w:t>
            </w:r>
          </w:p>
        </w:tc>
        <w:tc>
          <w:tcPr>
            <w:tcW w:w="788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1、最大静态直线拉力：280kg ± 15% * 2；</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2、断电开锁，满足消防要求；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3、具有电锁状态指示灯（红灯为开锁状态， 绿灯为上锁状态）；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4、支持锁状态侦测信号(门磁)输出：NO/NC/COM接点；</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5、工作电压：12V/840mA 或 24V/420mA。</w:t>
            </w:r>
          </w:p>
        </w:tc>
        <w:tc>
          <w:tcPr>
            <w:tcW w:w="133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95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214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出门按钮</w:t>
            </w:r>
          </w:p>
        </w:tc>
        <w:tc>
          <w:tcPr>
            <w:tcW w:w="788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1、结构：塑料面板；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2、性能：最大耐电流1.25A，电压250V；</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3、输出：常开；</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4、类型：适合埋入式电器盒使用。</w:t>
            </w:r>
          </w:p>
        </w:tc>
        <w:tc>
          <w:tcPr>
            <w:tcW w:w="133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62</w:t>
            </w:r>
          </w:p>
        </w:tc>
        <w:tc>
          <w:tcPr>
            <w:tcW w:w="95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214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人脸识别读卡器</w:t>
            </w:r>
          </w:p>
        </w:tc>
        <w:tc>
          <w:tcPr>
            <w:tcW w:w="788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1、设备采用嵌入式Linux系统，4.3英寸IPS触摸显示屏，屏幕玻璃采用2.5D水滴屏工艺，屏幕流明度不低于350cd/㎡； 分辨率不小于800*480；屏幕防破坏能力满足IK04的要求，后壳防破坏能力满足IK07的要求，外壳防护等级IP54（公安部检验报告证明）；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2、摄像头参数：采用宽动态200万双目摄像头；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3、认证方式：支持人脸、刷卡（Mifare卡/IC卡、手机NFC卡、CPU卡序列号/内容、身份证卡序列号）、密码、二维码（通过摄像头识别）；</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人脸识别距离0.2~3m；人脸比对平均时间≤0.175s；人脸识别误识率≤0.01%的条件下，准确率应99.9%。支持在0.001lux低照度无补光环境下正常实现人脸识别。在识别区域范围内，人脸识别距离可自定义设置;支持防假体攻击功能，对视频、电子照片、打印照片中的人脸应不能进行人脸识别。（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5、设备本地人脸库存储容量6000张，本地卡存储容量10000张，本地出入记录存储容量150000条。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6、硬件接口：LAN*1（10M/100M/1000M自适应）；RS485*1；韦根*1；USB *1；喇叭扬声器；门锁I/O输出*1；门磁 I/O输入*1；开门按钮I/0输入*1；机械防拆开关*1。（公安部检验报告证明）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7、根据使用场景和组合认证方式实现开门功能：多重卡认证开门、多重卡+中心远程认证开门、多重卡+超级密码开门、多重卡+超级卡开门、 首卡开门、超级权限开门、管理中心远程开门、APP远程开门、室内机及管理机远程开门，支持按时间分时段管控门禁权限，支持255组时段计划模板，支持1024个假日计划管理。（公安部检验报告证明）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8、设备支持中心下发黑名单信息；支持本地黑名单信息比对；支持本地黑名单报警功能，报警信息可上传平台。</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9、通信方式及网络协议：WiFi、有线网络；网络SDK/萤石协议/ISAPI/Ehome4.0/ISUP5.0；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10、使用环境：室内环境，不防水；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11、安装方式：壁挂安装（标配挂板，适配86底盒）；</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12、工作电压： DC 12V/2A（电源需另配）。</w:t>
            </w:r>
          </w:p>
        </w:tc>
        <w:tc>
          <w:tcPr>
            <w:tcW w:w="133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62</w:t>
            </w:r>
          </w:p>
        </w:tc>
        <w:tc>
          <w:tcPr>
            <w:tcW w:w="95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214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门禁电源</w:t>
            </w:r>
          </w:p>
        </w:tc>
        <w:tc>
          <w:tcPr>
            <w:tcW w:w="788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1、输入电压：100-240VAC；</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2、输出电压：12VDC；</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3、输出电流：4.17A；</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4、输出功率：50W；</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5、支持蓄电池（0T7-12）接入（设备本身不含蓄电池）；</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6、工作温度：-10℃-+70℃；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7、工作湿度：＜95%。</w:t>
            </w:r>
          </w:p>
        </w:tc>
        <w:tc>
          <w:tcPr>
            <w:tcW w:w="133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62</w:t>
            </w:r>
          </w:p>
        </w:tc>
        <w:tc>
          <w:tcPr>
            <w:tcW w:w="95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8"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（二）、中心设备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214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发卡器</w:t>
            </w:r>
          </w:p>
        </w:tc>
        <w:tc>
          <w:tcPr>
            <w:tcW w:w="788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1、支持发卡类型：Mifare卡卡号、Mifare卡内容、CPU卡、CPU卡内容、身份证序列号、ID(EM)卡卡号；</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2、读卡频率：13.56MHz，125KHz；</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3、USB2.0接口；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4、具有2个Sim卡尺寸的PSAM卡座；</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5、工作电压：DC 5V；</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6、工作电流：0.2A。</w:t>
            </w:r>
          </w:p>
        </w:tc>
        <w:tc>
          <w:tcPr>
            <w:tcW w:w="133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14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食堂消费机</w:t>
            </w:r>
          </w:p>
        </w:tc>
        <w:tc>
          <w:tcPr>
            <w:tcW w:w="788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1、设备外观：采用7英寸IPS触摸显示屏；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2、设备支持仅人脸、人脸或刷卡方式人员认证，人脸识别时间≤175ms，人脸识别距离：0.3m-1.5m，准确率99.9%，支持在0.001lux无可见光补光环境下实现人脸识别。（公安部检验报告证明）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3、设备容量：支持80000张人脸库，100000张卡，50000条消费记录；</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4、认证方式：支持仅人脸、刷卡（屏下刷卡）或人脸/刷卡/二维码的认证方式；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5、自带二维码读头模块，支持二维码扫码消费（包括支付宝、微信等移动端付款码）；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6、设备支持在线消费及离线记账消费，离线消费后，等设备再次在线时，应能自动上报离线消费信息，支持将消费事件上报至管理平台，客户端软件。（公安部检验报告证明）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7、支持退款操作：输入纠错密码（4-8位数字）可进行相应人员最后一笔金额消费退款，保障误刷问题解决；</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8、支持在设备上查看消费统计数据，包括消费次数、消费金额等内容；</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设备支持消费结果语音提示，支持音量大小调节，支持文字转语音功能（TTS），支持用户自定义消费成功及识别的提示音，支持配置开关消费结果提示音，支持配置开关播报消费结果时播报消费金额，支持查看人员信息，设备状态，消费模式。（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10、通讯方式：TCP/IP、WiFi；</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11、供电方式：12V/2A，自带电源适配器；使用环境：室内。</w:t>
            </w:r>
          </w:p>
        </w:tc>
        <w:tc>
          <w:tcPr>
            <w:tcW w:w="133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5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214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门禁管理软件</w:t>
            </w:r>
          </w:p>
        </w:tc>
        <w:tc>
          <w:tcPr>
            <w:tcW w:w="788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定制</w:t>
            </w:r>
          </w:p>
        </w:tc>
        <w:tc>
          <w:tcPr>
            <w:tcW w:w="133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38"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（三）、线缆/辅材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214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六类非屏蔽双绞线</w:t>
            </w:r>
          </w:p>
        </w:tc>
        <w:tc>
          <w:tcPr>
            <w:tcW w:w="788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1、UTP Cat.6数据电缆，PVC、灰色；</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2、通过ANSI/TIA/EIA-568-C.2 250MHz带宽测试要求；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3、内部十字骨架设计，在分开线对时保证在使用和穿线过程线对位置，减少近端串扰损耗和保持了阻抗稳定；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4、单根导体直流电阻：≤9.0Ω/100m；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5、线对直流电阻不平衡：≤2.5%；</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6、线对对地电容不平衡：＜330pF/100m；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7、延迟偏差：≤45ns/100m；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8、额定传输速率(NVP)：68%；</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9、绝缘电阻: ≥5000MΩ/km +20℃ DC (100-500)；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10、导体材料：无氧圆铜（纯度99.99%）；</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11、线规：23AWG；</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12、护套护套材料:PVC；</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13、符合REACH、FCC、3P、ETL产品认证。</w:t>
            </w:r>
          </w:p>
        </w:tc>
        <w:tc>
          <w:tcPr>
            <w:tcW w:w="133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3100</w:t>
            </w:r>
          </w:p>
        </w:tc>
        <w:tc>
          <w:tcPr>
            <w:tcW w:w="95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214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门禁电源线 RVV2*1.0</w:t>
            </w:r>
          </w:p>
        </w:tc>
        <w:tc>
          <w:tcPr>
            <w:tcW w:w="788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RVV2*1.0，国标，导体为无氧铜，纯度99.99%。</w:t>
            </w:r>
          </w:p>
        </w:tc>
        <w:tc>
          <w:tcPr>
            <w:tcW w:w="133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3100</w:t>
            </w:r>
          </w:p>
        </w:tc>
        <w:tc>
          <w:tcPr>
            <w:tcW w:w="95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214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出门按钮信号线 RVV2*1.0</w:t>
            </w:r>
          </w:p>
        </w:tc>
        <w:tc>
          <w:tcPr>
            <w:tcW w:w="788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RVV2*1.0，国标，导体为无氧铜，纯度99.99%。</w:t>
            </w:r>
          </w:p>
        </w:tc>
        <w:tc>
          <w:tcPr>
            <w:tcW w:w="133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1240</w:t>
            </w:r>
          </w:p>
        </w:tc>
        <w:tc>
          <w:tcPr>
            <w:tcW w:w="95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214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磁力锁信号线 RVV4*1.0</w:t>
            </w:r>
          </w:p>
        </w:tc>
        <w:tc>
          <w:tcPr>
            <w:tcW w:w="788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RVV4*1.0，国标，导体为无氧铜，纯度99.99%。</w:t>
            </w:r>
          </w:p>
        </w:tc>
        <w:tc>
          <w:tcPr>
            <w:tcW w:w="133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3100</w:t>
            </w:r>
          </w:p>
        </w:tc>
        <w:tc>
          <w:tcPr>
            <w:tcW w:w="95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bl>
    <w:p>
      <w:pPr>
        <w:jc w:val="center"/>
        <w:rPr>
          <w:rFonts w:ascii="宋体" w:hAnsi="宋体" w:cs="宋体"/>
          <w:color w:val="auto"/>
          <w:sz w:val="20"/>
          <w:szCs w:val="20"/>
          <w:highlight w:val="none"/>
        </w:rPr>
      </w:pPr>
    </w:p>
    <w:p>
      <w:pPr>
        <w:pStyle w:val="5"/>
        <w:spacing w:line="240" w:lineRule="auto"/>
        <w:jc w:val="left"/>
        <w:rPr>
          <w:color w:val="auto"/>
          <w:sz w:val="20"/>
          <w:szCs w:val="20"/>
          <w:highlight w:val="none"/>
        </w:rPr>
      </w:pPr>
      <w:bookmarkStart w:id="24" w:name="_Toc90043580"/>
      <w:r>
        <w:rPr>
          <w:color w:val="auto"/>
          <w:sz w:val="20"/>
          <w:szCs w:val="20"/>
          <w:highlight w:val="none"/>
        </w:rPr>
        <w:t>6</w:t>
      </w:r>
      <w:r>
        <w:rPr>
          <w:rFonts w:hint="eastAsia"/>
          <w:color w:val="auto"/>
          <w:sz w:val="20"/>
          <w:szCs w:val="20"/>
          <w:highlight w:val="none"/>
        </w:rPr>
        <w:t>、广播系统</w:t>
      </w:r>
      <w:bookmarkEnd w:id="24"/>
    </w:p>
    <w:tbl>
      <w:tblPr>
        <w:tblStyle w:val="27"/>
        <w:tblW w:w="13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46"/>
        <w:gridCol w:w="9862"/>
        <w:gridCol w:w="71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8"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346"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9862"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产品描述</w:t>
            </w:r>
          </w:p>
        </w:tc>
        <w:tc>
          <w:tcPr>
            <w:tcW w:w="716"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06"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8"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（一）、广播中心机房主控设备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控制主机</w:t>
            </w:r>
          </w:p>
        </w:tc>
        <w:tc>
          <w:tcPr>
            <w:tcW w:w="986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1、采用工业级工控机机箱设计，具有≥15.6英寸LED液晶显示屏，支持触摸控制屏，支持1920×1080分辨率；服务器运载windows server 2008或以上操作系统。</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2、具备抽拉式键盘设计，以便操作；支持1路短路触发开机接口，用于实现定时驱动开机运行。</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3、支持≥8×USB接口、≥1×PS/2接口、 ≥4×串口接口、线路输入和话筒输入均带音量和音调调节，不少于9个音量调节旋钮，不少于9组（18个）高低音调节旋钮。（提供设备实物接口图）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4、配置不低于 3.40GHz 四核处理器，内存配置不低于8G DDR3，采用固态硬盘容量不低于128G。</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5、系统音频信号标准输入电平：LINE：300mV； MIC：5mV；系统音频信号标准输出电平：0dBV。</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6、支持录音存储功能，可在后台自定义设置录音文件保存路径。</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7、面板带1个可以编程的紧急按键。（提供设备实物接口图）</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数字化IP网络广播客户端管理软件</w:t>
            </w:r>
          </w:p>
        </w:tc>
        <w:tc>
          <w:tcPr>
            <w:tcW w:w="986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1、软件是整个系统的运行核心，统一管理系统内所有音频终端，包括寻呼话筒、对讲终端、广播终端和消防接口设备，实时显示音频终端的IP地址、在线状态、任务状态、音量等运行状态。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支撑各音频终端的运行，负责音频流传输管理，响应各音频终端播放请求和音频全双工交换，支持B/S架构，通过网页登陆可进行终端管理、用户管理、节目播放管理、音频文件管理、录音存贮、内部通讯调度处理等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3、管理节目库资源，为所有音频终端器提供定时播放和实时点播媒体服务，响应各终端的节目播放请求，为各音频工作站提供数据接口服务。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4、提供全双工语音数据交换，响应各对讲终端的呼叫和通话请求，支持一键呼叫、一键对讲、一键求助、一键报警等通话模式，支持自动接听、手动接听，支持自定义接听提示音。</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6、支持终端短路输入联动触发，可任意设置联动触发方案和触发终端数量，触发方案包括短路输出、音乐播放、巡更警报等。</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7、编程定时任务，支持编程多套定时方案，支持选择任意终端和设置任意时间；支持定时任务执行测试、设置重复周期。支持定时任务多种音源选择（音乐播放、声卡采集、终端采集）。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8、支持多套定时打铃方案同时启用，每套定时打铃方案支持多套任务同时进行，支持一键启用/停用所有方案。</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9、支持定时打铃功能，支持打铃方案克隆，任务执行与停止控制、定时任务禁用与启用功能。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10、支持定时巡更功能，支持自定义巡更任务的执行时间及重复周期，可自定义指示灯闪烁间隔时间0-30s。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11、支持今日任务列表查看，轻松管理今日执行的所有定时任务信息和执行状态。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12、支持独立考试模式，与应急保障主机配合实现双重保障；（提供“考试模式”软件截图）。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具备一键巡检功能，可以在30秒内快速检查所有网络音箱的声音品质是否符合播音要求，自动以警示图标形式显示故障终端，可保存所有终端的检测数据，作为核查依据。（提供体现终端设备检测到的低音、中音、高音百分比以及警示图标显示故障终端的软件功能截图。</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控制器</w:t>
            </w:r>
          </w:p>
        </w:tc>
        <w:tc>
          <w:tcPr>
            <w:tcW w:w="986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1、设备采用标准机柜式设计，自动实现卫星自动校时，使用地球同步卫星作为校时基准，与格林威治时间误差小于0.1秒。</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2、液晶显示屏可显示时间；自动实现卫星自动校时，自适应全球时区，根据时区自动切换显示语音。</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3、可设定为自动获取IP地址功能，支持广播系统对终端进行远程固件升级。</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4、支持与公共广播系统对接作为校时系统，保障公共广播系统和定时任务准确性。</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广播话筒</w:t>
            </w:r>
          </w:p>
        </w:tc>
        <w:tc>
          <w:tcPr>
            <w:tcW w:w="986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1、换能方式：驻极体；</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2、频率响应：90Hz-15KHz；</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3、灵敏度：-43dB±2dB；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4、前奏音灵敏度：-50dB±2dB；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5、钟声提示：带钟声提示功能；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6、线材配备：10米（卡农母头转6.35音频线）；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7、咪杆长度 ：420mm；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8、具备有灯环提示功能。</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合并式播放器</w:t>
            </w:r>
          </w:p>
        </w:tc>
        <w:tc>
          <w:tcPr>
            <w:tcW w:w="986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1、设备采用标准机柜式设计，为广播系统提供合并音源，支持手动控制CD、MP3和收音机三种音源的播放器。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2、内置USB接口/SD卡槽、CD机芯和收音机、蓝牙四种音源，CD播放和MP3播放共用一个通道输出，收音机、蓝牙共用一个通道输出。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3、CD采用高档吸入式机芯；收音机采用高灵敏度收音模块； 调频、调幅（AM/FM）立体声二波段接收可选，电台频率记忆存储可达99个。</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输入方式：具备有≥1路USB接口输入、≥1路收音FM信号输入、≥1路蓝牙无线输入，输出方式：≥1组5.1音频输出，≥1路立体声音频输出、≥1路同轴信号输出，≥1路光纤信号输出，≥1路HDMI信号输出，≥1路1路VGA信号输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5、带红外遥控功能，并能够独立遥控音量控制。</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前置放大器</w:t>
            </w:r>
          </w:p>
        </w:tc>
        <w:tc>
          <w:tcPr>
            <w:tcW w:w="986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1、具有5路话筒（MIC）输入，3路标准信号线路（AUX）输入，2路紧急线路（EMC）输入；</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2、第5个话筒（MIC5）具有最高优先、强行切入优先功能；MIC5和EMC最高优先权限功能可通过拔动开关交替选择；</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3、4路紧急输入线路具有二级优先，强行切入优先功能；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4、MIC1.2.3.4.5 和2路紧急输入（EMC）通道均附设有线路辅助输入接口功能；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5、具有默音深度调节旋钮和EMC输入增益调节旋钮。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6、具有20个音调调节旋钮，分别调节5路线路输入，5路话筒输入的高音和低音。（提供产品实物接口图佐证）</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IP音频采集器</w:t>
            </w:r>
          </w:p>
        </w:tc>
        <w:tc>
          <w:tcPr>
            <w:tcW w:w="986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1、将音频输入接口输入的音频编码为采样率≥48K的高品质音频流，并通过IP广播系统将音频流传送到指定的IP广播终端进行播放。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2、面板带USB接口、SD卡接口，支持MP3\WAV\WMA格式的音乐播放。带5个工业金属控制按键，支持播放\暂停、上一曲\下一曲、循环、音源模式切换等功能操作。支持红外遥控功能（遥控器选配）。</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3、面板带12个可定义的快捷键（提供实物前面板图），可将采集的信号快速的放给指定的区域或全区。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4、面板带双液晶显示屏。（提供实物前面板图）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5、受控电源接口≥6路。其中4路能分别与四组立体声线路输入对应；2路能在有采集任务是受控打开，外接其他扩展设备。</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6、φ6.35话筒接口≥2路。每路均带48V幻像电源开关，每路的高低音调节、音量调节单独可控；</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话筒2带默音调节功能；话筒1“想讲就讲”模式，话筒插入或开机，可快速实现全区讲话或语音广播。（提供国家省级或以上电子检测机构出具的检测报告，检测机构须通过“CMA”、“CNAS”、“ilac-MRA”认证资格；注：检测报告需佐证此参数，提供原件扫描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8、立体声信号输入≥4组，每一路的音量单独可调；四组线路输入可单独进行音采集，也可以选择音乐播放模块的信号、话筒信号与线路输入进行混音。</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9、信号输出≥2组，可连接有源监听音箱和外扩功放。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10、网络接口：标准RJ45；</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11、信噪比：≥70dB。</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寻呼话筒</w:t>
            </w:r>
          </w:p>
        </w:tc>
        <w:tc>
          <w:tcPr>
            <w:tcW w:w="986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1、采用话筒桌面式设计，带有7英寸显示屏，带触摸控制功能；显示屏自带数字键、功能键，支持通过触摸呼叫广播，支持呼叫分区及多个分区，呼叫全区广播；可支持10个按键自定义一键呼叫广播功能。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2、内置1路网络硬件音频解码模块，具有1路RJ45网络接口，100Mbps传输速率。</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3、支持监听任意终端功能，内置2W全频高保真扬声器，实现双向通话和网络监听。</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4、支持1路音频线路输入，支持采集播放功能；具有1路音频线路输出，可外接功率放大器。（提供设备线路输入与输出接口佐证图）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5、支持直接操作呼叫或对讲任意终端，支持通过话筒广播呼叫功能，广播延时低于100毫秒。</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6、支持多种呼叫策略，包括无响应转移、占线转移、关机转移；自动接听、手动接听，支持自定义接听提示音，支持转移时间、无人接听时间、呼叫等待时间自定义。</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7、具有1个3.5耳机接口、1路3.5话筒输入接口。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8、支持通过后台软件对终端进行远程固件升级。</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9、信噪比＞65dB，总偕波失真≤1%，LIEN OUT频率响应：80Hz～16KHz，输出电平：1000mV。</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消防联动采集器</w:t>
            </w:r>
          </w:p>
        </w:tc>
        <w:tc>
          <w:tcPr>
            <w:tcW w:w="986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1、标准机柜式设计，高档拉丝铝合金面板，网络接口：标准RJ45输入，支持协议：TCP/IP、UDP。</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2、设备采用嵌入式计算机技术和DSP音频处理技术设计。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3、支持16路消防短路信号输入接口（提供后台设置16路短路端口功能界面图佐证）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4、面板支持一键取消任务。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5、支持后台设置报警策略，可为每路短路信号输入端口配置报警策略，关联联动的终端及播放曲目等功能。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6、标配网络接口，全速率连接最高可达100M。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7、支持广播系统对终端进行远程固件升级，无需到终端本地升级，减轻维护人员工作强度。</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8、短路接口：工业标准压线接线端子。</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IP网络监听音箱</w:t>
            </w:r>
          </w:p>
        </w:tc>
        <w:tc>
          <w:tcPr>
            <w:tcW w:w="986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1、壁挂式音箱设计，箱体符合声音共振原理设计理念，设备采用嵌入式计算机技术和DSP音频处理技术设计。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2、网络接口：标准RJ45输入，音频格式：MP3，支持协议：TCP/IP，UDP，保护电路：过载、短路保护电路；</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3、内置1路网络硬件音频解码模块，支持TCP/IP、UDP，实现网络化传输16位CD音质的音频信号。</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4、内置2 x 20W（MAX）的双通道数字功率放大器，一路接主音箱，一路外接到副音箱；音质非常细腻，功率强劲；具有网络音量设置。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5、支持广播系统对终端进行远程固件升级，无需到终端本地升级，减轻维护人员工作强度。</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网络节目定时器</w:t>
            </w:r>
          </w:p>
        </w:tc>
        <w:tc>
          <w:tcPr>
            <w:tcW w:w="986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1、标准机柜式设计，支持16路电源输出。时序开关控制，顺序开启，反序关闭，最大用电量2500W。</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2、可按键单独开启和关闭每一路电源输出；一个RS232串口和两个RS422数据接口；根据任务需求自动打开和关闭，实现无人化自动值守。</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3、具备1路触发控制短路信号输出接口，可触发报警器等设备。</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4、设有短路触发输出接口，可控制十六位电源时序器开关，扩展定时电源插座。</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5、断电程序不丢失，来电自动恢复运行。</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广播机柜</w:t>
            </w:r>
          </w:p>
        </w:tc>
        <w:tc>
          <w:tcPr>
            <w:tcW w:w="9862"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42U，600*600*2000，符合ANSI/EIA RS-310-D、兼容ETSI标准；快开侧门，方便安装和维护；可拆散包装，体积仅为整柜体积的1/2～2/3，左右带门条的白色玻璃前门，钢板后门；可关闭的上部、下部多处走线通道，底部大走线孔尺寸可按需调整；SPCC优质冷轧钢板制作，立柱、托板1.5mm，前门1.2mm，其它1.0mm；表面处理：脱脂、酸洗、磷化、静电喷塑；承载：静载500KG，托板每层达到100KG；标准配置：2只散热风扇，2层托板，40套螺丝，插座1个；配4只脚轮。</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8"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（二）、前端设备（1F）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IP网络功放终端</w:t>
            </w:r>
          </w:p>
        </w:tc>
        <w:tc>
          <w:tcPr>
            <w:tcW w:w="986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1、标准1U高度机柜式设计；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2、具有两路AUX输入，每路输入具有音量控制旋钮；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3、具有1路话筒输入，话筒音量单独可调。</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4、具有网路输入口，实现网络解码功能。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5、具有1路录音输出，录音输出音量单独可调（提供音量调节开关截图）；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6、可输出定压70V/100V，定阻4-16Ω。</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7、具有总音量调整旋钮。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8、输出功率：≥80W。</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IP网络功放终端</w:t>
            </w:r>
          </w:p>
        </w:tc>
        <w:tc>
          <w:tcPr>
            <w:tcW w:w="986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1、内置1路网络硬件音频解码模块，具有1路RJ45网络接口，100Mbps传输速率。</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2、具有两路AUX输入，每路输入具有独立音量控制旋钮(提供产品实物接口图佐证）；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3、具有1路话筒输入，话筒音量支持独立可调。</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4、集成模拟功放，功率≥150W；支持定阻(4-16Ω)或定压（70V、100V）方式输出；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5、支持通过后台软件对终端进行远程固件升级。</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6、频率响应范围 200Hz~16KHz（+1/-5dB），谐波失真≤1%，信噪比＞65dB。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7、支持状态灯显示，包括电平指示灯、保护指示灯、待机指示灯等。</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天花喇叭</w:t>
            </w:r>
          </w:p>
        </w:tc>
        <w:tc>
          <w:tcPr>
            <w:tcW w:w="9862"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1、额定功率：(100V)1.5W,3W,6W；</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2、额定功率：(70V)0.75W,1.5W,3W；</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3、灵敏度)≥92dB；</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4、频率响应(-10dB)：110-18KHz；</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5、喇叭单元：5"×1。</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音柱</w:t>
            </w:r>
          </w:p>
        </w:tc>
        <w:tc>
          <w:tcPr>
            <w:tcW w:w="9862"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1、额定功率（100V）：10W,20W；</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2、额定功率（70V）：5W,10W；</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3、灵敏度≥86dB；</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4、频率响应：150-16KHz；</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5、喇叭单元：2.5"×4；</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6、防护等级：IP66。</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8"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（三）、前端设备（2F）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IP网络功放终端</w:t>
            </w:r>
          </w:p>
        </w:tc>
        <w:tc>
          <w:tcPr>
            <w:tcW w:w="986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1、标准1U高度机柜式设计；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2、具有两路AUX输入，每路输入具有音量控制旋钮；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3、具有1路话筒输入，话筒音量单独可调。</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4、具有网路输入口，实现网络解码功能。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5、具有1路录音输出，录音输出音量单独可调（提供音量调节开关截图）；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6、可输出定压70V/100V，定阻4-16Ω。</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7、具有总音量调整旋钮。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8、输出功率：≥80W。</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IP网络功放终端</w:t>
            </w:r>
          </w:p>
        </w:tc>
        <w:tc>
          <w:tcPr>
            <w:tcW w:w="986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1、标准1U高度机柜式设计；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2、具有两路AUX输入，每路输入具有音量控制旋钮；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3、具有1路话筒输入，话筒音量单独可调。</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4、具有网路输入口，实现网络解码功能。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5、具有1路录音输出，录音输出音量单独可调（提供音量调节开关截图）；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6、可输出定压70V/100V，定阻4-16Ω。</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7、具有总音量调整旋钮。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8、输出功率：≥80W。</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天花喇叭</w:t>
            </w:r>
          </w:p>
        </w:tc>
        <w:tc>
          <w:tcPr>
            <w:tcW w:w="9862"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1、额定功率：(100V)1.5W,3W,6W；</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2、额定功率：(70V)0.75W,1.5W,3W；</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3、灵敏度)≥92dB；</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4、频率响应(-10dB)：110-18KHz；</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5、喇叭单元：5"×1。</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8"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（四）、辅助材料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音频连接线</w:t>
            </w:r>
          </w:p>
        </w:tc>
        <w:tc>
          <w:tcPr>
            <w:tcW w:w="9862"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1.8米音频连接线：莲花（RCA）-莲花（RCA）</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音频连接线</w:t>
            </w:r>
          </w:p>
        </w:tc>
        <w:tc>
          <w:tcPr>
            <w:tcW w:w="9862"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1.8米音频连接线：3.5（耳机插头）-双莲花（RCA）</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六类网线</w:t>
            </w:r>
          </w:p>
        </w:tc>
        <w:tc>
          <w:tcPr>
            <w:tcW w:w="986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1、UTP Cat.6数据电缆，PVC、灰色；</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2、通过ANSI/TIA/EIA-568-C.2 250MHz带宽测试要求；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3、内部十字骨架设计，在分开线对时保证在使用和穿线过程线对位置，减少近端串扰损耗和保持了阻抗稳定；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4、单根导体直流电阻：≤9.0Ω/100m；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5、线对直流电阻不平衡：≤2.5%；</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6、线对对地电容不平衡：＜330pF/100m；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7、延迟偏差：≤45ns/100m；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8、额定传输速率(NVP)：68%；</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9、绝缘电阻: ≥5000MΩ/km +20℃ DC (100-500)；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10、导体材料：无氧圆铜（纯度99.99%）；</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11、线规：23AWG；</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12、护套护套材料:PVC；</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13、符合REACH、FCC、3P、ETL产品认证。</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室内喇叭线</w:t>
            </w:r>
          </w:p>
        </w:tc>
        <w:tc>
          <w:tcPr>
            <w:tcW w:w="9862"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纯铜电线电缆线 RVV2芯1.5平多芯控制护套线，黑色</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650</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电源线</w:t>
            </w:r>
          </w:p>
        </w:tc>
        <w:tc>
          <w:tcPr>
            <w:tcW w:w="9862"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电线电缆 国标纯铜环保 RVV3*1.5</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PVC管</w:t>
            </w:r>
          </w:p>
        </w:tc>
        <w:tc>
          <w:tcPr>
            <w:tcW w:w="9862"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白色线管A管DN25</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330</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134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其它辅助材料</w:t>
            </w:r>
          </w:p>
        </w:tc>
        <w:tc>
          <w:tcPr>
            <w:tcW w:w="9862"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绝缘胶布、排插等</w:t>
            </w:r>
          </w:p>
        </w:tc>
        <w:tc>
          <w:tcPr>
            <w:tcW w:w="71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r>
    </w:tbl>
    <w:p>
      <w:pPr>
        <w:widowControl/>
        <w:jc w:val="center"/>
        <w:textAlignment w:val="center"/>
        <w:rPr>
          <w:color w:val="auto"/>
          <w:sz w:val="20"/>
          <w:szCs w:val="20"/>
          <w:highlight w:val="none"/>
        </w:rPr>
      </w:pPr>
    </w:p>
    <w:p>
      <w:pPr>
        <w:pStyle w:val="5"/>
        <w:spacing w:line="240" w:lineRule="auto"/>
        <w:jc w:val="left"/>
        <w:rPr>
          <w:color w:val="auto"/>
          <w:sz w:val="20"/>
          <w:szCs w:val="20"/>
          <w:highlight w:val="none"/>
        </w:rPr>
      </w:pPr>
      <w:bookmarkStart w:id="25" w:name="_Toc90043581"/>
      <w:r>
        <w:rPr>
          <w:color w:val="auto"/>
          <w:sz w:val="20"/>
          <w:szCs w:val="20"/>
          <w:highlight w:val="none"/>
        </w:rPr>
        <w:t>7</w:t>
      </w:r>
      <w:r>
        <w:rPr>
          <w:rFonts w:hint="eastAsia"/>
          <w:color w:val="auto"/>
          <w:sz w:val="20"/>
          <w:szCs w:val="20"/>
          <w:highlight w:val="none"/>
        </w:rPr>
        <w:t>、报警系统</w:t>
      </w:r>
      <w:bookmarkEnd w:id="25"/>
    </w:p>
    <w:tbl>
      <w:tblPr>
        <w:tblStyle w:val="27"/>
        <w:tblW w:w="13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36"/>
        <w:gridCol w:w="9289"/>
        <w:gridCol w:w="811"/>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828"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636"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9289"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产品描述</w:t>
            </w:r>
          </w:p>
        </w:tc>
        <w:tc>
          <w:tcPr>
            <w:tcW w:w="811"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793"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357"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（一）、主控系统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控制键盘</w:t>
            </w:r>
          </w:p>
        </w:tc>
        <w:tc>
          <w:tcPr>
            <w:tcW w:w="9289"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1、LCD报警键盘；（可通过遥控器和刷卡布撤防） 连接到报警主机，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2、可以对报警主机进行操作和编程，通过指示灯和报警音提示报警；</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3、支持连接遥控器进行远程布撤防，支持双向遥控器，遥控器LED显示操作结果；</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4、键盘最多所能支持的无线遥控器数量由主机决定，最多支持32个遥控器；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5、支持刷卡布撤防，但刷卡不支持消警功能，卡片数量由主机限制，目前网络主机最大可添加32张卡片；</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6、主机状态指示灯：系统故障（橙色），网络链接状态（绿色），报警（红色），布撤防（蓝色），配置状态（红绿双色） 功能键：8个，工程、查询，旁路，一键，火警，紧急，左键，右键；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7、防拆功能：支持；与主机通讯：485；键盘警情输出：蜂鸣器；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8、功能特性：对主机编程、撤布防、消警、旁路/旁路恢复、工程测试、子系统操作、继电器操作、主机状态查询。</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主机备用电池</w:t>
            </w:r>
          </w:p>
        </w:tc>
        <w:tc>
          <w:tcPr>
            <w:tcW w:w="928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充电后备电池（12V7AH，报警主机专用），尺寸：151mm（长）*65mm（宽）*94mm（高），标准电压 12V，额定容量 7.0Ah</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紧急按钮</w:t>
            </w:r>
          </w:p>
        </w:tc>
        <w:tc>
          <w:tcPr>
            <w:tcW w:w="928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紧急按钮面板式（适合86底盒）钥匙复位,无钉孔</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声光报警</w:t>
            </w:r>
          </w:p>
        </w:tc>
        <w:tc>
          <w:tcPr>
            <w:tcW w:w="928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1、警号（红白色）；</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2、报警音量: 105dB at 30cm；</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3、防护等级：IP54，室外防水；</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4、内置水平仪，便于辅助安装；</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5、支持关闭报警声音输出，实现声光报警模式和光闪模式切换；</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6、工作湿度：10％～90％，工作温度：-20℃～＋60℃；</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7、功耗：静态功耗: 0.96W；</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8、报警功耗：2.7W；</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9、电源：DC 8~16V 0.22A Max。</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8防区报警控制主机</w:t>
            </w:r>
          </w:p>
        </w:tc>
        <w:tc>
          <w:tcPr>
            <w:tcW w:w="9289"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1、总线式网络报警主机，8个板载有线防区，可扩展至256个；</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2、4个板载触发器输出，可扩展至256个；</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3、支持8个无线485模块，每个模块可以连接8个无线探测器；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4、支持8000条报警事件记录，2000条操作日志和1500条管理记录，支持远程搜索查询事件日志；</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5、支持定时布撤防（日常计划、优先计划）；</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6、支持CID 报告，支持话机复用；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7、支持防区报警、系统状态事件联动输出，发生/恢复事件和时间可灵活配置；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8、支持32个LCD键盘包括1个全局键盘和31个子系统键盘；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9、支持外置蓄电池，蓄电池电压实时监测，主辅电源可自动切换；</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10、支持远程升级,远程导入导出配置参数；</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11、支持两条总线，总线无极性，支持手牵手总线拓扑，每条可达2400m（RVV2*1.5mm2）；</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12、用户：网络用户32个，包括管理员、操作员、安装员，制造商；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13、功耗：≤60W（负载供电≤40W）；</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14、电源：AC220V；</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15、工作温度：–10℃～+55℃；工作湿度：10％--90％。</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单防区地址模块</w:t>
            </w:r>
          </w:p>
        </w:tc>
        <w:tc>
          <w:tcPr>
            <w:tcW w:w="928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总线网络报警主机单防区扩展模块/1个扩展防区数/248最大级联数/0.8mA静态电流</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357"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（二）、电子围栏系统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控制器</w:t>
            </w:r>
          </w:p>
        </w:tc>
        <w:tc>
          <w:tcPr>
            <w:tcW w:w="9289"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每根合金线任意位置上测量电压为4.5KV—10KV的脉冲电压；能够检测出脉冲电子围栏前端每根金属导体断路、任意相邻两根导体断路的情况；报警输出端口符合GB12663-2001的规定；能够分辨出入侵报警盒设备故障报警；能够显示脉冲电子围栏前端每根金属导体实际运行的电压值；能具有通过通信网络远程开机、关机、布防、撤防等功能；应提供通信接口，并与智能控制终端或软件管理平台组成网络系统；</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2、报警响应时间调控；</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3、继电器报警输出时间可调控；</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4、内置拨码式单地址码模块，自带拨码开关，使用多防区时无须另外增加地址码模块，可以直接接入485总线与键盘通信。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5、前端探测围栏发生短路、断路时，主机能立即发出报警信号；</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6、脉冲间隔时间不大于1S；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7、脉冲持续时间≤0.1S；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8、每次脉冲输出能量≤5.0J；</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9、脉冲主机故障报警、防拆报警；</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10、静电放电抗干扰、电快速瞬变脉冲抗干扰、射频电磁场辐射抗干扰、电压暂降、短时中断和电压变化不误报不出现器件故障和损坏；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11、工作温度-25℃-+55℃，±2℃；工作湿度10%--90%；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12、供电电源AC90-240V，±10%，50HZ。</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4/6线通用中间杆</w:t>
            </w:r>
          </w:p>
        </w:tc>
        <w:tc>
          <w:tcPr>
            <w:tcW w:w="928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材质：软性玻璃纤维；6线，口径10mm，杆长850mm</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145</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4线中间杆附件包</w:t>
            </w:r>
          </w:p>
        </w:tc>
        <w:tc>
          <w:tcPr>
            <w:tcW w:w="928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含中间杆帽子（口径10）1个、中间杆绝缘子4个、中间杆底座（热镀锌）1个</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145</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4线承力杆经济型杆附件包</w:t>
            </w:r>
          </w:p>
        </w:tc>
        <w:tc>
          <w:tcPr>
            <w:tcW w:w="928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含4个终端杆绝缘子（套管型）；1个终端杆帽子（32口径）；1个承力杆底座（热镀锌）</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4线终端杆经济型附件包</w:t>
            </w:r>
          </w:p>
        </w:tc>
        <w:tc>
          <w:tcPr>
            <w:tcW w:w="928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含终端杆绝缘子（套管型）4只；终端杆帽子（32口径）1个；终端杆底座（热镀锌）1套；收紧器4个；线线连接器8个</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4线经济型通用杆850</w:t>
            </w:r>
          </w:p>
        </w:tc>
        <w:tc>
          <w:tcPr>
            <w:tcW w:w="928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4线经济型通用杆850；经济型通用终端、承力杆；材质：铝合金管；4线终端杆，直径32mm,2.0mm 厚，高度：850mm；表面处理：表面氧化；</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20#合金线</w:t>
            </w:r>
          </w:p>
        </w:tc>
        <w:tc>
          <w:tcPr>
            <w:tcW w:w="928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优良导电率，抗氧化、耐腐蚀,去火功能，多股，每100米一欧姆阻值，400m一盘</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20#合金线</w:t>
            </w:r>
          </w:p>
        </w:tc>
        <w:tc>
          <w:tcPr>
            <w:tcW w:w="928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优良导电率，抗氧化、耐腐蚀,去火功能，多股，每100米一欧姆阻值，100m一盘。</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高压绝缘导线</w:t>
            </w:r>
          </w:p>
        </w:tc>
        <w:tc>
          <w:tcPr>
            <w:tcW w:w="928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合金线为内芯/高压绝缘层抗脉冲电压&gt;10KV/考虑现场可能有出入口、或围墙不连续处，100米/盘</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警示牌</w:t>
            </w:r>
          </w:p>
        </w:tc>
        <w:tc>
          <w:tcPr>
            <w:tcW w:w="928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尺寸：100*200MM/采用稀土发光材料制造/在阴雨天气同样可吸光/双面印刷/夜光显示/每10米挂一块</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150</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电子围栏接地桩</w:t>
            </w:r>
          </w:p>
        </w:tc>
        <w:tc>
          <w:tcPr>
            <w:tcW w:w="928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可用于将电子围栏主机和避雷器的接地；角钢，厚度2mm，长1.5米</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声光报警器</w:t>
            </w:r>
          </w:p>
        </w:tc>
        <w:tc>
          <w:tcPr>
            <w:tcW w:w="928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(红/白双色外观),12VDC 压电警号,防火ABS阻燃外壳,声压(VDC)：108±3</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1636"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电子围栏控制键盘</w:t>
            </w:r>
          </w:p>
        </w:tc>
        <w:tc>
          <w:tcPr>
            <w:tcW w:w="928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LCD键盘主机一体化结构/40个485方式防区输入/8个独立子系统1个公共子系统/支持有线电话通讯方式/支持短信布撤防/支持定时任务（时控输出、定时撤布防）/支持软件可视化编程，配置数据导入导出</w:t>
            </w:r>
          </w:p>
        </w:tc>
        <w:tc>
          <w:tcPr>
            <w:tcW w:w="81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793"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bl>
    <w:p>
      <w:pPr>
        <w:jc w:val="center"/>
        <w:rPr>
          <w:rFonts w:ascii="宋体" w:hAnsi="宋体" w:cs="宋体"/>
          <w:color w:val="auto"/>
          <w:sz w:val="20"/>
          <w:szCs w:val="20"/>
          <w:highlight w:val="none"/>
        </w:rPr>
      </w:pPr>
    </w:p>
    <w:p>
      <w:pPr>
        <w:pStyle w:val="5"/>
        <w:spacing w:line="240" w:lineRule="auto"/>
        <w:jc w:val="left"/>
        <w:rPr>
          <w:color w:val="auto"/>
          <w:sz w:val="20"/>
          <w:szCs w:val="20"/>
          <w:highlight w:val="none"/>
        </w:rPr>
      </w:pPr>
      <w:bookmarkStart w:id="26" w:name="_Toc90043582"/>
      <w:r>
        <w:rPr>
          <w:color w:val="auto"/>
          <w:sz w:val="20"/>
          <w:szCs w:val="20"/>
          <w:highlight w:val="none"/>
        </w:rPr>
        <w:t>8</w:t>
      </w:r>
      <w:r>
        <w:rPr>
          <w:rFonts w:hint="eastAsia"/>
          <w:color w:val="auto"/>
          <w:sz w:val="20"/>
          <w:szCs w:val="20"/>
          <w:highlight w:val="none"/>
        </w:rPr>
        <w:t>、全息管理中心兼审讯指挥室</w:t>
      </w:r>
      <w:bookmarkEnd w:id="26"/>
    </w:p>
    <w:tbl>
      <w:tblPr>
        <w:tblStyle w:val="27"/>
        <w:tblW w:w="13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48"/>
        <w:gridCol w:w="9114"/>
        <w:gridCol w:w="967"/>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blHeader/>
          <w:jc w:val="center"/>
        </w:trPr>
        <w:tc>
          <w:tcPr>
            <w:tcW w:w="834"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648"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9114"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产品描述</w:t>
            </w:r>
          </w:p>
        </w:tc>
        <w:tc>
          <w:tcPr>
            <w:tcW w:w="967"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834"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97"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（一）、扩声系统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主音箱</w:t>
            </w:r>
          </w:p>
        </w:tc>
        <w:tc>
          <w:tcPr>
            <w:tcW w:w="911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1、1×10""低频驱动单元；</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2、1×1.34""钛膜高音单元，ABS号筒；</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3、额定功率不小于160W/8Ω；</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4、特性灵敏度不小于96dB/W/m（有效频率带通平均）；</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5、输出声压级不小于118dB(Continues)；124dB(Peak)；</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6、低频截止频率不高于：55Hz；高频截止频率不低于：20KHz；</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7、单只水平覆盖范围：90°；单只垂直覆盖范围：60°；</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8、为有效保证扬声器使用寿命，扬声器需具备权威机构所颁发的保护电子装置证明文件。</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音箱支架</w:t>
            </w:r>
          </w:p>
        </w:tc>
        <w:tc>
          <w:tcPr>
            <w:tcW w:w="911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整体伸缩长度：760mm~1260mm（每节增减50mm）</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角度调节：170度~370度（每孔位调节10度）</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专业功放</w:t>
            </w:r>
          </w:p>
        </w:tc>
        <w:tc>
          <w:tcPr>
            <w:tcW w:w="911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1、功放具备电网电路识别通断保护装置；直流风机智能温控装置；（提供由权威机构颁发的相关技术证明）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2、具备-4dB/0dB两档输入灵敏度选择模式；</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3、具有“地，悬空”选择开关。(提供选择开关截图）</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4、额定功率：2×250W/8Ω；</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5、频率响应(±1dB)：20Hz～20KHz；</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6、输入灵敏度(±0.5dB)：-4dB/0dB；</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7、输入阻抗：平衡20KΩ，非平衡10KΩ；</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8、总谐波失真(1KHz)：≤0.5%；</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9、信噪比(A计权)：≥94dB；</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吸顶扬声器</w:t>
            </w:r>
          </w:p>
        </w:tc>
        <w:tc>
          <w:tcPr>
            <w:tcW w:w="911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1、采用1只6.5寸中低音喇叭单元和1只1.5"球顶高音单元的同轴设计方案；</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2、采用吸顶安装方式，采用铁质网罩内贴防尘网棉。</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3、具有精确设计的分频器优化功率响应及人声部分的中频表现力。</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4、额定功率≥30W；</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5、阻抗：8Ω；</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6、灵敏度(1W/1M)≥92dB；</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7、频率响应(-10dB)：60Hz-20KHz；</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8、安装开孔尺寸：206mm。</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专业功放</w:t>
            </w:r>
          </w:p>
        </w:tc>
        <w:tc>
          <w:tcPr>
            <w:tcW w:w="911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1、风机温控强制散热，开机软启动，</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2、保护功能：具有宽电压自适应压缩装置；（提供由政府机构颁发的相关技术证明或自主产权证明）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3、具备-4dB/0dB两档输入灵敏度选择模式；（提供选择开关截图）</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4、具有“地，悬空”选择开关。</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5、额定功率：2×150W/8Ω；</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6、频率响应(±1dB)：20Hz～20KHz；</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7、输入灵敏度(±0.5dB)：-4dB/0dB；</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8、输入阻抗：平衡20KΩ，非平衡10KΩ；</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9、总谐波失真(1KHz)：≤0.5%；</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10、信噪比(A计权)：≥94dB。</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调音台</w:t>
            </w:r>
          </w:p>
        </w:tc>
        <w:tc>
          <w:tcPr>
            <w:tcW w:w="911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1、支持≥12路MIC输入兼容12路线路输入接口，≥4路RCA输入，12路独立话筒接口幻象电源：+48V。</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2、具有≥2组立体主输出、≥2路编组输出、≥2路辅助输出、≥1组立体声监听输出、≥1个耳机监听输出、≥99种效果输出。（提供产品实物接口截图佐证）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3、具备15个60mm行程的高精密碳膜推子。</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4、内置USB声卡模块，支持连接电脑进行音乐播放和声音录音；内置MP3播放器，支持1个USB接口接U盘播放音乐。</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5、频率响应：20Hz-20kHz，±2dB；失真度：&lt;0.03% at+0dB,22Hz-22KHz A-weighted；灵敏度：+21dB~-30dB；信噪比：&lt;-100dBr A-weighted。</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一拖二无线手持话筒</w:t>
            </w:r>
          </w:p>
        </w:tc>
        <w:tc>
          <w:tcPr>
            <w:tcW w:w="911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1、频率指标：UHF530-690.000MHZ；调制方式：宽带FM，频道数目：2000个频道。</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2、配套有1台接收主机和2个无线手持话筒。</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4、带8级射频电平显示，8级音频电平显示，频道菜单显示，静音显示；具有SCAN 自动扫频功能，使用前按SET功能键自动找一个环境最干净的频点处停下来，此频率作为接收机的使用频率。</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5、支持各频道可单独或混合输出，可切换两段输出的音量，具有MIC/LINE输出开关；支持天线环路输出功能，支持AC电源环路输出；（提供产品实物截图佐证）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6、接收机指标：采用二次变频超外差的接收机方式，灵敏度: 12dB μV（80dBS/N)，灵敏度调节范围:12-32dB μV，频率响应:70Hz-15KHz（±3dB）。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7、发射机指标：音头采用动圈式麦克风；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8、输出功率:3mW~30mW。</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话筒天线</w:t>
            </w:r>
          </w:p>
        </w:tc>
        <w:tc>
          <w:tcPr>
            <w:tcW w:w="911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1、采用专业UHF频段无线真分集接收机用的45度极化宽频全向天线，支持550MHz ~ 850MHz频率范围频段，具有8dBi的高指向特性的增益。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2、最大功率支持50W，半功率波瓣宽度：H:76°±5°，V:76°±5°，前后比≥23dB。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3、接头类型BNC，输入阻抗50Ω，雷电保护：直流接地DC。</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4、支持吸顶、壁挂、垂直安装方式。</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音频处理器</w:t>
            </w:r>
          </w:p>
        </w:tc>
        <w:tc>
          <w:tcPr>
            <w:tcW w:w="911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1、3进6出自由路由分配；</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2、DSP采样率：48KHz；量化深度：24bit；</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3、静音调节；增益调节：-80dB至+12dB；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4、延时调节：0ms-1200ms；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5、噪声门：-120dB至0dB；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6、输入输出最大电平：18.5dB；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7、信噪比：≥105dB；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8、高低通分频：19.7Hz-20.1KHz；滤波器类型：Linkwitz-Riley;Bessel;Butterworth；斜率：-12dB至-48dB（步进-6dB）；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9、输入不少于9段，输出不少于15段EQ；频率范围：19.7Hz-20.1KHz；增益范围：-20dB至+15dB；Q值范围：0.404-28.852；高低架斜率范围：6dB、12dB；类型：PEQ、高架、低架、一阶全通、二阶全通；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10、支持中控管理。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11、设置实时温度（影响声速从而影响延时的距离）（提供温度设置功能截图）；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12、不少于30个用户组；</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13、设备具有参数锁且可设置密码；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14、主界面显示两个通道的实时温度以及静音状态（提供界面显示功能截图）；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15、全中文界面。</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电源管理器</w:t>
            </w:r>
          </w:p>
        </w:tc>
        <w:tc>
          <w:tcPr>
            <w:tcW w:w="911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1、2吋液晶显示窗，实时显示当前电压、日期时间，通道开关状态；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2、支持定时开关机功能，内置时钟芯片；</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3、支持设置通道延时开启和关闭，设置范围：0~999S）；（提供设置界面截图）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4、不少于8组设备开关场景数据保存/调用；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5、具备欠压、超压检测及报警功能；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6、支持多台设备级联控制，级联状态可自动检测及设置；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7、配置RS232串口，支持外部中央控制设备控制；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8、可支持设备编码ID检测和设置；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9、支持面板Lock锁定功能；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10、电源总功率：交流220V/30A；</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11、电源通道数量:8路可控电源，2路长通电源。</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12、每路动作延时时间:0～999秒；</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13、单通道最大输出电流：13A；</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14、最大电源总功率:30A；</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15、提供国家省级或以上电子检测机构出具的检测报告，检测机构须通过“CMA”、“CNAS”、“iiac-MRA”认证资格。</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97"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（二）、数字会议系统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64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数字会议系统主机</w:t>
            </w:r>
          </w:p>
        </w:tc>
        <w:tc>
          <w:tcPr>
            <w:tcW w:w="911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1、支持多种会议模式:自由讨论、轮替发言、限制发言、主席优先等；</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2、四组8P-DIN输出线，与单元手拉手连接；</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3、系统单路可控制35只列席单元，单台最可连接60只列席单元；</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4、面板具有数码显示和多种工作模式调节及指示灯；</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5、设有高、中、低音均衡调节电路，独立调整系统音质；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6、具有平衡线路输出接口及不平衡输出接口以适应各种设备连接方式；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7、双重锁扣式“T”型连接盒，系统可靠；</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8、频率响应：100Hz—13KHz；功率消耗:115W；总谐波失真：≤0.15%；工作电压：AC220V-240V/50Hz-60Hz。</w:t>
            </w:r>
          </w:p>
        </w:tc>
        <w:tc>
          <w:tcPr>
            <w:tcW w:w="96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3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64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主席发言单元</w:t>
            </w:r>
          </w:p>
        </w:tc>
        <w:tc>
          <w:tcPr>
            <w:tcW w:w="911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1、抗电磁及RF射频干扰，高灵敏度电容咪，长距离拾音；</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2、麦克风单元环形红色光环指示，主席单元具有强制切断客席发言优先功能、优先提示音，可选择开启或者关闭，单元具备讲话者不发言自动关机功能；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3、主席单元个数不受限制，可置于回路中任意位置；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4、全数控化设计，单元由系统主机供电，工作电压为DC18V；</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5、稳定可靠的纸质桌牌功能（144×61mm），指示发言者姓名；</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6、单元输出连接线角度及方向可调角度，适用于不同类型的会议桌安装；</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7、配备一条1.5m8p连接线，同分线盒连接；</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8、技术参数：工作电压：DC18V（由主机提供）；频率响应：100Hz—13KHz；灵敏度：-44dB±2dB；参考讲话距离：20—60cm；连接方法：“T”型连接盒及8芯专用连接线缆；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9、提供国家省级或以上电子检测机构出具的检测报告，检测机构须通过“CMA”、“CNAS”、“iiac-MRA”认证资格。</w:t>
            </w:r>
          </w:p>
        </w:tc>
        <w:tc>
          <w:tcPr>
            <w:tcW w:w="96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3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64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代表发言单元</w:t>
            </w:r>
          </w:p>
        </w:tc>
        <w:tc>
          <w:tcPr>
            <w:tcW w:w="911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1、抗电磁及RF射频干扰，高灵敏度电容咪，长距离拾音；</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2、麦克风单元环形红色光环指示；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3、单元讲话者不发言自动关机功能；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4、单元具有纸质桌牌放置结构，可放入纸质桌牌（提供省级以上第三方检测报告复印件）；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5、单元输出连接线角度及方向可调角度，适用于不同类型的会议桌安装；</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6、技术参数：工作电压：DC18V（由主机提供）；频率响应：100Hz—13KHz；灵敏度：-44dB±2dB；参考讲话距离：20—60cm；连接方法：“T”型连接盒及8芯专用连接线缆。</w:t>
            </w:r>
          </w:p>
        </w:tc>
        <w:tc>
          <w:tcPr>
            <w:tcW w:w="96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83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64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专业延长电缆</w:t>
            </w:r>
          </w:p>
        </w:tc>
        <w:tc>
          <w:tcPr>
            <w:tcW w:w="911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8针专用线,20米，主控机到第一个话筒单元的连接线及话筒单元之间的延长连接线</w:t>
            </w:r>
          </w:p>
        </w:tc>
        <w:tc>
          <w:tcPr>
            <w:tcW w:w="96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3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648"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数字会议专用接线盒</w:t>
            </w:r>
          </w:p>
        </w:tc>
        <w:tc>
          <w:tcPr>
            <w:tcW w:w="911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专用接线盒</w:t>
            </w:r>
          </w:p>
        </w:tc>
        <w:tc>
          <w:tcPr>
            <w:tcW w:w="967"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3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97"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（三）、视频显示系统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9"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P1.5小间距全彩LED屏</w:t>
            </w:r>
          </w:p>
        </w:tc>
        <w:tc>
          <w:tcPr>
            <w:tcW w:w="911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1、像素间距1.53mm；显示尺寸：7.2m（长）*2.6m（高）；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2、模组尺寸320*160mm；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w:t>
            </w:r>
            <w:r>
              <w:rPr>
                <w:rFonts w:hint="eastAsia" w:ascii="宋体" w:hAnsi="宋体" w:cs="宋体"/>
                <w:color w:val="auto"/>
                <w:kern w:val="0"/>
                <w:sz w:val="20"/>
                <w:szCs w:val="20"/>
                <w:highlight w:val="none"/>
              </w:rPr>
              <w:t>铝底壳工艺，模组iCool立体散热（提供CNAS认可实验室出具的检测报告）；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4、模组平整度：≤0.15mm；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5、模组电源接口采用4P接插头，免工具维护，同时有防呆设计，预防接错电源线短路而导致的烧毁模组行为；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6、单点亮度校正，通过调整流入每个LED的电流控制像素亮度，从而实现整屏一致的亮度；</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7、为保证整屏的平整度，模组机械强度≥5MP （提供CNAS认可实验室出具的检测报告）；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8、可采用方通背条和箱体结构等多种安装方式，不受安装环境限制；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9、智能除湿功能，通过预热灯珠，蒸发掉灯珠内部湿气；</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10、采用抗消隐设计，无“毛毛虫”“鬼影”跟随现象；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11、具备单模数据组存储功能，校正数据自动回读技术；</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12、白平衡亮度≥450cd/㎡；</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13、色温可调范围：3000k~15000k，并可自定义色温值。</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14、对比度5000:1；</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15、视角：水平视角≥160°，垂直视角≥140°；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16、刷新频率≥3840HZ；</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17、峰值功耗≤440W/㎡、平均功耗≤146W/㎡；</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18、寿命典型值≥100000小时、平均无故障时间≥100000小时；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光生物安全测试：皮肤和眼睛的光化学紫外危害曝辐射值、眼睛的近紫外危害曝辐射值、宽波段的光源对视网膜危害，蓝光对皮肤表面及角膜和视网膜的曝辐射值、眼睛的红外辐射危害曝辐射值、皮肤热危害曝辐射值检测均无危害；</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20、人眼视觉舒适度指数低于2.0；去除100%紫外线，消除80%摩尔纹（提供CNAS认可实验室出具的检测报告）；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21、显示屏生产厂家提供中国质量检验协会出具的“全国质量诚信标杆企业”证书和守合同重信用企业证书（提供证书复印件）。</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18.72</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高清信号接收卡</w:t>
            </w:r>
          </w:p>
        </w:tc>
        <w:tc>
          <w:tcPr>
            <w:tcW w:w="911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1、灵活带载，单卡支持8组、16、24组数据输出模式；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2、无需转接板，单卡自带6个HUB320  16P接口，更加稳定；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3、单卡带载像素256*512；</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4、支持逐点亮色度校正，可以对每个灯点的亮度和色度进行校正，有效消除色差，使整屏的亮度和色度达到高度均匀一致，提高显示屏的画质；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5、快速亮暗线调节在调试软件上进行快速亮暗线调节，快速解决因箱体及模组拼接造成的显示屏亮暗线，调节过程中即时生效，简单易用。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6、配合支持 3D 功能的独立主控，在软件或独立主控的操作面板上开启 3D 功能，并设置 3D 参数，使画面显示 3D 效果。</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7、可以将指定图片设置为显示屏的开机、网线断开或无视频源信号时的画面或者最后一帧画面。</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85</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高清信号发送盒</w:t>
            </w:r>
          </w:p>
        </w:tc>
        <w:tc>
          <w:tcPr>
            <w:tcW w:w="911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1、完备的输入接口，包括1路DP1.2，4路DVI。</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2、支持16路千兆网口和4路光纤口输出。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3、可支持2D与3D一键切换功能。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4、4K输入下，支持单台最大带载3840x2160@60Hz。</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5、4路DVI输入，最大带载能力：920万像素点。</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6、采用创新型架构，实现智能配置，极大缩短舞台准备时间。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7、采用 G4引擎，画面稳定无闪烁、无扫描线、图像细腻、层次感好。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8、支持新一代逐点校正技术，校正过程快速高效。</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9、根据显示屏所用LED的不同特性，实现白平衡校准及色域匹配，确保色彩真实还原。</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10、无需电脑，随时配屏。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11、手动调节显示屏亮度，方便快捷。</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12、支持逐点亮色度校正技术，校正过程快速高效，支持直接现场校正。</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专用软件</w:t>
            </w:r>
          </w:p>
        </w:tc>
        <w:tc>
          <w:tcPr>
            <w:tcW w:w="911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配套，LED显示系统专用软件；</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视频处理器</w:t>
            </w:r>
          </w:p>
        </w:tc>
        <w:tc>
          <w:tcPr>
            <w:tcW w:w="911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1、输入：12路HDMI ，输出：12路DVI；纯硬件模块化插卡式设计，输入卡、输出卡、切换卡、控制卡、风扇、电源等全部采用模块化设计，支持热插拔功能；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2、支持设置 2000 个用户场景，场景可以设置为图片或视频，场景切换支持淡入淡出、直切效果，场景调取响应速度不大于 60ms；(提供公安部安全与警用电子产品质量检测中心出具的检测报告）；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3、支持在 Windows、麒麟、 iOS、 Android、 Linux 操作系统访问设备及交互操作（提供公安部安全与警用电子产品质量检测中心出具的检测报告）；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4、便于日后系统的升级和维护，要求与LED显示系统同一品牌。</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配电系统</w:t>
            </w:r>
          </w:p>
        </w:tc>
        <w:tc>
          <w:tcPr>
            <w:tcW w:w="911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220KW，采用三相五线制供电，配电系统保证三相平衡，尽量减少对电网的冲击影响；同时还应配备过流、短路、断路、过压、欠压、温度过高等保护措施，以及相应的故障指示装置，具有PLC远程控制功能。要求与LED显示系统同一品牌；</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钢结构及装饰包边</w:t>
            </w:r>
          </w:p>
        </w:tc>
        <w:tc>
          <w:tcPr>
            <w:tcW w:w="911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国标20*40方管，钢结构及金属收边</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18.72</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75寸电视机</w:t>
            </w:r>
          </w:p>
        </w:tc>
        <w:tc>
          <w:tcPr>
            <w:tcW w:w="911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75英寸4K超高清LED电视，支持语音或蓝牙遥控，Android操作系统，支持HDMI输入接口</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97"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（四）、控制系统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16进16出矩阵                                                                                                                                                                              </w:t>
            </w:r>
          </w:p>
        </w:tc>
        <w:tc>
          <w:tcPr>
            <w:tcW w:w="911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1、高清HDMI矩阵，标准机架设计，高度为1U；</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2、支持16路HDMI输入，16路HDMI输出，输入输出均支持HDMI1.4a协议，分辨率可达4K@30HZ、1080@120HZ；</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3、每路输入接口均支持HDCP解析、支持EDID透传和学习；</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4、采用水晶可视化按键设计，指示灯具备低亮、闪烁、高亮状态指示；通过指示灯状态即可判定单路输入或者输出具备就绪、无信号、信号连接正常等状态（提供产品面板实物图佐证）；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5、支持可视化按键、RS-232、TCP/IP以及遥控多种控制方式；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6、前面板LCD显示屏能够实时显示矩阵信号切换状态及系统配置；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7、采用ESD静电防护设计，能承受人体放电模式:  ± 8kV (气隙放电)，± 4kV (接触放电)，有效地避免了静电对设备的干扰及损害；</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8、采用航空式螺旋电源接口，为电源的稳定性保驾护航；</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9、提供国家省级或以上电子检测机构出具的检测报告，检测机构须通过“MA”、“CNAS”、“ilac-MRA”认证资格并加盖章印；注：检测报告需对应投标产品参数。</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高清线</w:t>
            </w:r>
          </w:p>
        </w:tc>
        <w:tc>
          <w:tcPr>
            <w:tcW w:w="911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15M/20M</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4"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远程视频会议一体式终端</w:t>
            </w:r>
          </w:p>
        </w:tc>
        <w:tc>
          <w:tcPr>
            <w:tcW w:w="911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、采用嵌入式硬件一体化结构，内置1080p高清摄像头，部署便捷。</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r>
              <w:rPr>
                <w:rFonts w:ascii="宋体" w:hAnsi="宋体" w:cs="宋体"/>
                <w:color w:val="auto"/>
                <w:kern w:val="0"/>
                <w:sz w:val="20"/>
                <w:szCs w:val="20"/>
                <w:highlight w:val="none"/>
              </w:rPr>
              <w:t>、会议速率支持128Kbps—8Mbps。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、支持ITU-T H.323和IETF SIP通信标准。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r>
              <w:rPr>
                <w:rFonts w:ascii="宋体" w:hAnsi="宋体" w:cs="宋体"/>
                <w:color w:val="auto"/>
                <w:kern w:val="0"/>
                <w:sz w:val="20"/>
                <w:szCs w:val="20"/>
                <w:highlight w:val="none"/>
              </w:rPr>
              <w:t>、支持H.263、H.264、H.264 High Profile、MPEG4等视频编解码协议。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r>
              <w:rPr>
                <w:rFonts w:ascii="宋体" w:hAnsi="宋体" w:cs="宋体"/>
                <w:color w:val="auto"/>
                <w:kern w:val="0"/>
                <w:sz w:val="20"/>
                <w:szCs w:val="20"/>
                <w:highlight w:val="none"/>
              </w:rPr>
              <w:t>、支持G.711、G.722、G.728、G.722.1AnnexC、G.719、MPEG4-AAC LC/LD等音频协议，可达到20KHz以上的宽频效果。</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r>
              <w:rPr>
                <w:rFonts w:ascii="宋体" w:hAnsi="宋体" w:cs="宋体"/>
                <w:color w:val="auto"/>
                <w:kern w:val="0"/>
                <w:sz w:val="20"/>
                <w:szCs w:val="20"/>
                <w:highlight w:val="none"/>
              </w:rPr>
              <w:t>、支持H.239标准双流协议。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r>
              <w:rPr>
                <w:rFonts w:ascii="宋体" w:hAnsi="宋体" w:cs="宋体"/>
                <w:color w:val="auto"/>
                <w:kern w:val="0"/>
                <w:sz w:val="20"/>
                <w:szCs w:val="20"/>
                <w:highlight w:val="none"/>
              </w:rPr>
              <w:t>、内置高清PTZ摄像机，支持12倍光学变焦，支持不小于72°水平广角视野，水平转动角度不小于±100°、垂直不小于±30°</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r>
              <w:rPr>
                <w:rFonts w:ascii="宋体" w:hAnsi="宋体" w:cs="宋体"/>
                <w:color w:val="auto"/>
                <w:kern w:val="0"/>
                <w:sz w:val="20"/>
                <w:szCs w:val="20"/>
                <w:highlight w:val="none"/>
              </w:rPr>
              <w:t>、除内置摄像机外，还需独立提供不少于1路视频输入、2路视频输出接口、1路10/100M以太网接口，不得采用私有非标接口或转接线缆实现。</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r>
              <w:rPr>
                <w:rFonts w:ascii="宋体" w:hAnsi="宋体" w:cs="宋体"/>
                <w:color w:val="auto"/>
                <w:kern w:val="0"/>
                <w:sz w:val="20"/>
                <w:szCs w:val="20"/>
                <w:highlight w:val="none"/>
              </w:rPr>
              <w:t>、支持1080p60高清视频解码、支持1080p30高清视频编码，并向下兼容4CIF、CIF标清图像格式。</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0</w:t>
            </w:r>
            <w:r>
              <w:rPr>
                <w:rFonts w:ascii="宋体" w:hAnsi="宋体" w:cs="宋体"/>
                <w:color w:val="auto"/>
                <w:kern w:val="0"/>
                <w:sz w:val="20"/>
                <w:szCs w:val="20"/>
                <w:highlight w:val="none"/>
              </w:rPr>
              <w:t>、支持动态图像双流和PC图像双流两种功能，在保证主流视频1080p30fps前提下，第二路视频流不低于1080p30fps。</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、支持申请发言、申请主席等功能，主席终端可广播发言会场、视频选看、控制远端摄像机、邀请终端入会、强制终端退会、结束会议等功能。</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2</w:t>
            </w:r>
            <w:r>
              <w:rPr>
                <w:rFonts w:ascii="宋体" w:hAnsi="宋体" w:cs="宋体"/>
                <w:color w:val="auto"/>
                <w:kern w:val="0"/>
                <w:sz w:val="20"/>
                <w:szCs w:val="20"/>
                <w:highlight w:val="none"/>
              </w:rPr>
              <w:t>、支持在终端控制软件对本地和远端会场图像进行实时监控及预览。</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、终端注册平台后，可实时获取当前已建的会议室列表及状态，可以直接选择需要参加的虚拟会议室参加入会</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4</w:t>
            </w:r>
            <w:r>
              <w:rPr>
                <w:rFonts w:ascii="宋体" w:hAnsi="宋体" w:cs="宋体"/>
                <w:color w:val="auto"/>
                <w:kern w:val="0"/>
                <w:sz w:val="20"/>
                <w:szCs w:val="20"/>
                <w:highlight w:val="none"/>
              </w:rPr>
              <w:t>、终端可通过云端模板创建会议，支持修改、保存成定制模板</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5</w:t>
            </w:r>
            <w:r>
              <w:rPr>
                <w:rFonts w:ascii="宋体" w:hAnsi="宋体" w:cs="宋体"/>
                <w:color w:val="auto"/>
                <w:kern w:val="0"/>
                <w:sz w:val="20"/>
                <w:szCs w:val="20"/>
                <w:highlight w:val="none"/>
              </w:rPr>
              <w:t>、终端在空闲状态下，与外置的数字录像点播服务器配合，支持终端点播功能。</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6</w:t>
            </w:r>
            <w:r>
              <w:rPr>
                <w:rFonts w:ascii="宋体" w:hAnsi="宋体" w:cs="宋体"/>
                <w:color w:val="auto"/>
                <w:kern w:val="0"/>
                <w:sz w:val="20"/>
                <w:szCs w:val="20"/>
                <w:highlight w:val="none"/>
              </w:rPr>
              <w:t>、具有基本的系统检测诊断功能，包括呼叫状态显示、网络信息统计、本端音视频自环测试、日志、远程升级维护等功能。</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7</w:t>
            </w:r>
            <w:r>
              <w:rPr>
                <w:rFonts w:ascii="宋体" w:hAnsi="宋体" w:cs="宋体"/>
                <w:color w:val="auto"/>
                <w:kern w:val="0"/>
                <w:sz w:val="20"/>
                <w:szCs w:val="20"/>
                <w:highlight w:val="none"/>
              </w:rPr>
              <w:t>、终端自带电源开关按键，可一键打开或关闭终端电源。</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8</w:t>
            </w:r>
            <w:r>
              <w:rPr>
                <w:rFonts w:ascii="宋体" w:hAnsi="宋体" w:cs="宋体"/>
                <w:color w:val="auto"/>
                <w:kern w:val="0"/>
                <w:sz w:val="20"/>
                <w:szCs w:val="20"/>
                <w:highlight w:val="none"/>
              </w:rPr>
              <w:t>、具备较强的网络抗丢包能力，在IP网络达到12%丢包时声音清晰、图像流畅、无马赛克，25%的丢包率情况下会议仍可进行。</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r>
              <w:rPr>
                <w:rFonts w:ascii="宋体" w:hAnsi="宋体" w:cs="宋体"/>
                <w:color w:val="auto"/>
                <w:kern w:val="0"/>
                <w:sz w:val="20"/>
                <w:szCs w:val="20"/>
                <w:highlight w:val="none"/>
              </w:rPr>
              <w:t>、提供产品3C认证、电信设备入网证。</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97"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（五）、辅助材料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机柜</w:t>
            </w:r>
          </w:p>
        </w:tc>
        <w:tc>
          <w:tcPr>
            <w:tcW w:w="911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42U，600*800*2000，符合ANSI/EIA RS-310-D、兼容ETSI标准；快开侧门，方便安装和维护；可拆散包装，体积仅为整柜体积的1/2～2/3，左右带门条的白色玻璃前门，钢板后门；可关闭的上部、下部多处走线通道，底部大走线孔尺寸可按需调整；SPCC优质冷轧钢板制作，立柱、托板1.5mm，前门1.2mm，其它1.0mm；表面处理：脱脂、酸洗、磷化、静电喷塑；承载：静载500KG，托板每层达到100KG；标准配置：2只散热风扇，2层托板，40套螺丝，插座1个；配4只脚轮。</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27</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交换机</w:t>
            </w:r>
          </w:p>
        </w:tc>
        <w:tc>
          <w:tcPr>
            <w:tcW w:w="9114"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1、交换容量≥432Gbps, 包转发率≥85Mpps（以官网低指标为准，官网参数若标注为交换容量“A/B”，以A/B中更小值为准）；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2、千兆电口≥48个,千兆光口≥4个；</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3、支持IPv4静态路由、RIP V1/V2、OSPF；支持IPv6静态路由、RIPng、OSPF v3；</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4、可配合上端管理设备，实现整网拓扑可视，实现在网络设备上对整网交换机的统一管理，无需再额外配置网管平台，提供官方清晰截图证明；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5、支持IRF本地负载分担，流量可以均匀负载分担到各个堆叠链路，要求提供权威机构颁发的第三方测试报告；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6、支持Smartlink，收敛时间≤50m s，要求提供权威机构颁发的第三方测试报告；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7、整机提供ACl条目数不小于1K条，支持出方向ACL，以便于灵活实现数据包过滤；要求提供权威机构颁发的第三方测试报告。</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桌插</w:t>
            </w:r>
          </w:p>
        </w:tc>
        <w:tc>
          <w:tcPr>
            <w:tcW w:w="911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1、插座采用全铝结构，信息模块接口采用标准模块。</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2、弹起式桌面插座，支持45°仰角，符合工程学原理角度。</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3、具有1个功能按键，支持自定义按键的功能，搭配中控矩阵使用可实现视频切换、搭配中控系统支持扩展场景调用功能、搭配中控会议系统实现会议系统电源开启关闭功能等。</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4、配置接口：1个多功能电源接口、2个RJ45网络、1个3.5音频、1个HDMI高清视频接口、一个功能按键。</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29</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音频连接线</w:t>
            </w:r>
          </w:p>
        </w:tc>
        <w:tc>
          <w:tcPr>
            <w:tcW w:w="911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1.8米音频连接线：卡侬头（母）-卡侬头（公）</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音频连接线</w:t>
            </w:r>
          </w:p>
        </w:tc>
        <w:tc>
          <w:tcPr>
            <w:tcW w:w="911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1.8米音频连接线：莲花（RCA）-6.35话筒插头</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31</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音频连接线</w:t>
            </w:r>
          </w:p>
        </w:tc>
        <w:tc>
          <w:tcPr>
            <w:tcW w:w="911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1.8米音频连接线：6.35话筒插头-卡侬头（公）</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音频连接线</w:t>
            </w:r>
          </w:p>
        </w:tc>
        <w:tc>
          <w:tcPr>
            <w:tcW w:w="911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1.8米音频连接线：3.5（耳机插头）-6.35话筒插头</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33</w:t>
            </w:r>
          </w:p>
        </w:tc>
        <w:tc>
          <w:tcPr>
            <w:tcW w:w="164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音频连接线</w:t>
            </w:r>
          </w:p>
        </w:tc>
        <w:tc>
          <w:tcPr>
            <w:tcW w:w="9114"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1.8米音频连接线：3.5（耳机插头）-双6.35话筒插头</w:t>
            </w:r>
          </w:p>
        </w:tc>
        <w:tc>
          <w:tcPr>
            <w:tcW w:w="967"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bl>
    <w:p>
      <w:pPr>
        <w:jc w:val="center"/>
        <w:rPr>
          <w:rFonts w:ascii="宋体" w:hAnsi="宋体" w:cs="宋体"/>
          <w:color w:val="auto"/>
          <w:sz w:val="20"/>
          <w:szCs w:val="20"/>
          <w:highlight w:val="none"/>
        </w:rPr>
      </w:pPr>
    </w:p>
    <w:p>
      <w:pPr>
        <w:pStyle w:val="5"/>
        <w:spacing w:line="240" w:lineRule="auto"/>
        <w:jc w:val="left"/>
        <w:rPr>
          <w:color w:val="auto"/>
          <w:sz w:val="20"/>
          <w:szCs w:val="20"/>
          <w:highlight w:val="none"/>
        </w:rPr>
      </w:pPr>
      <w:bookmarkStart w:id="27" w:name="_Toc90043583"/>
      <w:r>
        <w:rPr>
          <w:color w:val="auto"/>
          <w:sz w:val="20"/>
          <w:szCs w:val="20"/>
          <w:highlight w:val="none"/>
        </w:rPr>
        <w:t>9</w:t>
      </w:r>
      <w:r>
        <w:rPr>
          <w:rFonts w:hint="eastAsia"/>
          <w:color w:val="auto"/>
          <w:sz w:val="20"/>
          <w:szCs w:val="20"/>
          <w:highlight w:val="none"/>
        </w:rPr>
        <w:t>、会议系统</w:t>
      </w:r>
      <w:bookmarkEnd w:id="27"/>
    </w:p>
    <w:tbl>
      <w:tblPr>
        <w:tblStyle w:val="27"/>
        <w:tblW w:w="13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834"/>
        <w:gridCol w:w="9252"/>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blHeader/>
          <w:jc w:val="center"/>
        </w:trPr>
        <w:tc>
          <w:tcPr>
            <w:tcW w:w="832"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834"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9252"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产品描述</w:t>
            </w:r>
          </w:p>
        </w:tc>
        <w:tc>
          <w:tcPr>
            <w:tcW w:w="750"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750"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418"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（一）、扩声系统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专业功放</w:t>
            </w:r>
          </w:p>
        </w:tc>
        <w:tc>
          <w:tcPr>
            <w:tcW w:w="9252"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1、风机温控强制散热，开机软启动，</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2、保护功能：具有宽电压自适应压缩装置；（提供由政府机构颁发的相关技术证明或自主产权证明）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3、具备-4dB/0dB两档输入灵敏度选择模式；（提供选择开关截图）</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4、具有“地，悬空”选择开关。</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5、额定功率：2×150W/8Ω；</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6、频率响应(±1dB)：20Hz～20KHz；</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7、输入灵敏度(±0.5dB)：-4dB/0dB；</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8、输入阻抗：平衡20KΩ，非平衡10KΩ；</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9、总谐波失真(1KHz)：≤0.5%；</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10、信噪比(A计权)：≥94dB。</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专业音箱</w:t>
            </w:r>
          </w:p>
        </w:tc>
        <w:tc>
          <w:tcPr>
            <w:tcW w:w="925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1、阻抗：8Ω；</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2、频响：65Hz~20KHz；</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3、额定功率：100W；</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4、灵敏度：95dB/W/M-GH；</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5、覆盖角度：(H)80°(V)60°；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6、高音：3"锥形高音单元×2；</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7、低音：8"低音×1。</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音箱支架</w:t>
            </w:r>
          </w:p>
        </w:tc>
        <w:tc>
          <w:tcPr>
            <w:tcW w:w="9252"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固定面板孔位尺寸（长*宽）： 140mm*65mm</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箱体固定面板孔位尺寸（长*宽）： 128mm*70mm</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设备面板尺寸：160mm*90mm</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调音台</w:t>
            </w:r>
          </w:p>
        </w:tc>
        <w:tc>
          <w:tcPr>
            <w:tcW w:w="925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1、支持≥12路MIC输入兼容12路线路输入接口，≥4路RCA输入，12路独立话筒接口幻象电源：+48V。</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2、具有≥2组立体主输出、≥2路编组输出、≥2路辅助输出、≥1组立体声监听输出、≥1个耳机监听输出、≥99种效果输出。（提供产品实物接口截图佐证）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3、具备15个60mm行程的高精密碳膜推子。</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4、内置USB声卡模块，支持连接电脑进行音乐播放和声音录音；内置MP3播放器，支持1个USB接口接U盘播放音乐。</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5、频率响应：20Hz-20kHz，±2dB；失真度：&lt;0.03% at+0dB,22Hz-22KHz A-weighted；灵敏度：+21dB~-30dB；信噪比：&lt;-100dBr A-weighted。</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一拖二无线手持话筒</w:t>
            </w:r>
          </w:p>
        </w:tc>
        <w:tc>
          <w:tcPr>
            <w:tcW w:w="925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1、频率指标：UHF530-690.000MHZ；调制方式：宽带FM，频道数目：2000个频道。</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2、配套有1台接收主机和2个无线手持话筒。</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4、带8级射频电平显示，8级音频电平显示，频道菜单显示，静音显示；具有SCAN 自动扫频功能，使用前按SET功能键自动找一个环境最干净的频点处停下来，此频率作为接收机的使用频率。</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5、支持各频道可单独或混合输出，可切换两段输出的音量，具有MIC/LINE输出开关；支持天线环路输出功能，支持AC电源环路输出；（提供产品实物截图佐证）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6、接收机指标：采用二次变频超外差的接收机方式，灵敏度: 12dB μV（80dBS/N)，灵敏度调节范围:12-32dB μV，频率响应:70Hz-15KHz（±3dB）。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7、发射机指标：音头采用动圈式麦克风；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8、输出功率:3mW~30mW。</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话筒天线</w:t>
            </w:r>
          </w:p>
        </w:tc>
        <w:tc>
          <w:tcPr>
            <w:tcW w:w="925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1、采用专业UHF频段无线真分集接收机用的45度极化宽频全向天线，支持550MHz ~ 850MHz频率范围频段，具有8dBi的高指向特性的增益。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2、最大功率支持50W，半功率波瓣宽度：H:76°±5°，V:76°±5°，前后比≥23dB。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3、接头类型BNC，输入阻抗50Ω，雷电保护：直流接地DC。</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4、支持吸顶、壁挂、垂直安装方式。</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音频处理器</w:t>
            </w:r>
          </w:p>
        </w:tc>
        <w:tc>
          <w:tcPr>
            <w:tcW w:w="925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1、3进6出自由路由分配；</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2、DSP采样率：48KHz；量化深度：24bit；</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3、静音调节；增益调节：-80dB至+12dB；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4、延时调节：0ms-1200ms；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5、噪声门：-120dB至0dB；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6、输入输出最大电平：18.5dB；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7、信噪比：≥105dB；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8、高低通分频：19.7Hz-20.1KHz；滤波器类型：Linkwitz-Riley;Bessel;Butterworth；斜率：-12dB至-48dB（步进-6dB）；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9、输入不少于9段，输出不少于15段EQ；频率范围：19.7Hz-20.1KHz；增益范围：-20dB至+15dB；Q值范围：0.404-28.852；高低架斜率范围：6dB、12dB；类型：PEQ、高架、低架、一阶全通、二阶全通；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10、支持中控管理。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11、★设置实时温度（影响声速从而影响延时的距离）（提供温度设置功能截图）；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12、不少于30个用户组；</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13、设备具有参数锁且可设置密码；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14、主界面显示两个通道的实时温度以及静音状态（提供界面显示功能截图）；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15、全中文界面。</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电源管理器</w:t>
            </w:r>
          </w:p>
        </w:tc>
        <w:tc>
          <w:tcPr>
            <w:tcW w:w="925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1、2吋液晶显示窗，实时显示当前电压、日期时间，通道开关状态；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2、支持定时开关机功能，内置时钟芯片；</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3、支持设置通道延时开启和关闭，设置范围：0~999S）；（提供设置界面截图）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4、不少于8组设备开关场景数据保存/调用；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5、具备欠压、超压检测及报警功能；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6、支持多台设备级联控制，级联状态可自动检测及设置；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7、配置RS232串口，支持外部中央控制设备控制；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8、可支持设备编码ID检测和设置；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9、支持面板Lock锁定功能；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10、电源总功率：交流220V/30A；</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11、电源通道数量:8路可控电源，2路长通电源。</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12、每路动作延时时间:0～999秒；</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13、单通道最大输出电流：13A；</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14、最大电源总功率:30A；</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15、提供国家省级或以上电子检测机构出具的检测报告，检测机构须通过“CMA”、“CNAS”、“iiac-MRA”认证资格。</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418"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（二）、数字会议系统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83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数字会议系统主机</w:t>
            </w:r>
          </w:p>
        </w:tc>
        <w:tc>
          <w:tcPr>
            <w:tcW w:w="9252"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1、支持多种会议模式:自由讨论、轮替发言、限制发言、主席优先等；</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2、四组8P-DIN输出线，与单元手拉手连接；</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3、系统单路可控制35只列席单元，单台最可连接60只列席单元；</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4、面板具有数码显示和多种工作模式调节及指示灯；</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5、设有高、中、低音均衡调节电路，独立调整系统音质；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6、具有平衡线路输出接口及不平衡输出接口以适应各种设备连接方式；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7、双重锁扣式“T”型连接盒，系统可靠；</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8、频率响应：100Hz—13KHz；功率消耗:115W；总谐波失真：≤0.15%；工作电压：AC220V-240V/50Hz-60Hz。</w:t>
            </w:r>
          </w:p>
        </w:tc>
        <w:tc>
          <w:tcPr>
            <w:tcW w:w="75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75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83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主席发言单元</w:t>
            </w:r>
          </w:p>
        </w:tc>
        <w:tc>
          <w:tcPr>
            <w:tcW w:w="9252"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1、抗电磁及RF射频干扰，高灵敏度电容咪，长距离拾音；</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2、麦克风单元环形红色光环指示，主席单元具有强制切断客席发言优先功能、优先提示音，可选择开启或者关闭，单元具备讲话者不发言自动关机功能；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3、主席单元个数不受限制，可置于回路中任意位置；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4、全数控化设计，单元由系统主机供电，工作电压为DC18V；</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5、稳定可靠的纸质桌牌功能（144×61mm），指示发言者姓名；</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6、单元输出连接线角度及方向可调角度，适用于不同类型的会议桌安装；</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7、配备一条1.5m8p连接线，同分线盒连接；</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8、技术参数：工作电压：DC18V（由主机提供）；频率响应：100Hz—13KHz；灵敏度：-44dB±2dB；参考讲话距离：20—60cm；连接方法：“T”型连接盒及8芯专用连接线缆；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9、提供国家省级或以上电子检测机构出具的检测报告，检测机构须通过“CMA”、“CNAS”、“iiac-MRA”认证资格。</w:t>
            </w:r>
          </w:p>
        </w:tc>
        <w:tc>
          <w:tcPr>
            <w:tcW w:w="75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75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83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代表发言单元</w:t>
            </w:r>
          </w:p>
        </w:tc>
        <w:tc>
          <w:tcPr>
            <w:tcW w:w="9252"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1、抗电磁及RF射频干扰，高灵敏度电容咪，长距离拾音；</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2、麦克风单元环形红色光环指示；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3、单元讲话者不发言自动关机功能；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4、单元具有纸质桌牌放置结构，可放入纸质桌牌（提供省级以上第三方检测报告复印件）；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5、单元输出连接线角度及方向可调角度，适用于不同类型的会议桌安装；</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6、技术参数：工作电压：DC18V（由主机提供）；频率响应：100Hz—13KHz；灵敏度：-44dB±2dB；参考讲话距离：20—60cm；连接方法：“T”型连接盒及8芯专用连接线缆。</w:t>
            </w:r>
          </w:p>
        </w:tc>
        <w:tc>
          <w:tcPr>
            <w:tcW w:w="75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75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83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专业延长电缆</w:t>
            </w:r>
          </w:p>
        </w:tc>
        <w:tc>
          <w:tcPr>
            <w:tcW w:w="9252"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8针专用线,20米，主控机到第一个话筒单元的连接线及话筒单元之间的延长连接线</w:t>
            </w:r>
          </w:p>
        </w:tc>
        <w:tc>
          <w:tcPr>
            <w:tcW w:w="75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75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834"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数字会议专用接线盒</w:t>
            </w:r>
          </w:p>
        </w:tc>
        <w:tc>
          <w:tcPr>
            <w:tcW w:w="9252"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专用接线盒</w:t>
            </w:r>
          </w:p>
        </w:tc>
        <w:tc>
          <w:tcPr>
            <w:tcW w:w="75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75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418"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（三）、会议平板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86寸智能会议平板（带壁挂架子）</w:t>
            </w:r>
          </w:p>
        </w:tc>
        <w:tc>
          <w:tcPr>
            <w:tcW w:w="925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1、整机屏幕采用86英寸UHD超高清LED液晶屏，显示比例16:9，屏幕图像分辨率达3840*2160，色彩度10bit ,可视角度178°，全高清4K系统图标显示（提供国家级第三方认证机构测试报告）；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2、超薄窄边框设计，整机屏占比≥83%以上，整机最薄处≤24mm（提供国家级第三方认证机构测试报告）；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3、★整机内置正面上居中1080P 1200万像素及以上高清摄像头，支持电子云台，无需机械转动部分，可通过程序设置，在摄像机内部控制镜头的视角和变焦。（提供国家级第三方认证机构测试报告）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4、内置6个麦克风，8米有效拾音距离（提供国家级第三方认证机构测试报告）；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5、采用2*10W（中高音）+20W（低音）网孔发声扬声器（提供国家级第三方认证机构测试报告）；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6、环境适应：整机在0℃—40℃环境下可正常工作，在-20℃—60℃的环境下可正常贮存且贮存后功能无损（提供国家级第三方认证机构测试报告）；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7、整机物理开关按键，集屏幕开关、系统开关和节能待机功能三合一，操作更便捷；</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8、整机屏幕与屏幕保护层零贴合技术，减少显示面板与玻璃间的偏光、散射，画面显示更加清晰通透、可视角度更广（提供国家级第三方认证机构测试报告）；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9、整机产品机身为金属外壳，满足GB4943.1-2011标准中的防火要求，有效避免产品意外燃烧，确保环境安全。（提供国家级第三方认证机构测试报告）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10、产品符合强制性产品认证制度，需具备CCC认证。（提供认证报告）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11、产品经过中国节能产品认证，需具备节能认证证书；</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12、集控软件：设备统一开关机；软件管理；用户管理；通知内容推送；报表统计；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13、侧边栏智能隐藏：侧边栏支持智能隐藏，防止显示全屏内容时被遮挡，影响视觉。当用户再次触碰屏幕时，侧边栏按钮即可再次出现（提供国家级第三方认证机构测试报告）；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14、主页快捷方式自定义：支持在整机应用管理中对主页软件快捷方式进行自定义选择设置，满足客户个性化设置需求（提供国家级第三方认证机构测试报告）；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15、采用模块化系统方案，整机可通过同一高速接口支持Windows 10企业版系统模块、Android 9.0系统模块、Linux系统模块切换使用（提供国家级第三方认证机构测试报告）；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16、防强光干扰，触摸屏的模组能够抵抗太阳光等强光干扰，能在照度50K LUX（勒克司）环境下仍能正常工作。</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17、主页：主页仅3个核心功能ICON；</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18、多通道批注：在任意通道下可一键快速进入批注；批注内容可本地／U盘保存，支持二维码分享，二维码分享时可加密；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19、厂商通过QC080000有害物质过程管理认证（需提供认证证书复印件）；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20、厂商通过ISO14001环境管理体系认证（需提供认证证书复印件）；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21、厂商具备高新技术企业认证（需提供认证证书复印件）。</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无线投屏系统</w:t>
            </w:r>
          </w:p>
        </w:tc>
        <w:tc>
          <w:tcPr>
            <w:tcW w:w="925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触摸会议平板内置接收模块，除无线传屏器外不需要连接任何附加设备，可实现外部电脑音视频信号实时传输到触摸一体机上（无论整机处于任何通道），并可支持触摸回传，支持免安装驱动，即插即用。（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2、支持操作系统：Win7/Win8/Win8.1/Win10/Mac OS10.10及以上；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3、支持同时8个无线传屏器，画面分别投屏到同一个会议平板，可通过按键切换传输不同外部电脑的画面及声音。</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4、软件传屏码可以在整机任何页面进行常显，也可设置取消，方便软件传屏连接（提供国家级第三方认证机构测试报告）；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5、无线传屏器与触摸会议平板为同一品牌厂商，为确保使用稳定拒绝传屏器为OEM品牌；</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6、支持Type-C口手机直接连接Type-C传屏器进行整机投屏（提供国家级第三方认证机构测试报告）；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7、无线传屏视频数据加密，加密方式：AES（CBC模式），128 位，保障数据传输安全（提供国家级第三方认证机构测试报告）；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8、支持手机投屏软件操控大屏，小屏控大屏满足近端操控需求（提供国家级第三方认证机构测试报告）；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9、集控管理：支持集控管理平台软件对接，实现集控相关功能，如：批量设备管理、远程操控、个性化设置、软件管理、报表管理、账号管理功能。（提供国家级第三方认证机构测试报告）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10、具有全功能Type-C接口，可支持手机充电、音视频信号传输、外部设备调用本机摄像头、麦克风及扬声器（提供国家级第三方认证机构测试报告）。</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OPS电脑-I5</w:t>
            </w:r>
          </w:p>
        </w:tc>
        <w:tc>
          <w:tcPr>
            <w:tcW w:w="925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1、采用模块化电脑方案，抽拉内置式，PC模块可完全插入整机，保护PC模块不易受灰尘影响。采用40pin接口，实现无单独接线的插拔。（提供国家级第三方认证机构测试报告）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2、配置：CPU Intel® Core i5/内存DDR4 8G /固态硬盘128G；</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3、I/O接口：≥3路USB3.0；≥1路HDMI输出；≥1路LAN口；≥1路麦克风输入；</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4、为保证系统兼容性，电脑模块要求与触摸会议平板生产厂家为同一品牌，并可选正版激活Win10企业版。</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高清矩阵切换器</w:t>
            </w:r>
          </w:p>
        </w:tc>
        <w:tc>
          <w:tcPr>
            <w:tcW w:w="925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1、高清HDMI矩阵，标准机架设计，高度为1U；</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2、支持4路HDMI输入，4路HDMI输出，输入输出均支持HDMI1.4a协议，分辨率可达4K@30HZ、1080@120HZ；</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3、每路输入接口均支持HDCP解析、支持EDID透传和学习；</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4、采用水晶可视化按键设计，指示灯具备低亮、闪烁、高亮状态指示；通过指示灯状态即可判定单路输入或者输出具备就绪、无信号、信号连接正常等状态（提供产品面板实物图佐证）；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5、支持可视化按键、RS-232、TCP/IP以及遥控多种控制方式；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6、前面板LCD显示屏能够实时显示矩阵信号切换状态及系统配置；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7、采用ESD静电防护设计，能承受人体放电模式: ±8kV (气隙放电)，±4kV (接触放电)，有效地避免了静电对设备的干扰及损害；</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8、采用航空式螺旋电源接口，为电源的稳定性保驾护航；</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9、提供国家省级或以上电子检测机构出具的检测报告，检测机构须通过“MA”、“CNAS”、“ilac-MRA”认证资格并加盖章印；注：检测报告需对应投标产品参数。</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多媒体桌面接线盒</w:t>
            </w:r>
          </w:p>
        </w:tc>
        <w:tc>
          <w:tcPr>
            <w:tcW w:w="9252"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含两插及三插电源口，HDMI接口，网口</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8" w:hRule="atLeast"/>
          <w:jc w:val="center"/>
        </w:trPr>
        <w:tc>
          <w:tcPr>
            <w:tcW w:w="8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1834"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远程视频会议一体式终端</w:t>
            </w:r>
          </w:p>
        </w:tc>
        <w:tc>
          <w:tcPr>
            <w:tcW w:w="9252"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、采用嵌入式硬件一体化结构，内置1080p高清摄像头，部署便捷。</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r>
              <w:rPr>
                <w:rFonts w:ascii="宋体" w:hAnsi="宋体" w:cs="宋体"/>
                <w:color w:val="auto"/>
                <w:kern w:val="0"/>
                <w:sz w:val="20"/>
                <w:szCs w:val="20"/>
                <w:highlight w:val="none"/>
              </w:rPr>
              <w:t>、会议速率支持128Kbps—8Mbps。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、支持ITU-T H.323和IETF SIP通信标准。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r>
              <w:rPr>
                <w:rFonts w:ascii="宋体" w:hAnsi="宋体" w:cs="宋体"/>
                <w:color w:val="auto"/>
                <w:kern w:val="0"/>
                <w:sz w:val="20"/>
                <w:szCs w:val="20"/>
                <w:highlight w:val="none"/>
              </w:rPr>
              <w:t>、支持H.263、H.264、H.264 High Profile、MPEG4等视频编解码协议。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r>
              <w:rPr>
                <w:rFonts w:ascii="宋体" w:hAnsi="宋体" w:cs="宋体"/>
                <w:color w:val="auto"/>
                <w:kern w:val="0"/>
                <w:sz w:val="20"/>
                <w:szCs w:val="20"/>
                <w:highlight w:val="none"/>
              </w:rPr>
              <w:t>、支持G.711、G.722、G.728、G.722.1AnnexC、G.719、MPEG4-AAC LC/LD等音频协议，可达到20KHz以上的宽频效果。</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r>
              <w:rPr>
                <w:rFonts w:ascii="宋体" w:hAnsi="宋体" w:cs="宋体"/>
                <w:color w:val="auto"/>
                <w:kern w:val="0"/>
                <w:sz w:val="20"/>
                <w:szCs w:val="20"/>
                <w:highlight w:val="none"/>
              </w:rPr>
              <w:t>、支持H.239标准双流协议。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r>
              <w:rPr>
                <w:rFonts w:ascii="宋体" w:hAnsi="宋体" w:cs="宋体"/>
                <w:color w:val="auto"/>
                <w:kern w:val="0"/>
                <w:sz w:val="20"/>
                <w:szCs w:val="20"/>
                <w:highlight w:val="none"/>
              </w:rPr>
              <w:t>、内置高清PTZ摄像机，支持12倍光学变焦，支持不小于72°水平广角视野，水平转动角度不小于±100°、垂直不小于±30°</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r>
              <w:rPr>
                <w:rFonts w:ascii="宋体" w:hAnsi="宋体" w:cs="宋体"/>
                <w:color w:val="auto"/>
                <w:kern w:val="0"/>
                <w:sz w:val="20"/>
                <w:szCs w:val="20"/>
                <w:highlight w:val="none"/>
              </w:rPr>
              <w:t>、除内置摄像机外，还需独立提供不少于1路视频输入、2路视频输出接口、1路10/100M以太网接口，不得采用私有非标接口或转接线缆实现。</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r>
              <w:rPr>
                <w:rFonts w:ascii="宋体" w:hAnsi="宋体" w:cs="宋体"/>
                <w:color w:val="auto"/>
                <w:kern w:val="0"/>
                <w:sz w:val="20"/>
                <w:szCs w:val="20"/>
                <w:highlight w:val="none"/>
              </w:rPr>
              <w:t>、支持1080p60高清视频解码、支持1080p30高清视频编码，并向下兼容4CIF、CIF标清图像格式。</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0</w:t>
            </w:r>
            <w:r>
              <w:rPr>
                <w:rFonts w:ascii="宋体" w:hAnsi="宋体" w:cs="宋体"/>
                <w:color w:val="auto"/>
                <w:kern w:val="0"/>
                <w:sz w:val="20"/>
                <w:szCs w:val="20"/>
                <w:highlight w:val="none"/>
              </w:rPr>
              <w:t>、支持动态图像双流和PC图像双流两种功能，在保证主流视频1080p30fps前提下，第二路视频流不低于1080p30fps。</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、支持申请发言、申请主席等功能，主席终端可广播发言会场、视频选看、控制远端摄像机、邀请终端入会、强制终端退会、结束会议等功能。</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2</w:t>
            </w:r>
            <w:r>
              <w:rPr>
                <w:rFonts w:ascii="宋体" w:hAnsi="宋体" w:cs="宋体"/>
                <w:color w:val="auto"/>
                <w:kern w:val="0"/>
                <w:sz w:val="20"/>
                <w:szCs w:val="20"/>
                <w:highlight w:val="none"/>
              </w:rPr>
              <w:t>、支持在终端控制软件对本地和远端会场图像进行实时监控及预览。</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、终端注册平台后，可实时获取当前已建的会议室列表及状态，可以直接选择需要参加的虚拟会议室参加入会</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4</w:t>
            </w:r>
            <w:r>
              <w:rPr>
                <w:rFonts w:ascii="宋体" w:hAnsi="宋体" w:cs="宋体"/>
                <w:color w:val="auto"/>
                <w:kern w:val="0"/>
                <w:sz w:val="20"/>
                <w:szCs w:val="20"/>
                <w:highlight w:val="none"/>
              </w:rPr>
              <w:t>、终端可通过云端模板创建会议，支持修改、保存成定制模板</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5</w:t>
            </w:r>
            <w:r>
              <w:rPr>
                <w:rFonts w:ascii="宋体" w:hAnsi="宋体" w:cs="宋体"/>
                <w:color w:val="auto"/>
                <w:kern w:val="0"/>
                <w:sz w:val="20"/>
                <w:szCs w:val="20"/>
                <w:highlight w:val="none"/>
              </w:rPr>
              <w:t>、终端在空闲状态下，与外置的数字录像点播服务器配合，支持终端点播功能。</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6</w:t>
            </w:r>
            <w:r>
              <w:rPr>
                <w:rFonts w:ascii="宋体" w:hAnsi="宋体" w:cs="宋体"/>
                <w:color w:val="auto"/>
                <w:kern w:val="0"/>
                <w:sz w:val="20"/>
                <w:szCs w:val="20"/>
                <w:highlight w:val="none"/>
              </w:rPr>
              <w:t>、具有基本的系统检测诊断功能，包括呼叫状态显示、网络信息统计、本端音视频自环测试、日志、远程升级维护等功能。</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7</w:t>
            </w:r>
            <w:r>
              <w:rPr>
                <w:rFonts w:ascii="宋体" w:hAnsi="宋体" w:cs="宋体"/>
                <w:color w:val="auto"/>
                <w:kern w:val="0"/>
                <w:sz w:val="20"/>
                <w:szCs w:val="20"/>
                <w:highlight w:val="none"/>
              </w:rPr>
              <w:t>、终端自带电源开关按键，可一键打开或关闭终端电源。</w:t>
            </w:r>
          </w:p>
          <w:p>
            <w:pPr>
              <w:widowControl/>
              <w:jc w:val="left"/>
              <w:textAlignment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8</w:t>
            </w:r>
            <w:r>
              <w:rPr>
                <w:rFonts w:ascii="宋体" w:hAnsi="宋体" w:cs="宋体"/>
                <w:color w:val="auto"/>
                <w:kern w:val="0"/>
                <w:sz w:val="20"/>
                <w:szCs w:val="20"/>
                <w:highlight w:val="none"/>
              </w:rPr>
              <w:t>、具备较强的网络抗丢包能力，在IP网络达到12%丢包时声音清晰、图像流畅、无马赛克，25%的丢包率情况下会议仍可进行。</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r>
              <w:rPr>
                <w:rFonts w:ascii="宋体" w:hAnsi="宋体" w:cs="宋体"/>
                <w:color w:val="auto"/>
                <w:kern w:val="0"/>
                <w:sz w:val="20"/>
                <w:szCs w:val="20"/>
                <w:highlight w:val="none"/>
              </w:rPr>
              <w:t>、提供产品3C认证、电信设备入网证。</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75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bl>
    <w:p>
      <w:pPr>
        <w:jc w:val="center"/>
        <w:rPr>
          <w:rFonts w:ascii="宋体" w:hAnsi="宋体" w:cs="宋体"/>
          <w:color w:val="auto"/>
          <w:sz w:val="20"/>
          <w:szCs w:val="20"/>
          <w:highlight w:val="none"/>
        </w:rPr>
      </w:pPr>
    </w:p>
    <w:p>
      <w:pPr>
        <w:pStyle w:val="5"/>
        <w:spacing w:line="240" w:lineRule="auto"/>
        <w:jc w:val="left"/>
        <w:rPr>
          <w:color w:val="auto"/>
          <w:sz w:val="20"/>
          <w:szCs w:val="20"/>
          <w:highlight w:val="none"/>
        </w:rPr>
      </w:pPr>
      <w:bookmarkStart w:id="28" w:name="_Toc90043584"/>
      <w:r>
        <w:rPr>
          <w:color w:val="auto"/>
          <w:sz w:val="20"/>
          <w:szCs w:val="20"/>
          <w:highlight w:val="none"/>
        </w:rPr>
        <w:t>10</w:t>
      </w:r>
      <w:r>
        <w:rPr>
          <w:rFonts w:hint="eastAsia"/>
          <w:color w:val="auto"/>
          <w:sz w:val="20"/>
          <w:szCs w:val="20"/>
          <w:highlight w:val="none"/>
        </w:rPr>
        <w:t>、道闸系统</w:t>
      </w:r>
      <w:bookmarkEnd w:id="28"/>
    </w:p>
    <w:tbl>
      <w:tblPr>
        <w:tblStyle w:val="27"/>
        <w:tblW w:w="13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68"/>
        <w:gridCol w:w="9739"/>
        <w:gridCol w:w="735"/>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51"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768"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9739"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产品描述</w:t>
            </w:r>
          </w:p>
        </w:tc>
        <w:tc>
          <w:tcPr>
            <w:tcW w:w="735"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25"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718"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（一）、人行道闸系统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85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76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10寸人脸门禁一体主机</w:t>
            </w:r>
          </w:p>
        </w:tc>
        <w:tc>
          <w:tcPr>
            <w:tcW w:w="9739"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1、操作系统：嵌入式Linux操作系统；</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2、屏幕参数： 10.1英寸LCD触摸显示屏，屏幕比例9:16，屏幕分辨率600*1024；</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3、摄像头参数：采用宽动态200万双目摄像头；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4、认证方式：支持人脸、密码、二维码（通过摄像头识别）认证方式，可通过 485 接口外接读卡器，也通过 USB 接口外接身份证，实现人证比对功能；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5、设备支持在 0.001lux 低照度无补光环境下正常实现人脸识别；人脸比对时间：＜175ms；最大人脸识别距离：＞3m；最小人脸识别距离：＜0.2m；人脸识别误识率≤0.01%的条件下，准确率应大于99.9%；支持防假体攻击功能，对视频、电子照片、打印照片中的人脸应不能进行人脸识别。（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6、设备支持中心下发黑名单信息；支持本地黑名单信息比对；支持本地黑名单事件报警功能，报警信息能上传至平台；最大支持50000 个人脸黑名单比对。（公安部检验报告证明）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7、设备支持多种人脸注册方式：设备本地人脸注册；本地U盘导入人员信息； 远程中心下发人脸；通过APP采集人脸并注册下发。（公安部检验报告证明）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8、存储容量：本地支持50000张人脸、50000张卡（外接读卡器），100000条事件记录；</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9、硬件接口，应不少于以下硬件接口及能力：LAN 、 WIFI 双 网 络 ， 支 持 同 时 连 接（10M/100M/1000M 自适应）；RS485*1；韦根*1；USB*1；喇叭扬声器；门锁I/O输出*1； 门磁I/O输入*1；报警I/O输出*1；事件 I/O 输入*2；PSAM*1；红绿双色LED 状态灯提示结果输出接口；机械防拆开关*1。（公安部检验报告证明）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10、使用环境：IP65，室内外环境；</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11、安装方式：配合人员通道安装；</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12、工作电压： DC 12V/2A。</w:t>
            </w:r>
          </w:p>
        </w:tc>
        <w:tc>
          <w:tcPr>
            <w:tcW w:w="73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2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2" w:hRule="atLeast"/>
          <w:jc w:val="center"/>
        </w:trPr>
        <w:tc>
          <w:tcPr>
            <w:tcW w:w="85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76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人脸刷卡摆闸（双通道、单向人脸）</w:t>
            </w:r>
          </w:p>
        </w:tc>
        <w:tc>
          <w:tcPr>
            <w:tcW w:w="9739"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1、闸机通道采用厚度不低于1.2mm的不锈钢板材；通道应至少采用6对红外对红外对射，能在晴天、雨天等环境下稳定运行，不产生误报（公安部检验报告证明）；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2、闸机通道外壳防护等级应达到IP54的要求，可稳定运行于室外场景；</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3、闸机通道应具备允许通行、禁止通行检查功能，没有经管理人员授权的人员闯入时能够警示；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4、闸机通道应具备应急放行的功能，设备在断电或者发生故障后能处于无拦挡状态，支持断电自动开门功能（公安部检验报告证明）；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5、闸机通道应具备防水浸功能，通道在底部积水情况下可正常运行，最大水浸高度不小于150mm（公安部检验报告证明）；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闸机通道应支持每天不少于8个时间段的常开/常闭管控，设置某时段的通道为常开或常闭，满足时段管控的需求，方便管理，同时应支持按时间分时段管控门禁权限，支持不少于128个周计划、不少于1024个节假日、不少于64个假日组、不少于255个计划模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7、闸机通道门翼开/关速度至少支持10档可调，开门速度＜0.5 s，每分钟最大通达通行人数不低于50人（公安部检验报告证明）；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8、闸机通道应支持翻越报警的功能，当检测到有人翻越时，可联动语音播报、指示灯、IO信号联动等报警提示，同时可上传报警事件；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9、闸机通道应支持滞留报警、反向闯入报警、通行超时报警、误闯报警等功能，除了联动语音播报、指示灯等警示外，需同时上传对应的报警事件；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10、闸机通道应支持防尾随功能，在通道中同时通行人数超过允许通行的人数时，除了联动语音播报、指示灯、IO信号联动输出等报警提示外，需同时上传对应的报警事件，减小检测距离不大于50mm；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11、闸机通道应满足防冲要求，满足机芯保护要求；当门翼受到外力冲撞后，可以迅速恢复到正常状态，恢复时间不超过3s（通道内无人的情况下）（公安部检验报告证明）；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12、闸机通道主机可扩展读卡器、二维码、人脸识别组件、指静脉、显示屏等设备集成，可实现多种认证方式组合应用，支持不少于6.3万卡片管理和18万事件记录存储；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闸机通道认证通行应支持根据不同场景的权限管理有不同的开启方式，不限于多重卡认证开门、多重卡+中心远程开门、多重卡+超级卡开门功能、超级权限开门、中心远程开门、手机开门、居民身份证开门、银行卡开门、二维码开门、人脸识别开门、支持普通卡、来宾卡、胁迫卡、超级卡、残疾人卡、巡更卡、黑名单卡等多类型用户权限设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14、闸机通道通道环境适应性应支持工作温度-40℃~＋80℃、湿热+40℃RH93%的要求。</w:t>
            </w:r>
          </w:p>
        </w:tc>
        <w:tc>
          <w:tcPr>
            <w:tcW w:w="73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2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jc w:val="center"/>
        </w:trPr>
        <w:tc>
          <w:tcPr>
            <w:tcW w:w="85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76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智能访客机</w:t>
            </w:r>
          </w:p>
        </w:tc>
        <w:tc>
          <w:tcPr>
            <w:tcW w:w="9739"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1、设备外观：采用10.1英寸双屏（管理员方向为触摸屏，访客方向为显示屏），200万像素双目摄像头；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2、操作系统：设备采用Android7.1.2操作系统；</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3、设备容量：内存2G,存储16G；</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4、访客登记：人证比对通过后完成身份信息填充，或手动输入身份证号码完成访客登记；</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5、设备支持通过身份证内照片与现场抓拍人员照片比对进行身份核验，支持低照度且无外部补光环境下可以完成人证比对，人脸识别距离：0.2m-1m，人证比对时间＜1s。（公安部检验报告证明）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6、设备支持本地保存的访客记录≥15万条，支持本地保存的抓拍照片≥1万张，支持本地导入黑名单，导出黑名单模板功能；设备最大支持10万个黑名单。（公安部检验报告证明）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设备支持人工登记和访客自主登记功能，内置身份证阅读器，支持读取身份证信息，将身份证信息自动填充到访客登记信息列表中，设备与平台连接中断时，仍可进行离线登记和签离，联网后离线事件应能上传至管理平台。（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8、通讯方式：有线网络、WiFi；</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设备支持以太网和WiFi双网络，且支持同时连接；支持1个RS-485接口；支持1个RS232接口；支持2个USB接口；支持1个喇叭扬声器；支持1路门锁I/O输出接口；支持1路报警I/O输出接口；支持1个SIM卡接口；支持红绿双色LED指示灯；支持1个开关机按键；（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10、工作电压：DC12V/3A (标配电源适配器）；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11、使用环境：室内；</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12、安装方式：桌面安装；</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13、工作温度：-10~50℃。</w:t>
            </w:r>
          </w:p>
        </w:tc>
        <w:tc>
          <w:tcPr>
            <w:tcW w:w="73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2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5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76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安全岛</w:t>
            </w:r>
          </w:p>
        </w:tc>
        <w:tc>
          <w:tcPr>
            <w:tcW w:w="973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国标425#硅酸盐水泥、中砂混凝土浇灌</w:t>
            </w:r>
          </w:p>
        </w:tc>
        <w:tc>
          <w:tcPr>
            <w:tcW w:w="73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2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718"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（二）、车行道闸系统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85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76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200W出入口杆式抓拍一体机</w:t>
            </w:r>
          </w:p>
        </w:tc>
        <w:tc>
          <w:tcPr>
            <w:tcW w:w="9739"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1、高清晰：高清摄像机，最大分辨率可达2688*1520，帧率高达25fps；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2、集成度高：集摄像机、LED显示屏、补光灯、镜头、喇叭功放于一体；</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3、显示屏：支持两列行四字双色LED屏，显示内容可灵活配置；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4、内置高亮LED灯，智能补光技术，满足不同场景需求；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5、支持电动变焦镜头，便于调试；</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6、机箱表面采用抗紫外线静电喷塑工艺，不起皮，不褪色，防尘防水等级符合室外设备IP54级别要求；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7、一体化结构设计，布线简单，调试方便；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8、无牌车辆抓拍功能检查：当视频监控区域内有无号牌车辆进入时，可对该车辆进行抓拍；</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9、机动车捕获率：在天气晴朗无雾条件下进行测试，日间环境光照度不低于2001x，夜间辅助光照度不高于301x。日间机动车捕获率≥99.9%；夜间地动车捕获率≥99.9%（以公安部委托检验报告为准）；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机动车车牌识别准确率试验：在天气晴朗无雾，机动车结构化属性信息清晰可辨的条件下进行测试，日间环境光照度不低于2001x，夜间辅助光照度不高于301x。日间机动车车牌号识别准确率≥99.9%；夜间机动车车牌号识别准确率≥99.9%（以公安部委托检验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11、车身颜色识别功能检查：支持车身识别的颜色种类包括：白、灰、黄、粉、紫、蓝、红、棕、黑共10种颜色（以公安部委托检验报告为准）；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12、黑白名单同步和比对功能检查：联网时，可与后台的黑白名单同步，并进行比对和管控；断网时，可使用本地保存的黑白名单进行比对和管控。（以公安部委托检验报告为准）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车牌识别功能检查：支持识别大（小）型汽车、使领馆汽车、警用汽车、军车、新能源汽车（小车的绿色和大车的黄绿色的车牌号；支持识别倾斜角度0°~30°的车牌号；支持识别相机法线与行车方向角度小于65°的车牌号；支持识别车牌宽度范围为70像素~300像素的车牌号（以公安部委托检验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14、异常车牌识别功能：支持对部分污损车牌及遮挡面积不超过1/3的车牌进行检测和识别；</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15、机动车行进方向识别功能检查：支持识别机动车行进方向；行进方向包括来向、去向；</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16、过车放行响应时间试验：车牌触及检车线至样机发出抬杆信号的响应时间≤1s；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17、过滤抓拍功能检查：支持过滤抓拍功能，可设置正向抓拍、背向和全部抓拍；</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18、虚假车牌过滤：支持对打印车牌，单独车牌照片等虚假车牌进行过滤；</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19、连续过车功能检查：支持于连续过车模式，连续过车时道闸不落杆；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20、强光抑制设置检查：强光抑制设置选项。</w:t>
            </w:r>
          </w:p>
        </w:tc>
        <w:tc>
          <w:tcPr>
            <w:tcW w:w="73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2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85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76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中速直杆道闸</w:t>
            </w:r>
          </w:p>
        </w:tc>
        <w:tc>
          <w:tcPr>
            <w:tcW w:w="9739"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1、道闸类型：直杆；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2、起落速度：3秒；</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3、道闸杆长：4米；</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4、输入电源：220V50Hz；</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5、工作电压：90W220VAC；</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6、工作环境温度：-10℃～+55℃；</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7、具有遇阻返回功能：当闸杆下落时，遇到物体阻挡，将立即开闸；（以公安部委托检验报告为准）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8、应有自锁手动解除装置，停电时能解脱自锁，实现手动控制功能；（以公安部委托检验报告为准）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9、应有自动限位功能，档杆开关到位后，将自动停机限位；（以公安部委托检验报告为准）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10、应装有热过载保护装置。（以公安部委托检验报告为准）</w:t>
            </w:r>
          </w:p>
        </w:tc>
        <w:tc>
          <w:tcPr>
            <w:tcW w:w="73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2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85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76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防砸雷达</w:t>
            </w:r>
          </w:p>
        </w:tc>
        <w:tc>
          <w:tcPr>
            <w:tcW w:w="9739"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1、采用79GHz MMIC技术，分辨率更高，检测更稳定；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2、雷达检测距离可调，检测宽度可调，操作方便，通用性强；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3、支持宽电压范围为：DC9V~16V，一般采用DC12V供电。</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4、设备具有电源和状态指示灯。一个红色电源指示灯，一个绿色状态指示灯；实时反映是否有车或有人。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5、在触发雷达作用区域内，车速30km/h以内，触发捕获率大于99%。（实测100次，捕获率100%）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6、具有人车区分功能。可对行人和车辆进行区分，控制触发。</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7、触发模式具有区分方向功能，方向区分成功率大于95%。（实测100次，捕获率100%）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8、检测距离：最远6米（可设置）；检测宽度：最宽2米（可设置）。</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9、可通过WIFI和串口线进行数据通信，对设备进行升级和调试。</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10、1组RS485接口；1组报警信号输出；1组固件升级接口。支持WIFI。</w:t>
            </w:r>
          </w:p>
        </w:tc>
        <w:tc>
          <w:tcPr>
            <w:tcW w:w="73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2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5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76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地感线圈</w:t>
            </w:r>
          </w:p>
        </w:tc>
        <w:tc>
          <w:tcPr>
            <w:tcW w:w="973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0.75mm²，绞合导体，镀锡铜，绝缘蓝色PVC外皮</w:t>
            </w:r>
          </w:p>
        </w:tc>
        <w:tc>
          <w:tcPr>
            <w:tcW w:w="73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62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51"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768"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安全岛</w:t>
            </w:r>
          </w:p>
        </w:tc>
        <w:tc>
          <w:tcPr>
            <w:tcW w:w="9739"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国标425#硅酸盐水泥、中砂混凝土浇灌</w:t>
            </w:r>
          </w:p>
        </w:tc>
        <w:tc>
          <w:tcPr>
            <w:tcW w:w="73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25"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bl>
    <w:p>
      <w:pPr>
        <w:jc w:val="center"/>
        <w:rPr>
          <w:rFonts w:ascii="宋体" w:hAnsi="宋体" w:cs="宋体"/>
          <w:color w:val="auto"/>
          <w:sz w:val="20"/>
          <w:szCs w:val="20"/>
          <w:highlight w:val="none"/>
        </w:rPr>
      </w:pPr>
    </w:p>
    <w:p>
      <w:pPr>
        <w:pStyle w:val="5"/>
        <w:spacing w:line="240" w:lineRule="auto"/>
        <w:jc w:val="left"/>
        <w:rPr>
          <w:color w:val="auto"/>
          <w:sz w:val="20"/>
          <w:szCs w:val="20"/>
          <w:highlight w:val="none"/>
        </w:rPr>
      </w:pPr>
      <w:bookmarkStart w:id="29" w:name="_Toc90043585"/>
      <w:r>
        <w:rPr>
          <w:color w:val="auto"/>
          <w:sz w:val="20"/>
          <w:szCs w:val="20"/>
          <w:highlight w:val="none"/>
        </w:rPr>
        <w:t>11</w:t>
      </w:r>
      <w:r>
        <w:rPr>
          <w:rFonts w:hint="eastAsia"/>
          <w:color w:val="auto"/>
          <w:sz w:val="20"/>
          <w:szCs w:val="20"/>
          <w:highlight w:val="none"/>
        </w:rPr>
        <w:t>、</w:t>
      </w:r>
      <w:r>
        <w:rPr>
          <w:rFonts w:hint="eastAsia" w:ascii="宋体" w:hAnsi="宋体" w:eastAsia="宋体" w:cs="宋体"/>
          <w:color w:val="auto"/>
          <w:sz w:val="20"/>
          <w:szCs w:val="20"/>
          <w:highlight w:val="none"/>
        </w:rPr>
        <w:t>模块化机房系统</w:t>
      </w:r>
      <w:bookmarkEnd w:id="29"/>
    </w:p>
    <w:tbl>
      <w:tblPr>
        <w:tblStyle w:val="27"/>
        <w:tblW w:w="13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432"/>
        <w:gridCol w:w="9246"/>
        <w:gridCol w:w="739"/>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620"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2432"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9246" w:type="dxa"/>
            <w:shd w:val="clear" w:color="000000" w:fill="FFFFFF"/>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产品描述</w:t>
            </w:r>
          </w:p>
        </w:tc>
        <w:tc>
          <w:tcPr>
            <w:tcW w:w="739"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860" w:type="dxa"/>
            <w:shd w:val="clear" w:color="000000" w:fill="FFFFFF"/>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897"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（一）、机房地面工程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机房静电地板</w:t>
            </w:r>
          </w:p>
        </w:tc>
        <w:tc>
          <w:tcPr>
            <w:tcW w:w="9246"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无边全钢防静电地板600*600*35mm</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35</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接地铜排</w:t>
            </w:r>
          </w:p>
        </w:tc>
        <w:tc>
          <w:tcPr>
            <w:tcW w:w="9246"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30*3紫铜排</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40</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接地母线</w:t>
            </w:r>
          </w:p>
        </w:tc>
        <w:tc>
          <w:tcPr>
            <w:tcW w:w="9246"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BVR35mm2</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80</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接地线</w:t>
            </w:r>
          </w:p>
        </w:tc>
        <w:tc>
          <w:tcPr>
            <w:tcW w:w="9246"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BVR6mm2</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120</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接地角钢</w:t>
            </w:r>
          </w:p>
        </w:tc>
        <w:tc>
          <w:tcPr>
            <w:tcW w:w="9246"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角钢30x30x3，1500mm长</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接地其他配件</w:t>
            </w:r>
          </w:p>
        </w:tc>
        <w:tc>
          <w:tcPr>
            <w:tcW w:w="9246"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绝缘子、铜鼻子等</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等电位箱</w:t>
            </w:r>
          </w:p>
        </w:tc>
        <w:tc>
          <w:tcPr>
            <w:tcW w:w="9246"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定制</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897" w:type="dxa"/>
            <w:gridSpan w:val="5"/>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（二）、模块化数据中心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3"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模块化微型机房五联机</w:t>
            </w:r>
          </w:p>
        </w:tc>
        <w:tc>
          <w:tcPr>
            <w:tcW w:w="9246"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1、融合柜体模块：数量5个，单柜框架尺寸：≤600*1200*2000mm(宽*深*高)，整体安装尺寸：≤3000*1200*2000mm(宽*深*高)；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全封闭，柜内设冷热通道，铝箔隔热保温棉，上下分段式侧板，可拆卸智能应急散热系统；前门采用5+6A+5中空玻璃金属镶边，设人体红外感应照明，后门封闭式钢板门；前后门采用四周双层结构，并配置旋转式4位机械密码锁，整体提供第三方权威机构检测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3、高强度焊接框架，柜体静载承重≥2200KG，抗震等级≥9级，提供第三方权威机构检测报告；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4、表面涂层平均厚度达到≥100um，同时达到国家无毒无害的喷涂标准，提供第三方权威机构检测报告；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绿色变频制冷模块：数量2个，单个制冷模块设备高度≤8U，最大制冷量≥8100(W)，显冷量≥8100(W)；室内风机标准风量≥1500（m3/h），风机数量≥1；机组应采用直流变频转子压缩机，和后倾式EC离心风机，实现温湿度更佳精确控制；机组应标配电子膨胀阀，视液镜，PTC电加热，强排水泵和水浸传感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6、所有机组应可进行联控，从而实现群组控制和主备轮巡的功能，多机联控通过 PLAN 总线实现,需提供证明材料；</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7、制冷模块应具备并提供国家CCC认证及CQC节能认证提供证明材料。</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8、智能配电模块：数量1个，柜内基础设施市电、不间断电源分配；为 IT 设备提供两路完全独立的电源，一路不间断电源，一路市电；</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9、末端配电模块（PDU）：数量12个，同时具备国标10A，国标16A和防脱落设计 IEC-C13插座； 两插座之间用间隔板分开，插座上有对应标识丝印；</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10、PDU 内部采用铜条作为主母线，铜条截面积≧2.5mm2，材质应为紫铜或磷青铜；</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11、所有极与本体之间（插头插合时）的绝缘电阻大于100MΩ，并能提供第三方权威机构检测报告；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12、PDU提供ROHS认证、EMC认证、LVD认证。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13、智能管理模块：数量1套，≥7 英寸工业触摸屏，1U监控主机，实现柜内环境、基础设施设备本地化管理，支持远程集中管理，手机APP（Android）、短信、Email 报警功能，实现7x24 小时无人值守；</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14、动环集中监控中心软件具备并提供第三方安全测评报告；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15、★动环监控主机通过震荡试验，盐雾试验，霉菌试验，相关指标应符合国家相关标准并提供第三方检测报告；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16、IT 设备可用空间：≥ 173U。</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A10A托盘</w:t>
            </w:r>
          </w:p>
        </w:tc>
        <w:tc>
          <w:tcPr>
            <w:tcW w:w="9246"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489mm宽*750mm深，SPCC=1.2mm，承重120公斤</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1U塑料盲板</w:t>
            </w:r>
          </w:p>
        </w:tc>
        <w:tc>
          <w:tcPr>
            <w:tcW w:w="9246"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19吋安装，1U免工具安装盲板，ABS材质</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203</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1U毛刷盲板</w:t>
            </w:r>
          </w:p>
        </w:tc>
        <w:tc>
          <w:tcPr>
            <w:tcW w:w="9246"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19吋安装，1U带毛刷盲板，后部具有理线功能</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背景照明灯</w:t>
            </w:r>
          </w:p>
        </w:tc>
        <w:tc>
          <w:tcPr>
            <w:tcW w:w="9246"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适用于五联机背景照明，LED蓝色灯带，24V</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电源控制模块</w:t>
            </w:r>
          </w:p>
        </w:tc>
        <w:tc>
          <w:tcPr>
            <w:tcW w:w="9246"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用于五联机背景照明的电源控制箱（含一对托架）；</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PDU</w:t>
            </w:r>
          </w:p>
        </w:tc>
        <w:tc>
          <w:tcPr>
            <w:tcW w:w="9246"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1、16A接线盒输入，输出12*10A国标孔，2*16A国标孔，2*C13，共16位，带指示灯、无插头无线，黑色铝壳，竖安装；</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2、支持嵌入式垂直安装设计，黑色铝壳，带电源指示灯；</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3、产品外壳采用特殊绝缘高强度电泳铝合金材料，外壳材料采用1.6mm厚型材；</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4、PDU 内部采用铜条作为主母线，铜条截面积≧2.5mm2，材质应为紫铜或磷青铜；</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5、插座单元之间连接线，采用主、支路一体化无断点连接方式，避免长期通电过热脱焊现象；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6、插座模块的连线与外壳之间绝缘隔层；采用接线端子盒，端子采用专用端子排和保护盖；</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7、两插座之间用间隔板分开，插座上有对应标识丝印；</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工业连接器</w:t>
            </w:r>
          </w:p>
        </w:tc>
        <w:tc>
          <w:tcPr>
            <w:tcW w:w="9246"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32A三孔工业连接器，含公头和母头</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UPS主机(60KVA)</w:t>
            </w:r>
          </w:p>
        </w:tc>
        <w:tc>
          <w:tcPr>
            <w:tcW w:w="9246"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1、总容量：60KVA，三进三出高频 UPS，采用全数字DSP控制技术，智能双变换在线式。具备冗余并机功能，应支持不少于4台并机，并机系统可以共用电池组。</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2、先进的整流技术和IGBT逆变控制技术，支持380/400/415VAC，50/60Hz电网体系；</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3、DSP数字芯片、可编程逻辑芯片（CPLD）、高速微处理器（MCU）全数字控制，使控制精确、快速、稳定、可靠；</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4、辅助电源冗余备份设计理念，更能确保主机系统运行的稳定性和可靠性；</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5、采用LCD+LED显示屏,显示输入电压、频率，输出电压、频率，负载大小，电池可待机时间、当前状态、历史记录、故障告警等UPS运行指标。 </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6、整流器软启动开机，并能在5-300秒内设置延时启动，可大大减少对电网或油机的冲击；</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7、冗余风机设计，任何一只风机故障，系统依然正常工作。</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电气性能 1）输入交流电压范围(V)380±25％。</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2）输入交流电压频率（Hz）40~70Hz,依据电网频率自动选择同步范围。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3）输入功率因数（PF）≥0.9。</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4）直流输入电压±192VDC，电池节数可以设置，提供相关证明材料。</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5）额定交流输出电压380VAC；</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6）整机效率＞92%，ECO节能模式效率为97%；</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7）输出电压精度（稳态）(V)380V±1％，三相五线制；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8）输出频率精度（Hz）50Hz±0.2％（电池模式）；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9）输出过载能力125％满载时维持10min后转旁路，150％满载时维持1min后转旁路，减少负载后又能自动转逆变输出；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10）切换时间旁路到逆变，逆变到旁路的切换时间0ms，具备声光报警功能；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8、UPS具有定期对电池组进行自动浮充、均充转换及电池组放电记录功能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9、UPS能通过RS232接口送出以下遥测和遥信：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10、遥测：输入电压，直流电压，电池电压，输出电压，输出电流，输出频率，输出负载，工作方式等；</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11、遥信：输入电源故障，整流器故障，逆变器故障，旁路故障，过载、电池故障、过温故障等信息。</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12、UPS标准配置RS232通信接口，可选配SNMP网络适配器，以实现UPS远程监控功能 </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13、在正常使用环境下，UPS主机平均无故障时间MTBF大于20万小时。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14、为保证系统兼容性，UPS系统与模块化微型机房五联机为同一品牌</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6"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蓄电池</w:t>
            </w:r>
          </w:p>
        </w:tc>
        <w:tc>
          <w:tcPr>
            <w:tcW w:w="9246"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1、12V-100AH 免维护铅酸蓄电池，电池浮充寿命≥8年，有效容量开始使用 100%；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2、产品须符合中华人民共和国信息产业部YD/T799-2010 《通信用阀控式密封铅酸蓄电池》标准；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3、外观要求：无变形、漏液、裂纹及污迹；标识清晰；</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4、结构要求：正负极端子有明显标志，便于链接；</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5、气密性：能承受50KPa正压或负压而不破裂、不开胶，压力释放后壳体无残余变形；</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6、防爆性能：充电过程中，遇到明火，内部不引爆，不引燃；</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7、封口剂性能：环境温度在-30℃~+65℃之间，封口剂无裂纹与溢流现象；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8、容量保存率：完全充电的蓄电池，在25±2°的环境中，静置28天后，其容量保持率应在96%以上（12V）；</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9、密封反应效率：96.5%以上；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10、电池间连接电压降≤5mV；</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11、蓄电池的安全阀有自动开启和关闭的功能，开阀压应是10--35kPa，闭阀压应是3--30kPa；</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12、蓄电池应具有极柱相关密封设计，需提供相关证明材料</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13、电池正负极端接方式需为嵌铜芯内螺纹端子。</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64</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电池箱</w:t>
            </w:r>
          </w:p>
        </w:tc>
        <w:tc>
          <w:tcPr>
            <w:tcW w:w="9246"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1、电池箱应采用拼装方式，框架可免工具拼装，可实现多台电池箱多方位并柜；适用安装32节100AH蓄电池；</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2、电池箱为封闭式结构，预留敲落孔，支持任意侧安装电池空开箱；</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3、箱体侧板分段式结构，具有条形散热孔，安装后平滑无突起；</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4、柜体表面及内部结构经磷化喷塑外观光洁、色泽均匀、无露底、无流积、无起泡、无裂纹、无桔皮、金属件无毛刺和锈蚀，柜体表面及内部结构经磷化喷塑，箱体部件表面涂层平均厚度达到≥75um；</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辅材</w:t>
            </w:r>
          </w:p>
        </w:tc>
        <w:tc>
          <w:tcPr>
            <w:tcW w:w="9246"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配电箱、电源线等</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全景摄像机</w:t>
            </w:r>
          </w:p>
        </w:tc>
        <w:tc>
          <w:tcPr>
            <w:tcW w:w="9246" w:type="dxa"/>
            <w:shd w:val="clear" w:color="000000" w:fill="FFFFFF"/>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1、200万 1/2.7" CMOS 变焦半球型网络摄像机；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支持Smart侦测：场景变更侦测，区域入侵侦测，越界侦测，进入区域侦测，离开区域侦测，物品遗留侦测，物品拿取侦测，徘徊侦测，停车侦测，人员聚集侦测，快速移动侦测，音频异常侦测，音频陡升侦测，音频陡降侦测；</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3、最低照度: 彩色：0.002 Lux @（F1.2，AGC ON），0 Lux with IR；</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4、宽动态: 120 dB；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5、调节角度: 水平：0°~355°，垂直：0°~75°，旋转：0°~355°；</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6、焦距&amp;视场角: 2.7~12 mm：水平视场角：107°~32°，垂直视场角：56°~18°，对角视场角：128°~37°；</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7、补光灯类型: 红外灯；</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8、补光距离: 最远可达30 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9、防补光过曝: 支持；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10、红外波长范围: 850 nm；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11、最大图像尺寸: 1920 × 1080；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12、视频压缩标准: 主码流：H.265/H.264；</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13、网络存储: 支持NAS（NFS，SMB/CIFS均支持），支持MicroSD(即TF卡)/MicroSDHC/MicroSDXC卡（最大256 GB）；</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14、网络: 1个RJ45 10 M/100 M自适应以太网口；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15、音频 : 1路输入（Line in）；1路输出（Line out）；1个内置麦克风；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16、报警: 1路输入，1路输出（报警输出最大支持DC12 V，30 mA）；</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17、复位: 支持；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18、电源输出: DC12 V，100 mA电源输出；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19、启动和工作温湿度: -30 °C~60 °C，湿度小于95%（无凝结）；</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20、电流及功耗: DC：12 V，0.7 A，最大功耗：8.4 W；PoE：802.3af，36 V~57 V，0.27 A~0.17 A，最大功耗：10 W；</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21、供电方式: DC：12 V ± 25%；PoE：802.3af，Class 3；</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22、防护: IP66，IK10。</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直流电源</w:t>
            </w:r>
          </w:p>
        </w:tc>
        <w:tc>
          <w:tcPr>
            <w:tcW w:w="9246"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DC12V/12.5A.安装于抽拉模块箱、提供门禁、模块等设备供电</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9"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人机交互机器人</w:t>
            </w:r>
          </w:p>
        </w:tc>
        <w:tc>
          <w:tcPr>
            <w:tcW w:w="9246" w:type="dxa"/>
            <w:shd w:val="clear" w:color="000000" w:fill="FFFFFF"/>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占地面积（投影） 小于0.25平方米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越障高度 大于1cm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单次充电续航时间 正常使用大于5小时，补充充电时间小于1小时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防护传感器和碰撞缓冲 有，应当确保在任何情况下不对人体造成物理伤害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行走速度 ≥0.6 m/s，≤0.8m/s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屏幕尺寸 机器人屏幕具备 9 寸-11 寸高清液晶屏，触摸屏操作与配置。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额定功率(W) 55W -60W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屏幕类型 触摸屏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屏幕分辨率(dpi) 2048 x 1536 像素分辨率，264 PPI  以上（含）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摄像头 头部广角摄像头，≥200W  底部普通摄像头≥200W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高度 0.9 m -1.15m （安全高度）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电池容量 ≥18000mAh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重量（KG） ≥15kg，≤25kg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系统 安卓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移动方式 差动轮式驱动，前进、后退及转向，适合凹凸不平路面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头部运动 上下、左右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麦克风 大于双麦，强降噪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扬声器 10W@4R 大功率扬声器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充电时间（h） ≤6小时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工作时长（h） ≥10小时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额定输入电压（V） 100V-240V， 50/60 Hz 全球通用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（二）基本功能</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功能 内容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智能语音 智能语音识别（基于关键字），结合知识库，可以自主回答问题（须提供证明材料或样机实际演示）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人体感应 有人从边上经过, 机器人做出反应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避障感知 高度灵敏的获取障碍信息，及时高效的制定避障策略，确保机器人运动的平稳顺滑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定位导航 地图创建及处理，地图地点标定，基于坐标的媒体触发播放；路径规划，基于创建地图，定位当前位置&amp;目标位置，给出导航路径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语音操作 支持语音交互，功能菜单全局语音检索，扁平化命令菜单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触摸操作 触摸UI，机器人表情丰富及支持功能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人脸识别 支持离线识别人脸的功能，可识别100张人脸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关机充电 支持关闭电源情况下充电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安全防护 机器人具有撞击、缓冲模块，以保障公共服务场所用户的安全（须提供证明材料或样机实际演示）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认证证书 中国机器人认证 CR 认证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中英文交互 机器人可以进行中、英文随意切换，保障接待外籍人士报警互动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（三）个性化功能</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功能 内容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导航指引 人民群众可以通过与机器人语音交互的方式，获取所在场景内服务位置点信息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娱乐互动 机器人可主动与少年儿童进行“反诈骗”互动，提高趣味性和反诈意识。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智能“反诈宣传” 机器人可以与人民群众进行“反诈300题”互动，提高人民群众反诈骗意识和反诈骗能力。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智能“反诈公众号”推送 机器人可以在屏幕上推送预先设置的“反诈骗”二维码等信息，引导群众关注和推送“反诈骗”实时信息。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人工辅助 当智能机器人遇到处理不了的情况或出现异常时，在线工程师主动介入，实现与人民群众的互动语音交流、机器人屏幕内容推送、机器人移动等。（须提供样机实际演示）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“反诈”网页查询 机器人可通过推送网页网址，供人民群众点击查看并搜索相关“反诈”信息（须提供样机实际演示）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满意度调查 通过问卷开展满意度调查，问卷完成后将调查结果汇总给使用方。调查问卷的题目由使用方提供，并指定在特定的时间段内进行调查。</w:t>
            </w: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62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2432"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机房动环监测智慧系统</w:t>
            </w:r>
          </w:p>
        </w:tc>
        <w:tc>
          <w:tcPr>
            <w:tcW w:w="9246" w:type="dxa"/>
            <w:shd w:val="clear" w:color="000000" w:fill="FFFFFF"/>
            <w:vAlign w:val="center"/>
          </w:tcPr>
          <w:p>
            <w:pPr>
              <w:widowControl/>
              <w:jc w:val="left"/>
              <w:textAlignment w:val="center"/>
              <w:rPr>
                <w:color w:val="auto"/>
                <w:highlight w:val="none"/>
              </w:rPr>
            </w:pPr>
            <w:r>
              <w:rPr>
                <w:rFonts w:hint="eastAsia"/>
                <w:color w:val="auto"/>
                <w:highlight w:val="none"/>
              </w:rPr>
              <w:t>1、系统平台基于Linux操作系统，采用基于消息队列的微服务架构，实现全异步通信模式设计，各个服务模块间零耦合，通过消息来实现通信与流程驱动，易于日常维护和升级；采用时序数据存储采集数据。</w:t>
            </w:r>
          </w:p>
          <w:p>
            <w:pPr>
              <w:widowControl/>
              <w:jc w:val="left"/>
              <w:textAlignment w:val="center"/>
              <w:rPr>
                <w:color w:val="auto"/>
                <w:highlight w:val="none"/>
              </w:rPr>
            </w:pPr>
            <w:r>
              <w:rPr>
                <w:rFonts w:hint="eastAsia"/>
                <w:color w:val="auto"/>
                <w:highlight w:val="none"/>
              </w:rPr>
              <w:t>2、系统平台应采用WebSocket和HTML5技术，主动推送各监控设备的运行状态、运行参数及各种故障参数至WEB浏览器；支持机房实时数据、实时告警数据等以动态方式集中展示，支持主动推送监测数据至集中监控系统。</w:t>
            </w:r>
          </w:p>
          <w:p>
            <w:pPr>
              <w:widowControl/>
              <w:jc w:val="left"/>
              <w:textAlignment w:val="center"/>
              <w:rPr>
                <w:color w:val="auto"/>
                <w:highlight w:val="none"/>
              </w:rPr>
            </w:pPr>
            <w:r>
              <w:rPr>
                <w:rFonts w:hint="eastAsia"/>
                <w:color w:val="auto"/>
                <w:highlight w:val="none"/>
              </w:rPr>
              <w:t>3、系统平台支持用户权限管理、菜单和动环设备组态管理，支持新设备的组态添加，报警参数设置管理；支持历史数据查询,可自定义时间段展示全部历史数据曲线；</w:t>
            </w:r>
          </w:p>
          <w:p>
            <w:pPr>
              <w:widowControl/>
              <w:jc w:val="left"/>
              <w:textAlignment w:val="center"/>
              <w:rPr>
                <w:color w:val="auto"/>
                <w:highlight w:val="none"/>
              </w:rPr>
            </w:pPr>
            <w:r>
              <w:rPr>
                <w:rFonts w:hint="eastAsia"/>
                <w:color w:val="auto"/>
                <w:highlight w:val="none"/>
              </w:rPr>
              <w:t>4、具备系统管理和工程配置，支持产品配置、模块配置、页面组态配置、动力环境参数设置、同步管理，提供Modbus协议配置、数据显示项配置、告警规则配置，提供各配置项的网页管理界面；支持监控设备的Modbus协议、SNMP协议、以及串口自定义协议的数据采集。</w:t>
            </w:r>
          </w:p>
          <w:p>
            <w:pPr>
              <w:widowControl/>
              <w:jc w:val="left"/>
              <w:textAlignment w:val="center"/>
              <w:rPr>
                <w:color w:val="auto"/>
                <w:highlight w:val="none"/>
              </w:rPr>
            </w:pPr>
            <w:r>
              <w:rPr>
                <w:rFonts w:hint="eastAsia"/>
                <w:color w:val="auto"/>
                <w:highlight w:val="none"/>
              </w:rPr>
              <w:t>5、系统平台提供多种报警方式，告警信息可通过显示屏、声光、短信、电话、邮件等多种方式通知用户；同一项数据可根据需要设置多个不同范围的告警阀值，在到达阀值时分别触发告警；支持6级以上告警等级，可根据需要自定义配置更多告警等级。</w:t>
            </w:r>
          </w:p>
          <w:p>
            <w:pPr>
              <w:widowControl/>
              <w:jc w:val="left"/>
              <w:textAlignment w:val="center"/>
              <w:rPr>
                <w:color w:val="auto"/>
                <w:highlight w:val="none"/>
              </w:rPr>
            </w:pPr>
            <w:r>
              <w:rPr>
                <w:rFonts w:hint="eastAsia"/>
                <w:color w:val="auto"/>
                <w:highlight w:val="none"/>
              </w:rPr>
              <w:t>6、应具备手机Android版和iOS版动环APP，能监控机房实时统计信息，监控单体机状态信息及单体机中设备实时数据；能显示实时告警信息和告警数量，可按时间和单体机房查询历史告警信息，应提供软件著作权。</w:t>
            </w:r>
          </w:p>
          <w:p>
            <w:pPr>
              <w:widowControl/>
              <w:jc w:val="left"/>
              <w:textAlignment w:val="center"/>
              <w:rPr>
                <w:color w:val="auto"/>
                <w:highlight w:val="none"/>
              </w:rPr>
            </w:pPr>
            <w:r>
              <w:rPr>
                <w:rFonts w:hint="eastAsia"/>
                <w:color w:val="auto"/>
                <w:highlight w:val="none"/>
              </w:rPr>
              <w:t>7、系统支持北向接口，供第三方系统对接采集的动环数据；动环主机支持开放SNMP接口协议；</w:t>
            </w:r>
          </w:p>
          <w:p>
            <w:pPr>
              <w:widowControl/>
              <w:jc w:val="left"/>
              <w:textAlignment w:val="center"/>
              <w:rPr>
                <w:color w:val="auto"/>
                <w:highlight w:val="none"/>
              </w:rPr>
            </w:pPr>
            <w:r>
              <w:rPr>
                <w:rFonts w:hint="eastAsia"/>
                <w:color w:val="auto"/>
                <w:highlight w:val="none"/>
              </w:rPr>
              <w:t>8、动环监控主机，19英寸标准机架式安装，Ubuntu OS 操作系统， 2个10/100M网络接口，10路独立RS485信号输入端口，内置短信报警模块；提供远程管理，满足一体机内多套温湿度、水浸监控、烟感、空调、配电、UPS设备的监控管理；支持远程网页实时数据查看、历史数据查询、系统参数设置管理等。支持与工业触摸屏设备对接，实现在本地实时查看温湿度、水浸、烟感、空调、配电、UPS等设备的实时监控数据。</w:t>
            </w:r>
          </w:p>
          <w:p>
            <w:pPr>
              <w:widowControl/>
              <w:jc w:val="left"/>
              <w:textAlignment w:val="center"/>
              <w:rPr>
                <w:rFonts w:hint="eastAsia"/>
                <w:color w:val="auto"/>
                <w:highlight w:val="none"/>
              </w:rPr>
            </w:pPr>
            <w:r>
              <w:rPr>
                <w:rFonts w:hint="eastAsia"/>
                <w:color w:val="auto"/>
                <w:highlight w:val="none"/>
              </w:rPr>
              <w:t>9、为保证系统兼容性，机房动环监测智慧系统与模块化微型机房五联机为同一品牌。</w:t>
            </w:r>
          </w:p>
          <w:p>
            <w:pPr>
              <w:widowControl/>
              <w:jc w:val="left"/>
              <w:textAlignment w:val="top"/>
              <w:rPr>
                <w:rFonts w:hint="eastAsia" w:ascii="宋体" w:hAnsi="宋体" w:eastAsia="宋体" w:cs="宋体"/>
                <w:b/>
                <w:bCs/>
                <w:color w:val="auto"/>
                <w:kern w:val="0"/>
                <w:sz w:val="18"/>
                <w:szCs w:val="18"/>
                <w:highlight w:val="none"/>
                <w:lang w:eastAsia="zh-CN"/>
              </w:rPr>
            </w:pPr>
            <w:r>
              <w:rPr>
                <w:rFonts w:hint="eastAsia"/>
                <w:color w:val="auto"/>
                <w:highlight w:val="none"/>
                <w:lang w:eastAsia="zh-CN"/>
              </w:rPr>
              <w:t>　　</w:t>
            </w:r>
            <w:r>
              <w:rPr>
                <w:rFonts w:hint="eastAsia" w:ascii="宋体" w:hAnsi="宋体" w:eastAsia="宋体" w:cs="宋体"/>
                <w:b/>
                <w:bCs/>
                <w:color w:val="auto"/>
                <w:kern w:val="0"/>
                <w:sz w:val="18"/>
                <w:szCs w:val="18"/>
                <w:highlight w:val="none"/>
                <w:lang w:eastAsia="zh-CN"/>
              </w:rPr>
              <w:t>机房：实行微模块化数据中心，为了应对云计算、虚拟化、集中化、高密化等服务器的变化，提高数据中心的运营效率，降能耗，实现快速扩容且互不影响。微模块化数据中心是指多个具有独立功能、统一输入输出接口的微模块，不同区域的微模块可以互相备份，通过相关的微模块排列排序组合而成，组成：机柜、密闭通道、供配电系统、制冷系统、智能监控系统、综合布线、消防系统、</w:t>
            </w:r>
            <w:r>
              <w:rPr>
                <w:rFonts w:hint="eastAsia" w:ascii="宋体" w:hAnsi="宋体" w:eastAsia="宋体" w:cs="宋体"/>
                <w:b/>
                <w:bCs/>
                <w:color w:val="auto"/>
                <w:kern w:val="0"/>
                <w:sz w:val="18"/>
                <w:szCs w:val="18"/>
                <w:highlight w:val="none"/>
              </w:rPr>
              <w:t>动环监测智慧系统</w:t>
            </w:r>
            <w:r>
              <w:rPr>
                <w:rFonts w:hint="eastAsia" w:ascii="宋体" w:hAnsi="宋体" w:eastAsia="宋体" w:cs="宋体"/>
                <w:b/>
                <w:bCs/>
                <w:color w:val="auto"/>
                <w:kern w:val="0"/>
                <w:sz w:val="18"/>
                <w:szCs w:val="18"/>
                <w:highlight w:val="none"/>
                <w:lang w:eastAsia="zh-CN"/>
              </w:rPr>
              <w:t>等系统。</w:t>
            </w:r>
          </w:p>
          <w:p>
            <w:pPr>
              <w:widowControl/>
              <w:jc w:val="left"/>
              <w:textAlignment w:val="top"/>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　　监测：</w:t>
            </w:r>
          </w:p>
          <w:p>
            <w:pPr>
              <w:widowControl/>
              <w:jc w:val="left"/>
              <w:textAlignment w:val="top"/>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eastAsia="zh-CN"/>
              </w:rPr>
              <w:t>　动力：单个设备用电及能耗监测、用电设备远程重启、设备集中管控、能效状态实时呈现；如：配电柜、</w:t>
            </w:r>
            <w:r>
              <w:rPr>
                <w:rFonts w:hint="eastAsia" w:ascii="宋体" w:hAnsi="宋体" w:eastAsia="宋体" w:cs="宋体"/>
                <w:b/>
                <w:bCs/>
                <w:color w:val="auto"/>
                <w:kern w:val="0"/>
                <w:sz w:val="18"/>
                <w:szCs w:val="18"/>
                <w:highlight w:val="none"/>
                <w:lang w:val="en-US" w:eastAsia="zh-CN"/>
              </w:rPr>
              <w:t>UPS、市电、蓄电池</w:t>
            </w:r>
          </w:p>
          <w:p>
            <w:pPr>
              <w:widowControl/>
              <w:jc w:val="left"/>
              <w:textAlignment w:val="top"/>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　环境：机房运维环境多维度监测，机房环境自运营，设备联运调控，远程查看、管理机房环境状态，如漏水、湿度、烟雾。</w:t>
            </w:r>
          </w:p>
          <w:p>
            <w:pPr>
              <w:widowControl/>
              <w:jc w:val="left"/>
              <w:textAlignment w:val="top"/>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　安防：机房安防情况实时监测，出入异常联运摄像头抓拍记录，远程掌握、管控机房门禁情况，如红外感应、空间监测、监控、门禁、人脸</w:t>
            </w:r>
          </w:p>
          <w:p>
            <w:pPr>
              <w:widowControl/>
              <w:jc w:val="left"/>
              <w:textAlignment w:val="top"/>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　　网络设备：网络设备性能实时监测、呈现设备真实运行状态，IP地址批量修改与填入。</w:t>
            </w:r>
          </w:p>
          <w:p>
            <w:pPr>
              <w:pStyle w:val="9"/>
              <w:rPr>
                <w:color w:val="auto"/>
                <w:highlight w:val="none"/>
              </w:rPr>
            </w:pPr>
          </w:p>
        </w:tc>
        <w:tc>
          <w:tcPr>
            <w:tcW w:w="739"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bl>
    <w:p>
      <w:pPr>
        <w:jc w:val="center"/>
        <w:rPr>
          <w:rFonts w:ascii="宋体" w:hAnsi="宋体" w:cs="宋体"/>
          <w:color w:val="auto"/>
          <w:sz w:val="20"/>
          <w:szCs w:val="20"/>
          <w:highlight w:val="none"/>
        </w:rPr>
      </w:pPr>
    </w:p>
    <w:p>
      <w:pPr>
        <w:pStyle w:val="5"/>
        <w:spacing w:line="240" w:lineRule="auto"/>
        <w:jc w:val="left"/>
        <w:rPr>
          <w:color w:val="auto"/>
          <w:sz w:val="20"/>
          <w:szCs w:val="20"/>
          <w:highlight w:val="none"/>
        </w:rPr>
      </w:pPr>
      <w:bookmarkStart w:id="30" w:name="_Toc90043586"/>
      <w:r>
        <w:rPr>
          <w:color w:val="auto"/>
          <w:sz w:val="20"/>
          <w:szCs w:val="20"/>
          <w:highlight w:val="none"/>
        </w:rPr>
        <w:t>12</w:t>
      </w:r>
      <w:r>
        <w:rPr>
          <w:rFonts w:hint="eastAsia"/>
          <w:color w:val="auto"/>
          <w:sz w:val="20"/>
          <w:szCs w:val="20"/>
          <w:highlight w:val="none"/>
        </w:rPr>
        <w:t>、刑事技术信息化</w:t>
      </w:r>
      <w:bookmarkEnd w:id="30"/>
    </w:p>
    <w:tbl>
      <w:tblPr>
        <w:tblStyle w:val="27"/>
        <w:tblW w:w="13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143"/>
        <w:gridCol w:w="8954"/>
        <w:gridCol w:w="102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blHeader/>
          <w:jc w:val="center"/>
        </w:trPr>
        <w:tc>
          <w:tcPr>
            <w:tcW w:w="880"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2143"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8954"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产品描述</w:t>
            </w:r>
          </w:p>
        </w:tc>
        <w:tc>
          <w:tcPr>
            <w:tcW w:w="1020"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880" w:type="dxa"/>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（一）、综合布线系统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四口信息面板</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86型四口，采用优质工程ABS塑料，抗冲击，符合UL94V-O防火等级；表面不见螺钉孔，带有永久性防尘盖，后面带加强筋；正面上方有方便管理的标签窗口。</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124</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六类非屏蔽信息模块</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1、六类非屏蔽信息插座模块；</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2、产品性能超越TIA/EIA-568C.2 对六类的硬件标准；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3、45度倾斜设计，同时拉开IDC端子间距离；</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4、后盖带线缆固定设计,避免在拉动时直接影响卡线部位,保证产品性能的稳定；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5、弧形金针设计，有效提升近端串音余量；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6、RJ45端口金针：磷青铜、表面镀金；</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7、插头与插座插合次数:≥1000；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8、线端接次数:≥250；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9、卡接导体线规:22~26AWG；</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10、工作温度:-25～60℃。</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496</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六类4对低烟无卤非屏蔽双绞线LSZH</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1、UTP Cat.6数据电缆，LSZH、紫色；</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2、通过ANSI/TIA/EIA-568-C.2 250MHz带宽测试要求；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3、内部十字骨架设计，在分开线对时保证在使用和穿线过程线对位置，减少近端串扰损耗和保持了阻抗稳定；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4、单根导体直流电阻：≤9.0</w:t>
            </w:r>
            <w:r>
              <w:rPr>
                <w:rStyle w:val="82"/>
                <w:color w:val="auto"/>
                <w:sz w:val="20"/>
                <w:szCs w:val="20"/>
                <w:highlight w:val="none"/>
              </w:rPr>
              <w:t>Ω</w:t>
            </w:r>
            <w:r>
              <w:rPr>
                <w:rStyle w:val="89"/>
                <w:rFonts w:hint="default"/>
                <w:color w:val="auto"/>
                <w:sz w:val="20"/>
                <w:szCs w:val="20"/>
                <w:highlight w:val="none"/>
              </w:rPr>
              <w:t>/100m</w:t>
            </w:r>
            <w:r>
              <w:rPr>
                <w:rFonts w:hint="eastAsia" w:ascii="宋体" w:hAnsi="宋体" w:cs="宋体"/>
                <w:color w:val="auto"/>
                <w:kern w:val="0"/>
                <w:sz w:val="20"/>
                <w:szCs w:val="20"/>
                <w:highlight w:val="none"/>
              </w:rPr>
              <w:t>；</w:t>
            </w:r>
          </w:p>
          <w:p>
            <w:pPr>
              <w:widowControl/>
              <w:jc w:val="left"/>
              <w:textAlignment w:val="center"/>
              <w:rPr>
                <w:rStyle w:val="89"/>
                <w:rFonts w:hint="default"/>
                <w:color w:val="auto"/>
                <w:sz w:val="20"/>
                <w:szCs w:val="20"/>
                <w:highlight w:val="none"/>
              </w:rPr>
            </w:pPr>
            <w:r>
              <w:rPr>
                <w:rStyle w:val="89"/>
                <w:rFonts w:hint="default"/>
                <w:color w:val="auto"/>
                <w:sz w:val="20"/>
                <w:szCs w:val="20"/>
                <w:highlight w:val="none"/>
              </w:rPr>
              <w:t>5、线对直流电阻不平衡：≤2.5%</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6、线对对地电容不平衡：＜330pF/100m</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7、延迟偏差：≤45ns/100m</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8、额定传输速率(NVP)：68%</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9、绝缘电阻: ≥5000M</w:t>
            </w:r>
            <w:r>
              <w:rPr>
                <w:rStyle w:val="82"/>
                <w:color w:val="auto"/>
                <w:sz w:val="20"/>
                <w:szCs w:val="20"/>
                <w:highlight w:val="none"/>
              </w:rPr>
              <w:t>Ω</w:t>
            </w:r>
            <w:r>
              <w:rPr>
                <w:rStyle w:val="89"/>
                <w:rFonts w:hint="default"/>
                <w:color w:val="auto"/>
                <w:sz w:val="20"/>
                <w:szCs w:val="20"/>
                <w:highlight w:val="none"/>
              </w:rPr>
              <w:t>/km +20℃ DC (100-500)</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10、导体材料：无氧圆铜（纯度99.99%）</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11、线规：23AWG</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12、护套护套材料:LSZH</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13、符合REACH、FCC、3P、ETL产品认证。</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29760</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24口六类网络配线架（含模块）</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1、24位模块式六类非屏蔽插座配线架；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2、符合并超越ANSI/TIA/EIA-568-C.2 对六类标准的规定；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3、标准19英寸机架式传统安装、采用优质高强度冷轧钢材，表面防静电处理；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4、采用模块化设计，可拆卸式线缆托架，保证线缆垂直进线；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5、RJ45端口金针：磷青铜、表面镀金；</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6、插头与插座插合次数:≥1000；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7、线端接次数:≥250；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8、卡接导体线规:22~26AWG；</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9、工作温度:-25～60；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10、符合FCC认证要求。</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12口光纤配线架</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12口机架式，黑色；箱体为1.0mm厚度优质冷轧钢板，喷塑；耦合器安装条为铝板；配有熔纤盘，耦合器安装条，线环，扎带；尺寸：425×200×44mm。</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理线器</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19英寸，1U；采用优质冷轧钢板，喷涂静电粉末，避免划伤；带封闭式盖板；与网络配线架、110配线架、光纤配线架配套使用。</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50对110语音配线架（含模块）</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50对机架式，19英寸，1U高；满足：YD/T 926.3、GB50312、TIA/EIA 568-C.2和ISO/IEC 11801对5类传输的要求；标准的T568A和T568B线序；适用于22、24AWG(0.64、0.5.及0.4mm)线缆；采用优质阻燃聚碳酸酯材料，阻燃性能达到UL94V-O级别；IDC打线柱夹子为磷青铜镀镍；导线端接次数：≥250次；110连接端子有4对和5对两种规格可选择。含背板。</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100对110语音配线架（含模块）</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100对机架式，19英寸，1U高；满足：YD/T 926.3、GB50312、TIA/EIA 568-C.2和ISO/IEC 11801对5类传输的要求；标准的T568A和T568B线序；适用于22、24AWG(0.64、0.5.及0.4mm)线缆；采用优质阻燃聚碳酸酯材料，阻燃性能达到UL94V-O级别；IDC打线柱夹子为磷青铜镀镍；导线端接次数：≥250次；110连接端子有4对和5对两种规格可选择。标准配置为20个4对连接端子和4个5对。</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110型过线槽</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19英寸，1U；采用优质冷轧钢板，喷涂静电粉末，避免划伤；带封闭式盖板；与网络配线架、110配线架、光纤配线架配套使用。</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六类非屏蔽RJ45网络跳线（2米）</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1、符合标准：TIA/EIA-568.-C.2；</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2、导体结构：多股绞合；</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3、导体材料：无氧圆铜(纯度99.99%),多股绞合线；</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4、屏蔽方式：U/UTP；</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5、跳线长度：2M；</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6、RJ45接口：8P8C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7、RJ45簧片材料：磷青铜表面镀金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8、绝缘材料：SKIN-FOAM-SKIN；</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9、插头材料：阻燃透明聚碳酸酯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10、插头护套：聚氯乙烯(PVC) ；</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11、插头与插座的插合次数≥1000次；</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12、护套材料：PVC；</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13、符合REACH 材料检测要求。</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447</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语音跳线（2米）</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性能满足并超过TIA/EIA和ISO/IEC性能标准所规定的多芯软电缆以及镀金50微英寸的三叉RJ45水晶头机械压接而成，通过整体灌胶工艺，保证二者的牢固连接；传输带宽大于100MHZ；耐插拔次数大于1000次；防火等级为UL94V-0。</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124</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LC耦合器（双工单模）</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LC双工，采用耐高温、耐酸、碱的超高硬度、高密度的氧化镐套筒，陶瓷芯，精密磷青铜；符合TIA/EIT-568、IEC相关标准；拔插次数：≥1000次。</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LC单模光纤尾纤（1米）</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9/125μm，OS2级纤芯，LC单芯，1.5米；要求：满足并超过TIA/EIA(CSA T-529-95)、IEC874-1的要求；插入损耗： ≤0.2dB，回波损耗：≥50dB，重复性：≤0.1dB，互换性：≤0.1dB，拔插次数：≥1000次。</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LC-LC单模双芯光纤跳线（2米）</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9/125μm，OS2级纤芯，LC-LC双芯，3米；满足并超过TIA/EIA(CSA T-529-95)、IEC874-1的要求；插入损耗：≤0.2dB，回波损耗：≥50dB，重复性：≤0.1dB，互换性：≤0.1dB，拔插次数：≥1000次。</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24U机柜</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600*600*1200前玻璃后铁门，层板1块，1个普通排插</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42U机柜</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600*800*2000，符合ANSI/EIA RS-310-D、兼容ETSI标准；快开侧门，方便安装和维护；可拆散包装，体积仅为整柜体积的1/2～2/3，单开平板六角网孔前门，单开平板六角网孔后门，网孔通风率为75%；可关闭的上部、下部多处走线通道，底部大走线孔尺寸可按需调整；SPCC优质冷轧钢板制作；立柱、托板1.5mm, 前门1.2mm, 其它1.0mm；表面处理：脱脂、酸洗、磷化、静电喷塑；承载：静载800KG(带支架)，托板每层达到100KG；防护等级：IP20；标准配置：4只散热风扇，2层托板，40套螺丝，插座1个；配4只脚轮</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PDU机柜专用电源插座</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1U,8位10A万用孔,带开关,1.5平方2米线长,10A国标插头。</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12芯单模光纤</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1、室内单模12芯软光缆GJPJFH 9/125；</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2、符合ISO/IEC 11801:2008、ANSI/TIA 568-C.3、YD/T1258-2005标准；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3、光缆规格：GJPFH；</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4、光纤规格：B1.3(或OS2、G652.D)；</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5、衰减＠20℃（DB/Km） ：＠1310≤0.8，＠1550≤0.6；</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6、模场直径（μm）：8.6～9.5；</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7、包层不圆度(%)：≤1.0；</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8、涂覆层剥除力（N）：≥1.0，≤8.9；</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9、温度附加衰减(dB/km)：≤0.1；</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10、零色散斜率（ps/n㎡×km）：1300nm-1324nm；≤0.092；</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11、宏弯损耗（db）：≤0.1；</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12、短暂/长期允许压扁（N）：≤4芯 220/70；≤12芯 660/20；</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13、动态/静态最小弯曲半径(D)：20/10；</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14、外护套：LSZH；</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15、芯数：12；</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16、使用温度：-40℃～+60℃；</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17、外护套颜色：黄色。</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光纤熔接</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光纤连接熔接法单模</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低烟无卤25对大对数电缆LSZH</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三类25对非屏蔽室内电缆，低烟无卤护套。</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桥架</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金属桥架150*75 安装,包括支架制作安装、除锈、喷油,接地跨接，盖板</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桥架</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金属桥架200*100 安装,包括支架制作安装、除锈、喷油,接地跨接，盖板</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152</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JDG管</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暗配电线管JDG25</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9900</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防火堵洞</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防火泥防火封堵</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b/>
                <w:bCs/>
                <w:color w:val="auto"/>
                <w:kern w:val="0"/>
                <w:sz w:val="20"/>
                <w:szCs w:val="20"/>
                <w:highlight w:val="none"/>
              </w:rPr>
            </w:pPr>
          </w:p>
        </w:tc>
        <w:tc>
          <w:tcPr>
            <w:tcW w:w="2143" w:type="dxa"/>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系统小计</w:t>
            </w:r>
          </w:p>
        </w:tc>
        <w:tc>
          <w:tcPr>
            <w:tcW w:w="8954" w:type="dxa"/>
            <w:vAlign w:val="center"/>
          </w:tcPr>
          <w:p>
            <w:pPr>
              <w:widowControl/>
              <w:jc w:val="left"/>
              <w:rPr>
                <w:rFonts w:ascii="宋体" w:hAnsi="宋体" w:cs="宋体"/>
                <w:b/>
                <w:bCs/>
                <w:color w:val="auto"/>
                <w:kern w:val="0"/>
                <w:sz w:val="20"/>
                <w:szCs w:val="20"/>
                <w:highlight w:val="none"/>
              </w:rPr>
            </w:pPr>
          </w:p>
        </w:tc>
        <w:tc>
          <w:tcPr>
            <w:tcW w:w="1020" w:type="dxa"/>
            <w:vAlign w:val="center"/>
          </w:tcPr>
          <w:p>
            <w:pPr>
              <w:widowControl/>
              <w:jc w:val="center"/>
              <w:rPr>
                <w:rFonts w:ascii="宋体" w:hAnsi="宋体" w:cs="宋体"/>
                <w:b/>
                <w:bCs/>
                <w:color w:val="auto"/>
                <w:kern w:val="0"/>
                <w:sz w:val="20"/>
                <w:szCs w:val="20"/>
                <w:highlight w:val="none"/>
              </w:rPr>
            </w:pPr>
          </w:p>
        </w:tc>
        <w:tc>
          <w:tcPr>
            <w:tcW w:w="880" w:type="dxa"/>
            <w:vAlign w:val="center"/>
          </w:tcPr>
          <w:p>
            <w:pPr>
              <w:widowControl/>
              <w:jc w:val="center"/>
              <w:rPr>
                <w:rFonts w:ascii="宋体" w:hAnsi="宋体"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（二）、计算机网络系统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（1）公安网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A.接入层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公安网48口接入交换机</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1、交换容量≥432Gbps, 包转发率≥85Mpps（以官网低指标为准，官网参数若标注为交换容量“A/B”，以A/B中更小值为准）；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2、千兆电口≥48个,千兆光口≥4个；</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3、支持IPv4静态路由、RIP V1/V2、OSPF；支持IPv6静态路由、RIPng、OSPF v3；</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4、可配合上端管理设备，实现整网拓扑可视，实现在网络设备上对整网交换机的统一管理，无需再额外配置网管平台，提供官方清晰截图证明；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5、支持IRF本地负载分担，流量可以均匀负载分担到各个堆叠链路，要求提供权威机构颁发的第三方测试报告；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6、支持Smartlink，收敛时间≤50m s，要求提供权威机构颁发的第三方测试报告；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7、整机提供ACl条目数不小于1K条，支持出方向ACL，以便于灵活实现数据包过滤；要求提供权威机构颁发的第三方测试报告；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8、要求与汇聚交换机同一品牌，产品厂商要求在温州地区设有产品备件库。</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公安网24口接入交换机</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1、交换容量≥335Gbps, 包转发率≥50Mpps（以官网低指标为准，官网参数若标注为交换容量“A/B”，以A/B中更小值为准）；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2、千兆电口≥24个,千兆光口≥4个；</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3、支持IPv4静态路由、RIP V1/V2、OSPF；支持IPv6静态路由、RIPng、OSPF v3；</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4、可配合上端管理设备，实现整网拓扑可视，实现在网络设备上对整网交换机的统一管理，无需再额外配置网管平台，提供官方清晰截图证明；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5、支持IRF本地负载分担，流量可以均匀负载分担到各个堆叠链路，要求提供权威机构颁发的第三方测试报告；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6、支持Smartlink，收敛时间≤50m s，要求提供权威机构颁发的第三方测试报告；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7、整机提供ACl条目数不小于1K条，支持出方向ACL，以便于灵活实现数据包过滤；要求提供权威机构颁发的第三方测试报告；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8、要求与汇聚交换机同一品牌，产品厂商要求在温州地区设有产品备件库。</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27</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公安网千兆单模光模块</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光模块-SFP-GE-单模模块-(1310nm,10km,LC)</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B.汇聚层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公安网汇聚交换机</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1、设备性能：交换容量≥7.55Tbps，转发性能≥390Mpps；</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2、配置要求：24个10/100/1000Base-T自适应以太网端口（其中8个是combo口），4个万兆SFP+口； 模块化双电源；模块化双风扇，前/后通风，风道可调；</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3、扩展插槽：为保障未来园区链路升级，支持≥1个扩展插槽，支持ALL IN ONE插卡；支持扩展1/2.5/5/10G BASE-T 以太网电接口、25G SFP28端口、40GE QSFP+接口，提供官网链接及选配信息截图证明；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4、性能指标：路由表容量≥32K，ARP表容量≥32K，要求提供第三方测试报告；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5、VXLAN：支持创新的VxLAN技术，可以同时支持VxLAN二三层网关，提供官网截图和链接；</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6、开放多业务架构：支持集成包括FW，IPS、负载均衡等高性能OAP模块插卡。提供官网截图和链接；</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7、支持安全插卡功能，通过设备的测试流量可以引导向安全插卡，经过安全插卡的安全策略过滤后继续转发。提供检测报告证明；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8、路由协议：支持IPv4静态路由、RIP V1/V2、OSPF、BGP；支持IPv6静态路由、RIPng、OSPFv3、BGP4+；</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9、无线功能：集成无线控制功能，实现接入层无线/有线本地转发，消除无线控制带宽瓶颈，扩大无线部署规模，节省用户投资成本，提供官网清晰截图和链接。</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29</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公安网万兆单模光模块</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SFP+ 万兆模块(1310nm,10km,LC)</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（2）公安视频专网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A.接入层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公安视频专网48口接入交换机</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1、交换容量≥432Gbps, 包转发率≥85Mpps（以官网低指标为准，官网参数若标注为交换容量“A/B”，以A/B中更小值为准）；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2、千兆电口≥48个,千兆光口≥4个；</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3、支持IPv4静态路由、RIP V1/V2、OSPF；支持IPv6静态路由、RIPng、OSPF v3；</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4、可配合上端管理设备，实现整网拓扑可视，实现在网络设备上对整网交换机的统一管理，无需再额外配置网管平台，提供官方清晰截图证明；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5、支持IRF本地负载分担，流量可以均匀负载分担到各个堆叠链路，要求提供权威机构颁发的第三方测试报告；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6、支持Smartlink，收敛时间≤50m s，要求提供权威机构颁发的第三方测试报告；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7、整机提供ACl条目数不小于1K条，支持出方向ACL，以便于灵活实现数据包过滤；要求提供权威机构颁发的第三方测试报告；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8、要求与汇聚交换机同一品牌，产品厂商要求在温州地区设有产品备件库。</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31</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公安视频专网24口接入交换机</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1、交换容量≥335Gbps, 包转发率≥50Mpps（以官网低指标为准，官网参数若标注为交换容量“A/B”，以A/B中更小值为准）；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2、千兆电口≥24个,千兆光口≥4个；</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3、支持IPv4静态路由、RIP V1/V2、OSPF；支持IPv6静态路由、RIPng、OSPF v3；</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4、可配合上端管理设备，实现整网拓扑可视，实现在网络设备上对整网交换机的统一管理，无需再额外配置网管平台，提供官方清晰截图证明；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5、支持IRF本地负载分担，流量可以均匀负载分担到各个堆叠链路，要求提供权威机构颁发的第三方测试报告；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6、支持Smartlink，收敛时间≤50m s，要求提供权威机构颁发的第三方测试报告；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7、整机提供ACl条目数不小于1K条，支持出方向ACL，以便于灵活实现数据包过滤；要求提供权威机构颁发的第三方测试报告；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8、要求与汇聚交换机同一品牌，产品厂商要求在温州地区设有产品备件库。</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公安视频专网8口接入交换机</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1、交换容量≥335Gbps, 包转发率≥25Mpps（以官网低指标为准，官网参数若标注为交换容量“A/B”，以A/B中更小值为准）；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2、千兆电口≥8个,≥4个千兆SFP口（其中两个combo口），提供官网清晰截图证明；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3、支持IPv4静态路由、RIP V1/V2、OSPF；支持IPv6静态路由、RIPng、OSPF v3；</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4、可配合上端管理设备，实现整网拓扑可视，实现在网络设备上对整网交换机的统一管理，无需再额外配置网管平台，提供官方清晰截图证明；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5、支持IRF本地负载分担，流量可以均匀负载分担到各个堆叠链路，要求提供权威机构颁发的第三方测试报告；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6、支持Smartlink，收敛时间≤50m s，要求提供权威机构颁发的第三方测试报告；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7、整机提供ACl条目数不小于1K条，支持出方向ACL，以便于灵活实现数据包过滤；要求提供权威机构颁发的第三方测试报告；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8、要求与汇聚交换机同一品牌，产品厂商要求在温州地区设有产品备件库。</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33</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公安视频专网千兆单模光模块</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光模块-SFP-GE-单模模块-(1310nm,10km,LC)</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B.汇聚层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34</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公安视频专网汇聚交换机</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1、设备性能：交换容量≥7.55Tbps，转发性能≥390Mpps；</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2、配置要求：24个10/100/1000Base-T自适应以太网端口（其中8个是combo口），4个万兆SFP+口； 模块化双电源；模块化双风扇，前/后通风，风道可调；</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3、扩展插槽：为保障未来园区链路升级，支持≥1个扩展插槽，支持ALL IN ONE插卡；支持扩展1/2.5/5/10G BASE-T 以太网电接口、25G SFP28端口、40GE QSFP+接口，提供官网链接及选配信息截图证明；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4、性能指标：路由表容量≥32K，ARP表容量≥32K，要求提供第三方测试报告；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5、VXLAN：支持创新的VxLAN技术，可以同时支持VxLAN二三层网关，提供官网截图和链接；</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6、开放多业务架构：支持集成包括FW，IPS、负载均衡等高性能OAP模块插卡。提供官网截图和链接；</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7、支持安全插卡功能，通过设备的测试流量可以引导向安全插卡，经过安全插卡的安全策略过滤后继续转发。提供检测报告证明；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8、路由协议：支持IPv4静态路由、RIP V1/V2、OSPF、BGP；支持IPv6静态路由、RIPng、OSPFv3、BGP4+；</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9、无线功能：集成无线控制功能，实现接入层无线/有线本地转发，消除无线控制带宽瓶颈，扩大无线部署规模，节省用户投资成本，提供官网清晰截图和链接。</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35</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公安视频专网万兆单模光模块</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SFP+ 万兆模块(1310nm,10km,LC)</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（3）互联网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A.接入层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36</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互联网放装AP</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1、采用整机双频4流设计，可同时工作在802.11a/b/g/n/ac/ac wave2/ax模式，提供官网截图证明；整机协商速率≥1.775Gbps，其中5G射频速率≥1.2G，2.4G速率≥0.575G。提供官网截图；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2、要求采用内置智能天线设计≥1个10/100/1000Mbps(RJ45)内置低功耗蓝牙5.0和 RFID 功能模块，可满足基于蓝牙协议的物联网业务，例如室内蓝牙定位、客流分析、蓝牙签到等，提供官网链接及清晰截图证明；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3、5GHz 射频 10 个终端，2.4GHz 射频 5 个终端，整机最大吞吐≥1Gbps，要求提供权威实验室出具的第三方测试报告多媒体点播性能（测试仪模拟）；</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4、每终端⾄少2Mbps 吞吐量，整机可支持≥350终端同时流畅点播，要求提供权威实验室出具的第三方测试报告整机接入用户规格1024，要求提供官网链接以及官网截图证明；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5、为避免设备携带铅(Pb)，镉(Cd)，汞(Hg)等重金属有害物质，投标产品提供Rosh证书；</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6、要求投标产品为成熟产品，投标设备必须持有国家工信部型号核准证；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7、为保证终端互联互通有效性，投标投标厂家需提供投标产品WiFi联盟证书。</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8、要求与无线控制器同一品牌，产品厂商要求在温州地区设有产品备件库。</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37</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互联网高密AP</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1、采用三射频设计，可工作在802.11a/b/g/n/ac/ac wave2/ax模式，提供官网截图证明；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2、≥2个接口，其中1个100/1000M/2.5G电口，1个10M/100M/1000M电口，提供官网截图证明；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3、2个5GHz射频需支持WIFI 6协议，2.4GHz单射频最大协商速率≥0.575Gbps；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4、，整机接入速率≥3.2Gbps，提供官网清晰截图证明；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5、所投产品支持3个射频接入，其中两个5GHz射频，一个可以灵活选择2.4GHz或5GHz，最大支持三个5GHz射频工作,提供官网截图；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6、Wi-Fi 6射频可切换，其中一个射频支持2.4G射频和5G射频切换；</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7、为保证高密用户接入，整机5GHz射频空间流≥6流，2.4GHz射频空间流≥4流；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8、整机接入用户规格1280，提供官网清晰截图证明；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9、⽀持内置物联⽹BLE（蓝⽛）和 RFID 功能模块，要求提供权威实验室出具的第三方测试报告；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10、至少支持10个外置物联网模块链式扩展，要求提供工信部或下属实验室出具的第三方测试报告；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11、多媒体点播性能（测试仪模拟），每终端⾄少1Mbps 吞吐量，整机可支持≥610终端同时流畅点播，要求提供权威实验室出具的第三方测试报告；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12、整机接入120个用户，打开网页时，网页加载流畅不卡顿。要求提供工信部或下属实验室出具的第三方测试报告；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13、要求投标产品为成熟产品，投标设备必须持有国家工信部型号核准证；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14、为保证终端互联互通有效性，投标投标厂家需提供投标产品WiFi联盟证书。</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15、要求与无线控制器同一品牌，产品厂商要求在温州地区设有产品备件库。</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38</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互联网48口接入交换机</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1、交换容量≥432Gbps, 包转发率≥85Mpps（以官网低指标为准，官网参数若标注为交换容量“A/B”，以A/B中更小值为准）；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2、千兆电口≥48个,千兆光口≥4个；</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3、支持IPv4静态路由、RIP V1/V2、OSPF；支持IPv6静态路由、RIPng、OSPF v3；</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4、可配合上端管理设备，实现整网拓扑可视，实现在网络设备上对整网交换机的统一管理，无需再额外配置网管平台，提供官方清晰截图证明；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5、支持IRF本地负载分担，流量可以均匀负载分担到各个堆叠链路，要求提供权威机构颁发的第三方测试报告；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6、支持Smartlink，收敛时间≤50m s，要求提供权威机构颁发的第三方测试报告；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7、整机提供ACl条目数不小于1K条，支持出方向ACL，以便于灵活实现数据包过滤；要求提供权威机构颁发的第三方测试报告；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8、要求与汇聚交换机同一品牌，产品厂商要求在温州地区设有产品备件库。</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39</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互联网24口接入交换机</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1、交换容量≥335Gbps, 包转发率≥50Mpps（以官网低指标为准，官网参数若标注为交换容量“A/B”，以A/B中更小值为准）；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2、千兆电口≥24个,千兆光口≥4个；</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3、支持IPv4静态路由、RIP V1/V2、OSPF；支持IPv6静态路由、RIPng、OSPF v3；</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4、可配合上端管理设备，实现整网拓扑可视，实现在网络设备上对整网交换机的统一管理，无需再额外配置网管平台，提供官方清晰截图证明；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5、支持IRF本地负载分担，流量可以均匀负载分担到各个堆叠链路，要求提供权威机构颁发的第三方测试报告；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6、支持Smartlink，收敛时间≤50m s，要求提供权威机构颁发的第三方测试报告；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7、整机提供ACl条目数不小于1K条，支持出方向ACL，以便于灵活实现数据包过滤；要求提供权威机构颁发的第三方测试报告；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8、要求与汇聚交换机同一品牌，产品厂商要求在温州地区设有产品备件库。</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40</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互联网8口POE接入交换机</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1、交换容量≥335Gbps, 包转发率≥25Mpps（以官网低指标为准，官网参数若标注为交换容量“A/B”，以A/B中更小值为准）；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2、千兆电口≥8个,≥4个千兆SFP口（其中两个combo口），提供官网清晰截图证明；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3、支持POE功能，整机提供最大POE供电功率≥120W；</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4、支持IPv4静态路由、RIP V1/V2、OSPF；支持IPv6静态路由、RIPng、OSPF v3；</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5、可配合上端管理设备，实现整网拓扑可视，实现在网络设备上对整网交换机的统一管理，无需再额外配置网管平台，提供官方清晰截图证明；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6、支持IRF本地负载分担，流量可以均匀负载分担到各个堆叠链路，要求提供权威机构颁发的第三方测试报告；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7、支持Smartlink，收敛时间≤50m s，要求提供权威机构颁发的第三方测试报告；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8、整机提供ACl条目数不小于1K条，支持出方向ACL，以便于灵活实现数据包过滤；要求提供权威机构颁发的第三方测试报告；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9、要求与汇聚交换机同一品牌，产品厂商要求在温州地区设有产品备件库。</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41</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互联网24口POE接入交换机</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1、交换容量≥335Gbps, 包转发率≥50Mpps（以官网低指标为准，官网参数若标注为交换容量“A/B”，以A/B中更小值为准）；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2、千兆电口≥24个,千兆光口≥4个（combo口），提供官网清晰截图证明；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3、支持POE功能，整机提供最大POE供电功率≥370W；</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4、支持IPv4静态路由、RIP V1/V2、OSPF；支持IPv6静态路由、RIPng、OSPF v3；</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5、可配合上端管理设备，实现整网拓扑可视，实现在网络设备上对整网交换机的统一管理，无需再额外配置网管平台，提供官方清晰截图证明；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6、支持IRF本地负载分担，流量可以均匀负载分担到各个堆叠链路，要求提供权威机构颁发的第三方测试报告；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7、支持Smartlink，收敛时间≤50m s，要求提供权威机构颁发的第三方测试报告；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8、整机提供ACl条目数不小于1K条，支持出方向ACL，以便于灵活实现数据包过滤；要求提供权威机构颁发的第三方测试报告；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9、要求与汇聚交换机同一品牌，产品厂商要求在温州地区设有产品备件库。</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互联网千兆单模光模块</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光模块-SFP-GE-单模模块-(1310nm,10km,LC)</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B.汇聚层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43</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互联网汇聚交换机</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1、设备性能：交换容量≥7.55Tbps，转发性能≥390Mpps；</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2、配置要求：24个10/100/1000Base-T自适应以太网端口（其中8个是combo口），4个万兆SFP+口； 模块化双电源；模块化双风扇，前/后通风，风道可调；</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3、扩展插槽：为保障未来园区链路升级，支持≥1个扩展插槽，支持ALL IN ONE插卡；支持扩展1/2.5/5/10G BASE-T 以太网电接口、25G SFP28端口、40GE QSFP+接口，提供官网链接及选配信息截图证明；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4、性能指标：路由表容量≥32K，ARP表容量≥32K，要求提供第三方测试报告；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5、VXLAN：支持创新的VxLAN技术，可以同时支持VxLAN二三层网关，提供官网截图和链接；</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6、开放多业务架构：支持集成包括FW，IPS、负载均衡等高性能OAP模块插卡。提供官网截图和链接；</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7、支持安全插卡功能，通过设备的测试流量可以引导向安全插卡，经过安全插卡的安全策略过滤后继续转发。提供检测报告证明；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8、路由协议：支持IPv4静态路由、RIP V1/V2、OSPF、BGP；支持IPv6静态路由、RIPng、OSPFv3、BGP4+；</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9、无线功能：集成无线控制功能，实现接入层无线/有线本地转发，消除无线控制带宽瓶颈，扩大无线部署规模，节省用户投资成本，提供官网清晰截图和链接。</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44</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互联网万兆单模光模块</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SFP+ 万兆模块(1310nm,10km,LC)</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45</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互联网无线控制器</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1、支持常规AP最大数量≥144，本次实配管理无线AP授权License≥16；</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2、集中转发性能≥4Gbps；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3、支持8*GE + 2*SFP + 2*2.5GE端口，提供官网清晰截图证明；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4、为了满足设备的稳定性，要求所投产品支持双电源冗余供电；</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5、支持标准IETF 5415 CAPWAP协议，AP和AC之间支持L2/L3层网络拓扑，为提高网络安全，AP与控制器之间能够支持DTLS对CAPWAP隧道进行加密处理；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6、支持MAC 地址认证、802.1x认证（EAP-PAP、EAP-MD5、EAP-PEAP、EAP-TLS、EAP-TTLS）、Portal认证、MAC+Portal混合认证、WAPI认证；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7、支持WPA标准、WEP(WEP64/WEP128)、TKIP、CCMP；</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8、支持内置portal、dot1x服务器；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9、支持Private PSK方式的动态密码功能，可以为每终端分配独立秘钥；</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10、支持防PSK暴力破解，当用户密码错误超过预设的阀值之后，能够将该用户加入动态黑名单，一段时间内禁止其接入网络，要求提供工信部或下属实验室出具的第三方测试报告；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11、支持AC内漫游，支持跨AC间漫游，支持跨VLAN的三层漫游；</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12、支持基于802.11k/802.11v/802.11r协议的智能漫游，要求提供工信部或下属实验室出具的第三方测试报告；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13、支持IRF1+1热备，对外呈现一个IP地址，简化网络拓扑；对外统一管理界面，简化运维；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14、支持雷达检测SSID逃生功能：AC、AP支持SSID自主逃生，当AP射频检测到雷达信号时，会将本射频的SSID迁移到其他射频，保障关键业务正常通信。要求提供工信部或下属实验室出具的第三方测试报告；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15、支持MAC认证逃生功能：AC、AP支持MAC认证逃生功能，为提高无线网络认证可靠性，无线控制器支持MAC认证逃生功能。要求提供工信部或下属实验室出具的第三方测试报告。</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46</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防火墙</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1、硬件架构:采用非X86多核架构，具备可插拔冗余电源模块，可插拔冗余风扇模块；</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2、接口要求:配置16千兆电口+4端口千兆Combo口+4千兆光口+2万兆光口；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3、存储要求:≥1个扩展插槽，支持扩展500G SATA硬盘；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4、性能要求:防火墙吞吐量≥4Gbps，最大并发连接数≥250万，每秒新建连接数≥4万；内存：4G；</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5、升级服务:≥15个SSL VPN并发授权；</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6、部署模式:实现路由模式、透明（网桥）模式、混合模式；</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7、VPN:实现高性能IPSec、L2TP、GRE VPN、SSL VPN等功能；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8、支持IPsec VPN智能选路，根据应用和隧道质量调度流量。（提供功能截图）；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9、安全策略：支持一体化安全策略，能够基于时间、用户/用户组、应用层协议、五元组、内容安全统一界面进行安全策略配置；支持策略冗余分析，冲突策略分析以及命中率统计；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10、应用识别:支持至少5000条以上的应用识别，且提示风险类型及风险级别，便于用户根据实际情况进行上网行为管理（提供截图）；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入侵防御:支持基于对包括但不限于操作系统、网络设备、办公软件、网页服务等保护对象的入侵防御策略，支持基于对漏洞、恶意文件、信息收集类攻击等的攻击分类的防护策略，支持基于服务器、客户端的防护策略。且缺省动作支持黑名单（提供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12、支持超过7000种特征的攻击检测和防御（提供截图）；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13、防病毒:支持基于文件协议、邮件协议（SMTP/POP3/imap)、共享协议（NFS/SMB）的病毒功能（提供截图）。可基于病毒特征进行检测、动作响应、提供报表；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14、支持云端防病毒，为保证检测时效性，特征缓存数至少保证20万条且缓存保留时间不应少于700分钟（提供截图）；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15、数据安全:支持数据防泄露，对传输的文件和内容进行识别过滤，对内容与身份证、信用卡、银行卡、社会安全卡号等类型进行匹配。（提供截图）；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16、共享上网管理:支持多用户共享上网行为管理；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加密流量检测:支持HTTPS加密流量的安全检测，支持TCP代理和SSL代理，且代理策略中可同时配置多类过滤条件，具体包括：源安全域、目的安全域、源地址、目的地址、用户和服务。一类过滤条件可以配置多个匹配项（提供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18、负载均衡:支持DNS透明代理功能，可基于负载均衡算法代理内网用户进行DNS请求转发，避免单运营商DNS解析出现单一链路流量过载，平衡多条运营商线路的带宽利用率。（需提供设备功能界面截图证明）；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19、支持全局负载功能，支持就近性探测末班的配置（提供截图）；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20、支持服务器负载均衡支持基于HTTP RADIUS MYSQL等应用类型的匹配，支持基于IP流量特征、ISP 、用户、入接口、tcp载荷等类型的匹配规则（提供截图）；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21、DDoS防护:支持流量自学习功能，可设置自学习时间，并自动生成DDoS防范策略。（提供功能截图）；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22、★虚拟化:支持2台设备堆叠成一台设备使用，实现统一管理，统一配置，所投设备支持高可靠性（包含主备和主主模式）部署（提供截图）；</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23、设备管理:支持SNMPv1、SNMPv2、SNMPv3、RMON等网络管理协议，并且支持通过网管软件远程进行设备软件升级、配置等；</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24、厂商资质:设备制造厂商符合信息技术服务管理体系符合ISO/IEC 20000-1：2011标准，提供相关证书证明；符合信息安全管理体系符合ISO/IEC 27001：2013标准，提供相关证书证明； </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产品资质:所投产品须具备公安部监制的计算机信息系统安全专用产品销售许可证，提供相关证书证明；具备中国网络安全审查技术与认证中心颁发的EAL4增强级认证证书，提供相关证书证明；具备信息产业信息安全测评中心出具的防火墙EAL4+级型式试验报告，提供相关证书证明。</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（4）设备网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A.接入层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47</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设备网24口接入交换机</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1、交换容量≥335Gbps, 包转发率≥50Mpps（以官网低指标为准，官网参数若标注为交换容量“A/B”，以A/B中更小值为准）；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2、千兆电口≥24个,千兆光口≥4个；</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3、支持IPv4静态路由、RIP V1/V2、OSPF；支持IPv6静态路由、RIPng、OSPF v3；</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4、可配合上端管理设备，实现整网拓扑可视，实现在网络设备上对整网交换机的统一管理，无需再额外配置网管平台，提供官方清晰截图证明；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5、支持IRF本地负载分担，流量可以均匀负载分担到各个堆叠链路，要求提供权威机构颁发的第三方测试报告；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6、支持Smartlink，收敛时间≤50m s，要求提供权威机构颁发的第三方测试报告；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7、整机提供ACl条目数不小于1K条，支持出方向ACL，以便于灵活实现数据包过滤；要求提供权威机构颁发的第三方测试报告；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8、要求与汇聚交换机同一品牌，产品厂商要求在温州地区设有产品备件库。</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互联网24口POE接入交换机</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1、交换容量≥335Gbps, 包转发率≥50Mpps（以官网低指标为准，官网参数若标注为交换容量“A/B”，以A/B中更小值为准）；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2、千兆电口≥24个,千兆光口≥4个（combo口），提供官网清晰截图证明；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3、支持POE功能，整机提供最大POE供电功率≥370W；</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4、支持IPv4静态路由、RIP V1/V2、OSPF；支持IPv6静态路由、RIPng、OSPF v3；</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5、可配合上端管理设备，实现整网拓扑可视，实现在网络设备上对整网交换机的统一管理，无需再额外配置网管平台，提供官方清晰截图证明；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6、支持IRF本地负载分担，流量可以均匀负载分担到各个堆叠链路，要求提供权威机构颁发的第三方测试报告；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7、支持Smartlink，收敛时间≤50m s，要求提供权威机构颁发的第三方测试报告；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8、整机提供ACl条目数不小于1K条，支持出方向ACL，以便于灵活实现数据包过滤；要求提供权威机构颁发的第三方测试报告；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9、要求与汇聚交换机同一品牌，产品厂商要求在温州地区设有产品备件库。</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49</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设备网千兆单模光模块</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光模块-SFP-GE-单模模块-(1310nm,10km,LC)</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B.汇聚层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50</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设备网汇聚交换机</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1、设备性能：交换容量≥7.55Tbps，转发性能≥390Mpps；</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2、配置要求：24个10/100/1000Base-T自适应以太网端口（其中8个是combo口），4个万兆SFP+口； 模块化双电源；模块化双风扇，前/后通风，风道可调；</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3、扩展插槽：为保障未来园区链路升级，支持≥1个扩展插槽，支持ALL IN ONE插卡；支持扩展1/2.5/5/10G BASE-T 以太网电接口、25G SFP28端口、40GE QSFP+接口，提供官网链接及选配信息截图证明；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4、性能指标：路由表容量≥32K，ARP表容量≥32K，要求提供第三方测试报告；</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5、VXLAN：支持创新的VxLAN技术，可以同时支持VxLAN二三层网关，提供官网截图和链接；</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6、开放多业务架构：支持集成包括FW，IPS、负载均衡等高性能OAP模块插卡。提供官网截图和链接；</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7、支持安全插卡功能，通过设备的测试流量可以引导向安全插卡，经过安全插卡的安全策略过滤后继续转发。提供检测报告证明；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8、路由协议：支持IPv4静态路由、RIP V1/V2、OSPF、BGP；支持IPv6静态路由、RIPng、OSPFv3、BGP4+；</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9、无线功能：集成无线控制功能，实现接入层无线/有线本地转发，消除无线控制带宽瓶颈，扩大无线部署规模，节省用户投资成本，提供官网清晰截图和链接。</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51</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设备网万兆单模光模块</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SFP+ 万兆模块(1310nm,10km,LC)</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52</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理线器</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19英寸，1U；采用优质冷轧钢板，喷涂静电粉末，避免划伤；带封闭式盖板；与网络配线架、110配线架、光纤配线架配套使用。</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b/>
                <w:bCs/>
                <w:color w:val="auto"/>
                <w:kern w:val="0"/>
                <w:sz w:val="20"/>
                <w:szCs w:val="20"/>
                <w:highlight w:val="none"/>
              </w:rPr>
            </w:pPr>
          </w:p>
        </w:tc>
        <w:tc>
          <w:tcPr>
            <w:tcW w:w="2143" w:type="dxa"/>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系统小计</w:t>
            </w:r>
          </w:p>
        </w:tc>
        <w:tc>
          <w:tcPr>
            <w:tcW w:w="8954" w:type="dxa"/>
            <w:vAlign w:val="center"/>
          </w:tcPr>
          <w:p>
            <w:pPr>
              <w:widowControl/>
              <w:jc w:val="left"/>
              <w:rPr>
                <w:rFonts w:ascii="宋体" w:hAnsi="宋体" w:cs="宋体"/>
                <w:b/>
                <w:bCs/>
                <w:color w:val="auto"/>
                <w:kern w:val="0"/>
                <w:sz w:val="20"/>
                <w:szCs w:val="20"/>
                <w:highlight w:val="none"/>
              </w:rPr>
            </w:pPr>
          </w:p>
        </w:tc>
        <w:tc>
          <w:tcPr>
            <w:tcW w:w="1020" w:type="dxa"/>
            <w:vAlign w:val="center"/>
          </w:tcPr>
          <w:p>
            <w:pPr>
              <w:widowControl/>
              <w:jc w:val="center"/>
              <w:rPr>
                <w:rFonts w:ascii="宋体" w:hAnsi="宋体" w:cs="宋体"/>
                <w:b/>
                <w:bCs/>
                <w:color w:val="auto"/>
                <w:kern w:val="0"/>
                <w:sz w:val="20"/>
                <w:szCs w:val="20"/>
                <w:highlight w:val="none"/>
              </w:rPr>
            </w:pPr>
          </w:p>
        </w:tc>
        <w:tc>
          <w:tcPr>
            <w:tcW w:w="880" w:type="dxa"/>
            <w:vAlign w:val="center"/>
          </w:tcPr>
          <w:p>
            <w:pPr>
              <w:widowControl/>
              <w:jc w:val="center"/>
              <w:rPr>
                <w:rFonts w:ascii="宋体" w:hAnsi="宋体"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（三）、视频安防监控系统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（1）前端设备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53</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彩色半球摄像机</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1、400万 1/3" CMOS ICR星光级半球型网络摄像机；</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2、支持Smart侦测：越界侦测，区域入侵侦测，进入区域侦测，离开区域侦测，场景变更侦测，物品拿取侦测，物品遗留侦测，徘徊侦测，快速移动侦测；</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3、最低照度: 彩色：0.005 Lux @（F1.2，AGC ON），黑白：0 Lux with IR；</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4、宽动态: 120 dB；</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5、调节角度: 水平：0°~355°，垂直：0°~75°；</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6、焦距&amp;视场角: 4 mm，水平视场角：79°，垂直视场角：42.4°，对角线视场角：93.3°（2.8 mm，6 mm，8 mm可选）；</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7、补光灯类型: 红外灯；</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8、红外补光距离不小于50米。（公安部检验报告证明）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9、最大图像尺寸: 2688 × 1520（默认2560 × 1440）；</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10、视频压缩标准: 主码流：H.265/H.264；</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11、网络存储: 支持NAS（NFS，SMB/CIFS均支持）；</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12、网络: 1个RJ45 10 M/100 M自适应以太网口；</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13、SD卡扩展: 内置MicroSD(即TF卡)/MicroSDHC/MicroSDXC插槽，最大支持256 GB；</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14、音频: 1个内置麦克风；1路输入（Line in），1路输出（Line out）；</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15、报警: 1路输入，1路输出（报警输出最大支持DC12 V，30 mA）；</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16、复位: 支持；</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17、电源输出: DC12 V，100 mA电源输出，建议用于拾音器供电；</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18、摄像机能够在-30~60摄氏度，湿度小于93%环境下稳定工作。（公安部检验报告证明）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19、电流及功耗: DC：12 V，0.5 A，最大功耗：5 W；PoE：802.3af，36 V~57 V，0.25 A~0.15 A，最大功耗：7.5 W；</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20、供电方式: DC：12 V ± 25%；PoE：802.3af，Class 3；</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21、防护: IP66，IK10。</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36</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54</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人脸抓拍半球摄像机</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1、400万 星光级 1/1.8"CMOS AI抓拍半球型网络摄像机；</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2、人脸抓拍：支持同时检测并且抓拍30张人脸，支持对运动人脸进行检测、跟踪、抓拍、评分、筛选输出最优的人脸抓图，支持最佳抓拍，快速抓拍；</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3、内置GPU芯片。（公安部检验报告证明）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周界防范功能，当区域入侵、越界侦测、进入区域、离开区域报警布防开启后，出现行人、非机动车、机动车目标时能触发报警，当检测区域中篮球滚动、小狗移动、树叶晃动及光线明暗变化时不会触发报警。（公安部检验报告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5、道路监控：支持背向行驶车辆抓拍，支持车牌、子品牌、车身颜色、车辆类型。支持行人、非机动车、机动车的混行检测；</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6、最低照度彩色不大于0.0002 lx，黑白不大于0.0001 lx。（公安部检验报告证明）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7、调节角度: 水平：0~355°，垂直：0~75°，旋转：0~355°；</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8、宽动态: 120 dB；</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9、焦距&amp;视场角:2.8~12 mm：水平视场角：107°~39.8°，垂直视场角：56°~22.4°，对角线视场角：130.1°~45.7°；</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10、补光灯类型: 红外，850 nm；</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11、补光距离: 2.8~12 mm：普通监控：30 m，人脸抓拍/识别：3 m；</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12、防补光过曝: 支持防补光过曝开启和关闭，开启下支持自动和手动，手动支持根据距离等级控制补光灯亮度；</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13、最大图像尺寸: 2560 × 1440；</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14、视频压缩标准: H.265/H.264/MJPEG；</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15、网络存储: 支持Micro SD(即TF卡)/Micro SDHC/Micro SDXC卡（最大256 GB）断网本地存储及断网续传，NAS（NFS，SMB/CIFS均支持）；</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16、网络: 1个RJ45 10 M/100 M自适应以太网口；</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17、音频: 2 路输入（Line in），1路输出（Line out），2个内置麦克风，1个内置扬声器；</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18、报警: 3路输入，2路输出（报警输入支持开关量，报警输出最大支持DC12 V，30 mA）；</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19、支持固件安全检验功能，摄像机uboot应采用加密存储，通过离线烧写存储器方式写入的uboot执行程序，不能被硬件微引导程序加载执行。（公安部检验报告证明）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20、支持硬件微引导程序、uboot、OS、应用软件逐级校验功能，非法篡改的uboot、OS、应用软件固件包，不能通过命令行、浏览器、客户端方式进行升级。（公安部检验报告证明）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21、RS-485: 1路RS485接口；</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22、复位: 支持；</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23、电源输出: 支持DC12 V，100 mA；</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24、接口类型: 外甩线；</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25、启动和工作温湿度: -30 ℃~60 ℃，湿度小于95%（无凝结）；</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26、电流及功耗: DC：12 V，0.93 A，最大功耗：11.2 W；AC：24 V，0.73 A，最大功耗：10.5 W； PoE：802.3at，42.5 V~57 V，0.26 A~0.2 A，最大功耗：11.2 W；</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27、供电方式: DC：12 V ± 20%，支持防反接保护； AC：24 V ± 20%； PoE：802.3at，Type 2 Class 4；</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28、防护: IP67。</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（2）中心管理平台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55</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磁盘阵列</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1、单设备应配置≥64位多核处理器，≥4GB内存，内存支持扩展到≥32GB（公安部检验报告证明）；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2、单设备应标配≥2个千兆网口，可增扩≥2个万兆口或≥2个光纤接口或增配≥4个HDMI接口或≥2个SAS3.0接口（公安部检验报告证明）；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3、★设备可对视音频、图片、智能数据（智能行为分析录像）流进行混合直存，无须存储服务器和图片服务器的参与，平台服务器宕机时，存储业务正常（公安部检验报告证明）；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4、网络中断后重新恢复，设备可续存断网期间存储在前端设备中的录像文件，并可通过IE浏览器设置自动回传和手动回传。支持256路4M的录像回传（公安部检验报告证明）；</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5、可对指定的录像段或指定事件的1个或多个前端的不同时间段的录像段添加标签，并自动备份到存档卷中，使之不会被覆盖删除。（以公安部检测报告为准）</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6、应支持FCSAN、IPSAN、NAS存储功能；</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7、可接入2T/3T/4T/6T/8TSATA磁盘，支持磁盘交错启动和漫游，并支持在线热插拔；本次配置24块6T企业级硬盘；</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8、应能提供RAID0、1、3、5、6、10、50，60、JBOD模式，支持全局、局部等多种热备选择，支持坏盘自动重构；</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9、当RAID中某块工作正常的硬盘被误拔出后，60分钟内插回，该硬盘能恢复到原RAID中，系统自动恢复工作，而且会对拔掉的硬盘进行增量数据恢复；</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10、在RAID内丢失2块（含）以上硬盘但至少有1块正常磁盘时，无需等待丢失盘恢复，保留的硬盘中的数据可正常读出，且新数据可正常写入；</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11、具有ONVIF、PSIA、TCP/IP、UDP、SIP、RTSP、RTP、RTCP、iSCSI、CIFS(SMB)、NFS、FTP、HTTP、AFP、RSYNC、SNMP、IPV4、IPV6设置选项，支持IP组播。</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56</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综合安防平台</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1、含100路视频监控模块、智能监控、门禁管理；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2、HG7163(16核2.4GHz)×1/64G DDR4/600GB 10K SAS×2（RAID_1）/SAS_HBA/1GbE×4/550W(1+1)/2U/16DIMM/USB-DVD；</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3、2U单路标准机架式服务器；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4、CPU：1颗 x86架构HYGON处理器，核数≥16核，频率≥2.4GHz；</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5、内存：64G DDR4，16根内存插槽，最大支持扩展至2TB内存；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6、硬盘：2块600G 10K 2.5英寸SAS盘，最高可支持12块3.5寸(兼容2.5寸)热插拔SAS/SATA硬盘；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7、可选支持2块后置2.5寸热插拔SAS/SATA硬盘；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8、可选支持4块NVME U.2热插拔硬盘；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9、支持1个M.2插槽；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10、支持1个TF插槽；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11、阵列卡：标配SAS_HBA卡，支持RAID0/1/10；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12、可选RAID_2G卡，支持0/1/5/6/10/50/60，可选支持断电保护；</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13、PCIE扩展：最大可支持6个PCIE扩展插槽；</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14、网口：4个千兆电口；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15、其他接口：1个千兆RJ-45管理接口，4个USB 3.0接口，2个位于机箱后部，2个位于机箱前部；1个VGA口，位于机箱后部；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16、电源：标配550W（1+1）白金冗余电源；</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17、支持200-240V 50/60Hz AC/HVDC；</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18、机箱规格：87.8mm(高)x 448mm(宽)x730mm(深)；</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19、设备重量：约25KG（不含导轨）；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20、操作系统：原厂OS；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21、配置一个USB-DVD光驱。</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9" w:hRule="atLeast"/>
          <w:jc w:val="center"/>
        </w:trPr>
        <w:tc>
          <w:tcPr>
            <w:tcW w:w="88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57</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超脑硬盘录像机</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1、2U标准机架式，2个HDMI，2个VGA,HDMI+VGA组内同源，8盘位，2个千兆网口，2个USB2.0接口、1个USB3.0接口，1个eSATA接口；已内置4块6T AI盘；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2、具有磁盘阵列功能，支持RAID0、RAID1、RAID5、RAID6、RAID10、RAID50、RAID60、JBOD模式；支持一键创建RAID5阵列功能。RAID开启后，设备带宽不下降。（以公安部检测报告为准）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3、报警IO：16进8出；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4、人脸图片建模成功率不低于99.99%；</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5、白天和晚上单人图片的人脸检出率不低于99%，单人图片的人脸检出响应时间不超过1秒；</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6、人脸正对相机，无人脸遮挡等干扰情况，人脸识别准确率≥99%；监视名单误报率不超过≤0.01%；非监视名单漏报率≤0.1%；</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7、本地界面可显示SSD中人脸库占用空间、系统保留空间、报警缓存空间、空闲空间。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8、支持将设备日志上传到日志服务器，可配置日志服务器IP地址和端口；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9、支持16路视频流人脸识别，支持16路图片流人脸识别。（以公安部检测报告为准）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10、支持50个人脸库，库容20万张人脸图片；另有路人库，库容10万张人脸抓拍图片；支持人脸抓拍库（存储于硬盘中）存储1000万条人脸历史记录（以公安部检测报告为准）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11、具有存储安全保障功能，当存储压力过高或硬盘出现性能不足时，可优先录像业务存储；（以公安部检测报告为准）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12、支持最大接入带宽320Mbps，最大存储带宽320Mbps，最大转发带宽320Mbps，最大回放带宽320Mbps。</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jc w:val="center"/>
        </w:trPr>
        <w:tc>
          <w:tcPr>
            <w:tcW w:w="880" w:type="dxa"/>
            <w:shd w:val="clear" w:color="000000"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58</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管理电脑</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1、商用台机；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2、显示屏：≥23英寸低蓝光液晶屏；分辨率≥1920*1080；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3、CPU：Intel i5第10代处理器或以上；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4、主板与接口：DDRDIMM插槽不少于2个（含），1个串口；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5、内存：容量≥8GB，DDR4-2666或以上；</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6、硬盘：≥128GB SSD+1TB机械硬盘；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7、显卡：独立显卡，≥2G显存；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8、声卡：集成5.1声卡；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9、网卡：集成千兆网卡；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10、接口：USB3.1接口6个或以上，话筒输入和耳麦输出，VGA、HDMI视频输出；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11、防水抗菌光电鼠标、标准防水抗菌键盘；</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12、电源功率≤200W；</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13、配套软件 Windows10或Windows11。</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（3）管线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59</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六类4对低烟无卤非屏蔽双绞线LSZH</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1、UTP Cat.6数据电缆，LSZH、紫色；</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2、通过ANSI/TIA/EIA-568-C.2 250MHz带宽测试要求；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3、内部十字骨架设计，在分开线对时保证在使用和穿线过程线对位置，减少近端串扰损耗和保持了阻抗稳定；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4、单根导体直流电阻：≤9.0</w:t>
            </w:r>
            <w:r>
              <w:rPr>
                <w:rStyle w:val="82"/>
                <w:color w:val="auto"/>
                <w:sz w:val="20"/>
                <w:szCs w:val="20"/>
                <w:highlight w:val="none"/>
              </w:rPr>
              <w:t>Ω</w:t>
            </w:r>
            <w:r>
              <w:rPr>
                <w:rStyle w:val="89"/>
                <w:rFonts w:hint="default"/>
                <w:color w:val="auto"/>
                <w:sz w:val="20"/>
                <w:szCs w:val="20"/>
                <w:highlight w:val="none"/>
              </w:rPr>
              <w:t>/100m</w:t>
            </w:r>
            <w:r>
              <w:rPr>
                <w:rFonts w:hint="eastAsia" w:ascii="宋体" w:hAnsi="宋体" w:cs="宋体"/>
                <w:color w:val="auto"/>
                <w:kern w:val="0"/>
                <w:sz w:val="20"/>
                <w:szCs w:val="20"/>
                <w:highlight w:val="none"/>
              </w:rPr>
              <w:t>；</w:t>
            </w:r>
          </w:p>
          <w:p>
            <w:pPr>
              <w:widowControl/>
              <w:jc w:val="left"/>
              <w:textAlignment w:val="center"/>
              <w:rPr>
                <w:rStyle w:val="89"/>
                <w:rFonts w:hint="default"/>
                <w:color w:val="auto"/>
                <w:sz w:val="20"/>
                <w:szCs w:val="20"/>
                <w:highlight w:val="none"/>
              </w:rPr>
            </w:pPr>
            <w:r>
              <w:rPr>
                <w:rStyle w:val="89"/>
                <w:rFonts w:hint="default"/>
                <w:color w:val="auto"/>
                <w:sz w:val="20"/>
                <w:szCs w:val="20"/>
                <w:highlight w:val="none"/>
              </w:rPr>
              <w:t>5、线对直流电阻不平衡：≤2.5%</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6、线对对地电容不平衡：＜330pF/100m</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7、延迟偏差：≤45ns/100m</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8、额定传输速率(NVP)：68%</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9、绝缘电阻: ≥5000M</w:t>
            </w:r>
            <w:r>
              <w:rPr>
                <w:rStyle w:val="82"/>
                <w:color w:val="auto"/>
                <w:sz w:val="20"/>
                <w:szCs w:val="20"/>
                <w:highlight w:val="none"/>
              </w:rPr>
              <w:t>Ω</w:t>
            </w:r>
            <w:r>
              <w:rPr>
                <w:rStyle w:val="89"/>
                <w:rFonts w:hint="default"/>
                <w:color w:val="auto"/>
                <w:sz w:val="20"/>
                <w:szCs w:val="20"/>
                <w:highlight w:val="none"/>
              </w:rPr>
              <w:t>/km +20℃ DC (100-500)</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10、导体材料：无氧圆铜（纯度99.99%）</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11、线规：23AWG</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12、护套护套材料:LSZH</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13、符合REACH、FCC、3P、ETL产品认证。</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2520</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60</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JDG管</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暗配电线管JDG20</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840</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（四）、门禁一卡通系统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（1）前端设备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7"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61</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人脸识别一体机</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1、操作系统：嵌入式Linux操作系统；</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2、屏幕应为 7 英寸触摸屏；应采用水滴屏全贴合工艺；玻璃屏占比≥90%。屏幕流明度≥600cd/m2；屏幕分辨率应为 800╳1280；屏显下端应具有圆形指示灯，指示灯应支持固定频率的亮起和熄灭（呼吸状态）及识别状态提示。（公安部检验报告证明）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3、摄像头参数：采用宽动态200万双目摄像头；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4、认证方式：支持人脸、刷卡（Mifare卡/IC卡、手机NFC卡、CPU卡序列号/内容、身份证卡序列号）、密码认证方式，可外接身份证、指纹、蓝牙、二维码功能模块；</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5、应能在 0.001lux 低照度无补光环境下正常实现人脸识别，可在强光、逆光、暗光环境条件的人脸识别；在无可见光补光及低照度环境下实现全彩图输出预览图像；应支持防假体攻击功能，对视频、电子照片、打印照片、头模、3D 模型攻击应能防伪；显示图像具有美颜功能，美颜功能开启后支持美白参数及磨皮参数配置；应支持 5 个人脸同时做人脸识别，并分别输出比对结果；人脸识别垂直及水平区域范围应能设置 ，应支持人脸在上下、左右角度偏转±45°范围内识别；应支持人脸识别角度调节范围 0°～90°自由设置，应支持不低于 5 个人脸比对阈值设置。（公安部检验报告证明）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6、人脸比对平均时间应＜120ms （1:1对比方式）；最大人脸识别距离：＞4m；最小人脸识别距离：＜0.2m；认假率（FAR）= 认假总次数/负样本对×100%；拒真率（FRR）= 拒真总次数/正样本对×100%；准确率=（正样本通过次数+负样本拒绝次数）/比对总次数×100%；FAR＜0.0002% ；FRR＜1%；准确率＞99.95%（公安部检验报告证明）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7、应支持通过 WEB 端进行设备信息查询、用户信息管理、设备时间管理、系统维护、安全操作管理、人脸或指纹等技术参数配置、 设备图像参数配置、图像美颜参数配置、梯控项目配置、待机广告界面图片下发及播放时间配置、比对结果提示语音自定义配置，支持按时段配置自定义语音，每天最大支持8 个时段自定义。（公安部检验报告证明）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8、存储容量：本地支持10000人脸库、50000张卡，15万条事件记录；</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9、硬件接口：LAN*1、RS485*1、Wiegand * 1(支持双向)、typeC类型USB接口*1、电锁*1、门磁*1、报警输入*2、报警输出*1、开门按钮*1、SD卡槽*1（最大支持512GB）、3.5mm音频输出接口*1；</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10、使用环境：IP65，室内外环境；</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11、工作电压： DC12V~24V/2A。</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4"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62</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人脸识别一体机</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1、设备采用嵌入式Linux系统，4.3英寸IPS触摸显示屏，屏幕玻璃采用2.5D水滴屏工艺，屏幕流明度不低于350cd/㎡； 分辨率不小于800*480；屏幕防破坏能力满足IK04的要求，后壳防破坏能力满足IK07的要求，外壳防护等级IP54（公安部检验报告证明）；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2、摄像头参数：采用宽动态200万双目摄像头；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3、认证方式：支持人脸、刷卡（Mifare卡/IC卡、手机NFC卡、CPU卡序列号/内容、身份证卡序列号）、密码、二维码（通过摄像头识别）；</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人脸识别距离0.2~3m；人脸比对平均时间≤0.175s；人脸识别误识率≤0.01%的条件下，准确率应99.9%。支持在0.001lux低照度无补光环境下正常实现人脸识别。在识别区域范围内，人脸识别距离可自定义设置;支持防假体攻击功能，对视频、电子照片、打印照片中的人脸应不能进行人脸识别。（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5、设备本地人脸库存储容量6000张，本地卡存储容量10000张，本地出入记录存储容量150000条。</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6、硬件接口：LAN*1（10M/100M/1000M自适应）；RS485*1；韦根*1；USB *1；喇叭扬声器；门锁I/O输出*1；门磁 I/O输入*1；开门按钮I/0输入*1；机械防拆开关*1。（公安部检验报告证明）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7、根据使用场景和组合认证方式实现开门功能：多重卡认证开门、多重卡+中心远程认证开门、多重卡+超级密码开门、多重卡+超级卡开门、 首卡开门、超级权限开门、管理中心远程开门、APP远程开门、室内机及管理机远程开门，支持按时间分时段管控门禁权限，支持255组时段计划模板，支持1024个假日计划管理。（公安部检验报告证明）</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8、设备支持中心下发黑名单信息；支持本地黑名单信息比对；支持本地黑名单报警功能，报警信息可上传平台。</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9、通信方式及网络协议：WiFi、有线网络；网络SDK/萤石协议/ISAPI/Ehome4.0/ISUP5.0；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10、使用环境：室内环境，不防水；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11、安装方式：壁挂安装（标配挂板，适配86底盒）；</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12、工作电压： DC 12V/2A（电源需另配）。</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63</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人脸录入仪</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1、200万USB电视摄像机；</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2、内置麦克风，拾音清晰；</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3、支持自动电子增益功能，亮度自适应；</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4、支持标准USB 2.0接口，免驱设计，即插即用；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5、支持Type-A接口，标准USB2.0协议，免驱设计，即插即用；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6、传感器类型: 2 MP CMOS；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7、分辨率: 1920 (水平) × 1080 (垂直)；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8、视频帧率:MJPG：1920 × 1080 @ 30 fps/25 fps； YUV：1920 × 1080 @ 5 fps；</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9、最低照度: 0.1 Lux @(F1.2, AGC ON)；</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10、镜头: 定焦：2.8 mm（2.1 mm/3.6 mm/6 mm可选）；</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11、视场角:2.1 mm：水平137.2°，垂直80.1°，对角157°；2.8 mm：水平94°，垂直52°，对角线109°；3.6 mm：水平75°，垂直41°，对角线87°；6 mm：水平58°，垂直32°，对角线66°；</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12、三轴或两轴调节角度: 水平：0°；垂直：-10°~30°；旋转：0°；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13、线缆长度: 2 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14、视频输出: USB 2.0；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15、音频输入: 内置mic；</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16、工作温度和湿度: -10℃~45℃，湿度小于90%（无凝结）；</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17、供电方式: DC5 V ± 15%（USB接口）；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18、电流及功耗: 142 mA，0.8 W MAX。</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64</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发卡器</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1、支持发卡类型：Mifare卡卡号、Mifare卡内容、CPU卡、CPU卡内容、身份证序列号、ID(EM)卡卡号；</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2、读卡频率：13.56MHz，125KHz；</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3、USB2.0接口；</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4、具有2个Sim卡尺寸的PSAM卡座；</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5、工作电压：DC 5V；</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6、工作电流：0.2A。</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65</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单门磁力锁(含支架)</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1、最大静态直线拉力：280kg ± 15%；</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2、断电开锁，满足消防要求；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3、具有电锁状态指示灯（红灯为开锁状态， 绿灯为上锁状态）；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4、支持锁状态侦测信号(门磁)输出：NO/NC/COM接点；</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5、工作电压：12V/420mA 或 24V/210mA。</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66</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双门磁力锁（含支架）</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1、最大静态直线拉力：280kg ± 15% * 2；</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2、断电开锁，满足消防要求；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3、具有电锁状态指示灯（红灯为开锁状态， 绿灯为上锁状态）；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4、支持锁状态侦测信号(门磁)输出：NO/NC/COM接点；</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5、工作电压：12V/840mA 或 24V/420mA。</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67</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出门按钮</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1、结构：塑料面板；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2、性能：最大耐电流1.25A，电压250V；</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3、输出：常开；</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4、类型：适合埋入式电器盒使用。</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68</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门禁电源</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1、输入电压：100-240VAC；</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2、输出电压：12VDC；</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3、输出电流：10A；</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4、输出功率：120W；</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5、纹波与噪声：&lt; 150mVpp；</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6、电压调整范围：11-14Vdc；</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7、工作温度：-10℃-+70℃；工作湿度：＜95%。</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（2）线缆/辅材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69</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六类4对低烟无卤非屏蔽双绞线LSZH</w:t>
            </w:r>
          </w:p>
        </w:tc>
        <w:tc>
          <w:tcPr>
            <w:tcW w:w="8954"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1、UTP Cat.6数据电缆，LSZH、紫色；</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2、通过ANSI/TIA/EIA-568-C.2 250MHz带宽测试要求；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3、内部十字骨架设计，在分开线对时保证在使用和穿线过程线对位置，减少近端串扰损耗和保持了阻抗稳定；</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4、单根导体直流电阻：≤9.0</w:t>
            </w:r>
            <w:r>
              <w:rPr>
                <w:rStyle w:val="82"/>
                <w:color w:val="auto"/>
                <w:sz w:val="20"/>
                <w:szCs w:val="20"/>
                <w:highlight w:val="none"/>
              </w:rPr>
              <w:t>Ω</w:t>
            </w:r>
            <w:r>
              <w:rPr>
                <w:rStyle w:val="89"/>
                <w:rFonts w:hint="default"/>
                <w:color w:val="auto"/>
                <w:sz w:val="20"/>
                <w:szCs w:val="20"/>
                <w:highlight w:val="none"/>
              </w:rPr>
              <w:t>/100m</w:t>
            </w:r>
            <w:r>
              <w:rPr>
                <w:rFonts w:hint="eastAsia" w:ascii="宋体" w:hAnsi="宋体" w:cs="宋体"/>
                <w:color w:val="auto"/>
                <w:kern w:val="0"/>
                <w:sz w:val="20"/>
                <w:szCs w:val="20"/>
                <w:highlight w:val="none"/>
              </w:rPr>
              <w:t>；</w:t>
            </w:r>
          </w:p>
          <w:p>
            <w:pPr>
              <w:widowControl/>
              <w:jc w:val="left"/>
              <w:textAlignment w:val="center"/>
              <w:rPr>
                <w:rStyle w:val="89"/>
                <w:rFonts w:hint="default"/>
                <w:color w:val="auto"/>
                <w:sz w:val="20"/>
                <w:szCs w:val="20"/>
                <w:highlight w:val="none"/>
              </w:rPr>
            </w:pPr>
            <w:r>
              <w:rPr>
                <w:rStyle w:val="89"/>
                <w:rFonts w:hint="default"/>
                <w:color w:val="auto"/>
                <w:sz w:val="20"/>
                <w:szCs w:val="20"/>
                <w:highlight w:val="none"/>
              </w:rPr>
              <w:t>5、线对直流电阻不平衡：≤2.5%</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6、线对对地电容不平衡：＜330pF/100m</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7、延迟偏差：≤45ns/100m</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8、额定传输速率(NVP)：68%</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9、绝缘电阻: ≥5000M</w:t>
            </w:r>
            <w:r>
              <w:rPr>
                <w:rStyle w:val="82"/>
                <w:color w:val="auto"/>
                <w:sz w:val="20"/>
                <w:szCs w:val="20"/>
                <w:highlight w:val="none"/>
              </w:rPr>
              <w:t>Ω</w:t>
            </w:r>
            <w:r>
              <w:rPr>
                <w:rStyle w:val="89"/>
                <w:rFonts w:hint="default"/>
                <w:color w:val="auto"/>
                <w:sz w:val="20"/>
                <w:szCs w:val="20"/>
                <w:highlight w:val="none"/>
              </w:rPr>
              <w:t>/km +20℃ DC (100-500)</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10、导体材料：无氧圆铜（纯度99.99%）</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11、线规：23AWG</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12、护套护套材料:LSZH</w:t>
            </w:r>
            <w:r>
              <w:rPr>
                <w:rFonts w:hint="eastAsia" w:ascii="宋体" w:hAnsi="宋体" w:cs="宋体"/>
                <w:color w:val="auto"/>
                <w:kern w:val="0"/>
                <w:sz w:val="20"/>
                <w:szCs w:val="20"/>
                <w:highlight w:val="none"/>
              </w:rPr>
              <w:t>；</w:t>
            </w:r>
          </w:p>
          <w:p>
            <w:pPr>
              <w:widowControl/>
              <w:jc w:val="left"/>
              <w:textAlignment w:val="center"/>
              <w:rPr>
                <w:rFonts w:ascii="宋体" w:hAnsi="宋体" w:cs="宋体"/>
                <w:color w:val="auto"/>
                <w:kern w:val="0"/>
                <w:sz w:val="20"/>
                <w:szCs w:val="20"/>
                <w:highlight w:val="none"/>
              </w:rPr>
            </w:pPr>
            <w:r>
              <w:rPr>
                <w:rStyle w:val="89"/>
                <w:rFonts w:hint="default"/>
                <w:color w:val="auto"/>
                <w:sz w:val="20"/>
                <w:szCs w:val="20"/>
                <w:highlight w:val="none"/>
              </w:rPr>
              <w:t>13、符合REACH、FCC、3P、ETL产品认证。</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1140</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70</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门禁电源线 RVV2*1.0</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2芯1平方软线，国标，符合强制性产品认证实施规则CNCA-01C-002：2007的要求，导体为无氧铜，纯度99.99%。</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1140</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71</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出门按钮信号线 RVV2*1.0</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2芯1平方软线，国标，符合强制性产品认证实施规则CNCA-01C-002：2007的要求，导体为无氧铜，纯度99.99%。</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60</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72</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磁力锁信号线 RVV4*1.0</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4芯1平方软线，国标，符合强制性产品认证实施规则CNCA-01C-002：2007的要求，导体为无氧铜，纯度99.99%。</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285</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73</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JDG管</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暗配电线管JDG20</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345</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74</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JDG管</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暗配电线管JDG25</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760</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（五）、弱电机房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877" w:type="dxa"/>
            <w:gridSpan w:val="5"/>
            <w:vAlign w:val="center"/>
          </w:tcPr>
          <w:p>
            <w:pPr>
              <w:widowControl/>
              <w:jc w:val="left"/>
              <w:rPr>
                <w:rFonts w:eastAsia="Times New Roman"/>
                <w:color w:val="auto"/>
                <w:kern w:val="0"/>
                <w:sz w:val="20"/>
                <w:szCs w:val="20"/>
                <w:highlight w:val="none"/>
              </w:rPr>
            </w:pPr>
            <w:r>
              <w:rPr>
                <w:rFonts w:hint="eastAsia" w:ascii="宋体" w:hAnsi="宋体" w:cs="宋体"/>
                <w:b/>
                <w:bCs/>
                <w:color w:val="auto"/>
                <w:kern w:val="0"/>
                <w:sz w:val="20"/>
                <w:szCs w:val="20"/>
                <w:highlight w:val="none"/>
              </w:rPr>
              <w:t>机房装修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75</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防静电地板安装</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无边国标全钢制防静电地板，600*600*35mm，含高200mm支架</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76</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地板靠墙面角钢支架安装</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4#角钢制作，刷防锈漆</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77</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UPS配电箱</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600*500*200mm，含断路器、继电器、指示仪表、塑壳铜排、地零排等</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78</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UPS进出电力电缆</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ZR-YJV4*16+1*10mm2，含电缆头制安，市电配电柜到UPS主机，UPS主机到UPS配电柜</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45</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79</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机柜供电线缆</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ZR-YJV3*4mm2，导体为无氧铜，纯度99.99%；</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80</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LED长条灯</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高透光亚克力灯罩，1200mm*100mm.，36w</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81</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UPS电缆桥架</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金属桥架100*100 安装,包括支架制作安装、除锈、喷油,接地跨接，盖板</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50</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82</w:t>
            </w:r>
          </w:p>
        </w:tc>
        <w:tc>
          <w:tcPr>
            <w:tcW w:w="2143"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机房接地</w:t>
            </w:r>
          </w:p>
        </w:tc>
        <w:tc>
          <w:tcPr>
            <w:tcW w:w="8954"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3×30铜排≥6m，50×0.5紫铜带≥10m，接地母线BVR6/16/25≥5m,等电位联结箱，及绝缘子支架等辅材</w:t>
            </w:r>
          </w:p>
        </w:tc>
        <w:tc>
          <w:tcPr>
            <w:tcW w:w="102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r>
    </w:tbl>
    <w:p>
      <w:pPr>
        <w:rPr>
          <w:rFonts w:ascii="宋体" w:hAnsi="宋体" w:cs="宋体"/>
          <w:color w:val="auto"/>
          <w:sz w:val="20"/>
          <w:szCs w:val="20"/>
          <w:highlight w:val="none"/>
        </w:rPr>
      </w:pPr>
      <w:r>
        <w:rPr>
          <w:rFonts w:hint="eastAsia"/>
          <w:b/>
          <w:bCs/>
          <w:color w:val="auto"/>
          <w:sz w:val="24"/>
          <w:szCs w:val="32"/>
          <w:highlight w:val="none"/>
        </w:rPr>
        <w:t>核心产品指执法办案管理软件、视频跟踪定位系统</w:t>
      </w:r>
    </w:p>
    <w:p>
      <w:pPr>
        <w:pStyle w:val="14"/>
        <w:rPr>
          <w:rFonts w:hAnsi="宋体"/>
          <w:b/>
          <w:bCs/>
          <w:color w:val="auto"/>
          <w:sz w:val="22"/>
          <w:szCs w:val="22"/>
          <w:highlight w:val="none"/>
        </w:rPr>
      </w:pPr>
    </w:p>
    <w:p>
      <w:pPr>
        <w:spacing w:line="276" w:lineRule="auto"/>
        <w:ind w:firstLine="103" w:firstLineChars="49"/>
        <w:rPr>
          <w:rFonts w:ascii="Arial" w:hAnsi="Arial" w:cs="Arial"/>
          <w:b/>
          <w:bCs/>
          <w:color w:val="auto"/>
          <w:highlight w:val="none"/>
        </w:rPr>
      </w:pPr>
      <w:r>
        <w:rPr>
          <w:rFonts w:hint="eastAsia" w:ascii="Arial" w:hAnsi="Arial" w:cs="Arial"/>
          <w:b/>
          <w:bCs/>
          <w:color w:val="auto"/>
          <w:highlight w:val="none"/>
        </w:rPr>
        <w:t>注：1、投标供应商应自行评估各种辅材的费用，辅材包括但不限于各种视频线、电源线、网线、音箱线等，投标供应商报价应包含辅材的费用。</w:t>
      </w:r>
    </w:p>
    <w:p>
      <w:pPr>
        <w:spacing w:line="276" w:lineRule="auto"/>
        <w:ind w:firstLine="103" w:firstLineChars="49"/>
        <w:rPr>
          <w:rFonts w:ascii="宋体" w:hAnsi="宋体"/>
          <w:b/>
          <w:bCs/>
          <w:color w:val="auto"/>
          <w:highlight w:val="none"/>
          <w:shd w:val="clear" w:color="auto" w:fill="FFFFFF"/>
        </w:rPr>
      </w:pPr>
      <w:r>
        <w:rPr>
          <w:rFonts w:hint="eastAsia" w:ascii="宋体" w:hAnsi="宋体"/>
          <w:b/>
          <w:bCs/>
          <w:color w:val="auto"/>
          <w:highlight w:val="none"/>
          <w:shd w:val="clear" w:color="auto" w:fill="FFFFFF"/>
        </w:rPr>
        <w:t>2、本次采购的货物如涉及国家规定强制认证的，均视为供应商报价货物符合了工业品生产许可证，3C认证，环保货物认证等强制认证规定的，但中标供应商须在采购人对上述货物验收时提供相关证书证明资料，否则做验收不能通过处理。</w:t>
      </w:r>
    </w:p>
    <w:p>
      <w:pPr>
        <w:spacing w:line="276" w:lineRule="auto"/>
        <w:ind w:firstLine="103" w:firstLineChars="49"/>
        <w:rPr>
          <w:rFonts w:ascii="宋体" w:hAnsi="宋体"/>
          <w:b/>
          <w:bCs/>
          <w:color w:val="auto"/>
          <w:highlight w:val="none"/>
          <w:shd w:val="clear" w:color="auto" w:fill="FFFFFF"/>
        </w:rPr>
      </w:pPr>
      <w:r>
        <w:rPr>
          <w:rFonts w:hint="eastAsia" w:ascii="宋体" w:hAnsi="宋体"/>
          <w:b/>
          <w:bCs/>
          <w:color w:val="auto"/>
          <w:highlight w:val="none"/>
          <w:shd w:val="clear" w:color="auto" w:fill="FFFFFF"/>
        </w:rPr>
        <w:t>3、中标供应商供货时应向采购人提供设备使用说明书、保修卡等必要的有关资料，产品须符合行业质量认证，具有出厂合格证明。</w:t>
      </w:r>
    </w:p>
    <w:p>
      <w:pPr>
        <w:rPr>
          <w:color w:val="auto"/>
          <w:highlight w:val="none"/>
        </w:rPr>
      </w:pPr>
    </w:p>
    <w:p>
      <w:pPr>
        <w:pStyle w:val="14"/>
        <w:rPr>
          <w:color w:val="auto"/>
          <w:highlight w:val="none"/>
        </w:rPr>
        <w:sectPr>
          <w:headerReference r:id="rId11" w:type="first"/>
          <w:headerReference r:id="rId10" w:type="default"/>
          <w:footerReference r:id="rId12" w:type="default"/>
          <w:pgSz w:w="16838" w:h="11906" w:orient="landscape"/>
          <w:pgMar w:top="1701" w:right="1440" w:bottom="1701" w:left="1440" w:header="851" w:footer="992" w:gutter="0"/>
          <w:cols w:space="720" w:num="1"/>
          <w:docGrid w:linePitch="312" w:charSpace="0"/>
        </w:sectPr>
      </w:pPr>
    </w:p>
    <w:p>
      <w:pPr>
        <w:rPr>
          <w:color w:val="auto"/>
          <w:highlight w:val="none"/>
        </w:rPr>
      </w:pPr>
    </w:p>
    <w:p>
      <w:pPr>
        <w:numPr>
          <w:ilvl w:val="0"/>
          <w:numId w:val="3"/>
        </w:numPr>
        <w:spacing w:before="120" w:beforeLines="50" w:after="120" w:afterLines="50" w:line="360" w:lineRule="exact"/>
        <w:jc w:val="center"/>
        <w:outlineLvl w:val="1"/>
        <w:rPr>
          <w:rFonts w:ascii="宋体" w:hAnsi="宋体"/>
          <w:b/>
          <w:color w:val="auto"/>
          <w:sz w:val="24"/>
          <w:szCs w:val="22"/>
          <w:highlight w:val="none"/>
        </w:rPr>
      </w:pPr>
      <w:r>
        <w:rPr>
          <w:rFonts w:hint="eastAsia" w:ascii="宋体" w:hAnsi="宋体"/>
          <w:b/>
          <w:bCs/>
          <w:color w:val="auto"/>
          <w:sz w:val="24"/>
          <w:szCs w:val="24"/>
          <w:highlight w:val="none"/>
        </w:rPr>
        <w:t>设备的到货、安装、调试和验收：</w:t>
      </w:r>
    </w:p>
    <w:p>
      <w:pPr>
        <w:numPr>
          <w:ilvl w:val="1"/>
          <w:numId w:val="7"/>
        </w:numPr>
        <w:tabs>
          <w:tab w:val="clear" w:pos="680"/>
        </w:tabs>
        <w:spacing w:line="276" w:lineRule="auto"/>
        <w:ind w:left="221" w:hanging="221" w:hangingChars="105"/>
        <w:rPr>
          <w:rFonts w:ascii="宋体" w:hAnsi="宋体"/>
          <w:b/>
          <w:color w:val="auto"/>
          <w:highlight w:val="none"/>
        </w:rPr>
      </w:pPr>
      <w:bookmarkStart w:id="31" w:name="_Toc459125030"/>
      <w:r>
        <w:rPr>
          <w:rFonts w:ascii="宋体" w:hAnsi="宋体"/>
          <w:b/>
          <w:color w:val="auto"/>
          <w:highlight w:val="none"/>
        </w:rPr>
        <w:t>到货</w:t>
      </w:r>
    </w:p>
    <w:p>
      <w:pPr>
        <w:widowControl/>
        <w:spacing w:line="380" w:lineRule="exact"/>
        <w:ind w:left="220" w:hanging="220" w:hangingChars="105"/>
        <w:rPr>
          <w:rFonts w:ascii="Arial" w:hAnsi="Arial" w:cs="Arial"/>
          <w:color w:val="auto"/>
          <w:highlight w:val="none"/>
        </w:rPr>
      </w:pPr>
      <w:r>
        <w:rPr>
          <w:rFonts w:ascii="Arial" w:hAnsi="Arial" w:cs="Arial"/>
          <w:color w:val="auto"/>
          <w:highlight w:val="none"/>
        </w:rPr>
        <w:t>设备到达现场后，</w:t>
      </w:r>
      <w:r>
        <w:rPr>
          <w:rFonts w:hint="eastAsia" w:ascii="Arial" w:hAnsi="Arial" w:cs="Arial"/>
          <w:color w:val="auto"/>
          <w:highlight w:val="none"/>
        </w:rPr>
        <w:t>中标供应商</w:t>
      </w:r>
      <w:r>
        <w:rPr>
          <w:rFonts w:ascii="Arial" w:hAnsi="Arial" w:cs="Arial"/>
          <w:color w:val="auto"/>
          <w:highlight w:val="none"/>
        </w:rPr>
        <w:t>必须派员到现场与采购人一起开箱检验</w:t>
      </w:r>
      <w:r>
        <w:rPr>
          <w:rFonts w:hint="eastAsia" w:ascii="Arial" w:hAnsi="Arial" w:cs="Arial"/>
          <w:color w:val="auto"/>
          <w:highlight w:val="none"/>
        </w:rPr>
        <w:t>，</w:t>
      </w:r>
      <w:r>
        <w:rPr>
          <w:rFonts w:ascii="Arial" w:hAnsi="Arial" w:cs="Arial"/>
          <w:color w:val="auto"/>
          <w:highlight w:val="none"/>
        </w:rPr>
        <w:t>按供货清单验收</w:t>
      </w:r>
      <w:r>
        <w:rPr>
          <w:rFonts w:hint="eastAsia" w:ascii="Arial" w:hAnsi="Arial" w:cs="Arial"/>
          <w:color w:val="auto"/>
          <w:highlight w:val="none"/>
        </w:rPr>
        <w:t>，</w:t>
      </w:r>
      <w:r>
        <w:rPr>
          <w:rFonts w:ascii="Arial" w:hAnsi="Arial" w:cs="Arial"/>
          <w:color w:val="auto"/>
          <w:highlight w:val="none"/>
        </w:rPr>
        <w:t>若有缺少或损坏，</w:t>
      </w:r>
      <w:r>
        <w:rPr>
          <w:rFonts w:hint="eastAsia" w:ascii="Arial" w:hAnsi="Arial" w:cs="Arial"/>
          <w:color w:val="auto"/>
          <w:highlight w:val="none"/>
        </w:rPr>
        <w:t>中标供应商</w:t>
      </w:r>
      <w:r>
        <w:rPr>
          <w:rFonts w:ascii="Arial" w:hAnsi="Arial" w:cs="Arial"/>
          <w:color w:val="auto"/>
          <w:highlight w:val="none"/>
        </w:rPr>
        <w:t>应立即补足或更换全新同规格产品，并承担相关费用直至使采购人满意为止。</w:t>
      </w:r>
    </w:p>
    <w:p>
      <w:pPr>
        <w:numPr>
          <w:ilvl w:val="1"/>
          <w:numId w:val="7"/>
        </w:numPr>
        <w:tabs>
          <w:tab w:val="clear" w:pos="680"/>
        </w:tabs>
        <w:spacing w:line="276" w:lineRule="auto"/>
        <w:ind w:left="221" w:hanging="221" w:hangingChars="105"/>
        <w:rPr>
          <w:rFonts w:ascii="宋体" w:hAnsi="宋体"/>
          <w:b/>
          <w:color w:val="auto"/>
          <w:highlight w:val="none"/>
        </w:rPr>
      </w:pPr>
      <w:r>
        <w:rPr>
          <w:rFonts w:ascii="宋体" w:hAnsi="宋体"/>
          <w:b/>
          <w:color w:val="auto"/>
          <w:highlight w:val="none"/>
        </w:rPr>
        <w:t>安装</w:t>
      </w:r>
    </w:p>
    <w:p>
      <w:pPr>
        <w:widowControl/>
        <w:spacing w:line="380" w:lineRule="exact"/>
        <w:ind w:left="220" w:hanging="220" w:hangingChars="105"/>
        <w:rPr>
          <w:rFonts w:ascii="Arial" w:hAnsi="Arial" w:cs="Arial"/>
          <w:color w:val="auto"/>
          <w:highlight w:val="none"/>
        </w:rPr>
      </w:pPr>
      <w:r>
        <w:rPr>
          <w:rFonts w:hint="eastAsia" w:ascii="Arial" w:hAnsi="Arial" w:cs="Arial"/>
          <w:color w:val="auto"/>
          <w:highlight w:val="none"/>
        </w:rPr>
        <w:t>(1)</w:t>
      </w:r>
      <w:r>
        <w:rPr>
          <w:rFonts w:ascii="Arial" w:hAnsi="Arial" w:cs="Arial"/>
          <w:color w:val="auto"/>
          <w:highlight w:val="none"/>
        </w:rPr>
        <w:t>为确保安装调试工作安全有序的进行，要求</w:t>
      </w:r>
      <w:r>
        <w:rPr>
          <w:rFonts w:hint="eastAsia" w:ascii="Arial" w:hAnsi="Arial" w:cs="Arial"/>
          <w:color w:val="auto"/>
          <w:highlight w:val="none"/>
        </w:rPr>
        <w:t>中标供应商</w:t>
      </w:r>
      <w:r>
        <w:rPr>
          <w:rFonts w:ascii="Arial" w:hAnsi="Arial" w:cs="Arial"/>
          <w:color w:val="auto"/>
          <w:highlight w:val="none"/>
        </w:rPr>
        <w:t>在货物运抵安装现场前3天内，向采购人提供一份详细的安装、调试验收计划和所采用的标准及方法，现场负责人、工程师和参与安装人员的名单，此计划和采用的标准一旦被采购人确认就不得随意更改，否则</w:t>
      </w:r>
      <w:r>
        <w:rPr>
          <w:rFonts w:hint="eastAsia" w:ascii="Arial" w:hAnsi="Arial" w:cs="Arial"/>
          <w:color w:val="auto"/>
          <w:highlight w:val="none"/>
        </w:rPr>
        <w:t>中标供应商</w:t>
      </w:r>
      <w:r>
        <w:rPr>
          <w:rFonts w:ascii="Arial" w:hAnsi="Arial" w:cs="Arial"/>
          <w:color w:val="auto"/>
          <w:highlight w:val="none"/>
        </w:rPr>
        <w:t>应承担相应责任。</w:t>
      </w:r>
    </w:p>
    <w:p>
      <w:pPr>
        <w:widowControl/>
        <w:spacing w:line="380" w:lineRule="exact"/>
        <w:ind w:left="220" w:hanging="220" w:hangingChars="105"/>
        <w:rPr>
          <w:rFonts w:ascii="Arial" w:hAnsi="Arial" w:eastAsia="新宋体" w:cs="Arial"/>
          <w:color w:val="auto"/>
          <w:sz w:val="22"/>
          <w:szCs w:val="22"/>
          <w:highlight w:val="none"/>
        </w:rPr>
      </w:pPr>
      <w:r>
        <w:rPr>
          <w:rFonts w:hint="eastAsia" w:ascii="Arial" w:hAnsi="Arial" w:cs="Arial"/>
          <w:color w:val="auto"/>
          <w:highlight w:val="none"/>
        </w:rPr>
        <w:t>(2)</w:t>
      </w:r>
      <w:r>
        <w:rPr>
          <w:rFonts w:ascii="Arial" w:hAnsi="Arial" w:cs="Arial"/>
          <w:color w:val="auto"/>
          <w:highlight w:val="none"/>
        </w:rPr>
        <w:t>设备的安装必须符合有关标准和规范。安装过程中采购人将对设备的安装质量进行监督。</w:t>
      </w:r>
      <w:r>
        <w:rPr>
          <w:rFonts w:hint="eastAsia" w:ascii="Arial" w:hAnsi="Arial" w:eastAsia="新宋体" w:cs="Arial"/>
          <w:color w:val="auto"/>
          <w:sz w:val="22"/>
          <w:szCs w:val="22"/>
          <w:highlight w:val="none"/>
        </w:rPr>
        <w:t>中标供应商</w:t>
      </w:r>
      <w:r>
        <w:rPr>
          <w:rFonts w:ascii="Arial" w:hAnsi="Arial" w:eastAsia="新宋体" w:cs="Arial"/>
          <w:color w:val="auto"/>
          <w:sz w:val="22"/>
          <w:szCs w:val="22"/>
          <w:highlight w:val="none"/>
        </w:rPr>
        <w:t>需按采购人的要求和认可负责设备的就位、安装和调试及试运行工作。</w:t>
      </w:r>
    </w:p>
    <w:p>
      <w:pPr>
        <w:widowControl/>
        <w:spacing w:line="380" w:lineRule="exact"/>
        <w:ind w:left="220" w:hanging="220" w:hangingChars="105"/>
        <w:rPr>
          <w:rFonts w:ascii="Arial" w:hAnsi="Arial" w:eastAsia="新宋体" w:cs="Arial"/>
          <w:color w:val="auto"/>
          <w:sz w:val="22"/>
          <w:szCs w:val="22"/>
          <w:highlight w:val="none"/>
        </w:rPr>
      </w:pPr>
      <w:r>
        <w:rPr>
          <w:rFonts w:hint="eastAsia" w:ascii="Arial" w:hAnsi="Arial" w:cs="Arial"/>
          <w:color w:val="auto"/>
          <w:highlight w:val="none"/>
        </w:rPr>
        <w:t>(3)</w:t>
      </w:r>
      <w:r>
        <w:rPr>
          <w:rFonts w:ascii="Arial" w:hAnsi="Arial" w:eastAsia="新宋体" w:cs="Arial"/>
          <w:color w:val="auto"/>
          <w:sz w:val="22"/>
          <w:szCs w:val="22"/>
          <w:highlight w:val="none"/>
        </w:rPr>
        <w:t>采购人除提供安装所需的水电、设备存放场地以外，设备的装卸、就位、安装、调试、检验、人员食宿、交通、设备保护等所有费用均由</w:t>
      </w:r>
      <w:r>
        <w:rPr>
          <w:rFonts w:hint="eastAsia" w:ascii="Arial" w:hAnsi="Arial" w:eastAsia="新宋体" w:cs="Arial"/>
          <w:color w:val="auto"/>
          <w:sz w:val="22"/>
          <w:szCs w:val="22"/>
          <w:highlight w:val="none"/>
        </w:rPr>
        <w:t>中标供应商</w:t>
      </w:r>
      <w:r>
        <w:rPr>
          <w:rFonts w:ascii="Arial" w:hAnsi="Arial" w:eastAsia="新宋体" w:cs="Arial"/>
          <w:color w:val="auto"/>
          <w:sz w:val="22"/>
          <w:szCs w:val="22"/>
          <w:highlight w:val="none"/>
        </w:rPr>
        <w:t>承担，须全部包含在总报价内。</w:t>
      </w:r>
    </w:p>
    <w:p>
      <w:pPr>
        <w:widowControl/>
        <w:spacing w:line="380" w:lineRule="exact"/>
        <w:ind w:left="220" w:hanging="220" w:hangingChars="105"/>
        <w:rPr>
          <w:rFonts w:ascii="Arial" w:hAnsi="Arial" w:eastAsia="新宋体" w:cs="Arial"/>
          <w:color w:val="auto"/>
          <w:sz w:val="22"/>
          <w:szCs w:val="22"/>
          <w:highlight w:val="none"/>
        </w:rPr>
      </w:pPr>
      <w:r>
        <w:rPr>
          <w:rFonts w:hint="eastAsia" w:ascii="Arial" w:hAnsi="Arial" w:cs="Arial"/>
          <w:color w:val="auto"/>
          <w:highlight w:val="none"/>
        </w:rPr>
        <w:t>(4)</w:t>
      </w:r>
      <w:r>
        <w:rPr>
          <w:rFonts w:ascii="Arial" w:hAnsi="Arial" w:eastAsia="新宋体" w:cs="Arial"/>
          <w:color w:val="auto"/>
          <w:sz w:val="22"/>
          <w:szCs w:val="22"/>
          <w:highlight w:val="none"/>
        </w:rPr>
        <w:t>在安装过程中，如由于</w:t>
      </w:r>
      <w:r>
        <w:rPr>
          <w:rFonts w:hint="eastAsia" w:ascii="Arial" w:hAnsi="Arial" w:eastAsia="新宋体" w:cs="Arial"/>
          <w:color w:val="auto"/>
          <w:sz w:val="22"/>
          <w:szCs w:val="22"/>
          <w:highlight w:val="none"/>
        </w:rPr>
        <w:t>中标供应商</w:t>
      </w:r>
      <w:r>
        <w:rPr>
          <w:rFonts w:ascii="Arial" w:hAnsi="Arial" w:eastAsia="新宋体" w:cs="Arial"/>
          <w:color w:val="auto"/>
          <w:sz w:val="22"/>
          <w:szCs w:val="22"/>
          <w:highlight w:val="none"/>
        </w:rPr>
        <w:t>原因导致建筑结构或其它设备被损坏，</w:t>
      </w:r>
      <w:r>
        <w:rPr>
          <w:rFonts w:hint="eastAsia" w:ascii="Arial" w:hAnsi="Arial" w:eastAsia="新宋体" w:cs="Arial"/>
          <w:color w:val="auto"/>
          <w:sz w:val="22"/>
          <w:szCs w:val="22"/>
          <w:highlight w:val="none"/>
        </w:rPr>
        <w:t>中标供应商</w:t>
      </w:r>
      <w:r>
        <w:rPr>
          <w:rFonts w:ascii="Arial" w:hAnsi="Arial" w:eastAsia="新宋体" w:cs="Arial"/>
          <w:color w:val="auto"/>
          <w:sz w:val="22"/>
          <w:szCs w:val="22"/>
          <w:highlight w:val="none"/>
        </w:rPr>
        <w:t>须负责修理并赔偿全部损失。</w:t>
      </w:r>
    </w:p>
    <w:p>
      <w:pPr>
        <w:numPr>
          <w:ilvl w:val="1"/>
          <w:numId w:val="7"/>
        </w:numPr>
        <w:tabs>
          <w:tab w:val="clear" w:pos="680"/>
        </w:tabs>
        <w:spacing w:line="276" w:lineRule="auto"/>
        <w:ind w:left="220" w:hanging="220" w:hangingChars="105"/>
        <w:rPr>
          <w:rFonts w:ascii="Arial" w:hAnsi="Arial" w:cs="Arial"/>
          <w:color w:val="auto"/>
          <w:highlight w:val="none"/>
        </w:rPr>
      </w:pPr>
      <w:r>
        <w:rPr>
          <w:rFonts w:ascii="Arial" w:hAnsi="Arial" w:cs="Arial"/>
          <w:color w:val="auto"/>
          <w:highlight w:val="none"/>
        </w:rPr>
        <w:t>调试</w:t>
      </w:r>
    </w:p>
    <w:p>
      <w:pPr>
        <w:widowControl/>
        <w:spacing w:line="380" w:lineRule="exact"/>
        <w:ind w:left="220" w:hanging="220" w:hangingChars="105"/>
        <w:rPr>
          <w:rFonts w:ascii="Arial" w:hAnsi="Arial" w:cs="Arial"/>
          <w:color w:val="auto"/>
          <w:highlight w:val="none"/>
        </w:rPr>
      </w:pPr>
      <w:r>
        <w:rPr>
          <w:rFonts w:ascii="Arial" w:hAnsi="Arial" w:cs="Arial"/>
          <w:color w:val="auto"/>
          <w:highlight w:val="none"/>
        </w:rPr>
        <w:t>设备安装就位、校准后，</w:t>
      </w:r>
      <w:r>
        <w:rPr>
          <w:rFonts w:hint="eastAsia" w:ascii="Arial" w:hAnsi="Arial" w:cs="Arial"/>
          <w:color w:val="auto"/>
          <w:highlight w:val="none"/>
        </w:rPr>
        <w:t>中标供应商</w:t>
      </w:r>
      <w:r>
        <w:rPr>
          <w:rFonts w:ascii="Arial" w:hAnsi="Arial" w:cs="Arial"/>
          <w:color w:val="auto"/>
          <w:highlight w:val="none"/>
        </w:rPr>
        <w:t>应按事先被采购人认可的调试验收计划对设备进行调试，并对设备所标注的各项技术指标进行测试，测试报告将在设备验收完毕后提交给采购人，但</w:t>
      </w:r>
      <w:r>
        <w:rPr>
          <w:rFonts w:hint="eastAsia" w:ascii="Arial" w:hAnsi="Arial" w:cs="Arial"/>
          <w:color w:val="auto"/>
          <w:highlight w:val="none"/>
        </w:rPr>
        <w:t>中标供应商</w:t>
      </w:r>
      <w:r>
        <w:rPr>
          <w:rFonts w:ascii="Arial" w:hAnsi="Arial" w:cs="Arial"/>
          <w:color w:val="auto"/>
          <w:highlight w:val="none"/>
        </w:rPr>
        <w:t>应对测试的各种数据的真实性负责。采购人也可以要求具有检测资质的第三方用专用仪器设备进行功能 、性能测试，</w:t>
      </w:r>
      <w:r>
        <w:rPr>
          <w:rFonts w:hint="eastAsia" w:ascii="Arial" w:hAnsi="Arial" w:cs="Arial"/>
          <w:color w:val="auto"/>
          <w:highlight w:val="none"/>
        </w:rPr>
        <w:t>中标供应商</w:t>
      </w:r>
      <w:r>
        <w:rPr>
          <w:rFonts w:ascii="Arial" w:hAnsi="Arial" w:cs="Arial"/>
          <w:color w:val="auto"/>
          <w:highlight w:val="none"/>
        </w:rPr>
        <w:t>负责测试和调试所需的一切费用，并</w:t>
      </w:r>
      <w:r>
        <w:rPr>
          <w:rFonts w:ascii="Arial" w:hAnsi="Arial" w:eastAsia="新宋体" w:cs="Arial"/>
          <w:color w:val="auto"/>
          <w:sz w:val="22"/>
          <w:szCs w:val="22"/>
          <w:highlight w:val="none"/>
        </w:rPr>
        <w:t>负责解决在调试和试运行时出现的任何质量问题。</w:t>
      </w:r>
      <w:r>
        <w:rPr>
          <w:rFonts w:ascii="Arial" w:hAnsi="Arial" w:cs="Arial"/>
          <w:color w:val="auto"/>
          <w:highlight w:val="none"/>
        </w:rPr>
        <w:t>并填写测试报告交由采购人存档。</w:t>
      </w:r>
    </w:p>
    <w:p>
      <w:pPr>
        <w:numPr>
          <w:ilvl w:val="1"/>
          <w:numId w:val="7"/>
        </w:numPr>
        <w:tabs>
          <w:tab w:val="clear" w:pos="680"/>
        </w:tabs>
        <w:spacing w:line="276" w:lineRule="auto"/>
        <w:ind w:left="220" w:hanging="220" w:hangingChars="105"/>
        <w:rPr>
          <w:rFonts w:ascii="Arial" w:hAnsi="Arial" w:cs="Arial"/>
          <w:color w:val="auto"/>
          <w:highlight w:val="none"/>
        </w:rPr>
      </w:pPr>
      <w:r>
        <w:rPr>
          <w:rFonts w:ascii="Arial" w:hAnsi="Arial" w:cs="Arial"/>
          <w:color w:val="auto"/>
          <w:highlight w:val="none"/>
        </w:rPr>
        <w:t xml:space="preserve">验收 </w:t>
      </w:r>
    </w:p>
    <w:p>
      <w:pPr>
        <w:widowControl/>
        <w:spacing w:line="380" w:lineRule="exact"/>
        <w:ind w:left="220" w:hanging="220" w:hangingChars="105"/>
        <w:rPr>
          <w:rFonts w:ascii="Arial" w:hAnsi="Arial" w:cs="Arial"/>
          <w:color w:val="auto"/>
          <w:highlight w:val="none"/>
        </w:rPr>
      </w:pPr>
      <w:r>
        <w:rPr>
          <w:rFonts w:ascii="Arial" w:hAnsi="Arial" w:cs="Arial"/>
          <w:color w:val="auto"/>
          <w:highlight w:val="none"/>
        </w:rPr>
        <w:t>设备经过试运行考核无故障（或存在的故障和隐患均已全部排除或解决），并经有关部门检验合格，所有的技术资料和图纸已向采购人提交</w:t>
      </w:r>
      <w:r>
        <w:rPr>
          <w:rFonts w:hint="eastAsia" w:ascii="Arial" w:hAnsi="Arial" w:cs="Arial"/>
          <w:color w:val="auto"/>
          <w:highlight w:val="none"/>
        </w:rPr>
        <w:t>，</w:t>
      </w:r>
      <w:r>
        <w:rPr>
          <w:rFonts w:ascii="Arial" w:hAnsi="Arial" w:cs="Arial"/>
          <w:color w:val="auto"/>
          <w:highlight w:val="none"/>
        </w:rPr>
        <w:t>验收视为合格，买卖双方签署验收合格证书。 若因</w:t>
      </w:r>
      <w:r>
        <w:rPr>
          <w:rFonts w:hint="eastAsia" w:ascii="Arial" w:hAnsi="Arial" w:cs="Arial"/>
          <w:color w:val="auto"/>
          <w:highlight w:val="none"/>
        </w:rPr>
        <w:t>中标供应商</w:t>
      </w:r>
      <w:r>
        <w:rPr>
          <w:rFonts w:ascii="Arial" w:hAnsi="Arial" w:cs="Arial"/>
          <w:color w:val="auto"/>
          <w:highlight w:val="none"/>
        </w:rPr>
        <w:t>产品质量或安装技术问题导致验收不合格，</w:t>
      </w:r>
      <w:r>
        <w:rPr>
          <w:rFonts w:hint="eastAsia" w:ascii="Arial" w:hAnsi="Arial" w:cs="Arial"/>
          <w:color w:val="auto"/>
          <w:highlight w:val="none"/>
        </w:rPr>
        <w:t>中标供应商</w:t>
      </w:r>
      <w:r>
        <w:rPr>
          <w:rFonts w:ascii="Arial" w:hAnsi="Arial" w:cs="Arial"/>
          <w:color w:val="auto"/>
          <w:highlight w:val="none"/>
        </w:rPr>
        <w:t>应及时予以处理，直至验收合格，期间发生的一切相关费用由</w:t>
      </w:r>
      <w:r>
        <w:rPr>
          <w:rFonts w:hint="eastAsia" w:ascii="Arial" w:hAnsi="Arial" w:cs="Arial"/>
          <w:color w:val="auto"/>
          <w:highlight w:val="none"/>
        </w:rPr>
        <w:t>中标供应商</w:t>
      </w:r>
      <w:r>
        <w:rPr>
          <w:rFonts w:ascii="Arial" w:hAnsi="Arial" w:cs="Arial"/>
          <w:color w:val="auto"/>
          <w:highlight w:val="none"/>
        </w:rPr>
        <w:t>承担，采购人保留向</w:t>
      </w:r>
      <w:r>
        <w:rPr>
          <w:rFonts w:hint="eastAsia" w:ascii="Arial" w:hAnsi="Arial" w:cs="Arial"/>
          <w:color w:val="auto"/>
          <w:highlight w:val="none"/>
        </w:rPr>
        <w:t>中标供应商</w:t>
      </w:r>
      <w:r>
        <w:rPr>
          <w:rFonts w:ascii="Arial" w:hAnsi="Arial" w:cs="Arial"/>
          <w:color w:val="auto"/>
          <w:highlight w:val="none"/>
        </w:rPr>
        <w:t>索赔的权利。验收不合格，除要求更换不合格的产品（包括外购产品）外，还要负赔偿责任扣</w:t>
      </w:r>
      <w:r>
        <w:rPr>
          <w:rFonts w:hint="eastAsia" w:ascii="Arial" w:hAnsi="Arial" w:cs="Arial"/>
          <w:color w:val="auto"/>
          <w:highlight w:val="none"/>
        </w:rPr>
        <w:t>合同总价</w:t>
      </w:r>
      <w:r>
        <w:rPr>
          <w:rFonts w:ascii="Arial" w:hAnsi="Arial" w:cs="Arial"/>
          <w:color w:val="auto"/>
          <w:highlight w:val="none"/>
        </w:rPr>
        <w:t>款的</w:t>
      </w:r>
      <w:r>
        <w:rPr>
          <w:rFonts w:hint="eastAsia" w:ascii="Arial" w:hAnsi="Arial" w:cs="Arial"/>
          <w:color w:val="auto"/>
          <w:highlight w:val="none"/>
        </w:rPr>
        <w:t>5</w:t>
      </w:r>
      <w:r>
        <w:rPr>
          <w:rFonts w:ascii="Arial" w:hAnsi="Arial" w:cs="Arial"/>
          <w:color w:val="auto"/>
          <w:highlight w:val="none"/>
        </w:rPr>
        <w:t>%。</w:t>
      </w:r>
    </w:p>
    <w:p>
      <w:pPr>
        <w:numPr>
          <w:ilvl w:val="1"/>
          <w:numId w:val="7"/>
        </w:numPr>
        <w:tabs>
          <w:tab w:val="clear" w:pos="680"/>
        </w:tabs>
        <w:spacing w:line="276" w:lineRule="auto"/>
        <w:ind w:left="220" w:hanging="220" w:hangingChars="105"/>
        <w:rPr>
          <w:rFonts w:ascii="Arial" w:hAnsi="Arial" w:cs="Arial"/>
          <w:color w:val="auto"/>
          <w:highlight w:val="none"/>
        </w:rPr>
      </w:pPr>
      <w:r>
        <w:rPr>
          <w:rFonts w:hint="eastAsia" w:ascii="Arial" w:hAnsi="Arial" w:cs="Arial"/>
          <w:color w:val="auto"/>
          <w:highlight w:val="none"/>
        </w:rPr>
        <w:t>中标供应商</w:t>
      </w:r>
      <w:r>
        <w:rPr>
          <w:rFonts w:ascii="Arial" w:hAnsi="Arial" w:cs="Arial"/>
          <w:color w:val="auto"/>
          <w:highlight w:val="none"/>
        </w:rPr>
        <w:t>在设备到货、安装、调试和验收期间应接受采购人的协调和管理，</w:t>
      </w:r>
      <w:r>
        <w:rPr>
          <w:rFonts w:hint="eastAsia" w:ascii="Arial" w:hAnsi="Arial" w:cs="Arial"/>
          <w:color w:val="auto"/>
          <w:highlight w:val="none"/>
        </w:rPr>
        <w:t>中标供应商</w:t>
      </w:r>
      <w:r>
        <w:rPr>
          <w:rFonts w:ascii="Arial" w:hAnsi="Arial" w:cs="Arial"/>
          <w:color w:val="auto"/>
          <w:highlight w:val="none"/>
        </w:rPr>
        <w:t>应采取严格的安全措施，承担由于自身原因所造成的事故责任及其发生的一切费用。</w:t>
      </w:r>
    </w:p>
    <w:p>
      <w:pPr>
        <w:numPr>
          <w:ilvl w:val="0"/>
          <w:numId w:val="3"/>
        </w:numPr>
        <w:spacing w:before="120" w:beforeLines="50" w:after="120" w:afterLines="50" w:line="360" w:lineRule="exact"/>
        <w:ind w:left="253" w:hanging="253" w:hangingChars="105"/>
        <w:jc w:val="center"/>
        <w:outlineLvl w:val="1"/>
        <w:rPr>
          <w:rFonts w:ascii="宋体" w:hAnsi="宋体"/>
          <w:b/>
          <w:color w:val="auto"/>
          <w:sz w:val="24"/>
          <w:szCs w:val="22"/>
          <w:highlight w:val="none"/>
        </w:rPr>
      </w:pPr>
      <w:bookmarkStart w:id="32" w:name="_Toc16370"/>
      <w:bookmarkStart w:id="33" w:name="_Toc6597"/>
      <w:bookmarkStart w:id="34" w:name="_Toc14136"/>
      <w:r>
        <w:rPr>
          <w:rFonts w:hint="eastAsia" w:ascii="Arial" w:hAnsi="Arial" w:cs="Arial"/>
          <w:b/>
          <w:bCs/>
          <w:color w:val="auto"/>
          <w:sz w:val="24"/>
          <w:highlight w:val="none"/>
        </w:rPr>
        <w:t>综合说明</w:t>
      </w:r>
      <w:bookmarkEnd w:id="31"/>
      <w:bookmarkEnd w:id="32"/>
      <w:bookmarkEnd w:id="33"/>
      <w:bookmarkEnd w:id="34"/>
    </w:p>
    <w:p>
      <w:pPr>
        <w:pStyle w:val="92"/>
        <w:spacing w:line="276" w:lineRule="auto"/>
        <w:ind w:left="220" w:hanging="220" w:hangingChars="105"/>
        <w:rPr>
          <w:vanish/>
          <w:color w:val="auto"/>
          <w:highlight w:val="none"/>
        </w:rPr>
      </w:pPr>
    </w:p>
    <w:p>
      <w:pPr>
        <w:numPr>
          <w:ilvl w:val="1"/>
          <w:numId w:val="8"/>
        </w:numPr>
        <w:tabs>
          <w:tab w:val="clear" w:pos="680"/>
        </w:tabs>
        <w:spacing w:line="276" w:lineRule="auto"/>
        <w:ind w:left="220" w:hanging="220" w:hangingChars="105"/>
        <w:rPr>
          <w:color w:val="auto"/>
          <w:highlight w:val="none"/>
        </w:rPr>
      </w:pPr>
      <w:r>
        <w:rPr>
          <w:rFonts w:hint="eastAsia"/>
          <w:color w:val="auto"/>
          <w:highlight w:val="none"/>
        </w:rPr>
        <w:t>采购文件</w:t>
      </w:r>
      <w:r>
        <w:rPr>
          <w:color w:val="auto"/>
          <w:highlight w:val="none"/>
        </w:rPr>
        <w:t>中</w:t>
      </w:r>
      <w:r>
        <w:rPr>
          <w:rFonts w:hint="eastAsia"/>
          <w:color w:val="auto"/>
          <w:highlight w:val="none"/>
        </w:rPr>
        <w:t>的</w:t>
      </w:r>
      <w:r>
        <w:rPr>
          <w:color w:val="auto"/>
          <w:highlight w:val="none"/>
        </w:rPr>
        <w:t>技术要求不得被认为是详尽无遗的，无论规定与否，</w:t>
      </w:r>
      <w:r>
        <w:rPr>
          <w:rFonts w:hint="eastAsia"/>
          <w:color w:val="auto"/>
          <w:highlight w:val="none"/>
        </w:rPr>
        <w:t>供应商</w:t>
      </w:r>
      <w:r>
        <w:rPr>
          <w:color w:val="auto"/>
          <w:highlight w:val="none"/>
        </w:rPr>
        <w:t>应提供</w:t>
      </w:r>
      <w:r>
        <w:rPr>
          <w:rFonts w:hint="eastAsia"/>
          <w:color w:val="auto"/>
          <w:highlight w:val="none"/>
        </w:rPr>
        <w:t>采购人</w:t>
      </w:r>
      <w:r>
        <w:rPr>
          <w:color w:val="auto"/>
          <w:highlight w:val="none"/>
        </w:rPr>
        <w:t>没有规定但</w:t>
      </w:r>
      <w:r>
        <w:rPr>
          <w:rFonts w:hint="eastAsia"/>
          <w:color w:val="auto"/>
          <w:highlight w:val="none"/>
        </w:rPr>
        <w:t>供应商</w:t>
      </w:r>
      <w:r>
        <w:rPr>
          <w:color w:val="auto"/>
          <w:highlight w:val="none"/>
        </w:rPr>
        <w:t>认为完成本项目</w:t>
      </w:r>
      <w:r>
        <w:rPr>
          <w:rFonts w:hint="eastAsia"/>
          <w:color w:val="auto"/>
          <w:highlight w:val="none"/>
        </w:rPr>
        <w:t>操作和使用，</w:t>
      </w:r>
      <w:r>
        <w:rPr>
          <w:color w:val="auto"/>
          <w:highlight w:val="none"/>
        </w:rPr>
        <w:t>必要或必须的设备和材料，并应在</w:t>
      </w:r>
      <w:r>
        <w:rPr>
          <w:rFonts w:hint="eastAsia"/>
          <w:color w:val="auto"/>
          <w:highlight w:val="none"/>
        </w:rPr>
        <w:t>报价明细表</w:t>
      </w:r>
      <w:r>
        <w:rPr>
          <w:color w:val="auto"/>
          <w:highlight w:val="none"/>
        </w:rPr>
        <w:t>中一一列明。</w:t>
      </w:r>
    </w:p>
    <w:p>
      <w:pPr>
        <w:numPr>
          <w:ilvl w:val="1"/>
          <w:numId w:val="8"/>
        </w:numPr>
        <w:tabs>
          <w:tab w:val="clear" w:pos="680"/>
        </w:tabs>
        <w:spacing w:line="276" w:lineRule="auto"/>
        <w:ind w:left="220" w:hanging="220" w:hangingChars="105"/>
        <w:rPr>
          <w:color w:val="auto"/>
          <w:highlight w:val="none"/>
        </w:rPr>
      </w:pPr>
      <w:r>
        <w:rPr>
          <w:rFonts w:hint="eastAsia"/>
          <w:color w:val="auto"/>
          <w:highlight w:val="none"/>
        </w:rPr>
        <w:t>上述设备如无特别说明应为制造厂商出厂的原装配置。供应商应对清单中所列设备及其所有附件和配置进行报价，不允许只对其中部分设备或内容进行报价。</w:t>
      </w:r>
    </w:p>
    <w:p>
      <w:pPr>
        <w:numPr>
          <w:ilvl w:val="1"/>
          <w:numId w:val="8"/>
        </w:numPr>
        <w:tabs>
          <w:tab w:val="clear" w:pos="680"/>
        </w:tabs>
        <w:spacing w:line="276" w:lineRule="auto"/>
        <w:ind w:left="220" w:hanging="220" w:hangingChars="105"/>
        <w:rPr>
          <w:color w:val="auto"/>
          <w:highlight w:val="none"/>
        </w:rPr>
      </w:pPr>
      <w:r>
        <w:rPr>
          <w:rFonts w:hint="eastAsia"/>
          <w:color w:val="auto"/>
          <w:highlight w:val="none"/>
        </w:rPr>
        <w:t>供应商的投标文件应该真实、全面、完整，应提供完整的供货实施方案，详细阐述对本项目设备总体要求的理解。包括：功能说明、性能指标及设备选型说明（质量、性能、价格、外观、体积等方面进行比较和选择的理由和过程），明确设备、材料的具体品牌、型号和数量，符合采购文件的要求。</w:t>
      </w:r>
    </w:p>
    <w:p>
      <w:pPr>
        <w:numPr>
          <w:ilvl w:val="1"/>
          <w:numId w:val="8"/>
        </w:numPr>
        <w:tabs>
          <w:tab w:val="clear" w:pos="680"/>
        </w:tabs>
        <w:spacing w:line="276" w:lineRule="auto"/>
        <w:ind w:left="220" w:hanging="220" w:hangingChars="105"/>
        <w:rPr>
          <w:color w:val="auto"/>
          <w:highlight w:val="none"/>
        </w:rPr>
      </w:pPr>
      <w:r>
        <w:rPr>
          <w:rFonts w:hint="eastAsia"/>
          <w:color w:val="auto"/>
          <w:highlight w:val="none"/>
        </w:rPr>
        <w:t>供应商须完成下列项目：供货、运输、安装、调试和试运行、技术服务及培训、相关文件的提交、与技术规格一致的设备图表及资料、保证期内的维修、保养及在开机时需要润滑剂等的初始运行充注等。无论其是否被明细列在合同文件中。</w:t>
      </w:r>
    </w:p>
    <w:p>
      <w:pPr>
        <w:numPr>
          <w:ilvl w:val="1"/>
          <w:numId w:val="8"/>
        </w:numPr>
        <w:tabs>
          <w:tab w:val="clear" w:pos="680"/>
        </w:tabs>
        <w:spacing w:line="276" w:lineRule="auto"/>
        <w:ind w:left="220" w:hanging="220" w:hangingChars="105"/>
        <w:rPr>
          <w:color w:val="auto"/>
          <w:highlight w:val="none"/>
        </w:rPr>
      </w:pPr>
      <w:r>
        <w:rPr>
          <w:rFonts w:hint="eastAsia"/>
          <w:color w:val="auto"/>
          <w:highlight w:val="none"/>
        </w:rPr>
        <w:t>供应商所投报的产品应当是在中国境内合法销售，且符合国家有关部门规定的相应技术、节能、安全和环保标准；国家有关部门对供应商所投报的产品有强制性规定或要求的应当符合相应规定或要求。</w:t>
      </w:r>
    </w:p>
    <w:p>
      <w:pPr>
        <w:numPr>
          <w:ilvl w:val="1"/>
          <w:numId w:val="8"/>
        </w:numPr>
        <w:tabs>
          <w:tab w:val="clear" w:pos="680"/>
        </w:tabs>
        <w:spacing w:line="276" w:lineRule="auto"/>
        <w:ind w:left="220" w:hanging="220" w:hangingChars="105"/>
        <w:rPr>
          <w:color w:val="auto"/>
          <w:highlight w:val="none"/>
        </w:rPr>
      </w:pPr>
      <w:r>
        <w:rPr>
          <w:rFonts w:hint="eastAsia"/>
          <w:color w:val="auto"/>
          <w:highlight w:val="none"/>
        </w:rPr>
        <w:t>采购设备技术要求中有要求或规定的按其要求或规定。</w:t>
      </w:r>
    </w:p>
    <w:p>
      <w:pPr>
        <w:numPr>
          <w:ilvl w:val="1"/>
          <w:numId w:val="8"/>
        </w:numPr>
        <w:tabs>
          <w:tab w:val="clear" w:pos="680"/>
        </w:tabs>
        <w:spacing w:line="276" w:lineRule="auto"/>
        <w:ind w:left="220" w:hanging="220" w:hangingChars="105"/>
        <w:rPr>
          <w:color w:val="auto"/>
          <w:highlight w:val="none"/>
        </w:rPr>
      </w:pPr>
      <w:r>
        <w:rPr>
          <w:rFonts w:hint="eastAsia"/>
          <w:color w:val="auto"/>
          <w:highlight w:val="none"/>
        </w:rPr>
        <w:t>供应商所投报的品牌货物应当是具有生产合格证的知名品牌产品，且具有一定的销售历史，技术成熟的产品。</w:t>
      </w:r>
    </w:p>
    <w:p>
      <w:pPr>
        <w:numPr>
          <w:ilvl w:val="1"/>
          <w:numId w:val="8"/>
        </w:numPr>
        <w:tabs>
          <w:tab w:val="clear" w:pos="680"/>
        </w:tabs>
        <w:spacing w:line="276" w:lineRule="auto"/>
        <w:ind w:left="220" w:hanging="220" w:hangingChars="105"/>
        <w:rPr>
          <w:color w:val="auto"/>
          <w:highlight w:val="none"/>
        </w:rPr>
      </w:pPr>
      <w:r>
        <w:rPr>
          <w:rFonts w:hint="eastAsia"/>
          <w:color w:val="auto"/>
          <w:highlight w:val="none"/>
        </w:rPr>
        <w:t>供应商或其所投货物的生产商如通过质量管理体系认证的，应在投标文件中提供相关证明文件。</w:t>
      </w:r>
    </w:p>
    <w:p>
      <w:pPr>
        <w:numPr>
          <w:ilvl w:val="1"/>
          <w:numId w:val="8"/>
        </w:numPr>
        <w:tabs>
          <w:tab w:val="clear" w:pos="680"/>
        </w:tabs>
        <w:spacing w:line="276" w:lineRule="auto"/>
        <w:ind w:left="220" w:hanging="220" w:hangingChars="105"/>
        <w:rPr>
          <w:color w:val="auto"/>
          <w:highlight w:val="none"/>
        </w:rPr>
      </w:pPr>
      <w:r>
        <w:rPr>
          <w:rFonts w:hint="eastAsia"/>
          <w:color w:val="auto"/>
          <w:highlight w:val="none"/>
        </w:rPr>
        <w:t>供应商如提供节能产品和环境标志产品的，应在投标文件中提供相关证明文件。</w:t>
      </w:r>
    </w:p>
    <w:p>
      <w:pPr>
        <w:numPr>
          <w:ilvl w:val="1"/>
          <w:numId w:val="8"/>
        </w:numPr>
        <w:tabs>
          <w:tab w:val="clear" w:pos="680"/>
        </w:tabs>
        <w:spacing w:line="276" w:lineRule="auto"/>
        <w:ind w:left="220" w:hanging="220" w:hangingChars="105"/>
        <w:rPr>
          <w:color w:val="auto"/>
          <w:highlight w:val="none"/>
        </w:rPr>
      </w:pPr>
      <w:r>
        <w:rPr>
          <w:rFonts w:hint="eastAsia"/>
          <w:color w:val="auto"/>
          <w:highlight w:val="none"/>
        </w:rPr>
        <w:t>供应商所投的货物必须是全新未使用的优质产品。供货时并提供所有产品的附件、说明书、合格证书和技术咨询。货物及其辅助装置的铭牌、使用指示、警告指示应以中文及易懂的通用符号来表示，应能够准确无误地表示货物的型号、规格和制造商。</w:t>
      </w:r>
    </w:p>
    <w:p>
      <w:pPr>
        <w:numPr>
          <w:ilvl w:val="1"/>
          <w:numId w:val="8"/>
        </w:numPr>
        <w:tabs>
          <w:tab w:val="clear" w:pos="680"/>
        </w:tabs>
        <w:spacing w:line="276" w:lineRule="auto"/>
        <w:ind w:left="220" w:hanging="220" w:hangingChars="105"/>
        <w:rPr>
          <w:color w:val="auto"/>
          <w:highlight w:val="none"/>
        </w:rPr>
      </w:pPr>
      <w:r>
        <w:rPr>
          <w:rFonts w:hint="eastAsia"/>
          <w:color w:val="auto"/>
          <w:highlight w:val="none"/>
        </w:rPr>
        <w:t>供应商</w:t>
      </w:r>
      <w:r>
        <w:rPr>
          <w:color w:val="auto"/>
          <w:highlight w:val="none"/>
        </w:rPr>
        <w:t>所投报的货物必须成套和完整，在技术要求中未列明但属于</w:t>
      </w:r>
      <w:r>
        <w:rPr>
          <w:rFonts w:hint="eastAsia"/>
          <w:color w:val="auto"/>
          <w:highlight w:val="none"/>
        </w:rPr>
        <w:t>设备</w:t>
      </w:r>
      <w:r>
        <w:rPr>
          <w:color w:val="auto"/>
          <w:highlight w:val="none"/>
        </w:rPr>
        <w:t>运行</w:t>
      </w:r>
      <w:r>
        <w:rPr>
          <w:rFonts w:hint="eastAsia"/>
          <w:color w:val="auto"/>
          <w:highlight w:val="none"/>
        </w:rPr>
        <w:t>、使用</w:t>
      </w:r>
      <w:r>
        <w:rPr>
          <w:color w:val="auto"/>
          <w:highlight w:val="none"/>
        </w:rPr>
        <w:t>的所需</w:t>
      </w:r>
      <w:r>
        <w:rPr>
          <w:rFonts w:hint="eastAsia"/>
          <w:color w:val="auto"/>
          <w:highlight w:val="none"/>
        </w:rPr>
        <w:t>附件</w:t>
      </w:r>
      <w:r>
        <w:rPr>
          <w:color w:val="auto"/>
          <w:highlight w:val="none"/>
        </w:rPr>
        <w:t>必须一并投报。如果在安装运行过程中发现有缺项漏项，且又是</w:t>
      </w:r>
      <w:r>
        <w:rPr>
          <w:rFonts w:hint="eastAsia"/>
          <w:color w:val="auto"/>
          <w:highlight w:val="none"/>
        </w:rPr>
        <w:t>设备</w:t>
      </w:r>
      <w:r>
        <w:rPr>
          <w:color w:val="auto"/>
          <w:highlight w:val="none"/>
        </w:rPr>
        <w:t>正常运行所必要的，</w:t>
      </w:r>
      <w:r>
        <w:rPr>
          <w:rFonts w:hint="eastAsia"/>
          <w:color w:val="auto"/>
          <w:highlight w:val="none"/>
        </w:rPr>
        <w:t>供应商</w:t>
      </w:r>
      <w:r>
        <w:rPr>
          <w:color w:val="auto"/>
          <w:highlight w:val="none"/>
        </w:rPr>
        <w:t>应当无偿提供</w:t>
      </w:r>
      <w:r>
        <w:rPr>
          <w:rFonts w:hint="eastAsia"/>
          <w:color w:val="auto"/>
          <w:highlight w:val="none"/>
        </w:rPr>
        <w:t>。</w:t>
      </w:r>
    </w:p>
    <w:p>
      <w:pPr>
        <w:numPr>
          <w:ilvl w:val="1"/>
          <w:numId w:val="8"/>
        </w:numPr>
        <w:tabs>
          <w:tab w:val="clear" w:pos="680"/>
        </w:tabs>
        <w:spacing w:line="276" w:lineRule="auto"/>
        <w:ind w:left="220" w:hanging="220" w:hangingChars="105"/>
        <w:rPr>
          <w:color w:val="auto"/>
          <w:highlight w:val="none"/>
        </w:rPr>
      </w:pPr>
      <w:r>
        <w:rPr>
          <w:rFonts w:hint="eastAsia"/>
          <w:color w:val="auto"/>
          <w:highlight w:val="none"/>
        </w:rPr>
        <w:t>供应商应当在投标文件中提供在正常使用下，保证设备正常使用的备件和专用工具清单，详细标明其种类、生产厂家、编号。</w:t>
      </w:r>
    </w:p>
    <w:p>
      <w:pPr>
        <w:numPr>
          <w:ilvl w:val="1"/>
          <w:numId w:val="8"/>
        </w:numPr>
        <w:tabs>
          <w:tab w:val="clear" w:pos="680"/>
        </w:tabs>
        <w:spacing w:line="276" w:lineRule="auto"/>
        <w:ind w:left="220" w:hanging="220" w:hangingChars="105"/>
        <w:rPr>
          <w:color w:val="auto"/>
          <w:highlight w:val="none"/>
        </w:rPr>
      </w:pPr>
      <w:r>
        <w:rPr>
          <w:color w:val="auto"/>
          <w:highlight w:val="none"/>
        </w:rPr>
        <w:t>配件供应</w:t>
      </w:r>
      <w:r>
        <w:rPr>
          <w:rFonts w:hint="eastAsia"/>
          <w:color w:val="auto"/>
          <w:highlight w:val="none"/>
        </w:rPr>
        <w:t>：</w:t>
      </w:r>
      <w:r>
        <w:rPr>
          <w:color w:val="auto"/>
          <w:highlight w:val="none"/>
        </w:rPr>
        <w:t>供应商须保证具备有足够的备品备件、配件和易损件供应能力，以免在往后的维修中造成缺配件现象，并保证是原厂生产的产品，以满足</w:t>
      </w:r>
      <w:r>
        <w:rPr>
          <w:rFonts w:hint="eastAsia"/>
          <w:color w:val="auto"/>
          <w:highlight w:val="none"/>
        </w:rPr>
        <w:t>设备</w:t>
      </w:r>
      <w:r>
        <w:rPr>
          <w:color w:val="auto"/>
          <w:highlight w:val="none"/>
        </w:rPr>
        <w:t>正常运行的需要。同时在投标时提供五年不提价的备品备件报价清单</w:t>
      </w:r>
      <w:r>
        <w:rPr>
          <w:rFonts w:hint="eastAsia"/>
          <w:color w:val="auto"/>
          <w:highlight w:val="none"/>
        </w:rPr>
        <w:t>，</w:t>
      </w:r>
      <w:r>
        <w:rPr>
          <w:color w:val="auto"/>
          <w:highlight w:val="none"/>
        </w:rPr>
        <w:t>清单中的配件型号必须与实际提供的配件型号相符。</w:t>
      </w:r>
    </w:p>
    <w:p>
      <w:pPr>
        <w:numPr>
          <w:ilvl w:val="1"/>
          <w:numId w:val="8"/>
        </w:numPr>
        <w:tabs>
          <w:tab w:val="clear" w:pos="680"/>
        </w:tabs>
        <w:spacing w:line="276" w:lineRule="auto"/>
        <w:ind w:left="220" w:hanging="220" w:hangingChars="105"/>
        <w:rPr>
          <w:color w:val="auto"/>
          <w:highlight w:val="none"/>
        </w:rPr>
      </w:pPr>
      <w:r>
        <w:rPr>
          <w:rFonts w:hint="eastAsia"/>
          <w:color w:val="auto"/>
          <w:highlight w:val="none"/>
        </w:rPr>
        <w:t>供应商应终身提供耗材供应。</w:t>
      </w:r>
    </w:p>
    <w:p>
      <w:pPr>
        <w:numPr>
          <w:ilvl w:val="1"/>
          <w:numId w:val="8"/>
        </w:numPr>
        <w:tabs>
          <w:tab w:val="clear" w:pos="680"/>
        </w:tabs>
        <w:spacing w:line="276" w:lineRule="auto"/>
        <w:ind w:left="220" w:hanging="220" w:hangingChars="105"/>
        <w:rPr>
          <w:color w:val="auto"/>
          <w:highlight w:val="none"/>
        </w:rPr>
      </w:pPr>
      <w:r>
        <w:rPr>
          <w:color w:val="auto"/>
          <w:highlight w:val="none"/>
        </w:rPr>
        <w:t>商标与铭牌</w:t>
      </w:r>
      <w:r>
        <w:rPr>
          <w:rFonts w:hint="eastAsia"/>
          <w:color w:val="auto"/>
          <w:highlight w:val="none"/>
        </w:rPr>
        <w:t>：</w:t>
      </w:r>
      <w:r>
        <w:rPr>
          <w:color w:val="auto"/>
          <w:highlight w:val="none"/>
        </w:rPr>
        <w:t>供应商提供的设备，其铭牌、使用标记、警示标记都应表示清楚。</w:t>
      </w:r>
    </w:p>
    <w:p>
      <w:pPr>
        <w:numPr>
          <w:ilvl w:val="1"/>
          <w:numId w:val="8"/>
        </w:numPr>
        <w:tabs>
          <w:tab w:val="clear" w:pos="680"/>
        </w:tabs>
        <w:spacing w:line="276" w:lineRule="auto"/>
        <w:ind w:left="220" w:hanging="220" w:hangingChars="105"/>
        <w:rPr>
          <w:color w:val="auto"/>
          <w:highlight w:val="none"/>
        </w:rPr>
      </w:pPr>
      <w:r>
        <w:rPr>
          <w:rFonts w:hint="eastAsia"/>
          <w:color w:val="auto"/>
          <w:highlight w:val="none"/>
        </w:rPr>
        <w:t>供应商须有能力提供完善的售后服务（包括技术人员、响应时间及备品、备件方面等）。负责免费现场培训采购人操作人员，直至掌握操作技术为止。</w:t>
      </w:r>
    </w:p>
    <w:p>
      <w:pPr>
        <w:numPr>
          <w:ilvl w:val="0"/>
          <w:numId w:val="3"/>
        </w:numPr>
        <w:spacing w:before="120" w:beforeLines="50" w:after="120" w:afterLines="50" w:line="360" w:lineRule="exact"/>
        <w:ind w:left="253" w:hanging="253" w:hangingChars="105"/>
        <w:jc w:val="center"/>
        <w:outlineLvl w:val="1"/>
        <w:rPr>
          <w:rFonts w:ascii="Arial" w:hAnsi="Arial" w:cs="Arial"/>
          <w:b/>
          <w:bCs/>
          <w:color w:val="auto"/>
          <w:sz w:val="24"/>
          <w:highlight w:val="none"/>
        </w:rPr>
      </w:pPr>
      <w:bookmarkStart w:id="35" w:name="_Toc12608"/>
      <w:bookmarkStart w:id="36" w:name="_Toc29306"/>
      <w:bookmarkStart w:id="37" w:name="_Toc29642"/>
      <w:bookmarkStart w:id="38" w:name="_Toc459125031"/>
      <w:r>
        <w:rPr>
          <w:rFonts w:hint="eastAsia" w:ascii="Arial" w:hAnsi="Arial" w:cs="Arial"/>
          <w:b/>
          <w:bCs/>
          <w:color w:val="auto"/>
          <w:sz w:val="24"/>
          <w:highlight w:val="none"/>
        </w:rPr>
        <w:t>技术服务和人员培训</w:t>
      </w:r>
      <w:bookmarkEnd w:id="35"/>
      <w:bookmarkEnd w:id="36"/>
      <w:bookmarkEnd w:id="37"/>
      <w:bookmarkEnd w:id="38"/>
    </w:p>
    <w:p>
      <w:pPr>
        <w:numPr>
          <w:ilvl w:val="1"/>
          <w:numId w:val="9"/>
        </w:numPr>
        <w:tabs>
          <w:tab w:val="clear" w:pos="680"/>
        </w:tabs>
        <w:spacing w:line="276" w:lineRule="auto"/>
        <w:ind w:left="220" w:hanging="220" w:hangingChars="105"/>
        <w:rPr>
          <w:color w:val="auto"/>
          <w:highlight w:val="none"/>
        </w:rPr>
      </w:pPr>
      <w:r>
        <w:rPr>
          <w:rFonts w:hint="eastAsia"/>
          <w:color w:val="auto"/>
          <w:highlight w:val="none"/>
        </w:rPr>
        <w:t>中标供应商负责合同执行过程中和质量保证期内的技术服务和支持，质保期从项目验收之日算起。在质量保证期内，中标方应免费负责对运行中出现的故障进行处理。每年进行现场售后服务不少于二次，每季度提供定期系统、软件检查，质保期过后，中标方应当长期按需提供技术服务，保证运行稳定。质量保证期内中标单位未能按要求提供服务的，采购方有权对质量保证金扣罚。在质量保证期内设备一旦发生故障，而采购人无法自行排除的，在接到采购人通知后，中标供应商应迅速作出反应，</w:t>
      </w:r>
      <w:r>
        <w:rPr>
          <w:rFonts w:hint="eastAsia" w:ascii="Arial" w:hAnsi="Arial" w:cs="Arial"/>
          <w:color w:val="auto"/>
          <w:highlight w:val="none"/>
        </w:rPr>
        <w:t>4小时</w:t>
      </w:r>
      <w:r>
        <w:rPr>
          <w:rFonts w:hint="eastAsia" w:ascii="新宋体" w:hAnsi="新宋体" w:eastAsia="新宋体"/>
          <w:color w:val="auto"/>
          <w:sz w:val="22"/>
          <w:highlight w:val="none"/>
        </w:rPr>
        <w:t>内</w:t>
      </w:r>
      <w:r>
        <w:rPr>
          <w:rFonts w:hint="eastAsia"/>
          <w:color w:val="auto"/>
          <w:highlight w:val="none"/>
        </w:rPr>
        <w:t>派人赴现场处理设备质量问题，并及时提供备品备件。即使在质保期满后也保证采购人能够得到及时的技术服务并能方便的购买到所需的备品备件。 24小时内不能修复的，则无偿提供备机或备用零件供采购人使用。保修期满后提供有偿终身维护。保修期满后的维护只收取维修的成本费用。</w:t>
      </w:r>
    </w:p>
    <w:p>
      <w:pPr>
        <w:numPr>
          <w:ilvl w:val="1"/>
          <w:numId w:val="9"/>
        </w:numPr>
        <w:tabs>
          <w:tab w:val="clear" w:pos="680"/>
        </w:tabs>
        <w:spacing w:line="276" w:lineRule="auto"/>
        <w:ind w:left="220" w:hanging="220" w:hangingChars="105"/>
        <w:rPr>
          <w:color w:val="auto"/>
          <w:highlight w:val="none"/>
        </w:rPr>
      </w:pPr>
      <w:r>
        <w:rPr>
          <w:rFonts w:hint="eastAsia"/>
          <w:color w:val="auto"/>
          <w:highlight w:val="none"/>
        </w:rPr>
        <w:t>技术咨询服务</w:t>
      </w:r>
    </w:p>
    <w:p>
      <w:pPr>
        <w:spacing w:line="276" w:lineRule="auto"/>
        <w:ind w:left="220" w:hanging="220" w:hangingChars="105"/>
        <w:rPr>
          <w:rFonts w:ascii="宋体" w:hAnsi="宋体"/>
          <w:color w:val="auto"/>
          <w:highlight w:val="none"/>
        </w:rPr>
      </w:pPr>
      <w:r>
        <w:rPr>
          <w:rFonts w:hint="eastAsia" w:ascii="宋体" w:hAnsi="宋体"/>
          <w:color w:val="auto"/>
          <w:highlight w:val="none"/>
        </w:rPr>
        <w:t>（1）中标供应商技术专家应为采购人提供全年7*24小时全天候的产品或技术方面的电话咨询服务。</w:t>
      </w:r>
    </w:p>
    <w:p>
      <w:pPr>
        <w:spacing w:line="276" w:lineRule="auto"/>
        <w:ind w:left="220" w:hanging="220" w:hangingChars="105"/>
        <w:rPr>
          <w:rFonts w:ascii="宋体" w:hAnsi="宋体"/>
          <w:color w:val="auto"/>
          <w:highlight w:val="none"/>
        </w:rPr>
      </w:pPr>
      <w:r>
        <w:rPr>
          <w:rFonts w:hint="eastAsia" w:ascii="宋体" w:hAnsi="宋体"/>
          <w:color w:val="auto"/>
          <w:highlight w:val="none"/>
        </w:rPr>
        <w:t>（2）根据采购人要求、帮助采购人解决实际应用问题，并负责解释造成这种问题的主要原因及如何避免此类问题的再次发生。中标供应商须提供专用的售后服务电话，责任工程师的手机、电子邮件地址等通讯方式，以确保7×24小时内随时可以联系到解决问题的责任人。</w:t>
      </w:r>
    </w:p>
    <w:p>
      <w:pPr>
        <w:spacing w:line="276" w:lineRule="auto"/>
        <w:ind w:left="220" w:hanging="220" w:hangingChars="105"/>
        <w:rPr>
          <w:rFonts w:ascii="宋体" w:hAnsi="宋体"/>
          <w:color w:val="auto"/>
          <w:highlight w:val="none"/>
        </w:rPr>
      </w:pPr>
      <w:r>
        <w:rPr>
          <w:rFonts w:hint="eastAsia" w:ascii="宋体" w:hAnsi="宋体"/>
          <w:color w:val="auto"/>
          <w:highlight w:val="none"/>
        </w:rPr>
        <w:t>（3）调试上线运行以后，要求免费提供专题技术培训，技术培训方案应包含培训人数、培训天数、培训次数、培训内容、培训目的等。</w:t>
      </w:r>
    </w:p>
    <w:p>
      <w:pPr>
        <w:spacing w:line="276" w:lineRule="auto"/>
        <w:ind w:left="220" w:hanging="220" w:hangingChars="105"/>
        <w:rPr>
          <w:rFonts w:ascii="宋体" w:hAnsi="宋体"/>
          <w:color w:val="auto"/>
          <w:highlight w:val="none"/>
        </w:rPr>
      </w:pPr>
    </w:p>
    <w:p>
      <w:pPr>
        <w:numPr>
          <w:ilvl w:val="0"/>
          <w:numId w:val="3"/>
        </w:numPr>
        <w:spacing w:before="120" w:beforeLines="50" w:after="120" w:afterLines="50" w:line="360" w:lineRule="exact"/>
        <w:ind w:left="253" w:hanging="253" w:hangingChars="105"/>
        <w:jc w:val="center"/>
        <w:outlineLvl w:val="1"/>
        <w:rPr>
          <w:rFonts w:ascii="Arial" w:hAnsi="Arial" w:cs="Arial"/>
          <w:b/>
          <w:bCs/>
          <w:color w:val="auto"/>
          <w:sz w:val="24"/>
          <w:highlight w:val="none"/>
        </w:rPr>
      </w:pPr>
      <w:bookmarkStart w:id="39" w:name="_Toc17136"/>
      <w:bookmarkStart w:id="40" w:name="_Toc10234"/>
      <w:bookmarkStart w:id="41" w:name="_Toc27053"/>
      <w:bookmarkStart w:id="42" w:name="_Toc459125032"/>
      <w:r>
        <w:rPr>
          <w:rFonts w:hint="eastAsia" w:ascii="Arial" w:hAnsi="Arial" w:cs="Arial"/>
          <w:b/>
          <w:bCs/>
          <w:color w:val="auto"/>
          <w:sz w:val="24"/>
          <w:highlight w:val="none"/>
        </w:rPr>
        <w:t>商务要求</w:t>
      </w:r>
      <w:bookmarkEnd w:id="39"/>
      <w:bookmarkEnd w:id="40"/>
      <w:bookmarkEnd w:id="41"/>
      <w:bookmarkEnd w:id="42"/>
    </w:p>
    <w:p>
      <w:pPr>
        <w:numPr>
          <w:ilvl w:val="1"/>
          <w:numId w:val="10"/>
        </w:numPr>
        <w:tabs>
          <w:tab w:val="clear" w:pos="680"/>
        </w:tabs>
        <w:spacing w:line="276" w:lineRule="auto"/>
        <w:ind w:left="220" w:hanging="220" w:hangingChars="105"/>
        <w:rPr>
          <w:rFonts w:ascii="Arial" w:hAnsi="Arial" w:cs="Arial"/>
          <w:color w:val="auto"/>
          <w:sz w:val="22"/>
          <w:szCs w:val="22"/>
          <w:highlight w:val="none"/>
        </w:rPr>
      </w:pPr>
      <w:r>
        <w:rPr>
          <w:rFonts w:hint="eastAsia"/>
          <w:color w:val="auto"/>
          <w:highlight w:val="none"/>
        </w:rPr>
        <w:t>投标</w:t>
      </w:r>
      <w:r>
        <w:rPr>
          <w:rFonts w:hint="eastAsia" w:ascii="Arial" w:hAnsi="宋体" w:cs="Arial"/>
          <w:color w:val="auto"/>
          <w:highlight w:val="none"/>
        </w:rPr>
        <w:t>总价应是完成采购文件所确定的采购范围内的全部工作内容的价格，</w:t>
      </w:r>
      <w:r>
        <w:rPr>
          <w:rFonts w:hint="eastAsia"/>
          <w:color w:val="auto"/>
          <w:highlight w:val="none"/>
        </w:rPr>
        <w:t>并承担一切风险责任。投标价格应该已经扣除所有商业折扣以及现金折扣。投标报价应</w:t>
      </w:r>
      <w:r>
        <w:rPr>
          <w:rFonts w:hint="eastAsia"/>
          <w:b/>
          <w:color w:val="auto"/>
          <w:highlight w:val="none"/>
        </w:rPr>
        <w:t>包括了货物及其附件的设计、采购、制造、检测、试验、运输、保险、安装调试、配合费、税费（含进口关税、增值税等）以及验收、技术服务（包括技术资料的提供）、质保期保障、</w:t>
      </w:r>
      <w:r>
        <w:rPr>
          <w:b/>
          <w:color w:val="auto"/>
          <w:highlight w:val="none"/>
        </w:rPr>
        <w:t>招标代理服务费</w:t>
      </w:r>
      <w:r>
        <w:rPr>
          <w:rFonts w:hint="eastAsia"/>
          <w:b/>
          <w:color w:val="auto"/>
          <w:highlight w:val="none"/>
        </w:rPr>
        <w:t>等完成合同所需的一切本身和不可或缺的所有工作开支、政策性文件规定等全部费用</w:t>
      </w:r>
      <w:r>
        <w:rPr>
          <w:rFonts w:ascii="Arial" w:hAnsi="Arial" w:cs="Arial"/>
          <w:color w:val="auto"/>
          <w:highlight w:val="none"/>
        </w:rPr>
        <w:t>。</w:t>
      </w:r>
      <w:r>
        <w:rPr>
          <w:rFonts w:hint="eastAsia" w:ascii="Arial" w:hAnsi="Arial" w:cs="Arial"/>
          <w:color w:val="auto"/>
          <w:highlight w:val="none"/>
        </w:rPr>
        <w:t>供应商</w:t>
      </w:r>
      <w:r>
        <w:rPr>
          <w:rFonts w:ascii="Arial" w:hAnsi="Arial" w:cs="Arial"/>
          <w:color w:val="auto"/>
          <w:highlight w:val="none"/>
        </w:rPr>
        <w:t>应根据上述因素自行考虑含入投标总价</w:t>
      </w:r>
      <w:r>
        <w:rPr>
          <w:rFonts w:ascii="Arial" w:hAnsi="Arial" w:cs="Arial"/>
          <w:color w:val="auto"/>
          <w:sz w:val="22"/>
          <w:szCs w:val="22"/>
          <w:highlight w:val="none"/>
        </w:rPr>
        <w:t>。</w:t>
      </w:r>
    </w:p>
    <w:p>
      <w:pPr>
        <w:pStyle w:val="3"/>
        <w:ind w:firstLine="210"/>
        <w:rPr>
          <w:color w:val="auto"/>
          <w:highlight w:val="none"/>
        </w:rPr>
      </w:pPr>
      <w:r>
        <w:rPr>
          <w:rFonts w:hint="eastAsia"/>
          <w:color w:val="auto"/>
          <w:highlight w:val="none"/>
        </w:rPr>
        <w:t>项目参与方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甲方的单价进行认价。</w:t>
      </w:r>
    </w:p>
    <w:p>
      <w:pPr>
        <w:numPr>
          <w:ilvl w:val="1"/>
          <w:numId w:val="10"/>
        </w:numPr>
        <w:tabs>
          <w:tab w:val="clear" w:pos="680"/>
        </w:tabs>
        <w:spacing w:line="276" w:lineRule="auto"/>
        <w:ind w:left="220" w:hanging="220" w:hangingChars="105"/>
        <w:rPr>
          <w:rFonts w:ascii="Arial" w:hAnsi="宋体" w:cs="Arial"/>
          <w:color w:val="auto"/>
          <w:highlight w:val="none"/>
        </w:rPr>
      </w:pPr>
      <w:r>
        <w:rPr>
          <w:rFonts w:hint="eastAsia" w:ascii="Arial" w:hAnsi="宋体" w:cs="Arial"/>
          <w:color w:val="auto"/>
          <w:highlight w:val="none"/>
        </w:rPr>
        <w:t>▲</w:t>
      </w:r>
      <w:r>
        <w:rPr>
          <w:rFonts w:hint="eastAsia"/>
          <w:color w:val="auto"/>
          <w:highlight w:val="none"/>
        </w:rPr>
        <w:t>工期</w:t>
      </w:r>
      <w:r>
        <w:rPr>
          <w:rFonts w:ascii="Arial" w:hAnsi="宋体" w:cs="Arial"/>
          <w:color w:val="auto"/>
          <w:highlight w:val="none"/>
        </w:rPr>
        <w:t>：</w:t>
      </w:r>
      <w:r>
        <w:rPr>
          <w:rFonts w:hint="eastAsia" w:ascii="Arial" w:hAnsi="宋体" w:cs="Arial"/>
          <w:color w:val="auto"/>
          <w:highlight w:val="none"/>
        </w:rPr>
        <w:t>合同签订后90日历天完工，试运行30日历天。</w:t>
      </w:r>
    </w:p>
    <w:p>
      <w:pPr>
        <w:numPr>
          <w:ilvl w:val="1"/>
          <w:numId w:val="10"/>
        </w:numPr>
        <w:tabs>
          <w:tab w:val="clear" w:pos="680"/>
        </w:tabs>
        <w:spacing w:line="276" w:lineRule="auto"/>
        <w:ind w:left="220" w:hanging="220" w:hangingChars="105"/>
        <w:rPr>
          <w:rFonts w:ascii="Arial" w:hAnsi="宋体" w:cs="Arial"/>
          <w:color w:val="auto"/>
          <w:highlight w:val="none"/>
        </w:rPr>
      </w:pPr>
      <w:r>
        <w:rPr>
          <w:rFonts w:ascii="Arial" w:hAnsi="宋体" w:cs="Arial"/>
          <w:color w:val="auto"/>
          <w:highlight w:val="none"/>
        </w:rPr>
        <w:t>安装交付使用地点：</w:t>
      </w:r>
      <w:r>
        <w:rPr>
          <w:rFonts w:hint="eastAsia" w:ascii="Arial" w:hAnsi="宋体" w:cs="Arial"/>
          <w:color w:val="auto"/>
          <w:highlight w:val="none"/>
        </w:rPr>
        <w:t>采购人</w:t>
      </w:r>
      <w:r>
        <w:rPr>
          <w:rFonts w:ascii="Arial" w:hAnsi="宋体" w:cs="Arial"/>
          <w:color w:val="auto"/>
          <w:highlight w:val="none"/>
        </w:rPr>
        <w:t>指定地点。</w:t>
      </w:r>
    </w:p>
    <w:p>
      <w:pPr>
        <w:numPr>
          <w:ilvl w:val="1"/>
          <w:numId w:val="10"/>
        </w:numPr>
        <w:tabs>
          <w:tab w:val="clear" w:pos="680"/>
        </w:tabs>
        <w:spacing w:line="276" w:lineRule="auto"/>
        <w:ind w:left="220" w:hanging="220" w:hangingChars="105"/>
        <w:rPr>
          <w:rFonts w:ascii="Arial" w:hAnsi="宋体" w:cs="Arial"/>
          <w:color w:val="auto"/>
          <w:highlight w:val="none"/>
        </w:rPr>
      </w:pPr>
      <w:r>
        <w:rPr>
          <w:rFonts w:hint="eastAsia" w:ascii="Arial" w:hAnsi="宋体" w:cs="Arial"/>
          <w:color w:val="auto"/>
          <w:highlight w:val="none"/>
        </w:rPr>
        <w:t>质保期：三年。</w:t>
      </w:r>
    </w:p>
    <w:p>
      <w:pPr>
        <w:numPr>
          <w:ilvl w:val="1"/>
          <w:numId w:val="10"/>
        </w:numPr>
        <w:tabs>
          <w:tab w:val="clear" w:pos="680"/>
        </w:tabs>
        <w:spacing w:line="276" w:lineRule="auto"/>
        <w:ind w:left="220" w:hanging="220" w:hangingChars="105"/>
        <w:rPr>
          <w:rFonts w:ascii="Arial" w:hAnsi="宋体" w:cs="Arial"/>
          <w:color w:val="auto"/>
          <w:highlight w:val="none"/>
        </w:rPr>
      </w:pPr>
      <w:r>
        <w:rPr>
          <w:rFonts w:hint="eastAsia" w:ascii="Arial" w:hAnsi="宋体" w:cs="Arial"/>
          <w:color w:val="auto"/>
          <w:highlight w:val="none"/>
        </w:rPr>
        <w:t>付款方式：</w:t>
      </w:r>
    </w:p>
    <w:p>
      <w:pPr>
        <w:snapToGrid w:val="0"/>
        <w:spacing w:line="360" w:lineRule="exact"/>
        <w:ind w:firstLine="210" w:firstLineChars="100"/>
        <w:rPr>
          <w:rFonts w:ascii="宋体" w:hAnsi="宋体"/>
          <w:color w:val="auto"/>
          <w:highlight w:val="none"/>
        </w:rPr>
      </w:pPr>
      <w:bookmarkStart w:id="43" w:name="_Toc9736"/>
      <w:bookmarkStart w:id="44" w:name="_Toc5371"/>
      <w:bookmarkStart w:id="45" w:name="_Toc14966"/>
      <w:bookmarkStart w:id="46" w:name="_Toc459125033"/>
      <w:r>
        <w:rPr>
          <w:rFonts w:hint="eastAsia" w:ascii="宋体" w:hAnsi="宋体"/>
          <w:color w:val="auto"/>
          <w:highlight w:val="none"/>
        </w:rPr>
        <w:t>1、合同签订后成交供应商应提供合同总金额</w:t>
      </w:r>
      <w:r>
        <w:rPr>
          <w:rFonts w:hint="eastAsia" w:ascii="宋体" w:hAnsi="宋体"/>
          <w:color w:val="auto"/>
          <w:highlight w:val="none"/>
          <w:lang w:val="en-US" w:eastAsia="zh-CN"/>
        </w:rPr>
        <w:t>1</w:t>
      </w:r>
      <w:r>
        <w:rPr>
          <w:rFonts w:hint="eastAsia" w:ascii="宋体" w:hAnsi="宋体"/>
          <w:color w:val="auto"/>
          <w:highlight w:val="none"/>
        </w:rPr>
        <w:t>%的履约保证金至采购人指定账户，项目验收结束后5个工作日内无息退还。</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2、</w:t>
      </w:r>
      <w:r>
        <w:rPr>
          <w:rFonts w:hint="eastAsia" w:ascii="新宋体" w:hAnsi="新宋体" w:eastAsia="新宋体" w:cs="新宋体"/>
          <w:color w:val="auto"/>
          <w:kern w:val="0"/>
          <w:sz w:val="22"/>
          <w:szCs w:val="22"/>
          <w:highlight w:val="none"/>
        </w:rPr>
        <w:t>合同签订生效以及具备实施条件后</w:t>
      </w:r>
      <w:r>
        <w:rPr>
          <w:rFonts w:hint="eastAsia" w:ascii="宋体" w:hAnsi="宋体"/>
          <w:color w:val="auto"/>
          <w:highlight w:val="none"/>
        </w:rPr>
        <w:t>，甲方按照财政审批流程上报，审批后支付合同金额的40%</w:t>
      </w:r>
      <w:r>
        <w:rPr>
          <w:rFonts w:hint="eastAsia" w:ascii="宋体" w:hAnsi="宋体"/>
          <w:color w:val="auto"/>
          <w:sz w:val="22"/>
          <w:szCs w:val="22"/>
          <w:highlight w:val="none"/>
        </w:rPr>
        <w:t>（具体预付约定落实需</w:t>
      </w:r>
      <w:r>
        <w:rPr>
          <w:rFonts w:hint="eastAsia" w:ascii="宋体" w:hAnsi="宋体"/>
          <w:color w:val="auto"/>
          <w:highlight w:val="none"/>
        </w:rPr>
        <w:t>以财政部门资金拨付情况前提</w:t>
      </w:r>
      <w:r>
        <w:rPr>
          <w:rFonts w:hint="eastAsia" w:ascii="宋体" w:hAnsi="宋体"/>
          <w:color w:val="auto"/>
          <w:sz w:val="22"/>
          <w:szCs w:val="22"/>
          <w:highlight w:val="none"/>
        </w:rPr>
        <w:t>）</w:t>
      </w:r>
      <w:r>
        <w:rPr>
          <w:rFonts w:hint="eastAsia" w:ascii="宋体" w:hAnsi="宋体"/>
          <w:color w:val="auto"/>
          <w:highlight w:val="none"/>
        </w:rPr>
        <w:t>；</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3、</w:t>
      </w:r>
      <w:r>
        <w:rPr>
          <w:rFonts w:hint="eastAsia" w:ascii="新宋体" w:hAnsi="新宋体" w:eastAsia="新宋体" w:cs="新宋体"/>
          <w:color w:val="auto"/>
          <w:kern w:val="0"/>
          <w:sz w:val="22"/>
          <w:szCs w:val="22"/>
          <w:highlight w:val="none"/>
        </w:rPr>
        <w:t>项目完成供货、安装、调试上线后</w:t>
      </w:r>
      <w:r>
        <w:rPr>
          <w:rFonts w:hint="eastAsia" w:ascii="宋体" w:hAnsi="宋体"/>
          <w:color w:val="auto"/>
          <w:highlight w:val="none"/>
        </w:rPr>
        <w:t>，甲方在15个工作日内甲方按照财政审批流程上报，审批后支付合同金额的30%（双方协商决定付款比例，具体每笔款项支付视财政部门资金拨付情况而定）；</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4、项目全部完成经甲方验收合格后，甲方在15个工作日内甲方按照财政审批流程上报，审批后支付乙方剩余款项；</w:t>
      </w:r>
    </w:p>
    <w:p>
      <w:pPr>
        <w:pStyle w:val="3"/>
        <w:spacing w:line="360" w:lineRule="auto"/>
        <w:ind w:firstLine="660" w:firstLineChars="300"/>
        <w:rPr>
          <w:rFonts w:ascii="宋体" w:hAnsi="宋体"/>
          <w:color w:val="auto"/>
          <w:sz w:val="22"/>
          <w:szCs w:val="22"/>
          <w:highlight w:val="none"/>
        </w:rPr>
      </w:pPr>
      <w:r>
        <w:rPr>
          <w:rFonts w:hint="eastAsia" w:ascii="宋体" w:hAnsi="宋体"/>
          <w:color w:val="auto"/>
          <w:sz w:val="22"/>
          <w:szCs w:val="22"/>
          <w:highlight w:val="none"/>
        </w:rPr>
        <w:t>注：1、根据《浙江省财政厅关于进一步发挥政府采购政策功能全力推动经济稳进提质的通知》（浙财采监[202</w:t>
      </w:r>
      <w:r>
        <w:rPr>
          <w:rFonts w:ascii="宋体" w:hAnsi="宋体"/>
          <w:color w:val="auto"/>
          <w:sz w:val="22"/>
          <w:szCs w:val="22"/>
          <w:highlight w:val="none"/>
        </w:rPr>
        <w:t>2</w:t>
      </w:r>
      <w:r>
        <w:rPr>
          <w:rFonts w:hint="eastAsia" w:ascii="宋体" w:hAnsi="宋体"/>
          <w:color w:val="auto"/>
          <w:sz w:val="22"/>
          <w:szCs w:val="22"/>
          <w:highlight w:val="none"/>
        </w:rPr>
        <w:t>]3号）的规定，双方协商决定付款比例，具体每笔款项支付视财政部门资金拨付情况而定。</w:t>
      </w:r>
    </w:p>
    <w:p>
      <w:pPr>
        <w:spacing w:before="120" w:beforeLines="50" w:after="120" w:afterLines="50" w:line="360" w:lineRule="exact"/>
        <w:ind w:left="-220" w:leftChars="-105"/>
        <w:outlineLvl w:val="1"/>
        <w:rPr>
          <w:rFonts w:ascii="宋体" w:hAnsi="宋体"/>
          <w:b/>
          <w:color w:val="auto"/>
          <w:sz w:val="24"/>
          <w:szCs w:val="22"/>
          <w:highlight w:val="none"/>
        </w:rPr>
      </w:pPr>
    </w:p>
    <w:p>
      <w:pPr>
        <w:numPr>
          <w:ilvl w:val="0"/>
          <w:numId w:val="3"/>
        </w:numPr>
        <w:spacing w:before="120" w:beforeLines="50" w:after="120" w:afterLines="50" w:line="360" w:lineRule="exact"/>
        <w:ind w:left="253" w:hanging="253" w:hangingChars="105"/>
        <w:jc w:val="center"/>
        <w:outlineLvl w:val="1"/>
        <w:rPr>
          <w:rFonts w:ascii="宋体" w:hAnsi="宋体"/>
          <w:b/>
          <w:color w:val="auto"/>
          <w:sz w:val="24"/>
          <w:szCs w:val="22"/>
          <w:highlight w:val="none"/>
        </w:rPr>
      </w:pPr>
      <w:r>
        <w:rPr>
          <w:rFonts w:hint="eastAsia" w:ascii="宋体" w:hAnsi="宋体"/>
          <w:b/>
          <w:bCs/>
          <w:color w:val="auto"/>
          <w:sz w:val="24"/>
          <w:szCs w:val="24"/>
          <w:highlight w:val="none"/>
        </w:rPr>
        <w:t>设备交货同时提供下列资料</w:t>
      </w:r>
      <w:bookmarkEnd w:id="43"/>
      <w:bookmarkEnd w:id="44"/>
      <w:bookmarkEnd w:id="45"/>
      <w:bookmarkEnd w:id="46"/>
    </w:p>
    <w:p>
      <w:pPr>
        <w:numPr>
          <w:ilvl w:val="1"/>
          <w:numId w:val="11"/>
        </w:numPr>
        <w:tabs>
          <w:tab w:val="clear" w:pos="680"/>
        </w:tabs>
        <w:spacing w:line="276" w:lineRule="auto"/>
        <w:ind w:left="220" w:hanging="220" w:hangingChars="105"/>
        <w:rPr>
          <w:rFonts w:ascii="宋体" w:hAnsi="宋体"/>
          <w:color w:val="auto"/>
          <w:highlight w:val="none"/>
        </w:rPr>
      </w:pPr>
      <w:r>
        <w:rPr>
          <w:rFonts w:hint="eastAsia" w:ascii="宋体" w:hAnsi="宋体"/>
          <w:color w:val="auto"/>
          <w:highlight w:val="none"/>
        </w:rPr>
        <w:t>设</w:t>
      </w:r>
      <w:r>
        <w:rPr>
          <w:rFonts w:hint="eastAsia" w:ascii="Arial" w:hAnsi="宋体" w:cs="Arial"/>
          <w:color w:val="auto"/>
          <w:highlight w:val="none"/>
        </w:rPr>
        <w:t>备交货</w:t>
      </w:r>
      <w:r>
        <w:rPr>
          <w:rFonts w:hint="eastAsia" w:ascii="宋体" w:hAnsi="宋体"/>
          <w:color w:val="auto"/>
          <w:highlight w:val="none"/>
        </w:rPr>
        <w:t>同时提供下列资料：</w:t>
      </w:r>
    </w:p>
    <w:p>
      <w:pPr>
        <w:numPr>
          <w:ilvl w:val="0"/>
          <w:numId w:val="12"/>
        </w:numPr>
        <w:tabs>
          <w:tab w:val="clear" w:pos="1200"/>
        </w:tabs>
        <w:spacing w:line="360" w:lineRule="auto"/>
        <w:ind w:left="220" w:hanging="220" w:hangingChars="105"/>
        <w:rPr>
          <w:color w:val="auto"/>
          <w:highlight w:val="none"/>
        </w:rPr>
      </w:pPr>
      <w:r>
        <w:rPr>
          <w:rFonts w:hint="eastAsia"/>
          <w:color w:val="auto"/>
          <w:highlight w:val="none"/>
        </w:rPr>
        <w:t>设备相关图纸，安装说明。</w:t>
      </w:r>
    </w:p>
    <w:p>
      <w:pPr>
        <w:numPr>
          <w:ilvl w:val="0"/>
          <w:numId w:val="12"/>
        </w:numPr>
        <w:tabs>
          <w:tab w:val="clear" w:pos="1200"/>
        </w:tabs>
        <w:spacing w:line="360" w:lineRule="auto"/>
        <w:ind w:left="220" w:hanging="220" w:hangingChars="105"/>
        <w:rPr>
          <w:color w:val="auto"/>
          <w:highlight w:val="none"/>
        </w:rPr>
      </w:pPr>
      <w:r>
        <w:rPr>
          <w:rFonts w:hint="eastAsia"/>
          <w:color w:val="auto"/>
          <w:highlight w:val="none"/>
        </w:rPr>
        <w:t>随机的易损件、备品备件及特殊专用工具清单。</w:t>
      </w:r>
    </w:p>
    <w:p>
      <w:pPr>
        <w:numPr>
          <w:ilvl w:val="0"/>
          <w:numId w:val="12"/>
        </w:numPr>
        <w:tabs>
          <w:tab w:val="clear" w:pos="1200"/>
        </w:tabs>
        <w:spacing w:line="360" w:lineRule="auto"/>
        <w:ind w:left="220" w:hanging="220" w:hangingChars="105"/>
        <w:rPr>
          <w:color w:val="auto"/>
          <w:highlight w:val="none"/>
        </w:rPr>
      </w:pPr>
      <w:r>
        <w:rPr>
          <w:rFonts w:hint="eastAsia"/>
          <w:color w:val="auto"/>
          <w:highlight w:val="none"/>
        </w:rPr>
        <w:t>设备生产厂家的产品检测证书、出厂检验报告、合格证书、产品说明书、中文技术资料、中文操作手册和相关图纸等。</w:t>
      </w:r>
    </w:p>
    <w:p>
      <w:pPr>
        <w:numPr>
          <w:ilvl w:val="0"/>
          <w:numId w:val="12"/>
        </w:numPr>
        <w:tabs>
          <w:tab w:val="clear" w:pos="1200"/>
        </w:tabs>
        <w:spacing w:line="360" w:lineRule="auto"/>
        <w:ind w:left="220" w:hanging="220" w:hangingChars="105"/>
        <w:rPr>
          <w:color w:val="auto"/>
          <w:highlight w:val="none"/>
        </w:rPr>
      </w:pPr>
      <w:r>
        <w:rPr>
          <w:rFonts w:hint="eastAsia"/>
          <w:color w:val="auto"/>
          <w:highlight w:val="none"/>
        </w:rPr>
        <w:t>设备随机提供的装箱清单（每箱一单）。</w:t>
      </w:r>
    </w:p>
    <w:p>
      <w:pPr>
        <w:numPr>
          <w:ilvl w:val="1"/>
          <w:numId w:val="11"/>
        </w:numPr>
        <w:tabs>
          <w:tab w:val="clear" w:pos="680"/>
        </w:tabs>
        <w:spacing w:line="276" w:lineRule="auto"/>
        <w:ind w:left="220" w:hanging="220" w:hangingChars="105"/>
        <w:rPr>
          <w:color w:val="auto"/>
          <w:highlight w:val="none"/>
        </w:rPr>
      </w:pPr>
      <w:r>
        <w:rPr>
          <w:rFonts w:hint="eastAsia" w:ascii="Arial" w:hAnsi="宋体" w:cs="Arial"/>
          <w:color w:val="auto"/>
          <w:highlight w:val="none"/>
        </w:rPr>
        <w:t>报价</w:t>
      </w:r>
      <w:r>
        <w:rPr>
          <w:rFonts w:hint="eastAsia"/>
          <w:color w:val="auto"/>
          <w:highlight w:val="none"/>
        </w:rPr>
        <w:t>货物如为进口的，在交货时须提供海关商检等部门的相关证明。</w:t>
      </w:r>
    </w:p>
    <w:p>
      <w:pPr>
        <w:numPr>
          <w:ilvl w:val="0"/>
          <w:numId w:val="3"/>
        </w:numPr>
        <w:spacing w:before="120" w:beforeLines="50" w:after="120" w:afterLines="50" w:line="360" w:lineRule="exact"/>
        <w:ind w:left="253" w:hanging="253" w:hangingChars="105"/>
        <w:jc w:val="center"/>
        <w:outlineLvl w:val="1"/>
        <w:rPr>
          <w:rFonts w:ascii="宋体" w:hAnsi="宋体"/>
          <w:b/>
          <w:bCs/>
          <w:color w:val="auto"/>
          <w:sz w:val="24"/>
          <w:szCs w:val="24"/>
          <w:highlight w:val="none"/>
        </w:rPr>
      </w:pPr>
      <w:bookmarkStart w:id="47" w:name="_Toc11718"/>
      <w:bookmarkStart w:id="48" w:name="_Toc459125034"/>
      <w:bookmarkStart w:id="49" w:name="_Toc15540"/>
      <w:bookmarkStart w:id="50" w:name="_Toc87"/>
      <w:r>
        <w:rPr>
          <w:rFonts w:hint="eastAsia" w:ascii="宋体" w:hAnsi="宋体"/>
          <w:b/>
          <w:bCs/>
          <w:color w:val="auto"/>
          <w:sz w:val="24"/>
          <w:szCs w:val="24"/>
          <w:highlight w:val="none"/>
        </w:rPr>
        <w:t>设备质量保证和标准</w:t>
      </w:r>
      <w:bookmarkEnd w:id="47"/>
      <w:bookmarkEnd w:id="48"/>
      <w:bookmarkEnd w:id="49"/>
      <w:bookmarkEnd w:id="50"/>
    </w:p>
    <w:p>
      <w:pPr>
        <w:numPr>
          <w:ilvl w:val="1"/>
          <w:numId w:val="13"/>
        </w:numPr>
        <w:tabs>
          <w:tab w:val="clear" w:pos="680"/>
        </w:tabs>
        <w:spacing w:line="276" w:lineRule="auto"/>
        <w:ind w:left="220" w:hanging="220" w:hangingChars="105"/>
        <w:rPr>
          <w:color w:val="auto"/>
          <w:highlight w:val="none"/>
        </w:rPr>
      </w:pPr>
      <w:r>
        <w:rPr>
          <w:rFonts w:hint="eastAsia"/>
          <w:color w:val="auto"/>
          <w:highlight w:val="none"/>
        </w:rPr>
        <w:t>本项目设备应提供自验收合格并交付使用后至少三</w:t>
      </w:r>
      <w:r>
        <w:rPr>
          <w:color w:val="auto"/>
          <w:highlight w:val="none"/>
        </w:rPr>
        <w:t>年（</w:t>
      </w:r>
      <w:r>
        <w:rPr>
          <w:rFonts w:hint="eastAsia"/>
          <w:color w:val="auto"/>
          <w:highlight w:val="none"/>
        </w:rPr>
        <w:t>36个月</w:t>
      </w:r>
      <w:r>
        <w:rPr>
          <w:color w:val="auto"/>
          <w:highlight w:val="none"/>
        </w:rPr>
        <w:t>）</w:t>
      </w:r>
      <w:r>
        <w:rPr>
          <w:rFonts w:hint="eastAsia"/>
          <w:color w:val="auto"/>
          <w:highlight w:val="none"/>
        </w:rPr>
        <w:t>的</w:t>
      </w:r>
      <w:r>
        <w:rPr>
          <w:color w:val="auto"/>
          <w:highlight w:val="none"/>
        </w:rPr>
        <w:t>现场免费质保期</w:t>
      </w:r>
      <w:r>
        <w:rPr>
          <w:rFonts w:hint="eastAsia"/>
          <w:color w:val="auto"/>
          <w:highlight w:val="none"/>
        </w:rPr>
        <w:t>，供应商本身承诺的产品质保期高于标书要求的则按照供应商承诺执行。质量保证期内因产品本身缺陷（非人为因素）造成各种故障应由供应商免费技术服务和维修。同时</w:t>
      </w:r>
      <w:r>
        <w:rPr>
          <w:color w:val="auto"/>
          <w:highlight w:val="none"/>
        </w:rPr>
        <w:t>，供应商应提供所有产品的终身有偿售后服务。</w:t>
      </w:r>
    </w:p>
    <w:p>
      <w:pPr>
        <w:numPr>
          <w:ilvl w:val="1"/>
          <w:numId w:val="13"/>
        </w:numPr>
        <w:tabs>
          <w:tab w:val="clear" w:pos="680"/>
        </w:tabs>
        <w:spacing w:line="276" w:lineRule="auto"/>
        <w:ind w:left="220" w:hanging="220" w:hangingChars="105"/>
        <w:rPr>
          <w:rFonts w:ascii="Arial" w:hAnsi="宋体" w:cs="Arial"/>
          <w:color w:val="auto"/>
          <w:highlight w:val="none"/>
        </w:rPr>
      </w:pPr>
      <w:r>
        <w:rPr>
          <w:rFonts w:hint="eastAsia"/>
          <w:color w:val="auto"/>
          <w:highlight w:val="none"/>
        </w:rPr>
        <w:t>产品的</w:t>
      </w:r>
      <w:r>
        <w:rPr>
          <w:rFonts w:hint="eastAsia" w:ascii="Arial" w:hAnsi="宋体" w:cs="Arial"/>
          <w:color w:val="auto"/>
          <w:highlight w:val="none"/>
        </w:rPr>
        <w:t>设计及制造质量均应符合国家（或国际）最新颁布的有关标准/规范要求。</w:t>
      </w:r>
    </w:p>
    <w:p>
      <w:pPr>
        <w:numPr>
          <w:ilvl w:val="1"/>
          <w:numId w:val="13"/>
        </w:numPr>
        <w:tabs>
          <w:tab w:val="clear" w:pos="680"/>
        </w:tabs>
        <w:spacing w:line="276" w:lineRule="auto"/>
        <w:ind w:left="220" w:hanging="220" w:hangingChars="105"/>
        <w:rPr>
          <w:rFonts w:ascii="Arial" w:hAnsi="宋体" w:cs="Arial"/>
          <w:color w:val="auto"/>
          <w:highlight w:val="none"/>
        </w:rPr>
      </w:pPr>
      <w:r>
        <w:rPr>
          <w:rFonts w:hint="eastAsia" w:ascii="Arial" w:hAnsi="宋体" w:cs="Arial"/>
          <w:color w:val="auto"/>
          <w:highlight w:val="none"/>
        </w:rPr>
        <w:t>技术标准按国家最新颁布的标准及采购人认可的国际标准。</w:t>
      </w:r>
    </w:p>
    <w:p>
      <w:pPr>
        <w:numPr>
          <w:ilvl w:val="1"/>
          <w:numId w:val="13"/>
        </w:numPr>
        <w:tabs>
          <w:tab w:val="clear" w:pos="680"/>
        </w:tabs>
        <w:spacing w:line="276" w:lineRule="auto"/>
        <w:ind w:left="220" w:hanging="220" w:hangingChars="105"/>
        <w:rPr>
          <w:rFonts w:ascii="Arial" w:hAnsi="宋体" w:cs="Arial"/>
          <w:color w:val="auto"/>
          <w:highlight w:val="none"/>
        </w:rPr>
      </w:pPr>
      <w:r>
        <w:rPr>
          <w:rFonts w:hint="eastAsia" w:ascii="Arial" w:hAnsi="宋体" w:cs="Arial"/>
          <w:color w:val="auto"/>
          <w:highlight w:val="none"/>
        </w:rPr>
        <w:t>凡需国家强制性认证或认可的产品、需提供相应的证书和认可的标志。</w:t>
      </w:r>
    </w:p>
    <w:p>
      <w:pPr>
        <w:numPr>
          <w:ilvl w:val="1"/>
          <w:numId w:val="13"/>
        </w:numPr>
        <w:tabs>
          <w:tab w:val="clear" w:pos="680"/>
        </w:tabs>
        <w:spacing w:line="276" w:lineRule="auto"/>
        <w:ind w:left="220" w:hanging="220" w:hangingChars="105"/>
        <w:rPr>
          <w:color w:val="auto"/>
          <w:highlight w:val="none"/>
        </w:rPr>
      </w:pPr>
      <w:r>
        <w:rPr>
          <w:rFonts w:hint="eastAsia" w:ascii="Arial" w:hAnsi="宋体" w:cs="Arial"/>
          <w:color w:val="auto"/>
          <w:highlight w:val="none"/>
        </w:rPr>
        <w:t>中标供应商所提供的设备在质保期内应建立互信机制，明确维修保养日期，定期上门例行检查和</w:t>
      </w:r>
      <w:r>
        <w:rPr>
          <w:rFonts w:hint="eastAsia"/>
          <w:color w:val="auto"/>
          <w:highlight w:val="none"/>
        </w:rPr>
        <w:t>回访，质量保证期内至少每半年免费对设备进行一次检查、调试。并建立相关档案，在投标文件中明确检查和回访具体措施。</w:t>
      </w:r>
      <w:r>
        <w:rPr>
          <w:color w:val="auto"/>
          <w:highlight w:val="none"/>
        </w:rPr>
        <w:t>保修期满后，</w:t>
      </w:r>
      <w:r>
        <w:rPr>
          <w:rFonts w:hint="eastAsia"/>
          <w:color w:val="auto"/>
          <w:highlight w:val="none"/>
        </w:rPr>
        <w:t>中标供应商应与用户建立长期的维修、维护合作关系，提供终身优质服务，</w:t>
      </w:r>
      <w:r>
        <w:rPr>
          <w:color w:val="auto"/>
          <w:highlight w:val="none"/>
        </w:rPr>
        <w:t>并在更换配件上给予优惠</w:t>
      </w:r>
      <w:r>
        <w:rPr>
          <w:rFonts w:hint="eastAsia"/>
          <w:color w:val="auto"/>
          <w:highlight w:val="none"/>
        </w:rPr>
        <w:t>，同时在投标文件中做出承诺。</w:t>
      </w:r>
    </w:p>
    <w:p>
      <w:pPr>
        <w:ind w:left="220" w:hanging="220" w:hangingChars="105"/>
        <w:rPr>
          <w:color w:val="auto"/>
          <w:highlight w:val="none"/>
        </w:rPr>
      </w:pPr>
      <w:r>
        <w:rPr>
          <w:rFonts w:hint="eastAsia"/>
          <w:color w:val="auto"/>
          <w:highlight w:val="none"/>
        </w:rPr>
        <w:t>中标供应商提供的设备，必须符合招标文件及其投标文件规定的要求，如有不符，采购人可以无条件退货，造成的损失由中标供应商承担。</w:t>
      </w:r>
    </w:p>
    <w:p>
      <w:pPr>
        <w:numPr>
          <w:ilvl w:val="0"/>
          <w:numId w:val="3"/>
        </w:numPr>
        <w:spacing w:before="120" w:beforeLines="50" w:after="120" w:afterLines="50" w:line="360" w:lineRule="exact"/>
        <w:ind w:left="253" w:hanging="253" w:hangingChars="105"/>
        <w:jc w:val="center"/>
        <w:outlineLvl w:val="1"/>
        <w:rPr>
          <w:rFonts w:ascii="宋体" w:hAnsi="宋体"/>
          <w:b/>
          <w:bCs/>
          <w:color w:val="auto"/>
          <w:sz w:val="24"/>
          <w:szCs w:val="24"/>
          <w:highlight w:val="none"/>
        </w:rPr>
      </w:pPr>
      <w:bookmarkStart w:id="51" w:name="_Toc459125035"/>
      <w:bookmarkStart w:id="52" w:name="_Toc30041"/>
      <w:bookmarkStart w:id="53" w:name="_Toc29788"/>
      <w:bookmarkStart w:id="54" w:name="_Toc14380"/>
      <w:r>
        <w:rPr>
          <w:rFonts w:hint="eastAsia" w:ascii="宋体" w:hAnsi="宋体"/>
          <w:b/>
          <w:bCs/>
          <w:color w:val="auto"/>
          <w:sz w:val="24"/>
          <w:szCs w:val="24"/>
          <w:highlight w:val="none"/>
        </w:rPr>
        <w:t>备件和工具</w:t>
      </w:r>
      <w:bookmarkEnd w:id="51"/>
      <w:bookmarkEnd w:id="52"/>
      <w:bookmarkEnd w:id="53"/>
      <w:bookmarkEnd w:id="54"/>
    </w:p>
    <w:p>
      <w:pPr>
        <w:numPr>
          <w:ilvl w:val="1"/>
          <w:numId w:val="14"/>
        </w:numPr>
        <w:tabs>
          <w:tab w:val="clear" w:pos="680"/>
        </w:tabs>
        <w:spacing w:line="276" w:lineRule="auto"/>
        <w:ind w:left="220" w:hanging="220" w:hangingChars="105"/>
        <w:rPr>
          <w:rFonts w:ascii="Arial" w:hAnsi="Arial" w:eastAsia="新宋体" w:cs="Arial"/>
          <w:color w:val="auto"/>
          <w:sz w:val="22"/>
          <w:szCs w:val="22"/>
          <w:highlight w:val="none"/>
        </w:rPr>
      </w:pPr>
      <w:r>
        <w:rPr>
          <w:rFonts w:hint="eastAsia" w:ascii="Arial" w:hAnsi="宋体" w:cs="Arial"/>
          <w:color w:val="auto"/>
          <w:highlight w:val="none"/>
        </w:rPr>
        <w:t>备件</w:t>
      </w:r>
    </w:p>
    <w:p>
      <w:pPr>
        <w:spacing w:line="380" w:lineRule="exact"/>
        <w:ind w:left="220" w:hanging="220" w:hangingChars="105"/>
        <w:rPr>
          <w:rFonts w:ascii="Arial" w:hAnsi="Arial" w:eastAsia="新宋体" w:cs="Arial"/>
          <w:color w:val="auto"/>
          <w:sz w:val="22"/>
          <w:szCs w:val="22"/>
          <w:highlight w:val="none"/>
        </w:rPr>
      </w:pPr>
      <w:r>
        <w:rPr>
          <w:rFonts w:hint="eastAsia" w:ascii="Arial" w:hAnsi="Arial" w:cs="Arial"/>
          <w:color w:val="auto"/>
          <w:highlight w:val="none"/>
        </w:rPr>
        <w:t>供应商</w:t>
      </w:r>
      <w:r>
        <w:rPr>
          <w:rFonts w:ascii="Arial" w:hAnsi="Arial" w:cs="Arial"/>
          <w:color w:val="auto"/>
          <w:highlight w:val="none"/>
        </w:rPr>
        <w:t>在提供设备的同时须提供足够的备件，并保证是原厂生产的产品，以满足设备正常运行</w:t>
      </w:r>
      <w:r>
        <w:rPr>
          <w:rFonts w:hint="eastAsia" w:ascii="Arial" w:hAnsi="Arial" w:cs="Arial"/>
          <w:color w:val="auto"/>
          <w:highlight w:val="none"/>
        </w:rPr>
        <w:t>保质期</w:t>
      </w:r>
      <w:r>
        <w:rPr>
          <w:rFonts w:ascii="Arial" w:hAnsi="Arial" w:cs="Arial"/>
          <w:color w:val="auto"/>
          <w:highlight w:val="none"/>
        </w:rPr>
        <w:t>的需要，</w:t>
      </w:r>
      <w:r>
        <w:rPr>
          <w:rFonts w:hint="eastAsia" w:ascii="Arial" w:hAnsi="Arial" w:cs="Arial"/>
          <w:color w:val="auto"/>
          <w:highlight w:val="none"/>
        </w:rPr>
        <w:t>供应商应在投标文件中提供按产品出厂标准供应的保证设备质保期满后连续正常运行3年所需各种机械、电气的备品备件（随机备件）的清单，该清单内容包括上述所有零部件的名称、型号、数量、单价、制造生产厂名称。该价格包括在投标总价格中。</w:t>
      </w:r>
    </w:p>
    <w:p>
      <w:pPr>
        <w:numPr>
          <w:ilvl w:val="1"/>
          <w:numId w:val="14"/>
        </w:numPr>
        <w:tabs>
          <w:tab w:val="clear" w:pos="680"/>
        </w:tabs>
        <w:spacing w:line="276" w:lineRule="auto"/>
        <w:ind w:left="231" w:hanging="231" w:hangingChars="105"/>
        <w:rPr>
          <w:rFonts w:ascii="Arial" w:hAnsi="Arial" w:eastAsia="新宋体" w:cs="Arial"/>
          <w:color w:val="auto"/>
          <w:sz w:val="22"/>
          <w:szCs w:val="22"/>
          <w:highlight w:val="none"/>
        </w:rPr>
      </w:pPr>
      <w:r>
        <w:rPr>
          <w:rFonts w:ascii="Arial" w:hAnsi="Arial" w:eastAsia="新宋体" w:cs="Arial"/>
          <w:color w:val="auto"/>
          <w:sz w:val="22"/>
          <w:szCs w:val="22"/>
          <w:highlight w:val="none"/>
        </w:rPr>
        <w:t>维修</w:t>
      </w:r>
      <w:r>
        <w:rPr>
          <w:rFonts w:hint="eastAsia" w:ascii="Arial" w:hAnsi="宋体" w:cs="Arial"/>
          <w:color w:val="auto"/>
          <w:highlight w:val="none"/>
        </w:rPr>
        <w:t>设备</w:t>
      </w:r>
      <w:r>
        <w:rPr>
          <w:rFonts w:ascii="Arial" w:hAnsi="Arial" w:eastAsia="新宋体" w:cs="Arial"/>
          <w:color w:val="auto"/>
          <w:sz w:val="22"/>
          <w:szCs w:val="22"/>
          <w:highlight w:val="none"/>
        </w:rPr>
        <w:t>及工具</w:t>
      </w:r>
    </w:p>
    <w:p>
      <w:pPr>
        <w:spacing w:line="276" w:lineRule="auto"/>
        <w:ind w:left="220" w:hanging="220" w:hangingChars="105"/>
        <w:rPr>
          <w:rFonts w:ascii="Arial" w:hAnsi="Arial" w:cs="Arial"/>
          <w:color w:val="auto"/>
          <w:highlight w:val="none"/>
        </w:rPr>
      </w:pPr>
      <w:r>
        <w:rPr>
          <w:rFonts w:hint="eastAsia" w:ascii="Arial" w:hAnsi="Arial" w:cs="Arial"/>
          <w:color w:val="auto"/>
          <w:highlight w:val="none"/>
        </w:rPr>
        <w:t>供应商</w:t>
      </w:r>
      <w:r>
        <w:rPr>
          <w:rFonts w:ascii="Arial" w:hAnsi="Arial" w:cs="Arial"/>
          <w:color w:val="auto"/>
          <w:highlight w:val="none"/>
        </w:rPr>
        <w:t>须提供常用的维修设备和工具，并保证足够满足日常检修的需要，这些设备及工具不能在安装时使用。</w:t>
      </w:r>
      <w:r>
        <w:rPr>
          <w:rFonts w:hint="eastAsia" w:ascii="Arial" w:hAnsi="Arial" w:cs="Arial"/>
          <w:color w:val="auto"/>
          <w:highlight w:val="none"/>
        </w:rPr>
        <w:t>供应商须提供设备调试、维修、保养所需专用检测设备1套(包括必需的附件、中文操作手册)和专用工具2套（不得用于指导安装和调试），在投标时列出清单和详细报价，该价格计入投标总价。</w:t>
      </w:r>
    </w:p>
    <w:p>
      <w:pPr>
        <w:spacing w:line="276" w:lineRule="auto"/>
        <w:ind w:left="220" w:hanging="220" w:hangingChars="105"/>
        <w:rPr>
          <w:rFonts w:ascii="Arial" w:hAnsi="Arial" w:cs="Arial"/>
          <w:color w:val="auto"/>
          <w:highlight w:val="none"/>
        </w:rPr>
      </w:pPr>
      <w:r>
        <w:rPr>
          <w:rFonts w:hint="eastAsia" w:ascii="Arial" w:hAnsi="Arial" w:cs="Arial"/>
          <w:color w:val="auto"/>
          <w:highlight w:val="none"/>
        </w:rPr>
        <w:t>供应商须列出投标设备所有维修用零部件的名称、型号、数量、价格及供货厂家名称。此报价单独列出，不含在投标总价中。</w:t>
      </w:r>
    </w:p>
    <w:p>
      <w:pPr>
        <w:spacing w:line="380" w:lineRule="exact"/>
        <w:ind w:left="220" w:hanging="220" w:hangingChars="105"/>
        <w:rPr>
          <w:rFonts w:ascii="Arial" w:hAnsi="Arial" w:cs="Arial"/>
          <w:color w:val="auto"/>
          <w:highlight w:val="none"/>
        </w:rPr>
      </w:pPr>
      <w:r>
        <w:rPr>
          <w:rFonts w:hint="eastAsia" w:ascii="Arial" w:hAnsi="Arial" w:cs="Arial"/>
          <w:color w:val="auto"/>
          <w:highlight w:val="none"/>
        </w:rPr>
        <w:t>在备件停止生产的情况下，中标供应商应于半年前将要停止生产的计划通知采购人，使采购人有足够的时间招标所需的备件；在备件停止生产后，如果采购人要求，中标供应商应免费向采购人提供备件的蓝图。</w:t>
      </w:r>
    </w:p>
    <w:p>
      <w:pPr>
        <w:spacing w:line="360" w:lineRule="auto"/>
        <w:ind w:left="220" w:hanging="220" w:hangingChars="105"/>
        <w:rPr>
          <w:rFonts w:ascii="宋体" w:hAnsi="宋体" w:cs="宋体"/>
          <w:b/>
          <w:bCs/>
          <w:color w:val="auto"/>
          <w:sz w:val="22"/>
          <w:szCs w:val="22"/>
          <w:highlight w:val="none"/>
        </w:rPr>
      </w:pPr>
      <w:r>
        <w:rPr>
          <w:rFonts w:hint="eastAsia" w:ascii="Arial" w:hAnsi="Arial" w:cs="Arial"/>
          <w:color w:val="auto"/>
          <w:highlight w:val="none"/>
        </w:rPr>
        <w:t>在</w:t>
      </w:r>
      <w:r>
        <w:rPr>
          <w:rFonts w:hint="eastAsia" w:ascii="Arial" w:hAnsi="宋体" w:cs="Arial"/>
          <w:color w:val="auto"/>
          <w:highlight w:val="none"/>
        </w:rPr>
        <w:t>设备</w:t>
      </w:r>
      <w:r>
        <w:rPr>
          <w:rFonts w:hint="eastAsia" w:ascii="Arial" w:hAnsi="Arial" w:cs="Arial"/>
          <w:color w:val="auto"/>
          <w:highlight w:val="none"/>
        </w:rPr>
        <w:t>质保期内，由于设备质量因素或其它非采购人人为原因而造成的损坏，均由中标供应商负责免费维修和更换备件。</w:t>
      </w:r>
    </w:p>
    <w:p>
      <w:pPr>
        <w:spacing w:line="360" w:lineRule="auto"/>
        <w:ind w:firstLine="440" w:firstLineChars="200"/>
        <w:jc w:val="left"/>
        <w:rPr>
          <w:rFonts w:ascii="宋体" w:hAnsi="宋体" w:cs="宋体"/>
          <w:color w:val="auto"/>
          <w:sz w:val="22"/>
          <w:szCs w:val="22"/>
          <w:highlight w:val="none"/>
        </w:rPr>
      </w:pPr>
      <w:bookmarkStart w:id="55" w:name="_Toc73091435"/>
      <w:r>
        <w:rPr>
          <w:rFonts w:hint="eastAsia" w:ascii="宋体" w:hAnsi="宋体" w:cs="宋体"/>
          <w:color w:val="auto"/>
          <w:sz w:val="22"/>
          <w:szCs w:val="22"/>
          <w:highlight w:val="none"/>
        </w:rPr>
        <w:br w:type="page"/>
      </w:r>
    </w:p>
    <w:p>
      <w:pPr>
        <w:pStyle w:val="25"/>
        <w:rPr>
          <w:rFonts w:ascii="宋体" w:hAnsi="宋体" w:cs="宋体"/>
          <w:color w:val="auto"/>
          <w:sz w:val="30"/>
          <w:szCs w:val="30"/>
          <w:highlight w:val="none"/>
        </w:rPr>
      </w:pPr>
      <w:r>
        <w:rPr>
          <w:rFonts w:hint="eastAsia" w:ascii="宋体" w:hAnsi="宋体" w:cs="宋体"/>
          <w:color w:val="auto"/>
          <w:sz w:val="30"/>
          <w:szCs w:val="30"/>
          <w:highlight w:val="none"/>
        </w:rPr>
        <w:t>第三部分 供应商须知</w:t>
      </w:r>
      <w:bookmarkEnd w:id="15"/>
      <w:bookmarkEnd w:id="16"/>
      <w:bookmarkEnd w:id="55"/>
    </w:p>
    <w:p>
      <w:pPr>
        <w:widowControl/>
        <w:autoSpaceDE w:val="0"/>
        <w:autoSpaceDN w:val="0"/>
        <w:adjustRightInd w:val="0"/>
        <w:spacing w:line="460" w:lineRule="atLeast"/>
        <w:textAlignment w:val="bottom"/>
        <w:rPr>
          <w:rFonts w:ascii="宋体" w:hAnsi="宋体" w:cs="宋体"/>
          <w:b/>
          <w:bCs/>
          <w:color w:val="auto"/>
          <w:sz w:val="22"/>
          <w:szCs w:val="22"/>
          <w:highlight w:val="none"/>
        </w:rPr>
      </w:pPr>
      <w:bookmarkStart w:id="56" w:name="_Toc461563852"/>
      <w:r>
        <w:rPr>
          <w:rFonts w:hint="eastAsia" w:ascii="宋体" w:hAnsi="宋体" w:cs="宋体"/>
          <w:b/>
          <w:bCs/>
          <w:color w:val="auto"/>
          <w:sz w:val="22"/>
          <w:szCs w:val="22"/>
          <w:highlight w:val="none"/>
        </w:rPr>
        <w:t>一、说明</w:t>
      </w:r>
      <w:bookmarkEnd w:id="56"/>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1、本次采购工作是按照《中华人民共和国政府采购法》、《政府采购货物和服务招标投标管理办法》及相关法律规章组织和实施。</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2、供应商必须对全部内容进行投标报价，只对部分内容进行投标报价的供应商将按无效投标处理。</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3、无论投标过程中的作法和结果如何，供应商自行承担投标活动中所发生的全部费用。采购人有权选择中标供应商的服务范围。</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4、本次采购采用商务投标文件与技术资信文件分别评审，评标委员会首先评审供应商技术资信部分，技术资信部分无效的供应商不进入商务报价评审。</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5、供应商须自行现场勘察，确认采购人的实际需求，取得准确的报价依据。如果认为招标文件描述或所列范围、面积与实际情况有较大出入，请在规定的招标质疑截止时间前列出详细的异议意见和数据向采购代理机构书面反映，逾期不得再对招标文件的条款提出质疑，视为接受招标文件，投标供应商中标后不得以各种理由提出增价要求，否则做投标违约处理，采购人有权取消其中标资格。</w:t>
      </w:r>
    </w:p>
    <w:p>
      <w:pPr>
        <w:widowControl/>
        <w:autoSpaceDE w:val="0"/>
        <w:autoSpaceDN w:val="0"/>
        <w:adjustRightInd w:val="0"/>
        <w:spacing w:line="460" w:lineRule="atLeast"/>
        <w:ind w:firstLine="440" w:firstLineChars="200"/>
        <w:textAlignment w:val="bottom"/>
        <w:rPr>
          <w:rFonts w:ascii="宋体" w:hAnsi="宋体" w:cs="宋体"/>
          <w:b/>
          <w:bCs/>
          <w:color w:val="auto"/>
          <w:sz w:val="22"/>
          <w:szCs w:val="22"/>
          <w:highlight w:val="none"/>
          <w:u w:val="single"/>
        </w:rPr>
      </w:pPr>
      <w:r>
        <w:rPr>
          <w:rFonts w:hint="eastAsia" w:ascii="宋体" w:hAnsi="宋体" w:cs="宋体"/>
          <w:color w:val="auto"/>
          <w:sz w:val="22"/>
          <w:szCs w:val="22"/>
          <w:highlight w:val="none"/>
        </w:rPr>
        <w:t>6、</w:t>
      </w:r>
      <w:r>
        <w:rPr>
          <w:rFonts w:hint="eastAsia" w:ascii="宋体" w:hAnsi="宋体" w:cs="宋体"/>
          <w:b/>
          <w:bCs/>
          <w:color w:val="auto"/>
          <w:sz w:val="22"/>
          <w:szCs w:val="22"/>
          <w:highlight w:val="none"/>
          <w:u w:val="single"/>
        </w:rPr>
        <w:t>本项目采购预算见采购公告。</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lang w:val="zh-CN"/>
        </w:rPr>
        <w:t>7、</w:t>
      </w:r>
      <w:r>
        <w:rPr>
          <w:rFonts w:hint="eastAsia" w:ascii="宋体" w:hAnsi="宋体" w:cs="宋体"/>
          <w:color w:val="auto"/>
          <w:sz w:val="22"/>
          <w:szCs w:val="22"/>
          <w:highlight w:val="none"/>
        </w:rPr>
        <w:t>投标供应商认为为完成本招标文件规定的项目承包内容所发生的直接成本、间接成本、利润、税金、政策性文件规定的费用等一切费用均应计入投标报价，凡未列入的将被认为均已包含在投标报价中，今后不得以任何理由追加或调整。</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8、</w:t>
      </w:r>
      <w:r>
        <w:rPr>
          <w:rFonts w:hint="eastAsia" w:ascii="宋体" w:hAnsi="宋体" w:cs="宋体"/>
          <w:b/>
          <w:bCs/>
          <w:color w:val="auto"/>
          <w:sz w:val="22"/>
          <w:szCs w:val="22"/>
          <w:highlight w:val="none"/>
        </w:rPr>
        <w:t>供应商如果报名后不来参与本次投标要在投标截止前3天给予书面告知及其理由，</w:t>
      </w:r>
      <w:r>
        <w:rPr>
          <w:rFonts w:hint="eastAsia" w:ascii="宋体" w:hAnsi="宋体" w:cs="新宋体"/>
          <w:b/>
          <w:color w:val="auto"/>
          <w:sz w:val="22"/>
          <w:szCs w:val="22"/>
          <w:highlight w:val="none"/>
        </w:rPr>
        <w:t>否则采购组织机构将该情况报同级财政部门，并视情况将其列入不良供应商名单。</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9、本项目对符合财政扶持政策的中小企业（小型、微型）、监狱企业、残疾人福利性单位给予价格优惠扶持，执行节能产品政府强制采购和优先采购政策，执行环境标志产品政府优先采购政策；</w:t>
      </w:r>
    </w:p>
    <w:p>
      <w:pPr>
        <w:jc w:val="left"/>
        <w:rPr>
          <w:rFonts w:ascii="宋体" w:hAnsi="宋体" w:cs="新宋体"/>
          <w:color w:val="auto"/>
          <w:sz w:val="22"/>
          <w:szCs w:val="22"/>
          <w:highlight w:val="none"/>
        </w:rPr>
      </w:pPr>
      <w:r>
        <w:rPr>
          <w:rFonts w:hint="eastAsia" w:ascii="宋体" w:hAnsi="宋体" w:cs="宋体"/>
          <w:color w:val="auto"/>
          <w:sz w:val="22"/>
          <w:szCs w:val="22"/>
          <w:highlight w:val="none"/>
        </w:rPr>
        <w:t>10、</w:t>
      </w:r>
      <w:r>
        <w:rPr>
          <w:rFonts w:hint="eastAsia" w:ascii="宋体" w:hAnsi="宋体" w:cs="新宋体"/>
          <w:color w:val="auto"/>
          <w:sz w:val="22"/>
          <w:szCs w:val="22"/>
          <w:highlight w:val="none"/>
        </w:rPr>
        <w:t>“政采金融服务：为支持和促进中小企业发展，进一步发挥政府采购政策功能，“政采云”平台目前提供政采贷、履约保函、预付款保函等金融服务，供应商若有融资意向，可登陆https://jinrong.zcygov.cn/finance-service/#/help查看详情。</w:t>
      </w:r>
    </w:p>
    <w:p>
      <w:pPr>
        <w:jc w:val="left"/>
        <w:rPr>
          <w:rFonts w:ascii="宋体" w:hAnsi="宋体" w:cs="宋体"/>
          <w:color w:val="auto"/>
          <w:sz w:val="22"/>
          <w:szCs w:val="22"/>
          <w:highlight w:val="none"/>
        </w:rPr>
      </w:pPr>
      <w:r>
        <w:rPr>
          <w:rFonts w:hint="eastAsia" w:ascii="宋体" w:hAnsi="宋体" w:cs="新宋体"/>
          <w:color w:val="auto"/>
          <w:sz w:val="22"/>
          <w:szCs w:val="22"/>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p>
      <w:pPr>
        <w:widowControl/>
        <w:autoSpaceDE w:val="0"/>
        <w:autoSpaceDN w:val="0"/>
        <w:adjustRightInd w:val="0"/>
        <w:spacing w:line="460" w:lineRule="atLeast"/>
        <w:ind w:firstLine="440" w:firstLineChars="200"/>
        <w:textAlignment w:val="bottom"/>
        <w:rPr>
          <w:rFonts w:ascii="宋体" w:hAnsi="宋体" w:cs="宋体"/>
          <w:color w:val="auto"/>
          <w:highlight w:val="none"/>
        </w:rPr>
      </w:pPr>
      <w:r>
        <w:rPr>
          <w:rFonts w:hint="eastAsia" w:ascii="宋体" w:hAnsi="宋体" w:cs="宋体"/>
          <w:color w:val="auto"/>
          <w:sz w:val="22"/>
          <w:szCs w:val="22"/>
          <w:highlight w:val="none"/>
        </w:rPr>
        <w:t>11、投标人代表指全权代表投标人参加投标活动并签署投标文件的人。如果投标人代表是法定代表人（负责人）的，仅须提供身份证扫描件；如果投标人代表不是法定代表人（负责人），须持有《法定代表人（负责人）授权书》。</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12、中标供应商必须是已申请加入浙江省政府采购供应商库的，未申请加入的请到浙江省政府采购网申请加入：</w:t>
      </w:r>
      <w:r>
        <w:rPr>
          <w:color w:val="auto"/>
          <w:highlight w:val="none"/>
        </w:rPr>
        <w:fldChar w:fldCharType="begin"/>
      </w:r>
      <w:r>
        <w:rPr>
          <w:color w:val="auto"/>
          <w:highlight w:val="none"/>
        </w:rPr>
        <w:instrText xml:space="preserve"> HYPERLINK "http://www.zjzfcg.gov.cn/new/zytz/257927.html" </w:instrText>
      </w:r>
      <w:r>
        <w:rPr>
          <w:color w:val="auto"/>
          <w:highlight w:val="none"/>
        </w:rPr>
        <w:fldChar w:fldCharType="separate"/>
      </w:r>
      <w:r>
        <w:rPr>
          <w:rFonts w:hint="eastAsia" w:ascii="宋体" w:hAnsi="宋体" w:cs="宋体"/>
          <w:color w:val="auto"/>
          <w:sz w:val="22"/>
          <w:szCs w:val="22"/>
          <w:highlight w:val="none"/>
        </w:rPr>
        <w:t>http://www.zjzfcg.gov.cn/new/zytz/257927.html</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 xml:space="preserve"> 。</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13、</w:t>
      </w:r>
      <w:r>
        <w:rPr>
          <w:rFonts w:ascii="宋体" w:hAnsi="宋体" w:cs="宋体"/>
          <w:color w:val="auto"/>
          <w:sz w:val="22"/>
          <w:szCs w:val="22"/>
          <w:highlight w:val="none"/>
        </w:rPr>
        <w:t>采用最低评标价法的采购项目，提供相同品牌产品的不同投标供应商参加同一合同项下投标的，以其中通过资格审查、符合性审查且报价最低的参加评标；报价相同的，采取随机抽取方式确定，其他投标无效。</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ascii="宋体" w:hAnsi="宋体" w:cs="宋体"/>
          <w:color w:val="auto"/>
          <w:sz w:val="22"/>
          <w:szCs w:val="22"/>
          <w:highlight w:val="none"/>
        </w:rPr>
        <w:t xml:space="preserve"> 多家投标人提供的核心产品品牌相同的，按前两款规定处理。</w:t>
      </w:r>
    </w:p>
    <w:p>
      <w:pPr>
        <w:widowControl/>
        <w:autoSpaceDE w:val="0"/>
        <w:autoSpaceDN w:val="0"/>
        <w:adjustRightInd w:val="0"/>
        <w:spacing w:line="460" w:lineRule="atLeast"/>
        <w:textAlignment w:val="bottom"/>
        <w:rPr>
          <w:rFonts w:ascii="宋体" w:hAnsi="宋体" w:cs="宋体"/>
          <w:b/>
          <w:bCs/>
          <w:color w:val="auto"/>
          <w:sz w:val="22"/>
          <w:szCs w:val="22"/>
          <w:highlight w:val="none"/>
        </w:rPr>
      </w:pPr>
      <w:bookmarkStart w:id="57" w:name="_Toc461563853"/>
      <w:r>
        <w:rPr>
          <w:rFonts w:hint="eastAsia" w:ascii="宋体" w:hAnsi="宋体" w:cs="宋体"/>
          <w:b/>
          <w:bCs/>
          <w:color w:val="auto"/>
          <w:sz w:val="22"/>
          <w:szCs w:val="22"/>
          <w:highlight w:val="none"/>
        </w:rPr>
        <w:t>二、供应商资格条件</w:t>
      </w:r>
      <w:bookmarkEnd w:id="57"/>
    </w:p>
    <w:p>
      <w:pPr>
        <w:autoSpaceDE w:val="0"/>
        <w:autoSpaceDN w:val="0"/>
        <w:adjustRightInd w:val="0"/>
        <w:spacing w:line="45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按招标公告要求。</w:t>
      </w:r>
    </w:p>
    <w:p>
      <w:pPr>
        <w:widowControl/>
        <w:autoSpaceDE w:val="0"/>
        <w:autoSpaceDN w:val="0"/>
        <w:adjustRightInd w:val="0"/>
        <w:spacing w:line="460" w:lineRule="atLeast"/>
        <w:textAlignment w:val="bottom"/>
        <w:rPr>
          <w:rFonts w:ascii="宋体" w:hAnsi="宋体" w:cs="宋体"/>
          <w:b/>
          <w:bCs/>
          <w:color w:val="auto"/>
          <w:sz w:val="22"/>
          <w:szCs w:val="22"/>
          <w:highlight w:val="none"/>
        </w:rPr>
      </w:pPr>
      <w:bookmarkStart w:id="58" w:name="_Toc461563854"/>
      <w:r>
        <w:rPr>
          <w:rFonts w:hint="eastAsia" w:ascii="宋体" w:hAnsi="宋体" w:cs="宋体"/>
          <w:b/>
          <w:bCs/>
          <w:color w:val="auto"/>
          <w:sz w:val="22"/>
          <w:szCs w:val="22"/>
          <w:highlight w:val="none"/>
        </w:rPr>
        <w:t>三、招标文件</w:t>
      </w:r>
      <w:bookmarkEnd w:id="58"/>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1、招标文件</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1.1、招标文件约束力</w:t>
      </w:r>
    </w:p>
    <w:p>
      <w:pPr>
        <w:autoSpaceDE w:val="0"/>
        <w:autoSpaceDN w:val="0"/>
        <w:adjustRightInd w:val="0"/>
        <w:spacing w:line="460" w:lineRule="atLeas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w:t>
      </w:r>
      <w:r>
        <w:rPr>
          <w:rFonts w:hint="eastAsia" w:ascii="宋体" w:hAnsi="宋体" w:cs="宋体"/>
          <w:b/>
          <w:bCs/>
          <w:color w:val="auto"/>
          <w:sz w:val="22"/>
          <w:szCs w:val="22"/>
          <w:highlight w:val="none"/>
          <w:u w:val="single"/>
        </w:rPr>
        <w:t>供应商一旦获取了本招标文件并参加投标，即被认为接受了本招标文件中所有条款和规定。</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1.2、招标文件的组成</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招标文件由招标文件总目录所列内容及补充资料等组成。</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2、招标文件的澄清</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供应商对招标文件如有质疑或需要澄清，以书面形式或在政采云（在线询问和质疑系统）中向采购人、采购代理机构提出，但通知不得迟于规定的质疑时间前使采购代理机构收到，采购代理机构将用书面形式予以答复。如有必要，可将不说明来源的答复书面发给各有关供应商并予以公告。</w:t>
      </w:r>
      <w:r>
        <w:rPr>
          <w:rFonts w:hint="eastAsia" w:ascii="宋体" w:hAnsi="宋体" w:cs="宋体"/>
          <w:b/>
          <w:bCs/>
          <w:color w:val="auto"/>
          <w:sz w:val="22"/>
          <w:szCs w:val="22"/>
          <w:highlight w:val="none"/>
        </w:rPr>
        <w:t>任何口头答复均不作为投标依据。</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3、招标文件的修改</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3.1、在投标截止时间前，采购人有权澄清或者修改招标文件，并以书面形式（补充、更正文件）通知供应商。补充、更正文件作为招标文件的组成部分，对所有投标供应商均有约束力。</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3.2、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pPr>
        <w:autoSpaceDE w:val="0"/>
        <w:autoSpaceDN w:val="0"/>
        <w:adjustRightInd w:val="0"/>
        <w:spacing w:line="460" w:lineRule="atLeast"/>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3.3、补充、更正文件在浙江政府采购网（http://www.zjzfcg.gov.cn/）予以公告公布。</w:t>
      </w:r>
      <w:bookmarkEnd w:id="1"/>
      <w:r>
        <w:rPr>
          <w:rFonts w:hint="eastAsia" w:ascii="宋体" w:hAnsi="宋体" w:cs="宋体"/>
          <w:b/>
          <w:bCs/>
          <w:color w:val="auto"/>
          <w:sz w:val="22"/>
          <w:szCs w:val="22"/>
          <w:highlight w:val="none"/>
        </w:rPr>
        <w:t>供应商须在开标前一日自行查看是否有补充更正文件，并按补充更正文件要求响应，否则责任自负。</w:t>
      </w:r>
    </w:p>
    <w:p>
      <w:pPr>
        <w:widowControl/>
        <w:autoSpaceDE w:val="0"/>
        <w:autoSpaceDN w:val="0"/>
        <w:adjustRightInd w:val="0"/>
        <w:spacing w:line="460" w:lineRule="atLeast"/>
        <w:textAlignment w:val="bottom"/>
        <w:rPr>
          <w:rFonts w:ascii="宋体" w:hAnsi="宋体" w:cs="宋体"/>
          <w:b/>
          <w:bCs/>
          <w:color w:val="auto"/>
          <w:sz w:val="22"/>
          <w:szCs w:val="22"/>
          <w:highlight w:val="none"/>
        </w:rPr>
      </w:pPr>
      <w:bookmarkStart w:id="59" w:name="_Toc496116252"/>
      <w:r>
        <w:rPr>
          <w:rFonts w:hint="eastAsia" w:ascii="宋体" w:hAnsi="宋体" w:cs="宋体"/>
          <w:b/>
          <w:bCs/>
          <w:color w:val="auto"/>
          <w:sz w:val="22"/>
          <w:szCs w:val="22"/>
          <w:highlight w:val="none"/>
        </w:rPr>
        <w:t>四、投标文件</w:t>
      </w:r>
      <w:bookmarkEnd w:id="59"/>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1、投标文件</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1.2供应商提交的投标文件报价均采用人民币报价。</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1.3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1.4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1.5供应商应仔细阅读招标文件中的所有内容，按照招标文件要求，详细编制投标文件，所有文件资料必须是针对本次投标。不按招标文件的要求提供的投标文件可能导致被拒绝。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2、投标文件的组成</w:t>
      </w:r>
    </w:p>
    <w:p>
      <w:pPr>
        <w:autoSpaceDE w:val="0"/>
        <w:autoSpaceDN w:val="0"/>
        <w:adjustRightInd w:val="0"/>
        <w:spacing w:line="460" w:lineRule="atLeast"/>
        <w:ind w:firstLine="442" w:firstLineChars="200"/>
        <w:rPr>
          <w:rFonts w:ascii="宋体" w:hAnsi="宋体" w:cs="宋体"/>
          <w:b/>
          <w:bCs/>
          <w:color w:val="auto"/>
          <w:sz w:val="22"/>
          <w:szCs w:val="22"/>
          <w:highlight w:val="none"/>
          <w:lang w:val="zh-CN"/>
        </w:rPr>
      </w:pPr>
      <w:r>
        <w:rPr>
          <w:rFonts w:hint="eastAsia" w:ascii="宋体" w:hAnsi="宋体" w:cs="宋体"/>
          <w:b/>
          <w:bCs/>
          <w:color w:val="auto"/>
          <w:sz w:val="22"/>
          <w:szCs w:val="22"/>
          <w:highlight w:val="none"/>
          <w:u w:val="single"/>
        </w:rPr>
        <w:t>投标文件由资格证明文件、报价文件部分和技术资信部分三部分组成。</w:t>
      </w:r>
    </w:p>
    <w:p>
      <w:pPr>
        <w:autoSpaceDE w:val="0"/>
        <w:autoSpaceDN w:val="0"/>
        <w:adjustRightInd w:val="0"/>
        <w:spacing w:line="450" w:lineRule="atLeast"/>
        <w:ind w:firstLine="442" w:firstLineChars="200"/>
        <w:rPr>
          <w:rFonts w:ascii="宋体" w:hAnsi="宋体" w:cs="宋体"/>
          <w:b/>
          <w:bCs/>
          <w:color w:val="auto"/>
          <w:sz w:val="22"/>
          <w:szCs w:val="22"/>
          <w:highlight w:val="none"/>
          <w:u w:val="single"/>
          <w:lang w:val="zh-CN"/>
        </w:rPr>
      </w:pPr>
      <w:bookmarkStart w:id="60" w:name="_Toc132122412"/>
      <w:bookmarkStart w:id="61" w:name="_Toc132122115"/>
      <w:r>
        <w:rPr>
          <w:rFonts w:hint="eastAsia" w:ascii="宋体" w:hAnsi="宋体" w:cs="宋体"/>
          <w:b/>
          <w:bCs/>
          <w:color w:val="auto"/>
          <w:sz w:val="22"/>
          <w:szCs w:val="22"/>
          <w:highlight w:val="none"/>
          <w:u w:val="single"/>
          <w:lang w:val="zh-CN"/>
        </w:rPr>
        <w:t>2.1、资格证明文件部分组成</w:t>
      </w:r>
    </w:p>
    <w:tbl>
      <w:tblPr>
        <w:tblStyle w:val="27"/>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30" w:lineRule="atLeast"/>
              <w:jc w:val="center"/>
              <w:rPr>
                <w:rFonts w:ascii="宋体" w:hAnsi="宋体" w:cs="宋体"/>
                <w:b/>
                <w:bCs/>
                <w:color w:val="auto"/>
                <w:sz w:val="22"/>
                <w:highlight w:val="none"/>
                <w:lang w:val="zh-CN"/>
              </w:rPr>
            </w:pPr>
            <w:r>
              <w:rPr>
                <w:rFonts w:hint="eastAsia" w:ascii="宋体" w:hAnsi="宋体" w:cs="宋体"/>
                <w:b/>
                <w:bCs/>
                <w:color w:val="auto"/>
                <w:sz w:val="22"/>
                <w:szCs w:val="22"/>
                <w:highlight w:val="none"/>
                <w:lang w:val="zh-CN"/>
              </w:rPr>
              <w:t>序号</w:t>
            </w:r>
          </w:p>
        </w:tc>
        <w:tc>
          <w:tcPr>
            <w:tcW w:w="826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jc w:val="center"/>
              <w:rPr>
                <w:rFonts w:ascii="宋体" w:hAnsi="宋体" w:cs="宋体"/>
                <w:b/>
                <w:bCs/>
                <w:color w:val="auto"/>
                <w:sz w:val="22"/>
                <w:highlight w:val="none"/>
                <w:lang w:val="zh-CN"/>
              </w:rPr>
            </w:pPr>
            <w:r>
              <w:rPr>
                <w:rFonts w:hint="eastAsia" w:ascii="宋体" w:hAnsi="宋体" w:cs="宋体"/>
                <w:b/>
                <w:bCs/>
                <w:color w:val="auto"/>
                <w:sz w:val="22"/>
                <w:szCs w:val="22"/>
                <w:highlight w:val="none"/>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color w:val="auto"/>
                <w:sz w:val="22"/>
                <w:highlight w:val="none"/>
                <w:lang w:val="zh-CN"/>
              </w:rPr>
            </w:pPr>
            <w:r>
              <w:rPr>
                <w:rFonts w:hint="eastAsia" w:ascii="宋体" w:hAnsi="宋体" w:cs="宋体"/>
                <w:bCs/>
                <w:color w:val="auto"/>
                <w:sz w:val="22"/>
                <w:szCs w:val="22"/>
                <w:highlight w:val="none"/>
                <w:lang w:val="zh-CN"/>
              </w:rPr>
              <w:t>1</w:t>
            </w:r>
          </w:p>
        </w:tc>
        <w:tc>
          <w:tcPr>
            <w:tcW w:w="8269"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color w:val="auto"/>
                <w:sz w:val="22"/>
                <w:highlight w:val="none"/>
                <w:lang w:val="zh-CN"/>
              </w:rPr>
            </w:pPr>
            <w:r>
              <w:rPr>
                <w:rFonts w:hint="eastAsia" w:ascii="宋体" w:hAnsi="宋体" w:cs="宋体"/>
                <w:bCs/>
                <w:color w:val="auto"/>
                <w:sz w:val="22"/>
                <w:szCs w:val="22"/>
                <w:highlight w:val="none"/>
              </w:rPr>
              <w:t>投标供应商的营业执照（或事业法人登记证书或其它工商等登记证明材料）、税务登记证（如为多证合一仅需提供营业执照（或事业法人登记证书或其它工商等登记证明材料），扫描件加盖公章）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color w:val="auto"/>
                <w:sz w:val="22"/>
                <w:highlight w:val="none"/>
                <w:lang w:val="zh-CN"/>
              </w:rPr>
            </w:pPr>
            <w:r>
              <w:rPr>
                <w:rFonts w:hint="eastAsia" w:ascii="宋体" w:hAnsi="宋体" w:cs="宋体"/>
                <w:bCs/>
                <w:color w:val="auto"/>
                <w:sz w:val="22"/>
                <w:szCs w:val="22"/>
                <w:highlight w:val="none"/>
                <w:lang w:val="zh-CN"/>
              </w:rPr>
              <w:t>2</w:t>
            </w:r>
          </w:p>
        </w:tc>
        <w:tc>
          <w:tcPr>
            <w:tcW w:w="8269"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color w:val="auto"/>
                <w:sz w:val="22"/>
                <w:highlight w:val="none"/>
              </w:rPr>
            </w:pPr>
            <w:r>
              <w:rPr>
                <w:rFonts w:hint="eastAsia" w:ascii="宋体" w:hAnsi="宋体" w:cs="宋体"/>
                <w:bCs/>
                <w:color w:val="auto"/>
                <w:sz w:val="22"/>
                <w:szCs w:val="22"/>
                <w:highlight w:val="none"/>
              </w:rPr>
              <w:t>投标供应商</w:t>
            </w:r>
            <w:r>
              <w:rPr>
                <w:rFonts w:hint="eastAsia" w:ascii="宋体" w:hAnsi="宋体" w:cs="宋体"/>
                <w:color w:val="auto"/>
                <w:sz w:val="22"/>
                <w:szCs w:val="22"/>
                <w:highlight w:val="none"/>
              </w:rPr>
              <w:t>最近一年度的资产负债表、损益表或利润表(新成立的公司，必须提供情况说明）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color w:val="auto"/>
                <w:sz w:val="22"/>
                <w:highlight w:val="none"/>
              </w:rPr>
            </w:pPr>
            <w:r>
              <w:rPr>
                <w:rFonts w:hint="eastAsia" w:ascii="宋体" w:hAnsi="宋体" w:cs="宋体"/>
                <w:bCs/>
                <w:color w:val="auto"/>
                <w:sz w:val="22"/>
                <w:szCs w:val="22"/>
                <w:highlight w:val="none"/>
              </w:rPr>
              <w:t>3</w:t>
            </w:r>
          </w:p>
        </w:tc>
        <w:tc>
          <w:tcPr>
            <w:tcW w:w="8269"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color w:val="auto"/>
                <w:sz w:val="22"/>
                <w:highlight w:val="none"/>
              </w:rPr>
            </w:pPr>
            <w:r>
              <w:rPr>
                <w:rFonts w:hint="eastAsia" w:ascii="宋体" w:hAnsi="宋体" w:cs="宋体"/>
                <w:color w:val="auto"/>
                <w:sz w:val="22"/>
                <w:szCs w:val="22"/>
                <w:highlight w:val="none"/>
              </w:rPr>
              <w:t>具有履行合同所必需的设备和专业技术能力的承诺函（附件一）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color w:val="auto"/>
                <w:sz w:val="22"/>
                <w:highlight w:val="none"/>
              </w:rPr>
            </w:pPr>
            <w:r>
              <w:rPr>
                <w:rFonts w:hint="eastAsia" w:ascii="宋体" w:hAnsi="宋体" w:cs="宋体"/>
                <w:bCs/>
                <w:color w:val="auto"/>
                <w:sz w:val="22"/>
                <w:szCs w:val="22"/>
                <w:highlight w:val="none"/>
              </w:rPr>
              <w:t>4</w:t>
            </w:r>
          </w:p>
        </w:tc>
        <w:tc>
          <w:tcPr>
            <w:tcW w:w="8269"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rPr>
                <w:rFonts w:ascii="宋体" w:hAnsi="宋体" w:cs="宋体"/>
                <w:bCs/>
                <w:color w:val="auto"/>
                <w:sz w:val="22"/>
                <w:highlight w:val="none"/>
              </w:rPr>
            </w:pPr>
            <w:r>
              <w:rPr>
                <w:rFonts w:hint="eastAsia" w:ascii="宋体" w:hAnsi="宋体" w:cs="宋体"/>
                <w:bCs/>
                <w:color w:val="auto"/>
                <w:sz w:val="22"/>
                <w:szCs w:val="22"/>
                <w:highlight w:val="none"/>
              </w:rPr>
              <w:t>依法缴纳税收和社会保障资金的承诺函（附件二）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color w:val="auto"/>
                <w:sz w:val="22"/>
                <w:highlight w:val="none"/>
              </w:rPr>
            </w:pPr>
            <w:r>
              <w:rPr>
                <w:rFonts w:hint="eastAsia" w:ascii="宋体" w:hAnsi="宋体" w:cs="宋体"/>
                <w:bCs/>
                <w:color w:val="auto"/>
                <w:sz w:val="22"/>
                <w:szCs w:val="22"/>
                <w:highlight w:val="none"/>
              </w:rPr>
              <w:t>5</w:t>
            </w:r>
          </w:p>
        </w:tc>
        <w:tc>
          <w:tcPr>
            <w:tcW w:w="8269"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color w:val="auto"/>
                <w:sz w:val="22"/>
                <w:highlight w:val="none"/>
              </w:rPr>
            </w:pPr>
            <w:r>
              <w:rPr>
                <w:rFonts w:hint="eastAsia" w:ascii="宋体" w:hAnsi="宋体" w:cs="宋体"/>
                <w:color w:val="auto"/>
                <w:sz w:val="22"/>
                <w:szCs w:val="22"/>
                <w:highlight w:val="none"/>
              </w:rPr>
              <w:t>参加政府采购活动前3年内（新成立不满三年的组织机构自成立之日起算）在经营活动中没有重大违法记录的声明函（附件三）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color w:val="auto"/>
                <w:sz w:val="22"/>
                <w:highlight w:val="none"/>
                <w:lang w:val="zh-CN"/>
              </w:rPr>
            </w:pPr>
            <w:r>
              <w:rPr>
                <w:rFonts w:hint="eastAsia" w:ascii="宋体" w:hAnsi="宋体" w:cs="宋体"/>
                <w:bCs/>
                <w:color w:val="auto"/>
                <w:sz w:val="22"/>
                <w:szCs w:val="22"/>
                <w:highlight w:val="none"/>
                <w:lang w:val="zh-CN"/>
              </w:rPr>
              <w:t>6</w:t>
            </w:r>
          </w:p>
        </w:tc>
        <w:tc>
          <w:tcPr>
            <w:tcW w:w="8269"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color w:val="auto"/>
                <w:sz w:val="22"/>
                <w:highlight w:val="none"/>
              </w:rPr>
            </w:pPr>
            <w:r>
              <w:rPr>
                <w:rFonts w:hint="eastAsia" w:ascii="宋体" w:hAnsi="宋体" w:cs="宋体"/>
                <w:bCs/>
                <w:color w:val="auto"/>
                <w:sz w:val="22"/>
                <w:szCs w:val="22"/>
                <w:highlight w:val="none"/>
              </w:rPr>
              <w:t>投标供应商特定资格条件证明：</w:t>
            </w:r>
            <w:r>
              <w:rPr>
                <w:rFonts w:hint="eastAsia" w:ascii="宋体" w:hAnsi="宋体" w:cs="宋体"/>
                <w:color w:val="auto"/>
                <w:sz w:val="22"/>
                <w:szCs w:val="22"/>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color w:val="auto"/>
                <w:sz w:val="22"/>
                <w:highlight w:val="none"/>
              </w:rPr>
            </w:pPr>
            <w:r>
              <w:rPr>
                <w:rFonts w:hint="eastAsia" w:ascii="宋体" w:hAnsi="宋体" w:cs="宋体"/>
                <w:bCs/>
                <w:color w:val="auto"/>
                <w:sz w:val="22"/>
                <w:szCs w:val="22"/>
                <w:highlight w:val="none"/>
              </w:rPr>
              <w:t>7</w:t>
            </w:r>
          </w:p>
        </w:tc>
        <w:tc>
          <w:tcPr>
            <w:tcW w:w="8269"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color w:val="auto"/>
                <w:sz w:val="22"/>
                <w:highlight w:val="none"/>
              </w:rPr>
            </w:pPr>
            <w:r>
              <w:rPr>
                <w:rFonts w:hint="eastAsia" w:ascii="宋体" w:hAnsi="宋体" w:cs="宋体"/>
                <w:bCs/>
                <w:color w:val="auto"/>
                <w:sz w:val="22"/>
                <w:szCs w:val="22"/>
                <w:highlight w:val="none"/>
              </w:rPr>
              <w:t>投标供应商“信用中国”(www.creditchina.gov.cn)；“中国政府采购网”（www.ccgp.gov.cn）信用记录查询网页截图（采购公告发布之日至投标文件递交截止时间前）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color w:val="auto"/>
                <w:sz w:val="22"/>
                <w:highlight w:val="none"/>
              </w:rPr>
            </w:pPr>
            <w:r>
              <w:rPr>
                <w:rFonts w:hint="eastAsia" w:ascii="宋体" w:hAnsi="宋体" w:cs="宋体"/>
                <w:bCs/>
                <w:color w:val="auto"/>
                <w:sz w:val="22"/>
                <w:szCs w:val="22"/>
                <w:highlight w:val="none"/>
              </w:rPr>
              <w:t>8</w:t>
            </w:r>
          </w:p>
        </w:tc>
        <w:tc>
          <w:tcPr>
            <w:tcW w:w="8269"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color w:val="auto"/>
                <w:sz w:val="22"/>
                <w:highlight w:val="none"/>
              </w:rPr>
            </w:pPr>
            <w:r>
              <w:rPr>
                <w:rFonts w:hint="eastAsia" w:ascii="宋体" w:hAnsi="宋体" w:cs="宋体"/>
                <w:bCs/>
                <w:color w:val="auto"/>
                <w:sz w:val="22"/>
                <w:szCs w:val="22"/>
                <w:highlight w:val="none"/>
              </w:rPr>
              <w:t>与参加本次项目同一合同项下政府采购活动的其他供应商不存在单位负责人为同一人或者直接控股、管理关系的承诺函（附件四）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color w:val="auto"/>
                <w:sz w:val="22"/>
                <w:highlight w:val="none"/>
              </w:rPr>
            </w:pPr>
            <w:r>
              <w:rPr>
                <w:rFonts w:hint="eastAsia" w:ascii="宋体" w:hAnsi="宋体" w:cs="宋体"/>
                <w:bCs/>
                <w:color w:val="auto"/>
                <w:sz w:val="22"/>
                <w:szCs w:val="22"/>
                <w:highlight w:val="none"/>
              </w:rPr>
              <w:t>9</w:t>
            </w:r>
          </w:p>
        </w:tc>
        <w:tc>
          <w:tcPr>
            <w:tcW w:w="826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rPr>
                <w:rFonts w:ascii="宋体" w:hAnsi="宋体" w:cs="宋体"/>
                <w:bCs/>
                <w:color w:val="auto"/>
                <w:sz w:val="22"/>
                <w:highlight w:val="none"/>
              </w:rPr>
            </w:pPr>
            <w:r>
              <w:rPr>
                <w:rFonts w:hint="eastAsia" w:ascii="宋体" w:hAnsi="宋体" w:cs="宋体"/>
                <w:bCs/>
                <w:color w:val="auto"/>
                <w:sz w:val="22"/>
                <w:szCs w:val="22"/>
                <w:highlight w:val="none"/>
              </w:rPr>
              <w:t>投标供应商参与政府采购活动投标资格声明函（附件五）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10</w:t>
            </w:r>
          </w:p>
        </w:tc>
        <w:tc>
          <w:tcPr>
            <w:tcW w:w="826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rPr>
                <w:rFonts w:ascii="宋体" w:hAnsi="宋体" w:cs="宋体"/>
                <w:bCs/>
                <w:color w:val="auto"/>
                <w:sz w:val="22"/>
                <w:szCs w:val="22"/>
                <w:highlight w:val="none"/>
              </w:rPr>
            </w:pPr>
            <w:r>
              <w:rPr>
                <w:rFonts w:hint="eastAsia" w:ascii="宋体" w:hAnsi="宋体" w:cs="宋体"/>
                <w:color w:val="auto"/>
                <w:sz w:val="22"/>
                <w:szCs w:val="22"/>
                <w:highlight w:val="none"/>
              </w:rPr>
              <w:t>供应商法定代表人（负责人）授权书（附件六）</w:t>
            </w:r>
          </w:p>
        </w:tc>
      </w:tr>
    </w:tbl>
    <w:p>
      <w:pPr>
        <w:autoSpaceDE w:val="0"/>
        <w:autoSpaceDN w:val="0"/>
        <w:adjustRightInd w:val="0"/>
        <w:spacing w:line="450" w:lineRule="atLeast"/>
        <w:ind w:firstLine="442" w:firstLineChars="200"/>
        <w:rPr>
          <w:rFonts w:ascii="宋体" w:hAnsi="宋体" w:cs="宋体"/>
          <w:b/>
          <w:bCs/>
          <w:color w:val="auto"/>
          <w:sz w:val="22"/>
          <w:szCs w:val="22"/>
          <w:highlight w:val="none"/>
          <w:u w:val="single"/>
          <w:lang w:val="zh-CN"/>
        </w:rPr>
      </w:pPr>
      <w:r>
        <w:rPr>
          <w:rFonts w:hint="eastAsia" w:ascii="宋体" w:hAnsi="宋体" w:cs="宋体"/>
          <w:b/>
          <w:bCs/>
          <w:color w:val="auto"/>
          <w:sz w:val="22"/>
          <w:szCs w:val="22"/>
          <w:highlight w:val="none"/>
          <w:u w:val="single"/>
          <w:lang w:val="zh-CN"/>
        </w:rPr>
        <w:t>2.2、报价文件部分组成</w:t>
      </w:r>
    </w:p>
    <w:tbl>
      <w:tblPr>
        <w:tblStyle w:val="27"/>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7" w:type="dxa"/>
          </w:tcPr>
          <w:p>
            <w:pPr>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szCs w:val="22"/>
                <w:highlight w:val="none"/>
                <w:lang w:val="zh-CN"/>
              </w:rPr>
              <w:t>序号</w:t>
            </w:r>
          </w:p>
        </w:tc>
        <w:tc>
          <w:tcPr>
            <w:tcW w:w="8222" w:type="dxa"/>
          </w:tcPr>
          <w:p>
            <w:pPr>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szCs w:val="22"/>
                <w:highlight w:val="none"/>
                <w:lang w:val="zh-CN"/>
              </w:rPr>
              <w:t>内容（▲</w:t>
            </w:r>
            <w:r>
              <w:rPr>
                <w:rFonts w:hint="eastAsia" w:ascii="宋体" w:hAnsi="宋体" w:cs="宋体"/>
                <w:b/>
                <w:bCs/>
                <w:color w:val="auto"/>
                <w:sz w:val="22"/>
                <w:szCs w:val="22"/>
                <w:highlight w:val="none"/>
                <w:u w:val="single"/>
                <w:lang w:val="zh-CN"/>
              </w:rPr>
              <w:t>报价一览表、分项报价表（若有）供应商必须提供，否则不能通过符合性审查的，责任自负</w:t>
            </w:r>
            <w:r>
              <w:rPr>
                <w:rFonts w:hint="eastAsia" w:ascii="宋体" w:hAnsi="宋体" w:cs="宋体"/>
                <w:b/>
                <w:bCs/>
                <w:color w:val="auto"/>
                <w:sz w:val="22"/>
                <w:szCs w:val="2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7" w:type="dxa"/>
          </w:tcPr>
          <w:p>
            <w:pPr>
              <w:autoSpaceDE w:val="0"/>
              <w:autoSpaceDN w:val="0"/>
              <w:adjustRightInd w:val="0"/>
              <w:snapToGrid w:val="0"/>
              <w:spacing w:line="430" w:lineRule="atLeast"/>
              <w:jc w:val="center"/>
              <w:rPr>
                <w:rFonts w:ascii="宋体" w:hAnsi="宋体" w:cs="宋体"/>
                <w:b/>
                <w:bCs/>
                <w:color w:val="auto"/>
                <w:sz w:val="22"/>
                <w:highlight w:val="none"/>
                <w:lang w:val="zh-CN"/>
              </w:rPr>
            </w:pPr>
            <w:r>
              <w:rPr>
                <w:rFonts w:hint="eastAsia" w:ascii="宋体" w:hAnsi="宋体" w:cs="宋体"/>
                <w:b/>
                <w:bCs/>
                <w:color w:val="auto"/>
                <w:sz w:val="22"/>
                <w:szCs w:val="22"/>
                <w:highlight w:val="none"/>
                <w:lang w:val="zh-CN"/>
              </w:rPr>
              <w:t>1</w:t>
            </w:r>
          </w:p>
        </w:tc>
        <w:tc>
          <w:tcPr>
            <w:tcW w:w="8222" w:type="dxa"/>
          </w:tcPr>
          <w:p>
            <w:pPr>
              <w:autoSpaceDE w:val="0"/>
              <w:autoSpaceDN w:val="0"/>
              <w:adjustRightInd w:val="0"/>
              <w:spacing w:line="430" w:lineRule="atLeast"/>
              <w:textAlignment w:val="bottom"/>
              <w:rPr>
                <w:rFonts w:ascii="宋体" w:hAnsi="宋体" w:cs="宋体"/>
                <w:b/>
                <w:bCs/>
                <w:color w:val="auto"/>
                <w:sz w:val="22"/>
                <w:highlight w:val="none"/>
              </w:rPr>
            </w:pPr>
            <w:r>
              <w:rPr>
                <w:rFonts w:hint="eastAsia" w:ascii="宋体" w:hAnsi="宋体" w:cs="宋体"/>
                <w:b/>
                <w:bCs/>
                <w:color w:val="auto"/>
                <w:sz w:val="22"/>
                <w:szCs w:val="22"/>
                <w:highlight w:val="none"/>
              </w:rPr>
              <w:t>报价一览表（附件七）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7" w:type="dxa"/>
          </w:tcPr>
          <w:p>
            <w:pPr>
              <w:autoSpaceDE w:val="0"/>
              <w:autoSpaceDN w:val="0"/>
              <w:adjustRightInd w:val="0"/>
              <w:snapToGrid w:val="0"/>
              <w:spacing w:line="430" w:lineRule="atLeas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2</w:t>
            </w:r>
          </w:p>
        </w:tc>
        <w:tc>
          <w:tcPr>
            <w:tcW w:w="8222" w:type="dxa"/>
          </w:tcPr>
          <w:p>
            <w:pPr>
              <w:autoSpaceDE w:val="0"/>
              <w:autoSpaceDN w:val="0"/>
              <w:adjustRightInd w:val="0"/>
              <w:spacing w:line="430" w:lineRule="atLeast"/>
              <w:textAlignment w:val="bottom"/>
              <w:rPr>
                <w:rFonts w:ascii="宋体" w:hAnsi="宋体" w:cs="宋体"/>
                <w:b/>
                <w:bCs/>
                <w:color w:val="auto"/>
                <w:sz w:val="22"/>
                <w:szCs w:val="22"/>
                <w:highlight w:val="none"/>
              </w:rPr>
            </w:pPr>
            <w:r>
              <w:rPr>
                <w:rFonts w:hint="eastAsia" w:ascii="宋体" w:hAnsi="宋体" w:cs="宋体"/>
                <w:b/>
                <w:bCs/>
                <w:color w:val="auto"/>
                <w:sz w:val="22"/>
                <w:szCs w:val="22"/>
                <w:highlight w:val="none"/>
                <w:u w:val="single"/>
                <w:lang w:val="zh-CN"/>
              </w:rPr>
              <w:t>分项报价表（附件八）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7" w:hRule="atLeast"/>
          <w:jc w:val="center"/>
        </w:trPr>
        <w:tc>
          <w:tcPr>
            <w:tcW w:w="737" w:type="dxa"/>
          </w:tcPr>
          <w:p>
            <w:pPr>
              <w:autoSpaceDE w:val="0"/>
              <w:autoSpaceDN w:val="0"/>
              <w:adjustRightInd w:val="0"/>
              <w:snapToGrid w:val="0"/>
              <w:spacing w:line="430" w:lineRule="atLeast"/>
              <w:jc w:val="center"/>
              <w:rPr>
                <w:rFonts w:ascii="宋体" w:hAnsi="宋体" w:cs="宋体"/>
                <w:color w:val="auto"/>
                <w:sz w:val="22"/>
                <w:highlight w:val="none"/>
                <w:lang w:val="zh-CN"/>
              </w:rPr>
            </w:pPr>
            <w:r>
              <w:rPr>
                <w:rFonts w:hint="eastAsia" w:ascii="宋体" w:hAnsi="宋体" w:cs="宋体"/>
                <w:color w:val="auto"/>
                <w:sz w:val="22"/>
                <w:szCs w:val="22"/>
                <w:highlight w:val="none"/>
              </w:rPr>
              <w:t>3</w:t>
            </w:r>
          </w:p>
        </w:tc>
        <w:tc>
          <w:tcPr>
            <w:tcW w:w="8222" w:type="dxa"/>
          </w:tcPr>
          <w:p>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szCs w:val="22"/>
                <w:highlight w:val="none"/>
              </w:rPr>
              <w:t>享受小微企业（含监狱企业、残疾人福利性单位）价格折扣须按供应商单位性质提供以下相关的证明材料：</w:t>
            </w:r>
          </w:p>
          <w:p>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szCs w:val="22"/>
                <w:highlight w:val="none"/>
              </w:rPr>
              <w:t>（1）《中小企业声明函》（原件，加盖供应商公章，格式见招标文件第四部分）</w:t>
            </w:r>
          </w:p>
          <w:p>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szCs w:val="22"/>
                <w:highlight w:val="none"/>
              </w:rPr>
              <w:t>（2）监狱企业参加政府采购活动时，应当提供由省级以上监狱管理局、戒毒管理局(含新疆生产建设兵团)出具的属于监狱企业的证明文件（原件或扫描件加盖公章）。在政府采购活动中，监狱企业视同小型、微型企业，享受评审中价格扣除政策。</w:t>
            </w:r>
          </w:p>
          <w:p>
            <w:pPr>
              <w:autoSpaceDE w:val="0"/>
              <w:autoSpaceDN w:val="0"/>
              <w:adjustRightInd w:val="0"/>
              <w:spacing w:line="500" w:lineRule="atLeast"/>
              <w:rPr>
                <w:rFonts w:ascii="宋体" w:hAnsi="宋体" w:cs="宋体"/>
                <w:color w:val="auto"/>
                <w:sz w:val="22"/>
                <w:highlight w:val="none"/>
              </w:rPr>
            </w:pPr>
            <w:r>
              <w:rPr>
                <w:rFonts w:hint="eastAsia" w:ascii="宋体" w:hAnsi="宋体" w:cs="宋体"/>
                <w:color w:val="auto"/>
                <w:sz w:val="22"/>
                <w:szCs w:val="22"/>
                <w:highlight w:val="none"/>
              </w:rPr>
              <w:t>（3）残疾人福利性单位声明函（原件，加盖供应商公章，格式见招标文件第四部分）在政府采购活动中，残疾人福利性单位视同小型、微型企业，享受评审中价格扣除政策。</w:t>
            </w:r>
          </w:p>
        </w:tc>
      </w:tr>
    </w:tbl>
    <w:p>
      <w:pPr>
        <w:autoSpaceDE w:val="0"/>
        <w:autoSpaceDN w:val="0"/>
        <w:adjustRightInd w:val="0"/>
        <w:spacing w:line="450" w:lineRule="atLeast"/>
        <w:ind w:firstLine="442" w:firstLineChars="200"/>
        <w:rPr>
          <w:rFonts w:ascii="宋体" w:hAnsi="宋体" w:cs="宋体"/>
          <w:b/>
          <w:bCs/>
          <w:color w:val="auto"/>
          <w:sz w:val="22"/>
          <w:szCs w:val="22"/>
          <w:highlight w:val="none"/>
          <w:u w:val="single"/>
          <w:lang w:val="zh-CN"/>
        </w:rPr>
      </w:pPr>
      <w:bookmarkStart w:id="62" w:name="_Toc132122113"/>
      <w:bookmarkStart w:id="63" w:name="_Toc132122410"/>
      <w:r>
        <w:rPr>
          <w:rFonts w:hint="eastAsia" w:ascii="宋体" w:hAnsi="宋体" w:cs="宋体"/>
          <w:b/>
          <w:bCs/>
          <w:color w:val="auto"/>
          <w:sz w:val="22"/>
          <w:szCs w:val="22"/>
          <w:highlight w:val="none"/>
          <w:u w:val="single"/>
          <w:lang w:val="zh-CN"/>
        </w:rPr>
        <w:t>2.3、商务技术文件部分组成</w:t>
      </w:r>
    </w:p>
    <w:bookmarkEnd w:id="62"/>
    <w:bookmarkEnd w:id="63"/>
    <w:tbl>
      <w:tblPr>
        <w:tblStyle w:val="27"/>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tcPr>
          <w:p>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szCs w:val="22"/>
                <w:highlight w:val="none"/>
                <w:lang w:val="zh-CN"/>
              </w:rPr>
              <w:t>序号</w:t>
            </w:r>
          </w:p>
        </w:tc>
        <w:tc>
          <w:tcPr>
            <w:tcW w:w="8122" w:type="dxa"/>
          </w:tcPr>
          <w:p>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color w:val="auto"/>
                <w:sz w:val="22"/>
                <w:szCs w:val="22"/>
                <w:highlight w:val="none"/>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839" w:type="dxa"/>
            <w:gridSpan w:val="2"/>
          </w:tcPr>
          <w:p>
            <w:pPr>
              <w:autoSpaceDE w:val="0"/>
              <w:autoSpaceDN w:val="0"/>
              <w:adjustRightInd w:val="0"/>
              <w:snapToGrid w:val="0"/>
              <w:spacing w:line="430" w:lineRule="atLeast"/>
              <w:rPr>
                <w:rFonts w:ascii="宋体" w:hAnsi="宋体" w:cs="宋体"/>
                <w:b/>
                <w:color w:val="auto"/>
                <w:sz w:val="22"/>
                <w:highlight w:val="none"/>
                <w:lang w:val="zh-CN"/>
              </w:rPr>
            </w:pPr>
            <w:r>
              <w:rPr>
                <w:rFonts w:hint="eastAsia" w:ascii="宋体" w:hAnsi="宋体" w:cs="宋体"/>
                <w:b/>
                <w:color w:val="auto"/>
                <w:sz w:val="22"/>
                <w:szCs w:val="22"/>
                <w:highlight w:val="none"/>
                <w:lang w:val="zh-CN"/>
              </w:rPr>
              <w:t>资信部分（▲</w:t>
            </w:r>
            <w:r>
              <w:rPr>
                <w:rFonts w:hint="eastAsia" w:ascii="宋体" w:hAnsi="宋体" w:cs="宋体"/>
                <w:b/>
                <w:color w:val="auto"/>
                <w:sz w:val="22"/>
                <w:szCs w:val="22"/>
                <w:highlight w:val="none"/>
                <w:u w:val="single"/>
                <w:lang w:val="zh-CN"/>
              </w:rPr>
              <w:t>序号1、</w:t>
            </w:r>
            <w:r>
              <w:rPr>
                <w:rFonts w:hint="eastAsia" w:ascii="宋体" w:hAnsi="宋体" w:cs="宋体"/>
                <w:b/>
                <w:color w:val="auto"/>
                <w:sz w:val="22"/>
                <w:szCs w:val="22"/>
                <w:highlight w:val="none"/>
                <w:u w:val="single"/>
              </w:rPr>
              <w:t>2</w:t>
            </w:r>
            <w:r>
              <w:rPr>
                <w:rFonts w:hint="eastAsia" w:ascii="宋体" w:hAnsi="宋体" w:cs="宋体"/>
                <w:b/>
                <w:color w:val="auto"/>
                <w:sz w:val="22"/>
                <w:szCs w:val="22"/>
                <w:highlight w:val="none"/>
                <w:u w:val="single"/>
                <w:lang w:val="zh-CN"/>
              </w:rPr>
              <w:t>项供应商必须提供，否则不能通过符合性审查的，责任自负。</w:t>
            </w:r>
            <w:r>
              <w:rPr>
                <w:rFonts w:hint="eastAsia" w:ascii="宋体" w:hAnsi="宋体" w:cs="宋体"/>
                <w:b/>
                <w:color w:val="auto"/>
                <w:sz w:val="22"/>
                <w:szCs w:val="2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tcPr>
          <w:p>
            <w:pPr>
              <w:autoSpaceDE w:val="0"/>
              <w:autoSpaceDN w:val="0"/>
              <w:adjustRightInd w:val="0"/>
              <w:snapToGrid w:val="0"/>
              <w:spacing w:line="430" w:lineRule="atLeast"/>
              <w:jc w:val="center"/>
              <w:rPr>
                <w:rFonts w:ascii="宋体" w:hAnsi="宋体" w:cs="宋体"/>
                <w:color w:val="auto"/>
                <w:sz w:val="22"/>
                <w:highlight w:val="none"/>
              </w:rPr>
            </w:pPr>
            <w:r>
              <w:rPr>
                <w:rFonts w:hint="eastAsia" w:ascii="宋体" w:hAnsi="宋体" w:cs="宋体"/>
                <w:color w:val="auto"/>
                <w:sz w:val="22"/>
                <w:szCs w:val="22"/>
                <w:highlight w:val="none"/>
              </w:rPr>
              <w:t>1</w:t>
            </w:r>
          </w:p>
        </w:tc>
        <w:tc>
          <w:tcPr>
            <w:tcW w:w="8122" w:type="dxa"/>
          </w:tcPr>
          <w:p>
            <w:pPr>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szCs w:val="22"/>
                <w:highlight w:val="none"/>
              </w:rPr>
              <w:t>投标函（附件九）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tcPr>
          <w:p>
            <w:pPr>
              <w:autoSpaceDE w:val="0"/>
              <w:autoSpaceDN w:val="0"/>
              <w:adjustRightInd w:val="0"/>
              <w:snapToGrid w:val="0"/>
              <w:spacing w:line="430" w:lineRule="atLeast"/>
              <w:jc w:val="center"/>
              <w:rPr>
                <w:rFonts w:ascii="宋体" w:hAnsi="宋体" w:cs="宋体"/>
                <w:color w:val="auto"/>
                <w:sz w:val="22"/>
                <w:highlight w:val="none"/>
              </w:rPr>
            </w:pPr>
            <w:r>
              <w:rPr>
                <w:rFonts w:hint="eastAsia" w:ascii="宋体" w:hAnsi="宋体" w:cs="宋体"/>
                <w:color w:val="auto"/>
                <w:sz w:val="22"/>
                <w:szCs w:val="22"/>
                <w:highlight w:val="none"/>
              </w:rPr>
              <w:t>2</w:t>
            </w:r>
          </w:p>
        </w:tc>
        <w:tc>
          <w:tcPr>
            <w:tcW w:w="8122" w:type="dxa"/>
          </w:tcPr>
          <w:p>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szCs w:val="22"/>
                <w:highlight w:val="none"/>
              </w:rPr>
              <w:t>法定代表人（负责人）诚信投标承诺书（附件十）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tcPr>
          <w:p>
            <w:pPr>
              <w:autoSpaceDE w:val="0"/>
              <w:autoSpaceDN w:val="0"/>
              <w:adjustRightInd w:val="0"/>
              <w:snapToGrid w:val="0"/>
              <w:spacing w:line="430" w:lineRule="atLeast"/>
              <w:jc w:val="center"/>
              <w:rPr>
                <w:rFonts w:ascii="宋体" w:hAnsi="宋体" w:cs="宋体"/>
                <w:color w:val="auto"/>
                <w:sz w:val="22"/>
                <w:highlight w:val="none"/>
              </w:rPr>
            </w:pPr>
            <w:r>
              <w:rPr>
                <w:rFonts w:hint="eastAsia" w:ascii="宋体" w:hAnsi="宋体" w:cs="宋体"/>
                <w:color w:val="auto"/>
                <w:sz w:val="22"/>
                <w:szCs w:val="22"/>
                <w:highlight w:val="none"/>
              </w:rPr>
              <w:t>3</w:t>
            </w:r>
          </w:p>
        </w:tc>
        <w:tc>
          <w:tcPr>
            <w:tcW w:w="8122" w:type="dxa"/>
          </w:tcPr>
          <w:p>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szCs w:val="22"/>
                <w:highlight w:val="none"/>
              </w:rPr>
              <w:t>供应商相关资质、资信或信用证书、获奖证书等（如有则提供，扫描件加盖有效公章）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tcPr>
          <w:p>
            <w:pPr>
              <w:autoSpaceDE w:val="0"/>
              <w:autoSpaceDN w:val="0"/>
              <w:adjustRightInd w:val="0"/>
              <w:snapToGrid w:val="0"/>
              <w:spacing w:line="430" w:lineRule="atLeast"/>
              <w:jc w:val="center"/>
              <w:rPr>
                <w:rFonts w:ascii="宋体" w:hAnsi="宋体" w:cs="宋体"/>
                <w:color w:val="auto"/>
                <w:sz w:val="22"/>
                <w:highlight w:val="none"/>
              </w:rPr>
            </w:pPr>
            <w:r>
              <w:rPr>
                <w:rFonts w:hint="eastAsia" w:ascii="宋体" w:hAnsi="宋体" w:cs="宋体"/>
                <w:color w:val="auto"/>
                <w:sz w:val="22"/>
                <w:szCs w:val="22"/>
                <w:highlight w:val="none"/>
              </w:rPr>
              <w:t>4</w:t>
            </w:r>
          </w:p>
        </w:tc>
        <w:tc>
          <w:tcPr>
            <w:tcW w:w="8122" w:type="dxa"/>
          </w:tcPr>
          <w:p>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szCs w:val="22"/>
                <w:highlight w:val="none"/>
              </w:rPr>
              <w:t>投标供应商有同类项目业绩（附件十一）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tcPr>
          <w:p>
            <w:pPr>
              <w:autoSpaceDE w:val="0"/>
              <w:autoSpaceDN w:val="0"/>
              <w:adjustRightInd w:val="0"/>
              <w:snapToGrid w:val="0"/>
              <w:spacing w:line="430" w:lineRule="atLeast"/>
              <w:jc w:val="center"/>
              <w:rPr>
                <w:rFonts w:ascii="宋体" w:hAnsi="宋体" w:cs="宋体"/>
                <w:color w:val="auto"/>
                <w:sz w:val="22"/>
                <w:highlight w:val="none"/>
              </w:rPr>
            </w:pPr>
            <w:r>
              <w:rPr>
                <w:rFonts w:hint="eastAsia" w:ascii="宋体" w:hAnsi="宋体" w:cs="宋体"/>
                <w:color w:val="auto"/>
                <w:sz w:val="22"/>
                <w:szCs w:val="22"/>
                <w:highlight w:val="none"/>
              </w:rPr>
              <w:t>5</w:t>
            </w:r>
          </w:p>
        </w:tc>
        <w:tc>
          <w:tcPr>
            <w:tcW w:w="8122" w:type="dxa"/>
            <w:vAlign w:val="center"/>
          </w:tcPr>
          <w:p>
            <w:pPr>
              <w:tabs>
                <w:tab w:val="left" w:pos="4140"/>
              </w:tabs>
              <w:adjustRightInd w:val="0"/>
              <w:snapToGrid w:val="0"/>
              <w:spacing w:line="320" w:lineRule="atLeast"/>
              <w:rPr>
                <w:rFonts w:ascii="宋体" w:hAnsi="宋体" w:cs="宋体"/>
                <w:color w:val="auto"/>
                <w:sz w:val="22"/>
                <w:highlight w:val="none"/>
              </w:rPr>
            </w:pPr>
            <w:r>
              <w:rPr>
                <w:rFonts w:hint="eastAsia" w:ascii="宋体" w:hAnsi="宋体" w:cs="宋体"/>
                <w:color w:val="auto"/>
                <w:sz w:val="22"/>
                <w:szCs w:val="22"/>
                <w:highlight w:val="none"/>
              </w:rPr>
              <w:t>其它须说明的资料（如有则提供）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839" w:type="dxa"/>
            <w:gridSpan w:val="2"/>
          </w:tcPr>
          <w:p>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szCs w:val="22"/>
                <w:highlight w:val="none"/>
                <w:lang w:val="zh-CN"/>
              </w:rPr>
              <w:t>技术部分（如资料提供不齐全，将可能导致不利的评定）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tcPr>
          <w:p>
            <w:pPr>
              <w:autoSpaceDE w:val="0"/>
              <w:autoSpaceDN w:val="0"/>
              <w:adjustRightInd w:val="0"/>
              <w:snapToGrid w:val="0"/>
              <w:spacing w:line="430" w:lineRule="atLeast"/>
              <w:jc w:val="center"/>
              <w:rPr>
                <w:rFonts w:ascii="宋体" w:hAnsi="宋体" w:cs="宋体"/>
                <w:color w:val="auto"/>
                <w:sz w:val="22"/>
                <w:highlight w:val="none"/>
              </w:rPr>
            </w:pPr>
            <w:r>
              <w:rPr>
                <w:rFonts w:hint="eastAsia" w:ascii="宋体" w:hAnsi="宋体" w:cs="宋体"/>
                <w:color w:val="auto"/>
                <w:sz w:val="22"/>
                <w:szCs w:val="22"/>
                <w:highlight w:val="none"/>
              </w:rPr>
              <w:t>6</w:t>
            </w:r>
          </w:p>
        </w:tc>
        <w:tc>
          <w:tcPr>
            <w:tcW w:w="8122" w:type="dxa"/>
          </w:tcPr>
          <w:p>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szCs w:val="22"/>
                <w:highlight w:val="none"/>
              </w:rPr>
              <w:t>商务、技术偏离表（附件十二）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tcPr>
          <w:p>
            <w:pPr>
              <w:autoSpaceDE w:val="0"/>
              <w:autoSpaceDN w:val="0"/>
              <w:adjustRightInd w:val="0"/>
              <w:snapToGrid w:val="0"/>
              <w:spacing w:line="430" w:lineRule="atLeast"/>
              <w:jc w:val="center"/>
              <w:rPr>
                <w:rFonts w:ascii="宋体" w:hAnsi="宋体" w:cs="宋体"/>
                <w:color w:val="auto"/>
                <w:sz w:val="22"/>
                <w:highlight w:val="none"/>
              </w:rPr>
            </w:pPr>
            <w:r>
              <w:rPr>
                <w:rFonts w:hint="eastAsia" w:ascii="宋体" w:hAnsi="宋体" w:cs="宋体"/>
                <w:color w:val="auto"/>
                <w:sz w:val="22"/>
                <w:highlight w:val="none"/>
              </w:rPr>
              <w:t>7</w:t>
            </w:r>
          </w:p>
        </w:tc>
        <w:tc>
          <w:tcPr>
            <w:tcW w:w="8122" w:type="dxa"/>
          </w:tcPr>
          <w:p>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项目实施方案、供货（如有，包括品牌、型号、规格等）、人员情况等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tcPr>
          <w:p>
            <w:pPr>
              <w:autoSpaceDE w:val="0"/>
              <w:autoSpaceDN w:val="0"/>
              <w:adjustRightInd w:val="0"/>
              <w:snapToGrid w:val="0"/>
              <w:spacing w:line="430" w:lineRule="atLeast"/>
              <w:jc w:val="center"/>
              <w:rPr>
                <w:rFonts w:ascii="宋体" w:hAnsi="宋体" w:cs="宋体"/>
                <w:color w:val="auto"/>
                <w:sz w:val="22"/>
                <w:highlight w:val="none"/>
              </w:rPr>
            </w:pPr>
            <w:r>
              <w:rPr>
                <w:rFonts w:hint="eastAsia" w:ascii="宋体" w:hAnsi="宋体" w:cs="宋体"/>
                <w:color w:val="auto"/>
                <w:sz w:val="22"/>
                <w:highlight w:val="none"/>
              </w:rPr>
              <w:t>……</w:t>
            </w:r>
          </w:p>
        </w:tc>
        <w:tc>
          <w:tcPr>
            <w:tcW w:w="8122" w:type="dxa"/>
          </w:tcPr>
          <w:p>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tcPr>
          <w:p>
            <w:pPr>
              <w:autoSpaceDE w:val="0"/>
              <w:autoSpaceDN w:val="0"/>
              <w:adjustRightInd w:val="0"/>
              <w:snapToGrid w:val="0"/>
              <w:spacing w:line="430" w:lineRule="atLeast"/>
              <w:jc w:val="center"/>
              <w:rPr>
                <w:rFonts w:ascii="宋体" w:hAnsi="宋体" w:cs="宋体"/>
                <w:color w:val="auto"/>
                <w:sz w:val="22"/>
                <w:highlight w:val="none"/>
              </w:rPr>
            </w:pPr>
            <w:r>
              <w:rPr>
                <w:rFonts w:hint="eastAsia" w:ascii="宋体" w:hAnsi="宋体" w:cs="宋体"/>
                <w:color w:val="auto"/>
                <w:sz w:val="22"/>
                <w:highlight w:val="none"/>
              </w:rPr>
              <w:t>……</w:t>
            </w:r>
          </w:p>
        </w:tc>
        <w:tc>
          <w:tcPr>
            <w:tcW w:w="8122" w:type="dxa"/>
          </w:tcPr>
          <w:p>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szCs w:val="22"/>
                <w:highlight w:val="none"/>
              </w:rPr>
              <w:t>根据采购文件中的采购内容与技术要求、评标细则，需要提供的其它文件和资料。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17" w:type="dxa"/>
          </w:tcPr>
          <w:p>
            <w:pPr>
              <w:autoSpaceDE w:val="0"/>
              <w:autoSpaceDN w:val="0"/>
              <w:adjustRightInd w:val="0"/>
              <w:snapToGrid w:val="0"/>
              <w:spacing w:line="430" w:lineRule="atLeast"/>
              <w:jc w:val="center"/>
              <w:rPr>
                <w:rFonts w:ascii="宋体" w:hAnsi="宋体" w:cs="宋体"/>
                <w:color w:val="auto"/>
                <w:sz w:val="22"/>
                <w:highlight w:val="none"/>
              </w:rPr>
            </w:pPr>
            <w:r>
              <w:rPr>
                <w:rFonts w:hint="eastAsia" w:ascii="宋体" w:hAnsi="宋体" w:cs="宋体"/>
                <w:color w:val="auto"/>
                <w:sz w:val="22"/>
                <w:highlight w:val="none"/>
              </w:rPr>
              <w:t>……</w:t>
            </w:r>
          </w:p>
        </w:tc>
        <w:tc>
          <w:tcPr>
            <w:tcW w:w="8122" w:type="dxa"/>
          </w:tcPr>
          <w:p>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szCs w:val="22"/>
                <w:highlight w:val="none"/>
              </w:rPr>
              <w:t>其它供应商须说明的资料（如有则提供）</w:t>
            </w:r>
          </w:p>
        </w:tc>
      </w:tr>
    </w:tbl>
    <w:p>
      <w:pPr>
        <w:autoSpaceDE w:val="0"/>
        <w:autoSpaceDN w:val="0"/>
        <w:adjustRightInd w:val="0"/>
        <w:spacing w:line="460" w:lineRule="atLeast"/>
        <w:ind w:firstLine="442" w:firstLineChars="200"/>
        <w:textAlignment w:val="bottom"/>
        <w:rPr>
          <w:rFonts w:ascii="宋体" w:hAnsi="宋体" w:cs="宋体"/>
          <w:b/>
          <w:color w:val="auto"/>
          <w:sz w:val="22"/>
          <w:szCs w:val="22"/>
          <w:highlight w:val="none"/>
        </w:rPr>
      </w:pPr>
      <w:r>
        <w:rPr>
          <w:rFonts w:hint="eastAsia" w:ascii="宋体" w:hAnsi="宋体" w:cs="宋体"/>
          <w:b/>
          <w:color w:val="auto"/>
          <w:sz w:val="22"/>
          <w:szCs w:val="22"/>
          <w:highlight w:val="none"/>
        </w:rPr>
        <w:t>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3、投标文件编制</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3.1本项目通过“政采云平台（www.zcygov.cn）”实行在线投标响应（电子投标）。供应商应通过“政采云电子交易客户端”，并按照本采购文件和“政采云平台”的要求编制并加密投标文件。</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3.2投标人应当按照本章节 “投标文件组成”规定的内容及顺序在“政采云电子交易客户端”编制投标文件。其中 “技术资信文件”中不得出现本项目投标报价，如因投标人原因提前泄露投标报价，是投标人的责任。</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本采购文件“投标文件格式”中有提供格式的，投标人须参照格式进行编制（格式中要求提供相关证明材料的还需后附相关证明材料），并按格式要求在指定位置根据要求进行签章，否则视为未提供；本文件“第六部分 投标文件格式”未提供格式的，请各投标单位自行拟定格式，并加盖单位公章并由法定代表人（负责人）或其授权代表签署（签字或盖章），否则视为未提供。</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3.4投标文件内容不完整、编排混乱导致投标文件被误读、漏读或者查找不到相关内容的，是投标人的责任。</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3.5投标文件因字迹潦草或表达不清所引起的后果由投标人负责。</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3.6 投标人没有按照本章节 “投标文件组成”要求提供全部资料，或者没有仔细阅读采购文件，或者没有对采购文件在各方面的要求作出实质性响应是投标人的风险，由此造成的一切后果由投标人自行承担。</w:t>
      </w:r>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4、投标文件的签章</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4.1投标文件的签章要求：投标人须知前附表；</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4.2投标文件应由投标人法定代表人（负责人）或其授权代表签章，并时加盖投标人公章（电子签章）。</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4.3电子签章操作指南详见采购公告附件《供应商项目采购-电子招投标操作指南》。</w:t>
      </w:r>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5、投标文件的形式</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5.1投标文件的形式：见投标人须知前附表；</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5.2“电子加密投标文件”：“电子加密投标文件”是指通过“政采云电子交易客户端”完成投标文件编制后生成并加密的数据电文形式的投标文件。</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5.3“备份投标文件”：“备份投标文件”是指与“电子加密投标文件”同时生成的数据电文形式的电子文件（备份标书），其他方式编制的“备份投标文件”视为无效的“备份投标文件”。</w:t>
      </w:r>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6、投标文件的份数</w:t>
      </w:r>
    </w:p>
    <w:p>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6.1投标文件的份数：见投标人须知前附表。</w:t>
      </w:r>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7、投标报价</w:t>
      </w:r>
      <w:bookmarkEnd w:id="60"/>
      <w:bookmarkEnd w:id="61"/>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bookmarkStart w:id="64" w:name="_Toc132122413"/>
      <w:bookmarkStart w:id="65" w:name="_Toc132122116"/>
      <w:r>
        <w:rPr>
          <w:rFonts w:hint="eastAsia" w:ascii="宋体" w:hAnsi="宋体" w:cs="宋体"/>
          <w:color w:val="auto"/>
          <w:sz w:val="22"/>
          <w:szCs w:val="22"/>
          <w:highlight w:val="none"/>
        </w:rPr>
        <w:t>7.1、供应商应按招标文件中《开标一览表》及《投标分项报价表》（如有）填写投标报价及分项报价（如果）。</w:t>
      </w:r>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7.2、本次招标只允许有一个报价，有选择的报价将不予接受。</w:t>
      </w:r>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7.3、投标报价应按包含以下费用。</w:t>
      </w:r>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包括服务期的设备的人工费（含工人工资、奖金、房补、劳保福利、社保、意外保险、工伤费、教育培训费、暂住费及处理一切伤亡事故等费用）、工具材料费、安全文明作业装备费、企业应缴税金和应得利润、应急等完成合同所需的一切本身和不可或缺的所有工作开支、政策性文件规定计合同包含的所有风险、责任等各项全部费用并承担一切风险责任。</w:t>
      </w:r>
    </w:p>
    <w:p>
      <w:pPr>
        <w:autoSpaceDE w:val="0"/>
        <w:autoSpaceDN w:val="0"/>
        <w:adjustRightInd w:val="0"/>
        <w:spacing w:line="460" w:lineRule="atLeast"/>
        <w:ind w:firstLine="442" w:firstLineChars="200"/>
        <w:textAlignment w:val="bottom"/>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供应商在投标报价中应充分考虑所有可能发生的费用，否则采购人将视投标综合单价中已包括所有费用。</w:t>
      </w:r>
    </w:p>
    <w:p>
      <w:pPr>
        <w:autoSpaceDE w:val="0"/>
        <w:autoSpaceDN w:val="0"/>
        <w:adjustRightInd w:val="0"/>
        <w:spacing w:line="460" w:lineRule="atLeast"/>
        <w:ind w:firstLine="442" w:firstLineChars="200"/>
        <w:textAlignment w:val="bottom"/>
        <w:rPr>
          <w:rFonts w:ascii="宋体" w:hAnsi="宋体" w:cs="宋体"/>
          <w:color w:val="auto"/>
          <w:sz w:val="22"/>
          <w:szCs w:val="22"/>
          <w:highlight w:val="none"/>
          <w:u w:val="single"/>
        </w:rPr>
      </w:pPr>
      <w:r>
        <w:rPr>
          <w:rFonts w:hint="eastAsia" w:ascii="宋体" w:hAnsi="宋体" w:cs="宋体"/>
          <w:b/>
          <w:bCs/>
          <w:color w:val="auto"/>
          <w:sz w:val="22"/>
          <w:szCs w:val="22"/>
          <w:highlight w:val="none"/>
          <w:u w:val="single"/>
        </w:rPr>
        <w:t>供应商对在合同执行中，除上述费用及招标文件规定的由中标供应商负责的工作范围以外需要采购人协调或提供便利的工作应当在投标文件中说明。</w:t>
      </w:r>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填写报价表格时，各项费用应如实填写。</w:t>
      </w:r>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8、采购人要求分类报价是为了方便评标，但在任何情况下不限制采购人以其认为最合适的条款签订合同的权利。</w:t>
      </w:r>
    </w:p>
    <w:bookmarkEnd w:id="64"/>
    <w:bookmarkEnd w:id="65"/>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bookmarkStart w:id="66" w:name="_Toc132122117"/>
      <w:bookmarkStart w:id="67" w:name="_Toc132122414"/>
      <w:bookmarkStart w:id="68" w:name="_Toc132125038"/>
      <w:bookmarkStart w:id="69" w:name="_Toc132123839"/>
      <w:bookmarkStart w:id="70" w:name="_Toc132123548"/>
      <w:bookmarkStart w:id="71" w:name="_Toc132125984"/>
      <w:bookmarkStart w:id="72" w:name="_Toc132123882"/>
      <w:bookmarkStart w:id="73" w:name="_Toc332809833"/>
      <w:bookmarkStart w:id="74" w:name="_Toc132122417"/>
      <w:bookmarkStart w:id="75" w:name="_Toc132655777"/>
      <w:bookmarkStart w:id="76" w:name="_Toc132123635"/>
      <w:bookmarkStart w:id="77" w:name="_Toc132125152"/>
      <w:bookmarkStart w:id="78" w:name="_Toc132125575"/>
      <w:bookmarkStart w:id="79" w:name="_Toc132122120"/>
      <w:bookmarkStart w:id="80" w:name="_Toc132126155"/>
      <w:bookmarkStart w:id="81" w:name="_Toc132123440"/>
      <w:bookmarkStart w:id="82" w:name="_Toc132124595"/>
      <w:bookmarkStart w:id="83" w:name="_Toc132125096"/>
      <w:r>
        <w:rPr>
          <w:rFonts w:hint="eastAsia" w:ascii="宋体" w:hAnsi="宋体" w:cs="宋体"/>
          <w:color w:val="auto"/>
          <w:sz w:val="22"/>
          <w:szCs w:val="22"/>
          <w:highlight w:val="none"/>
        </w:rPr>
        <w:t>9、投标文件的有效期</w:t>
      </w:r>
      <w:bookmarkEnd w:id="66"/>
      <w:bookmarkEnd w:id="67"/>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9.1 自投标截止时间起90天内，投标文件应保持有效。有效期短于这个规定期限的投标将被拒绝。</w:t>
      </w:r>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9.2 在特殊情况下，采购人可与供应商协商延长投标文件的有效期，这种要求和答复均应以书面形式进行。</w:t>
      </w:r>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9.3 供应商可拒绝接受延期要求。同意延长有效期的供应商不能修改投标文件。</w:t>
      </w:r>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10、投标人如发生下列情况之一，将上报同级政府采购监督管理部门，追究其责任：</w:t>
      </w:r>
    </w:p>
    <w:p>
      <w:pPr>
        <w:pStyle w:val="65"/>
        <w:numPr>
          <w:ilvl w:val="0"/>
          <w:numId w:val="15"/>
        </w:numPr>
        <w:autoSpaceDE w:val="0"/>
        <w:autoSpaceDN w:val="0"/>
        <w:adjustRightInd w:val="0"/>
        <w:spacing w:line="460" w:lineRule="atLeast"/>
        <w:ind w:firstLineChars="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投标人在采购文件规定的投标有效期内撤回投标；</w:t>
      </w:r>
    </w:p>
    <w:p>
      <w:pPr>
        <w:pStyle w:val="65"/>
        <w:numPr>
          <w:ilvl w:val="0"/>
          <w:numId w:val="15"/>
        </w:numPr>
        <w:autoSpaceDE w:val="0"/>
        <w:autoSpaceDN w:val="0"/>
        <w:adjustRightInd w:val="0"/>
        <w:spacing w:line="460" w:lineRule="atLeast"/>
        <w:ind w:firstLineChars="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中标人未按中标通知书中规定的时间与采购人签订合同；</w:t>
      </w:r>
    </w:p>
    <w:p>
      <w:pPr>
        <w:pStyle w:val="65"/>
        <w:numPr>
          <w:ilvl w:val="0"/>
          <w:numId w:val="15"/>
        </w:numPr>
        <w:autoSpaceDE w:val="0"/>
        <w:autoSpaceDN w:val="0"/>
        <w:adjustRightInd w:val="0"/>
        <w:spacing w:line="460" w:lineRule="atLeast"/>
        <w:ind w:firstLineChars="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投标人在采购文件中提供虚假技术指标及参数，经评标委员会确认属实的。</w:t>
      </w:r>
    </w:p>
    <w:p>
      <w:pPr>
        <w:pStyle w:val="65"/>
        <w:numPr>
          <w:ilvl w:val="0"/>
          <w:numId w:val="15"/>
        </w:numPr>
        <w:autoSpaceDE w:val="0"/>
        <w:autoSpaceDN w:val="0"/>
        <w:adjustRightInd w:val="0"/>
        <w:spacing w:line="460" w:lineRule="atLeast"/>
        <w:ind w:firstLineChars="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经同级政府采购监督管理部门审查认定投标人有违反《中华人民共和国政府采购法》等有关法律法规的行为。</w:t>
      </w:r>
    </w:p>
    <w:p>
      <w:pPr>
        <w:widowControl/>
        <w:autoSpaceDE w:val="0"/>
        <w:autoSpaceDN w:val="0"/>
        <w:adjustRightInd w:val="0"/>
        <w:spacing w:line="460" w:lineRule="atLeast"/>
        <w:textAlignment w:val="bottom"/>
        <w:rPr>
          <w:rFonts w:ascii="宋体" w:hAnsi="宋体" w:cs="宋体"/>
          <w:b/>
          <w:bCs/>
          <w:color w:val="auto"/>
          <w:sz w:val="22"/>
          <w:szCs w:val="22"/>
          <w:highlight w:val="none"/>
        </w:rPr>
      </w:pPr>
      <w:bookmarkStart w:id="84" w:name="_Toc132125151"/>
      <w:bookmarkStart w:id="85" w:name="_Toc132123439"/>
      <w:bookmarkStart w:id="86" w:name="_Toc132125983"/>
      <w:bookmarkStart w:id="87" w:name="_Toc132123634"/>
      <w:bookmarkStart w:id="88" w:name="_Toc132122416"/>
      <w:bookmarkStart w:id="89" w:name="_Toc496116253"/>
      <w:bookmarkStart w:id="90" w:name="_Toc132125574"/>
      <w:bookmarkStart w:id="91" w:name="_Toc132123881"/>
      <w:bookmarkStart w:id="92" w:name="_Toc132124594"/>
      <w:bookmarkStart w:id="93" w:name="_Toc132123547"/>
      <w:bookmarkStart w:id="94" w:name="_Toc132655776"/>
      <w:bookmarkStart w:id="95" w:name="_Toc132125037"/>
      <w:bookmarkStart w:id="96" w:name="_Toc132123838"/>
      <w:bookmarkStart w:id="97" w:name="_Toc132125095"/>
      <w:bookmarkStart w:id="98" w:name="_Toc132122119"/>
      <w:bookmarkStart w:id="99" w:name="_Toc132126154"/>
      <w:r>
        <w:rPr>
          <w:rFonts w:hint="eastAsia" w:ascii="宋体" w:hAnsi="宋体" w:cs="宋体"/>
          <w:b/>
          <w:bCs/>
          <w:color w:val="auto"/>
          <w:sz w:val="22"/>
          <w:szCs w:val="22"/>
          <w:highlight w:val="none"/>
        </w:rPr>
        <w:t>五、投标文件的密封</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1、投标文件的递交</w:t>
      </w:r>
    </w:p>
    <w:p>
      <w:pPr>
        <w:autoSpaceDE w:val="0"/>
        <w:autoSpaceDN w:val="0"/>
        <w:adjustRightInd w:val="0"/>
        <w:spacing w:line="460" w:lineRule="atLeast"/>
        <w:ind w:firstLine="440" w:firstLineChars="200"/>
        <w:textAlignment w:val="bottom"/>
        <w:rPr>
          <w:rFonts w:ascii="宋体" w:hAnsi="宋体" w:cs="宋体"/>
          <w:color w:val="auto"/>
          <w:kern w:val="0"/>
          <w:sz w:val="22"/>
          <w:szCs w:val="22"/>
          <w:highlight w:val="none"/>
        </w:rPr>
      </w:pPr>
      <w:r>
        <w:rPr>
          <w:rFonts w:hint="eastAsia" w:ascii="宋体" w:hAnsi="宋体" w:cs="宋体"/>
          <w:color w:val="auto"/>
          <w:sz w:val="22"/>
          <w:szCs w:val="22"/>
          <w:highlight w:val="none"/>
        </w:rPr>
        <w:t>1.1投标文件的上传、递交：见投标人须知前附表。</w:t>
      </w:r>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2、 “电子加密投标文件”解密和异常情况处理。</w:t>
      </w:r>
    </w:p>
    <w:p>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2.1“电子加密投标文件”解密：见投标人须知前附表。</w:t>
      </w:r>
    </w:p>
    <w:p>
      <w:pPr>
        <w:autoSpaceDE w:val="0"/>
        <w:autoSpaceDN w:val="0"/>
        <w:adjustRightInd w:val="0"/>
        <w:spacing w:line="460" w:lineRule="atLeast"/>
        <w:ind w:firstLine="442" w:firstLineChars="200"/>
        <w:textAlignment w:val="bottom"/>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 投标文件的补充、修改或撤回</w:t>
      </w:r>
    </w:p>
    <w:p>
      <w:pPr>
        <w:autoSpaceDE w:val="0"/>
        <w:autoSpaceDN w:val="0"/>
        <w:adjustRightInd w:val="0"/>
        <w:spacing w:line="460" w:lineRule="atLeast"/>
        <w:ind w:firstLine="440" w:firstLineChars="200"/>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autoSpaceDE w:val="0"/>
        <w:autoSpaceDN w:val="0"/>
        <w:adjustRightInd w:val="0"/>
        <w:spacing w:line="460" w:lineRule="atLeast"/>
        <w:ind w:firstLine="440" w:firstLineChars="200"/>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3.2投标文件递交截止时间后，投标人不得撤回、修改投标文件。</w:t>
      </w:r>
    </w:p>
    <w:p>
      <w:pPr>
        <w:autoSpaceDE w:val="0"/>
        <w:autoSpaceDN w:val="0"/>
        <w:adjustRightInd w:val="0"/>
        <w:spacing w:line="460" w:lineRule="atLeast"/>
        <w:ind w:firstLine="442" w:firstLineChars="200"/>
        <w:textAlignment w:val="bottom"/>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4、投标文件的备选方案</w:t>
      </w:r>
    </w:p>
    <w:p>
      <w:pPr>
        <w:autoSpaceDE w:val="0"/>
        <w:autoSpaceDN w:val="0"/>
        <w:adjustRightInd w:val="0"/>
        <w:spacing w:line="460" w:lineRule="atLeast"/>
        <w:ind w:firstLine="440" w:firstLineChars="200"/>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4.1投标人不得递交任何的投标备选（替代）方案，否则其投标文件将作无效标处理。与“电子加密投标文件”同时生成的“备份投标文件”不是投标备选（替代）方案。</w:t>
      </w:r>
    </w:p>
    <w:p>
      <w:pPr>
        <w:widowControl/>
        <w:autoSpaceDE w:val="0"/>
        <w:autoSpaceDN w:val="0"/>
        <w:adjustRightInd w:val="0"/>
        <w:spacing w:line="460" w:lineRule="atLeast"/>
        <w:textAlignment w:val="bottom"/>
        <w:rPr>
          <w:rFonts w:ascii="宋体" w:hAnsi="宋体" w:cs="宋体"/>
          <w:b/>
          <w:bCs/>
          <w:color w:val="auto"/>
          <w:sz w:val="22"/>
          <w:szCs w:val="22"/>
          <w:highlight w:val="none"/>
        </w:rPr>
      </w:pPr>
      <w:bookmarkStart w:id="100" w:name="_Toc496116254"/>
      <w:r>
        <w:rPr>
          <w:rFonts w:hint="eastAsia" w:ascii="宋体" w:hAnsi="宋体" w:cs="宋体"/>
          <w:b/>
          <w:bCs/>
          <w:color w:val="auto"/>
          <w:sz w:val="22"/>
          <w:szCs w:val="22"/>
          <w:highlight w:val="none"/>
        </w:rPr>
        <w:t>六、开标和评标</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100"/>
    </w:p>
    <w:p>
      <w:pPr>
        <w:autoSpaceDE w:val="0"/>
        <w:autoSpaceDN w:val="0"/>
        <w:adjustRightInd w:val="0"/>
        <w:spacing w:line="460" w:lineRule="atLeast"/>
        <w:ind w:firstLine="442" w:firstLineChars="200"/>
        <w:textAlignment w:val="bottom"/>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1、开标形式</w:t>
      </w:r>
    </w:p>
    <w:p>
      <w:pPr>
        <w:autoSpaceDE w:val="0"/>
        <w:autoSpaceDN w:val="0"/>
        <w:adjustRightInd w:val="0"/>
        <w:spacing w:line="460" w:lineRule="atLeast"/>
        <w:ind w:firstLine="440" w:firstLineChars="200"/>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1.1 采购组织机构将按照采购文件规定的时间通过“政采云平台”组织开标、开启投标文件，所有供应商均应当准时在线参加。</w:t>
      </w:r>
    </w:p>
    <w:p>
      <w:pPr>
        <w:autoSpaceDE w:val="0"/>
        <w:autoSpaceDN w:val="0"/>
        <w:adjustRightInd w:val="0"/>
        <w:spacing w:line="460" w:lineRule="atLeast"/>
        <w:ind w:firstLine="442" w:firstLineChars="200"/>
        <w:textAlignment w:val="bottom"/>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 开标准备</w:t>
      </w:r>
    </w:p>
    <w:p>
      <w:pPr>
        <w:autoSpaceDE w:val="0"/>
        <w:autoSpaceDN w:val="0"/>
        <w:adjustRightInd w:val="0"/>
        <w:spacing w:line="460" w:lineRule="atLeast"/>
        <w:ind w:firstLine="440" w:firstLineChars="200"/>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2.1开标的准备工作由采购组织机构负责落实。</w:t>
      </w:r>
    </w:p>
    <w:p>
      <w:pPr>
        <w:autoSpaceDE w:val="0"/>
        <w:autoSpaceDN w:val="0"/>
        <w:adjustRightInd w:val="0"/>
        <w:spacing w:line="460" w:lineRule="atLeast"/>
        <w:ind w:firstLine="440" w:firstLineChars="200"/>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2.2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pPr>
        <w:autoSpaceDE w:val="0"/>
        <w:autoSpaceDN w:val="0"/>
        <w:adjustRightInd w:val="0"/>
        <w:spacing w:line="460" w:lineRule="atLeast"/>
        <w:ind w:firstLine="442" w:firstLineChars="200"/>
        <w:textAlignment w:val="bottom"/>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3、开标流程（两阶段）</w:t>
      </w:r>
    </w:p>
    <w:p>
      <w:pPr>
        <w:autoSpaceDE w:val="0"/>
        <w:autoSpaceDN w:val="0"/>
        <w:adjustRightInd w:val="0"/>
        <w:spacing w:line="460" w:lineRule="atLeast"/>
        <w:ind w:firstLine="440" w:firstLineChars="200"/>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3.1开标第一阶段</w:t>
      </w:r>
    </w:p>
    <w:p>
      <w:pPr>
        <w:tabs>
          <w:tab w:val="left" w:pos="540"/>
        </w:tabs>
        <w:spacing w:line="460" w:lineRule="exact"/>
        <w:ind w:firstLine="325" w:firstLineChars="147"/>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投标人发出电子加密投标文件【开始解密】通知，由供应商按采购文件规定的时间内自行进行投标文件解密。投标人在规定的时间内（开标时间起30分钟内）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ind w:firstLine="325" w:firstLineChars="147"/>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（2）开启投标文件，进入资格审查；</w:t>
      </w:r>
    </w:p>
    <w:p>
      <w:pPr>
        <w:tabs>
          <w:tab w:val="left" w:pos="540"/>
        </w:tabs>
        <w:spacing w:line="460" w:lineRule="exact"/>
        <w:ind w:firstLine="325" w:firstLineChars="147"/>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（3）资格审查通过的投标人的技术资信文件进入符合性审查、技术评审；</w:t>
      </w:r>
    </w:p>
    <w:p>
      <w:pPr>
        <w:tabs>
          <w:tab w:val="left" w:pos="540"/>
        </w:tabs>
        <w:spacing w:line="460" w:lineRule="exact"/>
        <w:ind w:firstLine="325" w:firstLineChars="147"/>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（4）第一阶段开标结束。</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备注：开标大会的第一阶段结束后，采购人或采购代理机构将对依法对投标人的资格进行审查，资格审查结束后进入符合性审查和技术资信文件的评审工作，具体见本章节“投标人资格审查”相关规定。</w:t>
      </w:r>
    </w:p>
    <w:p>
      <w:pPr>
        <w:autoSpaceDE w:val="0"/>
        <w:autoSpaceDN w:val="0"/>
        <w:adjustRightInd w:val="0"/>
        <w:spacing w:line="460" w:lineRule="atLeast"/>
        <w:ind w:firstLine="440" w:firstLineChars="200"/>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3.2开标大会第二阶段</w:t>
      </w:r>
    </w:p>
    <w:p>
      <w:pPr>
        <w:tabs>
          <w:tab w:val="left" w:pos="540"/>
        </w:tabs>
        <w:spacing w:line="460" w:lineRule="exact"/>
        <w:ind w:firstLine="325" w:firstLineChars="147"/>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符合性审查、技术资信文件的评审结束后，举行开标大会第二阶段会议。首先在“政采云平台”系统平台上公布符合性审查、技术资信评审无效供应商名称及理由；公布经技术资信评审后有效投标人的名单，同时公布其技术资信部分得分情况。</w:t>
      </w:r>
    </w:p>
    <w:p>
      <w:pPr>
        <w:tabs>
          <w:tab w:val="left" w:pos="540"/>
        </w:tabs>
        <w:spacing w:line="460" w:lineRule="exact"/>
        <w:ind w:firstLine="325" w:firstLineChars="147"/>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开启通过符合性审查、技术资信文件评审有效投标人的商务（报价）文件，在“政采云平台”系统平台上公布开标一览表有关内容，同时当场制作开标记录。开标结束后，由评标委员会对报价的合理性、准确性等进行审查核实。</w:t>
      </w:r>
    </w:p>
    <w:p>
      <w:pPr>
        <w:tabs>
          <w:tab w:val="left" w:pos="540"/>
        </w:tabs>
        <w:spacing w:line="460" w:lineRule="exact"/>
        <w:ind w:firstLine="325" w:firstLineChars="147"/>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（3）评审结束后，在“政采云平台”系统平台上公布中标（成交）候选供应商名单，及采购人最终确定中标或成交供应商名单的时间和公告方式等。</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pPr>
        <w:autoSpaceDE w:val="0"/>
        <w:autoSpaceDN w:val="0"/>
        <w:adjustRightInd w:val="0"/>
        <w:spacing w:line="460" w:lineRule="atLeast"/>
        <w:ind w:firstLine="442" w:firstLineChars="200"/>
        <w:textAlignment w:val="bottom"/>
        <w:rPr>
          <w:rFonts w:ascii="宋体" w:hAnsi="宋体" w:cs="宋体"/>
          <w:b/>
          <w:bCs/>
          <w:color w:val="auto"/>
          <w:kern w:val="0"/>
          <w:sz w:val="22"/>
          <w:szCs w:val="22"/>
          <w:highlight w:val="none"/>
        </w:rPr>
      </w:pPr>
      <w:bookmarkStart w:id="101" w:name="_Toc33194393"/>
      <w:bookmarkStart w:id="102" w:name="_Toc24550037"/>
      <w:r>
        <w:rPr>
          <w:rFonts w:hint="eastAsia" w:ascii="宋体" w:hAnsi="宋体" w:cs="宋体"/>
          <w:b/>
          <w:bCs/>
          <w:color w:val="auto"/>
          <w:kern w:val="0"/>
          <w:sz w:val="22"/>
          <w:szCs w:val="22"/>
          <w:highlight w:val="none"/>
        </w:rPr>
        <w:t>4、 投标人资格审查</w:t>
      </w:r>
      <w:bookmarkEnd w:id="101"/>
      <w:bookmarkEnd w:id="102"/>
    </w:p>
    <w:p>
      <w:pPr>
        <w:autoSpaceDE w:val="0"/>
        <w:autoSpaceDN w:val="0"/>
        <w:adjustRightInd w:val="0"/>
        <w:spacing w:line="460" w:lineRule="atLeast"/>
        <w:ind w:firstLine="440" w:firstLineChars="200"/>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4.1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pPr>
        <w:autoSpaceDE w:val="0"/>
        <w:autoSpaceDN w:val="0"/>
        <w:adjustRightInd w:val="0"/>
        <w:spacing w:line="460" w:lineRule="atLeast"/>
        <w:ind w:firstLine="440" w:firstLineChars="200"/>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4.2投标人提交的资格审查材料无法证明其符合采购文件规定的“投标人资格要求”的，采购人或采购代理机构将对其作资格审查不通过处理（无效投标），并不再将其投标提交评标委员会进行后续评审。</w:t>
      </w:r>
    </w:p>
    <w:p>
      <w:pPr>
        <w:autoSpaceDE w:val="0"/>
        <w:autoSpaceDN w:val="0"/>
        <w:adjustRightInd w:val="0"/>
        <w:spacing w:line="460" w:lineRule="atLeast"/>
        <w:ind w:firstLine="440" w:firstLineChars="200"/>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4.3单位负责人为同一人或者存在直接控股、管理关系的不同供应商参加同一合同项下的政府采购活动的，相关投标人均作资格无效处理。</w:t>
      </w:r>
    </w:p>
    <w:p>
      <w:pPr>
        <w:pStyle w:val="14"/>
        <w:snapToGrid w:val="0"/>
        <w:spacing w:line="460" w:lineRule="atLeast"/>
        <w:ind w:firstLine="435" w:firstLineChars="197"/>
        <w:rPr>
          <w:rFonts w:hAnsi="宋体"/>
          <w:b/>
          <w:bCs/>
          <w:color w:val="auto"/>
          <w:sz w:val="22"/>
          <w:szCs w:val="22"/>
          <w:highlight w:val="none"/>
        </w:rPr>
      </w:pPr>
      <w:r>
        <w:rPr>
          <w:rFonts w:hint="eastAsia" w:hAnsi="宋体"/>
          <w:b/>
          <w:bCs/>
          <w:color w:val="auto"/>
          <w:sz w:val="22"/>
          <w:szCs w:val="22"/>
          <w:highlight w:val="none"/>
        </w:rPr>
        <w:t>5、评标</w:t>
      </w:r>
    </w:p>
    <w:p>
      <w:pPr>
        <w:pStyle w:val="14"/>
        <w:snapToGrid w:val="0"/>
        <w:spacing w:line="460" w:lineRule="atLeast"/>
        <w:ind w:firstLine="435" w:firstLineChars="197"/>
        <w:rPr>
          <w:rFonts w:hAnsi="宋体"/>
          <w:b/>
          <w:bCs/>
          <w:color w:val="auto"/>
          <w:sz w:val="22"/>
          <w:szCs w:val="22"/>
          <w:highlight w:val="none"/>
        </w:rPr>
      </w:pPr>
      <w:r>
        <w:rPr>
          <w:rFonts w:hint="eastAsia" w:hAnsi="宋体"/>
          <w:b/>
          <w:bCs/>
          <w:color w:val="auto"/>
          <w:sz w:val="22"/>
          <w:szCs w:val="22"/>
          <w:highlight w:val="none"/>
        </w:rPr>
        <w:t>5.1评标由采购人依法组建的评标委员会负责，并独立履行下列职责：</w:t>
      </w:r>
    </w:p>
    <w:p>
      <w:pPr>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1）审查投标文件是否符合招标文件要求，并做出评价；</w:t>
      </w:r>
    </w:p>
    <w:p>
      <w:pPr>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2）要求供应商对投标文件有关事项做出解释或者澄清；</w:t>
      </w:r>
    </w:p>
    <w:p>
      <w:pPr>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3）按照招标文件确定的评标办法确定中标人，并对其排序；综合得分最高的供应商推荐为中标人；</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4）向采购人或者有关部门报告非法干预评标工作的行为。</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5）根据采购人的授权确定中标人名单；</w:t>
      </w:r>
    </w:p>
    <w:p>
      <w:pPr>
        <w:snapToGrid w:val="0"/>
        <w:spacing w:line="460" w:lineRule="atLeast"/>
        <w:ind w:firstLine="435" w:firstLineChars="197"/>
        <w:rPr>
          <w:rFonts w:ascii="宋体" w:hAnsi="宋体" w:cs="宋体"/>
          <w:b/>
          <w:bCs/>
          <w:color w:val="auto"/>
          <w:sz w:val="22"/>
          <w:szCs w:val="22"/>
          <w:highlight w:val="none"/>
        </w:rPr>
      </w:pPr>
      <w:r>
        <w:rPr>
          <w:rFonts w:hint="eastAsia" w:ascii="宋体" w:hAnsi="宋体" w:cs="宋体"/>
          <w:b/>
          <w:bCs/>
          <w:color w:val="auto"/>
          <w:sz w:val="22"/>
          <w:szCs w:val="22"/>
          <w:highlight w:val="none"/>
        </w:rPr>
        <w:t>5.2评标应当遵循下列工作程序：</w:t>
      </w:r>
    </w:p>
    <w:p>
      <w:pPr>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1）投标文件初审。初审为符合性检查。</w:t>
      </w:r>
    </w:p>
    <w:p>
      <w:pPr>
        <w:snapToGrid w:val="0"/>
        <w:spacing w:line="460" w:lineRule="atLeast"/>
        <w:ind w:firstLine="323" w:firstLineChars="147"/>
        <w:rPr>
          <w:rFonts w:ascii="宋体" w:hAnsi="宋体" w:cs="宋体"/>
          <w:color w:val="auto"/>
          <w:sz w:val="22"/>
          <w:szCs w:val="22"/>
          <w:highlight w:val="none"/>
        </w:rPr>
      </w:pPr>
      <w:r>
        <w:rPr>
          <w:rFonts w:hint="eastAsia" w:ascii="宋体" w:hAnsi="宋体" w:cs="宋体"/>
          <w:color w:val="auto"/>
          <w:sz w:val="22"/>
          <w:szCs w:val="22"/>
          <w:highlight w:val="none"/>
        </w:rPr>
        <w:t>（1)符合性检查。依据招标文件的规定，从投标文件的有效性、完整性和对招标文件的响应程度进行审查，以确定是否对招标文件的实质性要求做出响应。</w:t>
      </w:r>
    </w:p>
    <w:p>
      <w:pPr>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adjustRightInd w:val="0"/>
        <w:snapToGrid w:val="0"/>
        <w:spacing w:line="460" w:lineRule="atLeast"/>
        <w:ind w:firstLine="435" w:firstLineChars="197"/>
        <w:rPr>
          <w:rFonts w:ascii="宋体" w:hAnsi="宋体" w:cs="宋体"/>
          <w:b/>
          <w:bCs/>
          <w:color w:val="auto"/>
          <w:sz w:val="22"/>
          <w:szCs w:val="22"/>
          <w:highlight w:val="none"/>
        </w:rPr>
      </w:pPr>
      <w:r>
        <w:rPr>
          <w:rFonts w:hint="eastAsia" w:ascii="宋体" w:hAnsi="宋体" w:cs="宋体"/>
          <w:b/>
          <w:bCs/>
          <w:color w:val="auto"/>
          <w:sz w:val="22"/>
          <w:szCs w:val="22"/>
          <w:highlight w:val="none"/>
        </w:rPr>
        <w:t>实质上没有响应招标文件要求的投标将被拒绝。供应商不得通过修正或撤消不合要求的偏离从而使其投标成为实质上响应的投标。</w:t>
      </w:r>
    </w:p>
    <w:p>
      <w:pPr>
        <w:snapToGrid w:val="0"/>
        <w:spacing w:line="460" w:lineRule="atLeast"/>
        <w:ind w:firstLine="435" w:firstLineChars="197"/>
        <w:rPr>
          <w:rFonts w:ascii="宋体" w:hAnsi="宋体" w:cs="宋体"/>
          <w:b/>
          <w:bCs/>
          <w:color w:val="auto"/>
          <w:sz w:val="22"/>
          <w:szCs w:val="22"/>
          <w:highlight w:val="none"/>
        </w:rPr>
      </w:pPr>
      <w:r>
        <w:rPr>
          <w:rFonts w:hint="eastAsia" w:ascii="宋体" w:hAnsi="宋体" w:cs="宋体"/>
          <w:b/>
          <w:bCs/>
          <w:color w:val="auto"/>
          <w:sz w:val="22"/>
          <w:szCs w:val="22"/>
          <w:highlight w:val="none"/>
        </w:rPr>
        <w:t>评标委员会对投标文件的判定，只依据投标文件内容本身，不依靠开标后的任何外来证明。</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3）比较与评价。按招标文件中规定的评标方法和标准，对资格性检查和符合性检查合格的投标文件进行商务和技术评估，综合比较与评价。</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4）推荐中标人候选人名单，并根据采购人的授权确定中标人。</w:t>
      </w:r>
    </w:p>
    <w:p>
      <w:pPr>
        <w:pStyle w:val="14"/>
        <w:snapToGrid w:val="0"/>
        <w:spacing w:line="460" w:lineRule="atLeast"/>
        <w:ind w:firstLine="435" w:firstLineChars="197"/>
        <w:rPr>
          <w:rFonts w:hAnsi="宋体"/>
          <w:b/>
          <w:bCs/>
          <w:color w:val="auto"/>
          <w:sz w:val="22"/>
          <w:szCs w:val="22"/>
          <w:highlight w:val="none"/>
          <w:u w:val="single"/>
        </w:rPr>
      </w:pPr>
      <w:r>
        <w:rPr>
          <w:rFonts w:hint="eastAsia" w:hAnsi="宋体"/>
          <w:b/>
          <w:bCs/>
          <w:color w:val="auto"/>
          <w:sz w:val="22"/>
          <w:szCs w:val="22"/>
          <w:highlight w:val="none"/>
        </w:rPr>
        <w:t xml:space="preserve">5.3 </w:t>
      </w:r>
      <w:r>
        <w:rPr>
          <w:rFonts w:hint="eastAsia" w:hAnsi="宋体"/>
          <w:b/>
          <w:bCs/>
          <w:color w:val="auto"/>
          <w:sz w:val="22"/>
          <w:szCs w:val="22"/>
          <w:highlight w:val="none"/>
          <w:u w:val="single"/>
        </w:rPr>
        <w:t>▲投标人存在下列情况之一的，投标无效:</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1）投标文件未按招标文件要求签署、盖章的；</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2）不具备招标文件中规定的资格要求的；</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3）报价超过招标文件中规定的预算金额或者最高限价的；</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4）投标文件含有采购人不能接受的附加条件的（包括招标文件中明确要求不得偏离的招标要求，存在负偏离的）;</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5）仅提交“备份投标文件”的；</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6）对关键条文的偏离、保留或反对，例如关于付款方式、完工期、免费质保期、适用法律法规、标准、税费等其他内容；</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7）存在串标、抬标或弄虚作假情况的；</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8）法律、法规和招标文件规定的其他无效情形（或出现重大偏差）。</w:t>
      </w:r>
    </w:p>
    <w:p>
      <w:pPr>
        <w:pStyle w:val="14"/>
        <w:snapToGrid w:val="0"/>
        <w:spacing w:line="460" w:lineRule="atLeast"/>
        <w:ind w:firstLine="435" w:firstLineChars="197"/>
        <w:rPr>
          <w:rFonts w:hAnsi="宋体"/>
          <w:b/>
          <w:bCs/>
          <w:color w:val="auto"/>
          <w:sz w:val="22"/>
          <w:szCs w:val="22"/>
          <w:highlight w:val="none"/>
        </w:rPr>
      </w:pPr>
      <w:r>
        <w:rPr>
          <w:rFonts w:hint="eastAsia" w:hAnsi="宋体"/>
          <w:b/>
          <w:bCs/>
          <w:color w:val="auto"/>
          <w:sz w:val="22"/>
          <w:szCs w:val="22"/>
          <w:highlight w:val="none"/>
        </w:rPr>
        <w:t>5.4 ▲</w:t>
      </w:r>
      <w:r>
        <w:rPr>
          <w:rFonts w:hint="eastAsia" w:hAnsi="宋体"/>
          <w:b/>
          <w:bCs/>
          <w:color w:val="auto"/>
          <w:sz w:val="22"/>
          <w:szCs w:val="22"/>
          <w:highlight w:val="none"/>
          <w:u w:val="single"/>
        </w:rPr>
        <w:t>评标委员会发现投标文件有下列情形之一的属于重大偏差(评标委员会按少数服从多数原则认定),按照无效投标处理：</w:t>
      </w:r>
    </w:p>
    <w:p>
      <w:pPr>
        <w:pStyle w:val="14"/>
        <w:snapToGrid w:val="0"/>
        <w:spacing w:line="460" w:lineRule="atLeast"/>
        <w:ind w:firstLine="435" w:firstLineChars="197"/>
        <w:rPr>
          <w:rFonts w:hAnsi="宋体"/>
          <w:b/>
          <w:bCs/>
          <w:color w:val="auto"/>
          <w:sz w:val="22"/>
          <w:szCs w:val="22"/>
          <w:highlight w:val="none"/>
        </w:rPr>
      </w:pPr>
      <w:r>
        <w:rPr>
          <w:rFonts w:hint="eastAsia" w:hAnsi="宋体"/>
          <w:b/>
          <w:bCs/>
          <w:color w:val="auto"/>
          <w:sz w:val="22"/>
          <w:szCs w:val="22"/>
          <w:highlight w:val="none"/>
        </w:rPr>
        <w:t>1）未按招标文件要求编制或字迹模糊、辨认不清的投标文件；</w:t>
      </w:r>
    </w:p>
    <w:p>
      <w:pPr>
        <w:pStyle w:val="14"/>
        <w:snapToGrid w:val="0"/>
        <w:spacing w:line="460" w:lineRule="atLeast"/>
        <w:ind w:firstLine="435" w:firstLineChars="197"/>
        <w:rPr>
          <w:rFonts w:hAnsi="宋体"/>
          <w:b/>
          <w:bCs/>
          <w:color w:val="auto"/>
          <w:sz w:val="22"/>
          <w:szCs w:val="22"/>
          <w:highlight w:val="none"/>
        </w:rPr>
      </w:pPr>
      <w:r>
        <w:rPr>
          <w:rFonts w:hint="eastAsia" w:hAnsi="宋体"/>
          <w:b/>
          <w:bCs/>
          <w:color w:val="auto"/>
          <w:sz w:val="22"/>
          <w:szCs w:val="22"/>
          <w:highlight w:val="none"/>
        </w:rPr>
        <w:t>2）供应商技术资信投标文件中出现投标报价；</w:t>
      </w:r>
    </w:p>
    <w:p>
      <w:pPr>
        <w:pStyle w:val="14"/>
        <w:snapToGrid w:val="0"/>
        <w:spacing w:line="460" w:lineRule="atLeast"/>
        <w:ind w:firstLine="435" w:firstLineChars="197"/>
        <w:rPr>
          <w:rFonts w:hAnsi="宋体"/>
          <w:b/>
          <w:bCs/>
          <w:color w:val="auto"/>
          <w:sz w:val="22"/>
          <w:szCs w:val="22"/>
          <w:highlight w:val="none"/>
        </w:rPr>
      </w:pPr>
      <w:r>
        <w:rPr>
          <w:rFonts w:hint="eastAsia" w:hAnsi="宋体"/>
          <w:b/>
          <w:bCs/>
          <w:color w:val="auto"/>
          <w:sz w:val="22"/>
          <w:szCs w:val="22"/>
          <w:highlight w:val="none"/>
        </w:rPr>
        <w:t>3）除5.3条款以外，出现其它明显不符合技术规格、技术标准的要求或不满足招标文件技术规格书中的主要参数的投标文件；</w:t>
      </w:r>
    </w:p>
    <w:p>
      <w:pPr>
        <w:pStyle w:val="14"/>
        <w:snapToGrid w:val="0"/>
        <w:spacing w:line="460" w:lineRule="atLeast"/>
        <w:ind w:firstLine="435" w:firstLineChars="197"/>
        <w:rPr>
          <w:rFonts w:hAnsi="宋体"/>
          <w:b/>
          <w:bCs/>
          <w:color w:val="auto"/>
          <w:sz w:val="22"/>
          <w:szCs w:val="22"/>
          <w:highlight w:val="none"/>
        </w:rPr>
      </w:pPr>
      <w:r>
        <w:rPr>
          <w:rFonts w:hint="eastAsia" w:hAnsi="宋体"/>
          <w:b/>
          <w:bCs/>
          <w:color w:val="auto"/>
          <w:sz w:val="22"/>
          <w:szCs w:val="22"/>
          <w:highlight w:val="none"/>
        </w:rPr>
        <w:t>4）除5.3条款以外，出现投标服务内容与招标文件对比出现较大偏差；商务报价明细表计算错误，出现较大差错；</w:t>
      </w:r>
    </w:p>
    <w:p>
      <w:pPr>
        <w:pStyle w:val="14"/>
        <w:snapToGrid w:val="0"/>
        <w:spacing w:line="460" w:lineRule="atLeast"/>
        <w:ind w:firstLine="435" w:firstLineChars="197"/>
        <w:rPr>
          <w:rFonts w:hAnsi="宋体"/>
          <w:b/>
          <w:bCs/>
          <w:color w:val="auto"/>
          <w:sz w:val="22"/>
          <w:szCs w:val="22"/>
          <w:highlight w:val="none"/>
        </w:rPr>
      </w:pPr>
      <w:r>
        <w:rPr>
          <w:rFonts w:hint="eastAsia" w:hAnsi="宋体"/>
          <w:b/>
          <w:bCs/>
          <w:color w:val="auto"/>
          <w:sz w:val="22"/>
          <w:szCs w:val="22"/>
          <w:highlight w:val="none"/>
        </w:rPr>
        <w:t>5）除5.3条款以外，出现其它不符合招标文件中规定的实质性要求的投标文件，是否为偏离实质性要求由评标委员会认定。</w:t>
      </w:r>
    </w:p>
    <w:p>
      <w:pPr>
        <w:pStyle w:val="14"/>
        <w:snapToGrid w:val="0"/>
        <w:spacing w:line="460" w:lineRule="atLeast"/>
        <w:ind w:firstLine="435" w:firstLineChars="197"/>
        <w:rPr>
          <w:rFonts w:hAnsi="宋体"/>
          <w:b/>
          <w:bCs/>
          <w:color w:val="auto"/>
          <w:sz w:val="22"/>
          <w:szCs w:val="22"/>
          <w:highlight w:val="none"/>
        </w:rPr>
      </w:pPr>
      <w:r>
        <w:rPr>
          <w:rFonts w:hint="eastAsia" w:hAnsi="宋体"/>
          <w:b/>
          <w:bCs/>
          <w:color w:val="auto"/>
          <w:sz w:val="22"/>
          <w:szCs w:val="22"/>
          <w:highlight w:val="none"/>
        </w:rPr>
        <w:t>5.5 开启供应商商务报价文件后发现价格、数量有误，其投标价将按下述原则处理：</w:t>
      </w:r>
    </w:p>
    <w:p>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1) 任何有漏去一些小项货物或服务的投标将被视为其费用已包含在投标综合单价中，投标价格不予调整。如果供应商不接受上述处理方式，将作为无效投标。</w:t>
      </w:r>
    </w:p>
    <w:p>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2) 任何有多报一些小项工程或服务的投标其投标价不予调整，如果该供应商中标，则合同价格必须为核减掉多报的一些小项工程或服务后的价格。如果供应商不接受上述处理方式，将作为无效投标。</w:t>
      </w:r>
    </w:p>
    <w:p>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3）对于计算错误的其投标价不予调整，如果该供应商中标，如其投标价格计算错误导致多报者合同价格予以据实核减，少报者合同价格不予调整。如果供应商不接受上述处理方式，将作为无效投标。</w:t>
      </w:r>
    </w:p>
    <w:p>
      <w:pPr>
        <w:adjustRightInd w:val="0"/>
        <w:snapToGrid w:val="0"/>
        <w:spacing w:line="460" w:lineRule="atLeast"/>
        <w:ind w:firstLine="433" w:firstLineChars="197"/>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4）对于计算错误，多报或漏报的一些小项工程或服务的仅仅为非实质性重大偏差范围内的偏离，并经过评标委员会按少数服从多数原则认定为细微偏差，评审时其投标价不予调整。</w:t>
      </w:r>
      <w:r>
        <w:rPr>
          <w:rFonts w:hint="eastAsia" w:ascii="宋体" w:hAnsi="宋体" w:cs="宋体"/>
          <w:b/>
          <w:bCs/>
          <w:color w:val="auto"/>
          <w:sz w:val="22"/>
          <w:szCs w:val="22"/>
          <w:highlight w:val="none"/>
          <w:u w:val="single"/>
        </w:rPr>
        <w:t>如认定为重大偏差的，做无效投标处理。</w:t>
      </w:r>
    </w:p>
    <w:p>
      <w:pPr>
        <w:adjustRightInd w:val="0"/>
        <w:snapToGrid w:val="0"/>
        <w:spacing w:line="460" w:lineRule="atLeast"/>
        <w:ind w:firstLine="435" w:firstLineChars="197"/>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5.6▲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p>
    <w:p>
      <w:pPr>
        <w:adjustRightInd w:val="0"/>
        <w:snapToGrid w:val="0"/>
        <w:spacing w:line="460" w:lineRule="atLeast"/>
        <w:ind w:firstLine="435" w:firstLineChars="197"/>
        <w:rPr>
          <w:rFonts w:ascii="宋体" w:hAnsi="宋体" w:cs="宋体"/>
          <w:b/>
          <w:bCs/>
          <w:color w:val="auto"/>
          <w:sz w:val="22"/>
          <w:szCs w:val="22"/>
          <w:highlight w:val="none"/>
        </w:rPr>
      </w:pPr>
      <w:r>
        <w:rPr>
          <w:rFonts w:hint="eastAsia" w:ascii="宋体" w:hAnsi="宋体" w:cs="宋体"/>
          <w:b/>
          <w:bCs/>
          <w:color w:val="auto"/>
          <w:sz w:val="22"/>
          <w:szCs w:val="22"/>
          <w:highlight w:val="none"/>
          <w:u w:val="single"/>
        </w:rPr>
        <w:t>5.7如果投标人代表拒绝按评标委员会要求在“政采云平台”作出在线回复且无其他有效回复方式的，评标委员会可以对其作出否决投标处理。</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5.8 经澄清后，若偏差仍存在，且不可接受，则投标文件将被认定为“没有实质性响应采购文件要求”，按无效投标处理，不再进入下一步评审。评标委员会在评标中，不得改变招标文件中规定的评标标准、方法和中标条件。</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5.9 评标时如遇到招标文件未规定的特殊情况，由评标委员会按少数服从多数原则集体决定处理。</w:t>
      </w:r>
    </w:p>
    <w:p>
      <w:pPr>
        <w:pStyle w:val="14"/>
        <w:snapToGrid w:val="0"/>
        <w:spacing w:line="460" w:lineRule="atLeast"/>
        <w:ind w:firstLine="435" w:firstLineChars="197"/>
        <w:rPr>
          <w:rFonts w:hAnsi="宋体"/>
          <w:b/>
          <w:bCs/>
          <w:color w:val="auto"/>
          <w:sz w:val="22"/>
          <w:szCs w:val="22"/>
          <w:highlight w:val="none"/>
          <w:u w:val="single"/>
        </w:rPr>
      </w:pPr>
      <w:r>
        <w:rPr>
          <w:rFonts w:hint="eastAsia" w:hAnsi="宋体"/>
          <w:b/>
          <w:bCs/>
          <w:color w:val="auto"/>
          <w:sz w:val="22"/>
          <w:szCs w:val="22"/>
          <w:highlight w:val="none"/>
          <w:u w:val="single"/>
        </w:rPr>
        <w:t>5.10评标委员会对未中标的供应商不作解释。同时根据政府采购法实施条例第四十条规定，本项目不对供应商公布详细的评审情况，不公布具体评标细则中小项得分。</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6、投标文件的澄清</w:t>
      </w:r>
    </w:p>
    <w:p>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 xml:space="preserve">6.1 </w:t>
      </w:r>
      <w:r>
        <w:rPr>
          <w:rFonts w:hint="eastAsia" w:ascii="宋体" w:hAnsi="宋体" w:cs="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ascii="宋体" w:hAnsi="宋体" w:cs="宋体"/>
          <w:color w:val="auto"/>
          <w:sz w:val="22"/>
          <w:szCs w:val="22"/>
          <w:highlight w:val="none"/>
        </w:rPr>
        <w:t>。</w:t>
      </w:r>
    </w:p>
    <w:p>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6.2 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 xml:space="preserve">6.3 供应商对投标文件的澄清不得寻求、提供或允许改变投标价格等实质性内容。 </w:t>
      </w:r>
    </w:p>
    <w:p>
      <w:pPr>
        <w:adjustRightInd w:val="0"/>
        <w:snapToGrid w:val="0"/>
        <w:spacing w:line="460" w:lineRule="atLeast"/>
        <w:ind w:left="414" w:leftChars="197"/>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7、禁止供应商相互串通投标。</w:t>
      </w:r>
    </w:p>
    <w:p>
      <w:pPr>
        <w:adjustRightInd w:val="0"/>
        <w:snapToGrid w:val="0"/>
        <w:spacing w:line="460" w:lineRule="atLeast"/>
        <w:ind w:left="414" w:leftChars="197"/>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7.1、有下列情形之一的，视为供应商相互串通投标：</w:t>
      </w:r>
    </w:p>
    <w:p>
      <w:pPr>
        <w:adjustRightInd w:val="0"/>
        <w:snapToGrid w:val="0"/>
        <w:spacing w:line="460" w:lineRule="atLeast"/>
        <w:ind w:left="414" w:leftChars="197"/>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（一）不同供应商的投标文件由同一单位或者个人编制；</w:t>
      </w:r>
    </w:p>
    <w:p>
      <w:pPr>
        <w:adjustRightInd w:val="0"/>
        <w:snapToGrid w:val="0"/>
        <w:spacing w:line="460" w:lineRule="atLeast"/>
        <w:ind w:left="414" w:leftChars="197"/>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（二）不同供应商委托同一单位或者个人办理投标事宜；</w:t>
      </w:r>
    </w:p>
    <w:p>
      <w:pPr>
        <w:adjustRightInd w:val="0"/>
        <w:snapToGrid w:val="0"/>
        <w:spacing w:line="460" w:lineRule="atLeast"/>
        <w:ind w:left="414" w:leftChars="197"/>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（三）不同供应商的投标文件载明的项目管理成员为同一人；</w:t>
      </w:r>
    </w:p>
    <w:p>
      <w:pPr>
        <w:adjustRightInd w:val="0"/>
        <w:snapToGrid w:val="0"/>
        <w:spacing w:line="460" w:lineRule="atLeast"/>
        <w:ind w:left="414" w:leftChars="197"/>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（四）不同供应商的投标文件异常一致或者投标报价呈规律性差异；</w:t>
      </w:r>
    </w:p>
    <w:p>
      <w:pPr>
        <w:adjustRightInd w:val="0"/>
        <w:snapToGrid w:val="0"/>
        <w:spacing w:line="460" w:lineRule="atLeast"/>
        <w:ind w:left="414" w:leftChars="197"/>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（五）不同供应商的投标文件相互混装；</w:t>
      </w:r>
    </w:p>
    <w:p>
      <w:pPr>
        <w:adjustRightInd w:val="0"/>
        <w:snapToGrid w:val="0"/>
        <w:spacing w:line="460" w:lineRule="atLeast"/>
        <w:ind w:left="414" w:leftChars="197"/>
        <w:rPr>
          <w:rFonts w:ascii="宋体" w:hAnsi="宋体" w:cs="宋体"/>
          <w:b/>
          <w:bCs/>
          <w:color w:val="auto"/>
          <w:sz w:val="22"/>
          <w:szCs w:val="22"/>
          <w:highlight w:val="none"/>
        </w:rPr>
      </w:pPr>
      <w:r>
        <w:rPr>
          <w:rFonts w:hint="eastAsia" w:ascii="宋体" w:hAnsi="宋体" w:cs="宋体"/>
          <w:b/>
          <w:bCs/>
          <w:color w:val="auto"/>
          <w:sz w:val="22"/>
          <w:szCs w:val="22"/>
          <w:highlight w:val="none"/>
        </w:rPr>
        <w:t>7.2、经评标委员会认定供应商进行串通投标的，评标委员会可以对相关供应商做出无效投标处理，并上报政府采购管理部门进行进一步处理。</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8、评标原则</w:t>
      </w:r>
    </w:p>
    <w:p>
      <w:pPr>
        <w:pStyle w:val="14"/>
        <w:snapToGrid w:val="0"/>
        <w:spacing w:line="460" w:lineRule="atLeast"/>
        <w:ind w:firstLine="435" w:firstLineChars="197"/>
        <w:rPr>
          <w:rFonts w:hAnsi="宋体"/>
          <w:b/>
          <w:bCs/>
          <w:color w:val="auto"/>
          <w:sz w:val="22"/>
          <w:szCs w:val="22"/>
          <w:highlight w:val="none"/>
        </w:rPr>
      </w:pPr>
      <w:r>
        <w:rPr>
          <w:rFonts w:hint="eastAsia" w:hAnsi="宋体"/>
          <w:b/>
          <w:bCs/>
          <w:color w:val="auto"/>
          <w:sz w:val="22"/>
          <w:szCs w:val="22"/>
          <w:highlight w:val="none"/>
        </w:rPr>
        <w:t>8.1 ▲</w:t>
      </w:r>
      <w:r>
        <w:rPr>
          <w:rFonts w:hint="eastAsia" w:hAnsi="宋体"/>
          <w:b/>
          <w:bCs/>
          <w:color w:val="auto"/>
          <w:sz w:val="22"/>
          <w:szCs w:val="22"/>
          <w:highlight w:val="none"/>
          <w:u w:val="single"/>
        </w:rPr>
        <w:t>投标截止时或评审过程中有效投标供应商不足三家的，不予开标或评标。</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9、确定中标候选人</w:t>
      </w:r>
    </w:p>
    <w:p>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9.1本次招标由评标委员会推荐中标候选人，采购人根据评标委员会的推荐结果进行最终确认。</w:t>
      </w:r>
    </w:p>
    <w:p>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9.2评标委员会依据法律、法规及采购文件有关规定在有效标中按投标人的最终得分（即技术分与商务分之和）高低进行排序，得分前二名的投标人推荐为中标候选人与备选中标人（得分相同投标报价低的排序第一；得分且投标报价相同的，由评标委员会成员抽签决定排序）。</w:t>
      </w:r>
    </w:p>
    <w:p>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9.3若出现以下情形之一，采购人可视具体情况确定是否由备选中标人为中标人或重新组织招标：</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1）中标候选人放弃中标资格；</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2）中标候选人因不可抗力提出不能履行合同；</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3）中标候选人未能在规定时间内与采购单位签订合同；</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4）经质疑，采购人审查后，中标候选人确实在本次采购活动中存在违法违规行为或其他原因使质疑成立的。</w:t>
      </w:r>
    </w:p>
    <w:p>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9.4采购人、采购代理机构及评标委员会对未中标的供应商不作解释。同时根据政府采购法实施条例第四十条规定，本项目不对供应商公布详细的评审情况，不公布具体评标细则中小项得分。</w:t>
      </w:r>
    </w:p>
    <w:p>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10、评标细则详见“评标原则及方法”。</w:t>
      </w:r>
    </w:p>
    <w:p>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11、 可中止电子交易活动的情形</w:t>
      </w:r>
    </w:p>
    <w:p>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11.1采购过程中出现以下情形，导致电子交易平台无法正常运行，或者无法保证电子交易的公平、公正和安全时，采购组织机构可中止电子交易活动：</w:t>
      </w:r>
    </w:p>
    <w:p>
      <w:pPr>
        <w:numPr>
          <w:ilvl w:val="2"/>
          <w:numId w:val="16"/>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pPr>
        <w:numPr>
          <w:ilvl w:val="2"/>
          <w:numId w:val="16"/>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pPr>
        <w:numPr>
          <w:ilvl w:val="2"/>
          <w:numId w:val="16"/>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pPr>
        <w:numPr>
          <w:ilvl w:val="2"/>
          <w:numId w:val="16"/>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pPr>
        <w:numPr>
          <w:ilvl w:val="2"/>
          <w:numId w:val="16"/>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11.2出现前款规定情形，不影响采购公平、公正性的，采购组织机构可以待上述情形消除后继续组织电子交易活动；影响或可能影响采购公平、公正性的，应当重新采购。</w:t>
      </w:r>
    </w:p>
    <w:p>
      <w:pPr>
        <w:widowControl/>
        <w:autoSpaceDE w:val="0"/>
        <w:autoSpaceDN w:val="0"/>
        <w:adjustRightInd w:val="0"/>
        <w:spacing w:line="460" w:lineRule="atLeast"/>
        <w:textAlignment w:val="bottom"/>
        <w:rPr>
          <w:rFonts w:ascii="宋体" w:hAnsi="宋体" w:cs="宋体"/>
          <w:b/>
          <w:bCs/>
          <w:color w:val="auto"/>
          <w:sz w:val="22"/>
          <w:szCs w:val="22"/>
          <w:highlight w:val="none"/>
        </w:rPr>
      </w:pPr>
      <w:bookmarkStart w:id="103" w:name="_Toc496116255"/>
      <w:r>
        <w:rPr>
          <w:rFonts w:hint="eastAsia" w:ascii="宋体" w:hAnsi="宋体" w:cs="宋体"/>
          <w:b/>
          <w:bCs/>
          <w:color w:val="auto"/>
          <w:sz w:val="22"/>
          <w:szCs w:val="22"/>
          <w:highlight w:val="none"/>
        </w:rPr>
        <w:t>七、授予合同</w:t>
      </w:r>
      <w:bookmarkEnd w:id="103"/>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1、决标</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1.1、评标结束后，评标委员会按照招标文件确定的评标办法推荐中标供应商。</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2、中标通知书</w:t>
      </w:r>
    </w:p>
    <w:p>
      <w:pPr>
        <w:spacing w:line="460" w:lineRule="atLeast"/>
        <w:ind w:firstLine="435" w:firstLineChars="197"/>
        <w:rPr>
          <w:rFonts w:ascii="宋体" w:hAnsi="宋体" w:cs="宋体"/>
          <w:b/>
          <w:bCs/>
          <w:color w:val="auto"/>
          <w:sz w:val="22"/>
          <w:szCs w:val="22"/>
          <w:highlight w:val="none"/>
        </w:rPr>
      </w:pPr>
      <w:r>
        <w:rPr>
          <w:rFonts w:hint="eastAsia" w:ascii="宋体" w:hAnsi="宋体" w:cs="宋体"/>
          <w:b/>
          <w:bCs/>
          <w:color w:val="auto"/>
          <w:sz w:val="22"/>
          <w:szCs w:val="22"/>
          <w:highlight w:val="none"/>
        </w:rPr>
        <w:t>2.1、采购人依法确认中标供应商后，代理机构在浙江省政府采购网上公告中标结果，公告期限为1个工作日。同时向中标供应商发出中标通知书。</w:t>
      </w:r>
    </w:p>
    <w:p>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2.2、中标通知书对采购人和中标人具有法律约束力。中标通知书发出后，采购人改变中标结果或者中标人放弃中标的，应当承担法律责任。</w:t>
      </w:r>
    </w:p>
    <w:p>
      <w:pPr>
        <w:adjustRightInd w:val="0"/>
        <w:snapToGrid w:val="0"/>
        <w:spacing w:line="460" w:lineRule="atLeast"/>
        <w:ind w:firstLine="435" w:firstLineChars="197"/>
        <w:rPr>
          <w:rFonts w:ascii="宋体" w:hAnsi="宋体" w:cs="宋体"/>
          <w:b/>
          <w:bCs/>
          <w:color w:val="auto"/>
          <w:sz w:val="22"/>
          <w:szCs w:val="22"/>
          <w:highlight w:val="none"/>
        </w:rPr>
      </w:pPr>
      <w:r>
        <w:rPr>
          <w:rFonts w:hint="eastAsia" w:ascii="宋体" w:hAnsi="宋体" w:cs="宋体"/>
          <w:b/>
          <w:bCs/>
          <w:color w:val="auto"/>
          <w:sz w:val="22"/>
          <w:szCs w:val="22"/>
          <w:highlight w:val="none"/>
        </w:rPr>
        <w:t>2.3、中标无效</w:t>
      </w:r>
    </w:p>
    <w:p>
      <w:pPr>
        <w:adjustRightInd w:val="0"/>
        <w:snapToGrid w:val="0"/>
        <w:spacing w:line="460" w:lineRule="atLeast"/>
        <w:ind w:firstLine="433" w:firstLineChars="197"/>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1）发现中标供应商资格无效或中标供应商放弃中标或拒绝与采购人签订合同的,采购人可以按照评审报告推荐的中标候选人名单排序，确定下一候选人为中标供应商，也可以重新开展政府采购活动。</w:t>
      </w:r>
    </w:p>
    <w:p>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 xml:space="preserve">    2）有《中华人民共和国政府采购法实施条例》第七十一条、第七十二条、第七十三条、第七十四条规定的违法行为之一，由政府采购监管部门依法处理。</w:t>
      </w:r>
    </w:p>
    <w:p>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4、签订合同</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4.1 中标供应商须主动联系采购人或采购代理机构领取中标通知书。中标供应商应当在中标通知书发出之日起30日历天内与采购人签订合同。中标供应商未经采购人许可，在规定时间内未到采购人处与采购人签订合同，则视为拒签合同。</w:t>
      </w:r>
    </w:p>
    <w:p>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4.2 招标文件、中标供应商的投标文件及投标修改文件、评标过程中有关澄清文件及经双方签字的询标纪要（承诺）和中标通知书均作为合同附件。</w:t>
      </w:r>
    </w:p>
    <w:p>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4.3 拒签合同的责任</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中标供应商在规定时间内（30日历天）借故否认已经承诺的条件、拒签合同或拒交履约保证金者，以投标违约处理，赔偿采购人由此造成的直接经济损失；采购人重新组织招标的，所需费用由原中标供应商承担。</w:t>
      </w:r>
    </w:p>
    <w:p>
      <w:pPr>
        <w:pStyle w:val="14"/>
        <w:snapToGrid w:val="0"/>
        <w:spacing w:line="460" w:lineRule="atLeast"/>
        <w:ind w:firstLine="433" w:firstLineChars="197"/>
        <w:rPr>
          <w:rFonts w:hAnsi="宋体"/>
          <w:color w:val="auto"/>
          <w:sz w:val="22"/>
          <w:szCs w:val="22"/>
          <w:highlight w:val="none"/>
        </w:rPr>
      </w:pPr>
      <w:r>
        <w:rPr>
          <w:rFonts w:hint="eastAsia" w:hAnsi="宋体"/>
          <w:color w:val="auto"/>
          <w:sz w:val="22"/>
          <w:szCs w:val="22"/>
          <w:highlight w:val="none"/>
        </w:rPr>
        <w:t>4.4 采购人在授予合同时有权对采购的服务予以增加或减少，但不得对单价或其他的条款和条件做任何改变。</w:t>
      </w:r>
    </w:p>
    <w:p>
      <w:pPr>
        <w:rPr>
          <w:rFonts w:ascii="宋体" w:hAnsi="宋体" w:cs="宋体"/>
          <w:color w:val="auto"/>
          <w:sz w:val="30"/>
          <w:szCs w:val="30"/>
          <w:highlight w:val="none"/>
        </w:rPr>
      </w:pPr>
      <w:bookmarkStart w:id="104" w:name="_Toc498343169"/>
      <w:bookmarkStart w:id="105" w:name="_Toc73091436"/>
      <w:bookmarkStart w:id="106" w:name="_Toc496116256"/>
      <w:bookmarkStart w:id="107" w:name="_Toc293038719"/>
      <w:r>
        <w:rPr>
          <w:rFonts w:hint="eastAsia" w:ascii="宋体" w:hAnsi="宋体" w:cs="宋体"/>
          <w:color w:val="auto"/>
          <w:sz w:val="30"/>
          <w:szCs w:val="30"/>
          <w:highlight w:val="none"/>
        </w:rPr>
        <w:br w:type="page"/>
      </w:r>
    </w:p>
    <w:p>
      <w:pPr>
        <w:pStyle w:val="25"/>
        <w:rPr>
          <w:rFonts w:ascii="宋体" w:hAnsi="宋体" w:cs="宋体"/>
          <w:color w:val="auto"/>
          <w:sz w:val="30"/>
          <w:szCs w:val="30"/>
          <w:highlight w:val="none"/>
        </w:rPr>
      </w:pPr>
      <w:r>
        <w:rPr>
          <w:rFonts w:hint="eastAsia" w:ascii="宋体" w:hAnsi="宋体" w:cs="宋体"/>
          <w:color w:val="auto"/>
          <w:sz w:val="30"/>
          <w:szCs w:val="30"/>
          <w:highlight w:val="none"/>
        </w:rPr>
        <w:t>第四部分 政府采购政策功能相关说明</w:t>
      </w:r>
      <w:bookmarkEnd w:id="104"/>
      <w:bookmarkEnd w:id="105"/>
      <w:bookmarkEnd w:id="106"/>
    </w:p>
    <w:p>
      <w:pPr>
        <w:jc w:val="left"/>
        <w:rPr>
          <w:rFonts w:ascii="宋体" w:hAnsi="宋体" w:cs="宋体"/>
          <w:color w:val="auto"/>
          <w:sz w:val="22"/>
          <w:szCs w:val="22"/>
          <w:highlight w:val="none"/>
        </w:rPr>
      </w:pPr>
      <w:r>
        <w:rPr>
          <w:rFonts w:hint="eastAsia" w:ascii="宋体" w:hAnsi="宋体" w:cs="宋体"/>
          <w:color w:val="auto"/>
          <w:sz w:val="22"/>
          <w:szCs w:val="22"/>
          <w:highlight w:val="none"/>
        </w:rPr>
        <w:t>一、小、微企业（含监狱企业、残疾人福利性单位）扶持政策说明</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1、文件依据</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（1）关于印发《政府采购促进中小企业发展管理办法》的通知（财库〔2020〕46号）</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（2）浙江省省财政厅《关于开展政府采购投标人网上注册登记和诚信管理工作的通知》（浙财采监〔2010〕8号)</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（3）《工业和信息化部、国家统计局、国家发展和改革委员会、财政部关于印发中小企业划型标准规定的通知》（工信部联企业[2011]300号）</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（4）财政部、司法部《关于政府采购支持监狱企业发展有关问题的通知》（财库〔2014〕68号）</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（5）《财政部 民政部 中国残疾人联合会关于促进残疾人就业政府采购政策的通知》（财库〔2017〕 141号）</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（6）《浙江省财政厅  浙江省经济和信息化委员会关于简化中小企业类别确认流程有关事项的通知》（浙财采监〔2018〕2号)</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2、享受小微企业价格折扣应具备的条件与价格折扣比例</w:t>
      </w:r>
    </w:p>
    <w:p>
      <w:pPr>
        <w:spacing w:line="440" w:lineRule="atLeas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（1）在货物采购项目中，货物由中小企业制造，即货物由中小企业生产且使用该中小企业商号或者注册商标；</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（2）在工程采购项目中，工程由中小企业承建，即工程施工单位为中小企业；</w:t>
      </w:r>
    </w:p>
    <w:p>
      <w:pPr>
        <w:spacing w:line="440" w:lineRule="atLeas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（3）在服务采购项目中，服务由中小企业承接，即提供服务的人员为中小企业依照《中华人民共和国民法典》订立劳动合同的从业人员。</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在货物采购项目中，供应商提供的货物既有中小企业制造货物，也有大型企业制造货物的，不享受本办法规定的中小企业扶持政策。</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以联合体形式参加政府采购活动，联合体各方均为中小企业的，联合体视同中小企业。其中，联合体各方均为小微企业的，联合体视同小微企业。</w:t>
      </w:r>
    </w:p>
    <w:p>
      <w:pPr>
        <w:spacing w:line="440" w:lineRule="atLeast"/>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（3）本项目对小型和微型企业产品的价格给予10%的扣除，用扣除后的价格参与评审。</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u w:val="single"/>
        </w:rPr>
        <w:t>3、享受小微企业价格折扣应提供以下证明材料</w:t>
      </w:r>
      <w:r>
        <w:rPr>
          <w:rFonts w:hint="eastAsia" w:ascii="宋体" w:hAnsi="宋体" w:cs="宋体"/>
          <w:color w:val="auto"/>
          <w:sz w:val="22"/>
          <w:szCs w:val="22"/>
          <w:highlight w:val="none"/>
        </w:rPr>
        <w:t>：</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（1）《中小企业声明函》（原件，加盖投标人公章，格式见附件1）</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u w:val="single"/>
        </w:rPr>
        <w:t>享受监狱企业价格折扣应提供以下证明材料（投标文件商务（报价）标中，不提供的不享受价格折扣）</w:t>
      </w:r>
      <w:r>
        <w:rPr>
          <w:rFonts w:hint="eastAsia" w:ascii="宋体" w:hAnsi="宋体" w:cs="宋体"/>
          <w:color w:val="auto"/>
          <w:sz w:val="22"/>
          <w:szCs w:val="22"/>
          <w:highlight w:val="none"/>
        </w:rPr>
        <w:t>：</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1）监狱企业参加政府采购活动时，应当提供由省级以上监狱管理局、戒毒管理局(含新疆生产建设兵团)出具的属于监狱企业的证明文件（原件或扫描件加盖公章）。在政府采购活动中，监狱企业视同小型、微型企业，享受评审中价格扣除政策。</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u w:val="single"/>
        </w:rPr>
        <w:t>享受残疾人福利性单位格折扣应提供以下证明材料（投标文件技术资信标中，不提供的不享受价格折扣）</w:t>
      </w:r>
      <w:r>
        <w:rPr>
          <w:rFonts w:hint="eastAsia" w:ascii="宋体" w:hAnsi="宋体" w:cs="宋体"/>
          <w:color w:val="auto"/>
          <w:sz w:val="22"/>
          <w:szCs w:val="22"/>
          <w:highlight w:val="none"/>
        </w:rPr>
        <w:t>：</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（1）残疾人福利性单位声明函（附件2）；</w:t>
      </w:r>
    </w:p>
    <w:p>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ascii="宋体" w:hAnsi="宋体" w:cs="宋体"/>
          <w:b/>
          <w:bCs/>
          <w:color w:val="auto"/>
          <w:sz w:val="22"/>
          <w:szCs w:val="22"/>
          <w:highlight w:val="none"/>
        </w:rPr>
      </w:pPr>
    </w:p>
    <w:p>
      <w:pPr>
        <w:spacing w:line="440" w:lineRule="atLeast"/>
        <w:jc w:val="left"/>
        <w:rPr>
          <w:rFonts w:ascii="宋体" w:hAnsi="宋体" w:cs="宋体"/>
          <w:b/>
          <w:bCs/>
          <w:color w:val="auto"/>
          <w:sz w:val="22"/>
          <w:szCs w:val="22"/>
          <w:highlight w:val="none"/>
        </w:rPr>
      </w:pPr>
    </w:p>
    <w:p>
      <w:pPr>
        <w:spacing w:line="440" w:lineRule="atLeast"/>
        <w:jc w:val="left"/>
        <w:rPr>
          <w:rFonts w:ascii="宋体" w:hAnsi="宋体" w:cs="宋体"/>
          <w:b/>
          <w:bCs/>
          <w:color w:val="auto"/>
          <w:sz w:val="22"/>
          <w:szCs w:val="22"/>
          <w:highlight w:val="none"/>
        </w:rPr>
      </w:pPr>
    </w:p>
    <w:p>
      <w:pPr>
        <w:spacing w:line="440" w:lineRule="atLeast"/>
        <w:jc w:val="left"/>
        <w:rPr>
          <w:rFonts w:ascii="宋体" w:hAnsi="宋体" w:cs="宋体"/>
          <w:b/>
          <w:bCs/>
          <w:color w:val="auto"/>
          <w:sz w:val="22"/>
          <w:szCs w:val="22"/>
          <w:highlight w:val="none"/>
        </w:rPr>
      </w:pPr>
    </w:p>
    <w:p>
      <w:pPr>
        <w:spacing w:line="440" w:lineRule="atLeast"/>
        <w:jc w:val="left"/>
        <w:rPr>
          <w:rFonts w:ascii="宋体" w:hAnsi="宋体" w:cs="宋体"/>
          <w:b/>
          <w:bCs/>
          <w:color w:val="auto"/>
          <w:sz w:val="22"/>
          <w:szCs w:val="22"/>
          <w:highlight w:val="none"/>
        </w:rPr>
      </w:pPr>
    </w:p>
    <w:p>
      <w:pPr>
        <w:spacing w:line="440" w:lineRule="atLeast"/>
        <w:jc w:val="left"/>
        <w:rPr>
          <w:rFonts w:ascii="宋体" w:hAnsi="宋体" w:cs="宋体"/>
          <w:b/>
          <w:bCs/>
          <w:color w:val="auto"/>
          <w:sz w:val="22"/>
          <w:szCs w:val="22"/>
          <w:highlight w:val="none"/>
        </w:rPr>
      </w:pPr>
    </w:p>
    <w:p>
      <w:pPr>
        <w:spacing w:line="440" w:lineRule="atLeast"/>
        <w:jc w:val="left"/>
        <w:rPr>
          <w:rFonts w:ascii="宋体" w:hAnsi="宋体" w:cs="宋体"/>
          <w:b/>
          <w:bCs/>
          <w:color w:val="auto"/>
          <w:sz w:val="22"/>
          <w:szCs w:val="22"/>
          <w:highlight w:val="none"/>
        </w:rPr>
      </w:pPr>
    </w:p>
    <w:p>
      <w:pPr>
        <w:spacing w:line="440" w:lineRule="atLeast"/>
        <w:jc w:val="left"/>
        <w:rPr>
          <w:rFonts w:ascii="宋体" w:hAnsi="宋体" w:cs="宋体"/>
          <w:b/>
          <w:bCs/>
          <w:color w:val="auto"/>
          <w:sz w:val="22"/>
          <w:szCs w:val="22"/>
          <w:highlight w:val="none"/>
        </w:rPr>
      </w:pPr>
    </w:p>
    <w:p>
      <w:pPr>
        <w:spacing w:line="440" w:lineRule="atLeast"/>
        <w:jc w:val="left"/>
        <w:rPr>
          <w:rFonts w:ascii="宋体" w:hAnsi="宋体" w:cs="宋体"/>
          <w:b/>
          <w:bCs/>
          <w:color w:val="auto"/>
          <w:sz w:val="22"/>
          <w:szCs w:val="22"/>
          <w:highlight w:val="none"/>
        </w:rPr>
      </w:pPr>
    </w:p>
    <w:p>
      <w:pPr>
        <w:spacing w:line="440" w:lineRule="atLeast"/>
        <w:jc w:val="left"/>
        <w:rPr>
          <w:rFonts w:ascii="宋体" w:hAnsi="宋体" w:cs="宋体"/>
          <w:b/>
          <w:bCs/>
          <w:color w:val="auto"/>
          <w:sz w:val="22"/>
          <w:szCs w:val="22"/>
          <w:highlight w:val="none"/>
        </w:rPr>
      </w:pPr>
    </w:p>
    <w:p>
      <w:pPr>
        <w:spacing w:line="440" w:lineRule="atLeast"/>
        <w:jc w:val="left"/>
        <w:rPr>
          <w:rFonts w:ascii="宋体" w:hAnsi="宋体" w:cs="宋体"/>
          <w:b/>
          <w:bCs/>
          <w:color w:val="auto"/>
          <w:sz w:val="22"/>
          <w:szCs w:val="22"/>
          <w:highlight w:val="none"/>
        </w:rPr>
      </w:pPr>
    </w:p>
    <w:p>
      <w:pPr>
        <w:widowControl/>
        <w:spacing w:before="100" w:beforeAutospacing="1" w:after="100" w:afterAutospacing="1" w:line="440" w:lineRule="atLeast"/>
        <w:jc w:val="left"/>
        <w:rPr>
          <w:rFonts w:ascii="宋体" w:hAnsi="宋体" w:cs="宋体"/>
          <w:b/>
          <w:bCs/>
          <w:color w:val="auto"/>
          <w:sz w:val="24"/>
          <w:szCs w:val="24"/>
          <w:highlight w:val="none"/>
        </w:rPr>
      </w:pP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pPr>
        <w:widowControl/>
        <w:spacing w:before="100" w:beforeAutospacing="1" w:after="100" w:afterAutospacing="1" w:line="440" w:lineRule="atLeas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附件1：</w:t>
      </w:r>
    </w:p>
    <w:p>
      <w:pPr>
        <w:widowControl/>
        <w:spacing w:before="100" w:beforeAutospacing="1" w:after="100" w:afterAutospacing="1" w:line="440" w:lineRule="atLeas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中小企业声明函（货物）</w:t>
      </w:r>
    </w:p>
    <w:p>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本公司（联合体）郑重声明，根据《政府采购促进中小企业发展管理办法》（财库﹝2020﹞46 号）的规定，本公司（联合体）参加</w:t>
      </w:r>
      <w:r>
        <w:rPr>
          <w:rFonts w:hint="eastAsia" w:ascii="宋体" w:hAnsi="宋体" w:cs="宋体"/>
          <w:color w:val="auto"/>
          <w:sz w:val="22"/>
          <w:szCs w:val="22"/>
          <w:highlight w:val="none"/>
          <w:u w:val="single"/>
        </w:rPr>
        <w:t xml:space="preserve"> （单位名称）</w:t>
      </w:r>
      <w:r>
        <w:rPr>
          <w:rFonts w:hint="eastAsia" w:ascii="宋体" w:hAnsi="宋体" w:cs="宋体"/>
          <w:color w:val="auto"/>
          <w:sz w:val="22"/>
          <w:szCs w:val="22"/>
          <w:highlight w:val="none"/>
        </w:rPr>
        <w:t xml:space="preserve"> 的 </w:t>
      </w:r>
      <w:r>
        <w:rPr>
          <w:rFonts w:hint="eastAsia" w:ascii="宋体" w:hAnsi="宋体" w:cs="宋体"/>
          <w:color w:val="auto"/>
          <w:sz w:val="22"/>
          <w:szCs w:val="22"/>
          <w:highlight w:val="none"/>
          <w:u w:val="single"/>
        </w:rPr>
        <w:t>（项目名称）</w:t>
      </w:r>
      <w:r>
        <w:rPr>
          <w:rFonts w:hint="eastAsia" w:ascii="宋体" w:hAnsi="宋体" w:cs="宋体"/>
          <w:color w:val="auto"/>
          <w:sz w:val="22"/>
          <w:szCs w:val="22"/>
          <w:highlight w:val="none"/>
        </w:rPr>
        <w:t xml:space="preserve"> 采购活动，提供的货物全部由符合政策要求的中小企业制造。相关企业（含联合体中的中小企业、签订分包意向协议的中小企业）的具体情况如下：</w:t>
      </w:r>
    </w:p>
    <w:p>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1. </w:t>
      </w:r>
      <w:r>
        <w:rPr>
          <w:rFonts w:hint="eastAsia" w:ascii="宋体" w:hAnsi="宋体" w:cs="宋体"/>
          <w:color w:val="auto"/>
          <w:sz w:val="22"/>
          <w:szCs w:val="22"/>
          <w:highlight w:val="none"/>
          <w:u w:val="single"/>
        </w:rPr>
        <w:t xml:space="preserve">（标的名称） </w:t>
      </w:r>
      <w:r>
        <w:rPr>
          <w:rFonts w:hint="eastAsia" w:ascii="宋体" w:hAnsi="宋体" w:cs="宋体"/>
          <w:color w:val="auto"/>
          <w:sz w:val="22"/>
          <w:szCs w:val="22"/>
          <w:highlight w:val="none"/>
        </w:rPr>
        <w:t xml:space="preserve">，属于 行业 ；制造商为 </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 xml:space="preserve"> ，从业人员人，营业收入为万元，资产总额为万元 ，属于 </w:t>
      </w:r>
      <w:r>
        <w:rPr>
          <w:rFonts w:hint="eastAsia" w:ascii="宋体" w:hAnsi="宋体" w:cs="宋体"/>
          <w:color w:val="auto"/>
          <w:sz w:val="22"/>
          <w:szCs w:val="22"/>
          <w:highlight w:val="none"/>
          <w:u w:val="single"/>
        </w:rPr>
        <w:t xml:space="preserve">（中型企业、小型企业、微型企业） </w:t>
      </w:r>
      <w:r>
        <w:rPr>
          <w:rFonts w:hint="eastAsia" w:ascii="宋体" w:hAnsi="宋体" w:cs="宋体"/>
          <w:color w:val="auto"/>
          <w:sz w:val="22"/>
          <w:szCs w:val="22"/>
          <w:highlight w:val="none"/>
        </w:rPr>
        <w:t>；</w:t>
      </w:r>
    </w:p>
    <w:p>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2. </w:t>
      </w:r>
      <w:r>
        <w:rPr>
          <w:rFonts w:hint="eastAsia" w:ascii="宋体" w:hAnsi="宋体" w:cs="宋体"/>
          <w:color w:val="auto"/>
          <w:sz w:val="22"/>
          <w:szCs w:val="22"/>
          <w:highlight w:val="none"/>
          <w:u w:val="single"/>
        </w:rPr>
        <w:t>（标的名称）</w:t>
      </w:r>
      <w:r>
        <w:rPr>
          <w:rFonts w:hint="eastAsia" w:ascii="宋体" w:hAnsi="宋体" w:cs="宋体"/>
          <w:color w:val="auto"/>
          <w:sz w:val="22"/>
          <w:szCs w:val="22"/>
          <w:highlight w:val="none"/>
        </w:rPr>
        <w:t xml:space="preserve"> ，属于 行业 ；制造商为</w:t>
      </w:r>
      <w:r>
        <w:rPr>
          <w:rFonts w:hint="eastAsia" w:ascii="宋体" w:hAnsi="宋体" w:cs="宋体"/>
          <w:color w:val="auto"/>
          <w:sz w:val="22"/>
          <w:szCs w:val="22"/>
          <w:highlight w:val="none"/>
          <w:u w:val="single"/>
        </w:rPr>
        <w:t xml:space="preserve"> （企业名称）</w:t>
      </w:r>
      <w:r>
        <w:rPr>
          <w:rFonts w:hint="eastAsia" w:ascii="宋体" w:hAnsi="宋体" w:cs="宋体"/>
          <w:color w:val="auto"/>
          <w:sz w:val="22"/>
          <w:szCs w:val="22"/>
          <w:highlight w:val="none"/>
        </w:rPr>
        <w:t xml:space="preserve"> ，从业人员人，营业收入为万元，资产总额为万元，属于 </w:t>
      </w:r>
      <w:r>
        <w:rPr>
          <w:rFonts w:hint="eastAsia" w:ascii="宋体" w:hAnsi="宋体" w:cs="宋体"/>
          <w:color w:val="auto"/>
          <w:sz w:val="22"/>
          <w:szCs w:val="22"/>
          <w:highlight w:val="none"/>
          <w:u w:val="single"/>
        </w:rPr>
        <w:t xml:space="preserve">（中型企业、小型企业、微型企业） </w:t>
      </w:r>
      <w:r>
        <w:rPr>
          <w:rFonts w:hint="eastAsia" w:ascii="宋体" w:hAnsi="宋体" w:cs="宋体"/>
          <w:color w:val="auto"/>
          <w:sz w:val="22"/>
          <w:szCs w:val="22"/>
          <w:highlight w:val="none"/>
        </w:rPr>
        <w:t>；</w:t>
      </w:r>
    </w:p>
    <w:p>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w:t>
      </w:r>
    </w:p>
    <w:p>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企业名称（盖章）：</w:t>
      </w:r>
    </w:p>
    <w:p>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br w:type="page"/>
      </w:r>
    </w:p>
    <w:p>
      <w:pPr>
        <w:widowControl/>
        <w:spacing w:before="100" w:beforeAutospacing="1" w:after="100" w:afterAutospacing="1" w:line="440" w:lineRule="atLeas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中小企业声明函（工程、服务）</w:t>
      </w:r>
    </w:p>
    <w:p>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本公司（联合体）郑重声明，根据《政府采购促进中小企业发展管理办法》（财库﹝2020﹞46 号）的规定，本公司（联合体）参加</w:t>
      </w:r>
      <w:r>
        <w:rPr>
          <w:rFonts w:hint="eastAsia" w:ascii="宋体" w:hAnsi="宋体" w:cs="宋体"/>
          <w:color w:val="auto"/>
          <w:sz w:val="22"/>
          <w:szCs w:val="22"/>
          <w:highlight w:val="none"/>
          <w:u w:val="single"/>
        </w:rPr>
        <w:t xml:space="preserve"> （单位名称）</w:t>
      </w:r>
      <w:r>
        <w:rPr>
          <w:rFonts w:hint="eastAsia" w:ascii="宋体" w:hAnsi="宋体" w:cs="宋体"/>
          <w:color w:val="auto"/>
          <w:sz w:val="22"/>
          <w:szCs w:val="22"/>
          <w:highlight w:val="none"/>
        </w:rPr>
        <w:t xml:space="preserve"> 的 </w:t>
      </w:r>
      <w:r>
        <w:rPr>
          <w:rFonts w:hint="eastAsia" w:ascii="宋体" w:hAnsi="宋体" w:cs="宋体"/>
          <w:color w:val="auto"/>
          <w:sz w:val="22"/>
          <w:szCs w:val="22"/>
          <w:highlight w:val="none"/>
          <w:u w:val="single"/>
        </w:rPr>
        <w:t>（项目名称）</w:t>
      </w:r>
      <w:r>
        <w:rPr>
          <w:rFonts w:hint="eastAsia" w:ascii="宋体" w:hAnsi="宋体" w:cs="宋体"/>
          <w:color w:val="auto"/>
          <w:sz w:val="22"/>
          <w:szCs w:val="22"/>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1. </w:t>
      </w:r>
      <w:r>
        <w:rPr>
          <w:rFonts w:hint="eastAsia" w:ascii="宋体" w:hAnsi="宋体" w:cs="宋体"/>
          <w:color w:val="auto"/>
          <w:sz w:val="22"/>
          <w:szCs w:val="22"/>
          <w:highlight w:val="none"/>
          <w:u w:val="single"/>
        </w:rPr>
        <w:t xml:space="preserve">（标的名称） </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rPr>
        <w:t xml:space="preserve">     行业</w:t>
      </w:r>
      <w:r>
        <w:rPr>
          <w:rFonts w:hint="eastAsia" w:ascii="宋体" w:hAnsi="宋体" w:cs="宋体"/>
          <w:color w:val="auto"/>
          <w:sz w:val="22"/>
          <w:szCs w:val="22"/>
          <w:highlight w:val="none"/>
        </w:rPr>
        <w:t xml:space="preserve"> ；承建（承接）企业为 </w:t>
      </w:r>
      <w:r>
        <w:rPr>
          <w:rFonts w:hint="eastAsia" w:ascii="宋体" w:hAnsi="宋体" w:cs="宋体"/>
          <w:color w:val="auto"/>
          <w:sz w:val="22"/>
          <w:szCs w:val="22"/>
          <w:highlight w:val="none"/>
          <w:u w:val="single"/>
        </w:rPr>
        <w:t xml:space="preserve">（企业名称） </w:t>
      </w:r>
      <w:r>
        <w:rPr>
          <w:rFonts w:hint="eastAsia" w:ascii="宋体" w:hAnsi="宋体" w:cs="宋体"/>
          <w:color w:val="auto"/>
          <w:sz w:val="22"/>
          <w:szCs w:val="22"/>
          <w:highlight w:val="none"/>
        </w:rPr>
        <w:t>，从业人员人，营业收入为万元，资产总额为万元 ，属于</w:t>
      </w:r>
      <w:r>
        <w:rPr>
          <w:rFonts w:hint="eastAsia" w:ascii="宋体" w:hAnsi="宋体" w:cs="宋体"/>
          <w:color w:val="auto"/>
          <w:sz w:val="22"/>
          <w:szCs w:val="22"/>
          <w:highlight w:val="none"/>
          <w:u w:val="single"/>
        </w:rPr>
        <w:t xml:space="preserve"> （中型企业、小型企业、微型企业） </w:t>
      </w:r>
      <w:r>
        <w:rPr>
          <w:rFonts w:hint="eastAsia" w:ascii="宋体" w:hAnsi="宋体" w:cs="宋体"/>
          <w:color w:val="auto"/>
          <w:sz w:val="22"/>
          <w:szCs w:val="22"/>
          <w:highlight w:val="none"/>
        </w:rPr>
        <w:t>；</w:t>
      </w:r>
    </w:p>
    <w:p>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2. </w:t>
      </w:r>
      <w:r>
        <w:rPr>
          <w:rFonts w:hint="eastAsia" w:ascii="宋体" w:hAnsi="宋体" w:cs="宋体"/>
          <w:color w:val="auto"/>
          <w:sz w:val="22"/>
          <w:szCs w:val="22"/>
          <w:highlight w:val="none"/>
          <w:u w:val="single"/>
        </w:rPr>
        <w:t>（标的名称）</w:t>
      </w:r>
      <w:r>
        <w:rPr>
          <w:rFonts w:hint="eastAsia" w:ascii="宋体" w:hAnsi="宋体" w:cs="宋体"/>
          <w:color w:val="auto"/>
          <w:sz w:val="22"/>
          <w:szCs w:val="22"/>
          <w:highlight w:val="none"/>
        </w:rPr>
        <w:t xml:space="preserve"> ，属于</w:t>
      </w:r>
      <w:r>
        <w:rPr>
          <w:rFonts w:hint="eastAsia" w:ascii="宋体" w:hAnsi="宋体" w:cs="宋体"/>
          <w:color w:val="auto"/>
          <w:sz w:val="22"/>
          <w:szCs w:val="22"/>
          <w:highlight w:val="none"/>
          <w:u w:val="single"/>
        </w:rPr>
        <w:t xml:space="preserve">      行业</w:t>
      </w:r>
      <w:r>
        <w:rPr>
          <w:rFonts w:hint="eastAsia" w:ascii="宋体" w:hAnsi="宋体" w:cs="宋体"/>
          <w:color w:val="auto"/>
          <w:sz w:val="22"/>
          <w:szCs w:val="22"/>
          <w:highlight w:val="none"/>
        </w:rPr>
        <w:t>；承建（承接）企业为</w:t>
      </w:r>
      <w:r>
        <w:rPr>
          <w:rFonts w:hint="eastAsia" w:ascii="宋体" w:hAnsi="宋体" w:cs="宋体"/>
          <w:color w:val="auto"/>
          <w:sz w:val="22"/>
          <w:szCs w:val="22"/>
          <w:highlight w:val="none"/>
          <w:u w:val="single"/>
        </w:rPr>
        <w:t xml:space="preserve"> （企业名称）</w:t>
      </w:r>
      <w:r>
        <w:rPr>
          <w:rFonts w:hint="eastAsia" w:ascii="宋体" w:hAnsi="宋体" w:cs="宋体"/>
          <w:color w:val="auto"/>
          <w:sz w:val="22"/>
          <w:szCs w:val="22"/>
          <w:highlight w:val="none"/>
        </w:rPr>
        <w:t xml:space="preserve"> ，从业人员人，营业收入为万元，资产总额为万元，属于 </w:t>
      </w:r>
      <w:r>
        <w:rPr>
          <w:rFonts w:hint="eastAsia" w:ascii="宋体" w:hAnsi="宋体" w:cs="宋体"/>
          <w:color w:val="auto"/>
          <w:sz w:val="22"/>
          <w:szCs w:val="22"/>
          <w:highlight w:val="none"/>
          <w:u w:val="single"/>
        </w:rPr>
        <w:t>（中型企业、小型企业、微型企业）</w:t>
      </w:r>
      <w:r>
        <w:rPr>
          <w:rFonts w:hint="eastAsia" w:ascii="宋体" w:hAnsi="宋体" w:cs="宋体"/>
          <w:color w:val="auto"/>
          <w:sz w:val="22"/>
          <w:szCs w:val="22"/>
          <w:highlight w:val="none"/>
        </w:rPr>
        <w:t xml:space="preserve"> ；</w:t>
      </w:r>
    </w:p>
    <w:p>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w:t>
      </w:r>
    </w:p>
    <w:p>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企业名称（盖章）：</w:t>
      </w:r>
    </w:p>
    <w:p>
      <w:pPr>
        <w:widowControl/>
        <w:spacing w:before="100" w:beforeAutospacing="1" w:after="100" w:afterAutospacing="1" w:line="440" w:lineRule="atLeast"/>
        <w:ind w:firstLine="440" w:firstLineChars="200"/>
        <w:jc w:val="left"/>
        <w:rPr>
          <w:rFonts w:ascii="宋体" w:hAnsi="宋体" w:cs="宋体"/>
          <w:b/>
          <w:bCs/>
          <w:color w:val="auto"/>
          <w:sz w:val="24"/>
          <w:szCs w:val="24"/>
          <w:highlight w:val="none"/>
        </w:rPr>
      </w:pPr>
      <w:r>
        <w:rPr>
          <w:rFonts w:hint="eastAsia" w:ascii="宋体" w:hAnsi="宋体" w:cs="宋体"/>
          <w:color w:val="auto"/>
          <w:sz w:val="22"/>
          <w:szCs w:val="22"/>
          <w:highlight w:val="none"/>
        </w:rPr>
        <w:t>日 期：            　　　　</w:t>
      </w:r>
      <w:r>
        <w:rPr>
          <w:rFonts w:hint="eastAsia" w:ascii="宋体" w:hAnsi="宋体" w:cs="宋体"/>
          <w:b/>
          <w:bCs/>
          <w:color w:val="auto"/>
          <w:sz w:val="24"/>
          <w:szCs w:val="24"/>
          <w:highlight w:val="none"/>
        </w:rPr>
        <w:t>　</w:t>
      </w:r>
    </w:p>
    <w:p>
      <w:pPr>
        <w:spacing w:line="440" w:lineRule="atLeast"/>
        <w:rPr>
          <w:rFonts w:ascii="宋体" w:hAnsi="宋体" w:cs="宋体"/>
          <w:b/>
          <w:bCs/>
          <w:color w:val="auto"/>
          <w:sz w:val="24"/>
          <w:szCs w:val="24"/>
          <w:highlight w:val="none"/>
        </w:rPr>
      </w:pPr>
    </w:p>
    <w:p>
      <w:pPr>
        <w:widowControl/>
        <w:spacing w:before="100" w:beforeAutospacing="1" w:after="100" w:afterAutospacing="1" w:line="440" w:lineRule="atLeas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注：1 从业人员、营业收入、资产总额填报上一年度数据，无上一年度数据的新成立企业可不填报。</w:t>
      </w:r>
      <w:r>
        <w:rPr>
          <w:rFonts w:hint="eastAsia" w:ascii="宋体" w:hAnsi="宋体" w:cs="宋体"/>
          <w:color w:val="auto"/>
          <w:sz w:val="22"/>
          <w:szCs w:val="22"/>
          <w:highlight w:val="none"/>
        </w:rPr>
        <w:t>                  　　　　</w:t>
      </w:r>
      <w:r>
        <w:rPr>
          <w:rFonts w:hint="eastAsia" w:ascii="宋体" w:hAnsi="宋体" w:cs="宋体"/>
          <w:b/>
          <w:bCs/>
          <w:color w:val="auto"/>
          <w:sz w:val="24"/>
          <w:szCs w:val="24"/>
          <w:highlight w:val="none"/>
        </w:rPr>
        <w:t>　</w:t>
      </w:r>
    </w:p>
    <w:p>
      <w:pPr>
        <w:spacing w:line="440" w:lineRule="atLeast"/>
        <w:rPr>
          <w:rFonts w:ascii="宋体" w:hAnsi="宋体" w:cs="宋体"/>
          <w:b/>
          <w:bCs/>
          <w:color w:val="auto"/>
          <w:sz w:val="24"/>
          <w:szCs w:val="24"/>
          <w:highlight w:val="none"/>
        </w:rPr>
      </w:pPr>
    </w:p>
    <w:p>
      <w:pPr>
        <w:widowControl/>
        <w:spacing w:before="100" w:beforeAutospacing="1" w:after="100" w:afterAutospacing="1" w:line="440" w:lineRule="atLeast"/>
        <w:jc w:val="left"/>
        <w:rPr>
          <w:rFonts w:ascii="宋体" w:hAnsi="宋体" w:cs="宋体"/>
          <w:b/>
          <w:bCs/>
          <w:color w:val="auto"/>
          <w:sz w:val="24"/>
          <w:szCs w:val="24"/>
          <w:highlight w:val="none"/>
        </w:rPr>
      </w:pPr>
    </w:p>
    <w:p>
      <w:pPr>
        <w:widowControl/>
        <w:spacing w:before="100" w:beforeAutospacing="1" w:after="100" w:afterAutospacing="1" w:line="440" w:lineRule="atLeas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r>
        <w:rPr>
          <w:rFonts w:hint="eastAsia" w:ascii="宋体" w:hAnsi="宋体" w:cs="宋体"/>
          <w:b/>
          <w:bCs/>
          <w:color w:val="auto"/>
          <w:sz w:val="24"/>
          <w:szCs w:val="24"/>
          <w:highlight w:val="none"/>
        </w:rPr>
        <w:t>附件2</w:t>
      </w:r>
    </w:p>
    <w:p>
      <w:pPr>
        <w:widowControl/>
        <w:spacing w:before="100" w:beforeAutospacing="1" w:after="100" w:afterAutospacing="1" w:line="440" w:lineRule="atLeast"/>
        <w:jc w:val="center"/>
        <w:rPr>
          <w:rFonts w:ascii="宋体" w:hAnsi="宋体" w:cs="宋体"/>
          <w:b/>
          <w:bCs/>
          <w:color w:val="auto"/>
          <w:sz w:val="24"/>
          <w:szCs w:val="24"/>
          <w:highlight w:val="none"/>
        </w:rPr>
      </w:pPr>
      <w:bookmarkStart w:id="108" w:name="OLE_LINK13"/>
      <w:bookmarkStart w:id="109" w:name="OLE_LINK14"/>
      <w:r>
        <w:rPr>
          <w:rFonts w:hint="eastAsia" w:ascii="宋体" w:hAnsi="宋体" w:cs="宋体"/>
          <w:b/>
          <w:bCs/>
          <w:color w:val="auto"/>
          <w:sz w:val="24"/>
          <w:szCs w:val="24"/>
          <w:highlight w:val="none"/>
        </w:rPr>
        <w:t>残疾人福利性单位声明函</w:t>
      </w:r>
    </w:p>
    <w:bookmarkEnd w:id="108"/>
    <w:bookmarkEnd w:id="109"/>
    <w:p>
      <w:pPr>
        <w:spacing w:line="588" w:lineRule="exact"/>
        <w:rPr>
          <w:rFonts w:ascii="宋体" w:hAnsi="宋体" w:cs="宋体"/>
          <w:b/>
          <w:bCs/>
          <w:color w:val="auto"/>
          <w:spacing w:val="6"/>
          <w:sz w:val="30"/>
          <w:szCs w:val="30"/>
          <w:highlight w:val="none"/>
        </w:rPr>
      </w:pPr>
    </w:p>
    <w:p>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pPr>
        <w:spacing w:line="588" w:lineRule="exact"/>
        <w:ind w:firstLine="464" w:firstLineChars="200"/>
        <w:rPr>
          <w:rFonts w:ascii="宋体" w:hAnsi="宋体" w:cs="宋体"/>
          <w:color w:val="auto"/>
          <w:spacing w:val="6"/>
          <w:sz w:val="22"/>
          <w:szCs w:val="22"/>
          <w:highlight w:val="none"/>
        </w:rPr>
      </w:pPr>
    </w:p>
    <w:p>
      <w:pPr>
        <w:tabs>
          <w:tab w:val="left" w:pos="4860"/>
        </w:tabs>
        <w:spacing w:line="588" w:lineRule="exact"/>
        <w:ind w:right="1560" w:firstLine="464" w:firstLineChars="200"/>
        <w:rPr>
          <w:rFonts w:ascii="宋体" w:hAnsi="宋体" w:cs="宋体"/>
          <w:color w:val="auto"/>
          <w:spacing w:val="6"/>
          <w:sz w:val="22"/>
          <w:szCs w:val="22"/>
          <w:highlight w:val="none"/>
        </w:rPr>
      </w:pPr>
    </w:p>
    <w:p>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投标人全称（盖章）：</w:t>
      </w:r>
    </w:p>
    <w:p>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pPr>
        <w:tabs>
          <w:tab w:val="left" w:pos="4860"/>
        </w:tabs>
        <w:spacing w:line="588" w:lineRule="exact"/>
        <w:ind w:right="1560" w:firstLine="464" w:firstLineChars="200"/>
        <w:jc w:val="center"/>
        <w:rPr>
          <w:rFonts w:ascii="宋体" w:hAnsi="宋体" w:cs="宋体"/>
          <w:color w:val="auto"/>
          <w:spacing w:val="6"/>
          <w:sz w:val="22"/>
          <w:szCs w:val="22"/>
          <w:highlight w:val="none"/>
        </w:rPr>
      </w:pPr>
    </w:p>
    <w:p>
      <w:pPr>
        <w:tabs>
          <w:tab w:val="left" w:pos="4860"/>
        </w:tabs>
        <w:spacing w:line="588" w:lineRule="exact"/>
        <w:ind w:right="1560" w:firstLine="464" w:firstLineChars="200"/>
        <w:jc w:val="center"/>
        <w:rPr>
          <w:rFonts w:ascii="宋体" w:hAnsi="宋体" w:cs="宋体"/>
          <w:color w:val="auto"/>
          <w:spacing w:val="6"/>
          <w:sz w:val="22"/>
          <w:szCs w:val="22"/>
          <w:highlight w:val="none"/>
        </w:rPr>
      </w:pPr>
    </w:p>
    <w:p>
      <w:pPr>
        <w:tabs>
          <w:tab w:val="left" w:pos="4860"/>
        </w:tabs>
        <w:spacing w:line="588" w:lineRule="exact"/>
        <w:ind w:right="1560"/>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备注说明：</w:t>
      </w:r>
    </w:p>
    <w:p>
      <w:pPr>
        <w:tabs>
          <w:tab w:val="left" w:pos="4860"/>
        </w:tabs>
        <w:spacing w:line="588" w:lineRule="exact"/>
        <w:ind w:right="1560"/>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1、如中标，将在中标公示中将此声明函予以公示，接受社会监督；</w:t>
      </w:r>
    </w:p>
    <w:p>
      <w:pPr>
        <w:autoSpaceDE w:val="0"/>
        <w:autoSpaceDN w:val="0"/>
        <w:adjustRightInd w:val="0"/>
        <w:spacing w:line="460" w:lineRule="atLeast"/>
        <w:textAlignment w:val="bottom"/>
        <w:rPr>
          <w:rFonts w:ascii="宋体" w:hAnsi="宋体" w:cs="宋体"/>
          <w:color w:val="auto"/>
          <w:sz w:val="22"/>
          <w:szCs w:val="22"/>
          <w:highlight w:val="none"/>
        </w:rPr>
      </w:pPr>
      <w:r>
        <w:rPr>
          <w:rFonts w:hint="eastAsia" w:ascii="宋体" w:hAnsi="宋体" w:cs="宋体"/>
          <w:b/>
          <w:bCs/>
          <w:color w:val="auto"/>
          <w:sz w:val="22"/>
          <w:szCs w:val="22"/>
          <w:highlight w:val="none"/>
        </w:rPr>
        <w:t>2、投标人提供的《残疾人福利性单位声明函》与事实不符的，依照《政府采购法》第七十七条第一款的规定追究法律责任。</w:t>
      </w:r>
    </w:p>
    <w:p>
      <w:pPr>
        <w:spacing w:line="360" w:lineRule="auto"/>
        <w:outlineLvl w:val="0"/>
        <w:rPr>
          <w:rFonts w:ascii="宋体" w:hAnsi="宋体" w:cs="宋体"/>
          <w:b/>
          <w:bCs/>
          <w:color w:val="auto"/>
          <w:sz w:val="28"/>
          <w:szCs w:val="28"/>
          <w:highlight w:val="none"/>
        </w:rPr>
      </w:pPr>
    </w:p>
    <w:p>
      <w:pPr>
        <w:pStyle w:val="25"/>
        <w:rPr>
          <w:rFonts w:ascii="宋体" w:hAnsi="宋体" w:cs="宋体"/>
          <w:color w:val="auto"/>
          <w:sz w:val="30"/>
          <w:szCs w:val="30"/>
          <w:highlight w:val="none"/>
        </w:rPr>
      </w:pPr>
      <w:bookmarkStart w:id="110" w:name="_Toc498343170"/>
    </w:p>
    <w:p>
      <w:pPr>
        <w:pStyle w:val="25"/>
        <w:rPr>
          <w:rFonts w:ascii="宋体" w:hAnsi="宋体" w:cs="宋体"/>
          <w:color w:val="auto"/>
          <w:highlight w:val="none"/>
        </w:rPr>
      </w:pPr>
      <w:r>
        <w:rPr>
          <w:rFonts w:hint="eastAsia" w:ascii="宋体" w:hAnsi="宋体" w:cs="宋体"/>
          <w:color w:val="auto"/>
          <w:sz w:val="30"/>
          <w:szCs w:val="30"/>
          <w:highlight w:val="none"/>
        </w:rPr>
        <w:br w:type="page"/>
      </w:r>
      <w:bookmarkStart w:id="111" w:name="_Toc73091437"/>
      <w:r>
        <w:rPr>
          <w:rFonts w:hint="eastAsia" w:ascii="宋体" w:hAnsi="宋体" w:cs="宋体"/>
          <w:color w:val="auto"/>
          <w:sz w:val="30"/>
          <w:szCs w:val="30"/>
          <w:highlight w:val="none"/>
        </w:rPr>
        <w:t>第五部分   合同格式（仅供参考）</w:t>
      </w:r>
      <w:bookmarkEnd w:id="111"/>
    </w:p>
    <w:p>
      <w:pPr>
        <w:spacing w:line="460" w:lineRule="exact"/>
        <w:ind w:firstLine="330" w:firstLineChars="150"/>
        <w:rPr>
          <w:rFonts w:ascii="宋体" w:hAnsi="宋体" w:cs="Arial"/>
          <w:color w:val="auto"/>
          <w:sz w:val="22"/>
          <w:highlight w:val="none"/>
        </w:rPr>
      </w:pPr>
      <w:r>
        <w:rPr>
          <w:rFonts w:hint="eastAsia" w:ascii="宋体" w:hAnsi="宋体" w:cs="Arial"/>
          <w:color w:val="auto"/>
          <w:sz w:val="22"/>
          <w:highlight w:val="none"/>
        </w:rPr>
        <w:t>本条款为甲乙双方必须遵守的基本条款，甲乙双方也可根据实际情况另签合同条款，正式合同以双方签字盖章的文本为准。</w:t>
      </w:r>
    </w:p>
    <w:p>
      <w:pPr>
        <w:snapToGrid w:val="0"/>
        <w:spacing w:line="360" w:lineRule="exact"/>
        <w:rPr>
          <w:rFonts w:ascii="宋体" w:hAnsi="宋体"/>
          <w:color w:val="auto"/>
          <w:highlight w:val="none"/>
          <w:u w:val="single"/>
        </w:rPr>
      </w:pPr>
      <w:r>
        <w:rPr>
          <w:rFonts w:hint="eastAsia" w:ascii="宋体" w:hAnsi="宋体"/>
          <w:color w:val="auto"/>
          <w:highlight w:val="none"/>
        </w:rPr>
        <w:t>甲方：</w:t>
      </w:r>
      <w:r>
        <w:rPr>
          <w:rFonts w:hint="eastAsia" w:ascii="宋体" w:hAnsi="宋体"/>
          <w:color w:val="auto"/>
          <w:highlight w:val="none"/>
          <w:u w:val="single"/>
        </w:rPr>
        <w:t xml:space="preserve">                                   </w:t>
      </w:r>
    </w:p>
    <w:p>
      <w:pPr>
        <w:snapToGrid w:val="0"/>
        <w:spacing w:line="360" w:lineRule="exact"/>
        <w:rPr>
          <w:rFonts w:ascii="宋体" w:hAnsi="宋体"/>
          <w:color w:val="auto"/>
          <w:highlight w:val="none"/>
        </w:rPr>
      </w:pPr>
      <w:r>
        <w:rPr>
          <w:rFonts w:hint="eastAsia" w:ascii="宋体" w:hAnsi="宋体"/>
          <w:color w:val="auto"/>
          <w:highlight w:val="none"/>
        </w:rPr>
        <w:t>乙方：</w:t>
      </w:r>
      <w:r>
        <w:rPr>
          <w:rFonts w:hint="eastAsia" w:ascii="宋体" w:hAnsi="宋体"/>
          <w:color w:val="auto"/>
          <w:highlight w:val="none"/>
          <w:u w:val="single"/>
        </w:rPr>
        <w:t xml:space="preserve">                                   </w:t>
      </w:r>
      <w:r>
        <w:rPr>
          <w:rFonts w:hint="eastAsia" w:ascii="宋体" w:hAnsi="宋体"/>
          <w:color w:val="auto"/>
          <w:highlight w:val="none"/>
        </w:rPr>
        <w:t xml:space="preserve">                  </w:t>
      </w:r>
    </w:p>
    <w:p>
      <w:pPr>
        <w:snapToGrid w:val="0"/>
        <w:spacing w:line="360" w:lineRule="exact"/>
        <w:ind w:firstLine="420" w:firstLineChars="200"/>
        <w:rPr>
          <w:rFonts w:ascii="宋体" w:hAnsi="宋体"/>
          <w:color w:val="auto"/>
          <w:highlight w:val="none"/>
          <w:u w:val="single"/>
        </w:rPr>
      </w:pPr>
      <w:r>
        <w:rPr>
          <w:rFonts w:hint="eastAsia" w:ascii="宋体" w:hAnsi="宋体"/>
          <w:color w:val="auto"/>
          <w:highlight w:val="none"/>
        </w:rPr>
        <w:t>为了保护各方合法权益，根据《中华人民共和国政府采购法》、《中华人民共和国民法典》等相关法律法规的规定并严格遵循</w:t>
      </w:r>
      <w:r>
        <w:rPr>
          <w:rFonts w:hint="eastAsia" w:ascii="宋体" w:hAnsi="宋体" w:cs="Arial"/>
          <w:color w:val="auto"/>
          <w:highlight w:val="none"/>
          <w:u w:val="single"/>
        </w:rPr>
        <w:t xml:space="preserve">          </w:t>
      </w:r>
      <w:r>
        <w:rPr>
          <w:rFonts w:hint="eastAsia" w:ascii="宋体" w:hAnsi="宋体"/>
          <w:color w:val="auto"/>
          <w:highlight w:val="none"/>
        </w:rPr>
        <w:t>项目 [项目编号：</w:t>
      </w:r>
      <w:r>
        <w:rPr>
          <w:rFonts w:ascii="宋体" w:hAnsi="宋体"/>
          <w:color w:val="auto"/>
          <w:highlight w:val="none"/>
          <w:u w:val="single"/>
        </w:rPr>
        <w:t xml:space="preserve">       </w:t>
      </w:r>
      <w:r>
        <w:rPr>
          <w:rFonts w:hint="eastAsia" w:ascii="宋体" w:hAnsi="宋体"/>
          <w:color w:val="auto"/>
          <w:highlight w:val="none"/>
        </w:rPr>
        <w:t>采购文件中的相关规定，签订本合同，并共同遵守。</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一、采购货物名称、型号、规格和主要配置、单价、数量、金额。</w:t>
      </w:r>
    </w:p>
    <w:tbl>
      <w:tblPr>
        <w:tblStyle w:val="27"/>
        <w:tblW w:w="8813"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96"/>
        <w:gridCol w:w="1890"/>
        <w:gridCol w:w="840"/>
        <w:gridCol w:w="1680"/>
        <w:gridCol w:w="910"/>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bottom"/>
          </w:tcPr>
          <w:p>
            <w:pPr>
              <w:snapToGrid w:val="0"/>
              <w:spacing w:line="360" w:lineRule="exact"/>
              <w:rPr>
                <w:rFonts w:ascii="宋体" w:hAnsi="宋体"/>
                <w:color w:val="auto"/>
                <w:highlight w:val="none"/>
              </w:rPr>
            </w:pPr>
            <w:r>
              <w:rPr>
                <w:rFonts w:hint="eastAsia" w:ascii="宋体" w:hAnsi="宋体"/>
                <w:color w:val="auto"/>
                <w:highlight w:val="none"/>
              </w:rPr>
              <w:t>序号</w:t>
            </w:r>
          </w:p>
        </w:tc>
        <w:tc>
          <w:tcPr>
            <w:tcW w:w="1696" w:type="dxa"/>
            <w:vAlign w:val="bottom"/>
          </w:tcPr>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商品名称</w:t>
            </w:r>
          </w:p>
        </w:tc>
        <w:tc>
          <w:tcPr>
            <w:tcW w:w="1890" w:type="dxa"/>
            <w:vAlign w:val="bottom"/>
          </w:tcPr>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规格型号</w:t>
            </w:r>
          </w:p>
        </w:tc>
        <w:tc>
          <w:tcPr>
            <w:tcW w:w="840" w:type="dxa"/>
            <w:vAlign w:val="bottom"/>
          </w:tcPr>
          <w:p>
            <w:pPr>
              <w:snapToGrid w:val="0"/>
              <w:spacing w:line="360" w:lineRule="exact"/>
              <w:rPr>
                <w:rFonts w:ascii="宋体" w:hAnsi="宋体"/>
                <w:color w:val="auto"/>
                <w:highlight w:val="none"/>
              </w:rPr>
            </w:pPr>
            <w:r>
              <w:rPr>
                <w:rFonts w:hint="eastAsia" w:ascii="宋体" w:hAnsi="宋体"/>
                <w:color w:val="auto"/>
                <w:highlight w:val="none"/>
              </w:rPr>
              <w:t>数量</w:t>
            </w:r>
          </w:p>
        </w:tc>
        <w:tc>
          <w:tcPr>
            <w:tcW w:w="1680" w:type="dxa"/>
            <w:vAlign w:val="bottom"/>
          </w:tcPr>
          <w:p>
            <w:pPr>
              <w:snapToGrid w:val="0"/>
              <w:spacing w:line="360" w:lineRule="exact"/>
              <w:ind w:firstLine="210" w:firstLineChars="100"/>
              <w:jc w:val="center"/>
              <w:rPr>
                <w:rFonts w:ascii="宋体" w:hAnsi="宋体"/>
                <w:color w:val="auto"/>
                <w:highlight w:val="none"/>
              </w:rPr>
            </w:pPr>
            <w:r>
              <w:rPr>
                <w:rFonts w:hint="eastAsia" w:ascii="宋体" w:hAnsi="宋体"/>
                <w:color w:val="auto"/>
                <w:highlight w:val="none"/>
              </w:rPr>
              <w:t>单价</w:t>
            </w:r>
          </w:p>
        </w:tc>
        <w:tc>
          <w:tcPr>
            <w:tcW w:w="910" w:type="dxa"/>
            <w:vAlign w:val="bottom"/>
          </w:tcPr>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金额</w:t>
            </w:r>
          </w:p>
        </w:tc>
        <w:tc>
          <w:tcPr>
            <w:tcW w:w="1076" w:type="dxa"/>
            <w:vAlign w:val="bottom"/>
          </w:tcPr>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1" w:type="dxa"/>
          </w:tcPr>
          <w:p>
            <w:pPr>
              <w:snapToGrid w:val="0"/>
              <w:spacing w:line="360" w:lineRule="exact"/>
              <w:ind w:firstLine="210" w:firstLineChars="100"/>
              <w:rPr>
                <w:rFonts w:ascii="宋体" w:hAnsi="宋体"/>
                <w:color w:val="auto"/>
                <w:highlight w:val="none"/>
              </w:rPr>
            </w:pPr>
          </w:p>
        </w:tc>
        <w:tc>
          <w:tcPr>
            <w:tcW w:w="1696" w:type="dxa"/>
          </w:tcPr>
          <w:p>
            <w:pPr>
              <w:snapToGrid w:val="0"/>
              <w:spacing w:line="360" w:lineRule="exact"/>
              <w:ind w:firstLine="210" w:firstLineChars="100"/>
              <w:rPr>
                <w:rFonts w:ascii="宋体" w:hAnsi="宋体"/>
                <w:color w:val="auto"/>
                <w:highlight w:val="none"/>
              </w:rPr>
            </w:pPr>
          </w:p>
        </w:tc>
        <w:tc>
          <w:tcPr>
            <w:tcW w:w="1890" w:type="dxa"/>
          </w:tcPr>
          <w:p>
            <w:pPr>
              <w:snapToGrid w:val="0"/>
              <w:spacing w:line="360" w:lineRule="exact"/>
              <w:ind w:firstLine="210" w:firstLineChars="100"/>
              <w:rPr>
                <w:rFonts w:ascii="宋体" w:hAnsi="宋体"/>
                <w:color w:val="auto"/>
                <w:highlight w:val="none"/>
              </w:rPr>
            </w:pPr>
          </w:p>
        </w:tc>
        <w:tc>
          <w:tcPr>
            <w:tcW w:w="840" w:type="dxa"/>
          </w:tcPr>
          <w:p>
            <w:pPr>
              <w:snapToGrid w:val="0"/>
              <w:spacing w:line="360" w:lineRule="exact"/>
              <w:ind w:firstLine="210" w:firstLineChars="100"/>
              <w:rPr>
                <w:rFonts w:ascii="宋体" w:hAnsi="宋体"/>
                <w:color w:val="auto"/>
                <w:highlight w:val="none"/>
              </w:rPr>
            </w:pPr>
          </w:p>
        </w:tc>
        <w:tc>
          <w:tcPr>
            <w:tcW w:w="1680" w:type="dxa"/>
          </w:tcPr>
          <w:p>
            <w:pPr>
              <w:snapToGrid w:val="0"/>
              <w:spacing w:line="360" w:lineRule="exact"/>
              <w:ind w:firstLine="210" w:firstLineChars="100"/>
              <w:rPr>
                <w:rFonts w:ascii="宋体" w:hAnsi="宋体"/>
                <w:color w:val="auto"/>
                <w:highlight w:val="none"/>
              </w:rPr>
            </w:pPr>
          </w:p>
        </w:tc>
        <w:tc>
          <w:tcPr>
            <w:tcW w:w="910" w:type="dxa"/>
          </w:tcPr>
          <w:p>
            <w:pPr>
              <w:snapToGrid w:val="0"/>
              <w:spacing w:line="360" w:lineRule="exact"/>
              <w:ind w:firstLine="210" w:firstLineChars="100"/>
              <w:rPr>
                <w:rFonts w:ascii="宋体" w:hAnsi="宋体"/>
                <w:color w:val="auto"/>
                <w:highlight w:val="none"/>
              </w:rPr>
            </w:pPr>
          </w:p>
        </w:tc>
        <w:tc>
          <w:tcPr>
            <w:tcW w:w="1076" w:type="dxa"/>
          </w:tcPr>
          <w:p>
            <w:pPr>
              <w:snapToGrid w:val="0"/>
              <w:spacing w:line="360" w:lineRule="exact"/>
              <w:ind w:firstLine="210" w:firstLineChars="10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1" w:type="dxa"/>
          </w:tcPr>
          <w:p>
            <w:pPr>
              <w:snapToGrid w:val="0"/>
              <w:spacing w:line="360" w:lineRule="exact"/>
              <w:ind w:firstLine="210" w:firstLineChars="100"/>
              <w:rPr>
                <w:rFonts w:ascii="宋体" w:hAnsi="宋体"/>
                <w:color w:val="auto"/>
                <w:highlight w:val="none"/>
              </w:rPr>
            </w:pPr>
          </w:p>
        </w:tc>
        <w:tc>
          <w:tcPr>
            <w:tcW w:w="1696" w:type="dxa"/>
          </w:tcPr>
          <w:p>
            <w:pPr>
              <w:snapToGrid w:val="0"/>
              <w:spacing w:line="360" w:lineRule="exact"/>
              <w:ind w:firstLine="210" w:firstLineChars="100"/>
              <w:rPr>
                <w:rFonts w:ascii="宋体" w:hAnsi="宋体"/>
                <w:color w:val="auto"/>
                <w:highlight w:val="none"/>
              </w:rPr>
            </w:pPr>
          </w:p>
        </w:tc>
        <w:tc>
          <w:tcPr>
            <w:tcW w:w="1890" w:type="dxa"/>
          </w:tcPr>
          <w:p>
            <w:pPr>
              <w:snapToGrid w:val="0"/>
              <w:spacing w:line="360" w:lineRule="exact"/>
              <w:ind w:firstLine="210" w:firstLineChars="100"/>
              <w:rPr>
                <w:rFonts w:ascii="宋体" w:hAnsi="宋体"/>
                <w:color w:val="auto"/>
                <w:highlight w:val="none"/>
              </w:rPr>
            </w:pPr>
          </w:p>
        </w:tc>
        <w:tc>
          <w:tcPr>
            <w:tcW w:w="840" w:type="dxa"/>
          </w:tcPr>
          <w:p>
            <w:pPr>
              <w:snapToGrid w:val="0"/>
              <w:spacing w:line="360" w:lineRule="exact"/>
              <w:ind w:firstLine="210" w:firstLineChars="100"/>
              <w:rPr>
                <w:rFonts w:ascii="宋体" w:hAnsi="宋体"/>
                <w:color w:val="auto"/>
                <w:highlight w:val="none"/>
              </w:rPr>
            </w:pPr>
          </w:p>
        </w:tc>
        <w:tc>
          <w:tcPr>
            <w:tcW w:w="1680" w:type="dxa"/>
          </w:tcPr>
          <w:p>
            <w:pPr>
              <w:snapToGrid w:val="0"/>
              <w:spacing w:line="360" w:lineRule="exact"/>
              <w:ind w:firstLine="210" w:firstLineChars="100"/>
              <w:rPr>
                <w:rFonts w:ascii="宋体" w:hAnsi="宋体"/>
                <w:color w:val="auto"/>
                <w:highlight w:val="none"/>
              </w:rPr>
            </w:pPr>
          </w:p>
        </w:tc>
        <w:tc>
          <w:tcPr>
            <w:tcW w:w="910" w:type="dxa"/>
          </w:tcPr>
          <w:p>
            <w:pPr>
              <w:snapToGrid w:val="0"/>
              <w:spacing w:line="360" w:lineRule="exact"/>
              <w:ind w:firstLine="210" w:firstLineChars="100"/>
              <w:rPr>
                <w:rFonts w:ascii="宋体" w:hAnsi="宋体"/>
                <w:color w:val="auto"/>
                <w:highlight w:val="none"/>
              </w:rPr>
            </w:pPr>
          </w:p>
        </w:tc>
        <w:tc>
          <w:tcPr>
            <w:tcW w:w="1076" w:type="dxa"/>
          </w:tcPr>
          <w:p>
            <w:pPr>
              <w:snapToGrid w:val="0"/>
              <w:spacing w:line="360" w:lineRule="exact"/>
              <w:ind w:firstLine="210" w:firstLineChars="10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1" w:type="dxa"/>
          </w:tcPr>
          <w:p>
            <w:pPr>
              <w:snapToGrid w:val="0"/>
              <w:spacing w:line="360" w:lineRule="exact"/>
              <w:ind w:firstLine="210" w:firstLineChars="100"/>
              <w:rPr>
                <w:rFonts w:ascii="宋体" w:hAnsi="宋体"/>
                <w:color w:val="auto"/>
                <w:highlight w:val="none"/>
              </w:rPr>
            </w:pPr>
          </w:p>
        </w:tc>
        <w:tc>
          <w:tcPr>
            <w:tcW w:w="1696" w:type="dxa"/>
          </w:tcPr>
          <w:p>
            <w:pPr>
              <w:snapToGrid w:val="0"/>
              <w:spacing w:line="360" w:lineRule="exact"/>
              <w:ind w:firstLine="210" w:firstLineChars="100"/>
              <w:rPr>
                <w:rFonts w:ascii="宋体" w:hAnsi="宋体"/>
                <w:color w:val="auto"/>
                <w:highlight w:val="none"/>
              </w:rPr>
            </w:pPr>
          </w:p>
        </w:tc>
        <w:tc>
          <w:tcPr>
            <w:tcW w:w="1890" w:type="dxa"/>
          </w:tcPr>
          <w:p>
            <w:pPr>
              <w:snapToGrid w:val="0"/>
              <w:spacing w:line="360" w:lineRule="exact"/>
              <w:ind w:firstLine="210" w:firstLineChars="100"/>
              <w:rPr>
                <w:rFonts w:ascii="宋体" w:hAnsi="宋体"/>
                <w:color w:val="auto"/>
                <w:highlight w:val="none"/>
              </w:rPr>
            </w:pPr>
          </w:p>
        </w:tc>
        <w:tc>
          <w:tcPr>
            <w:tcW w:w="840" w:type="dxa"/>
          </w:tcPr>
          <w:p>
            <w:pPr>
              <w:snapToGrid w:val="0"/>
              <w:spacing w:line="360" w:lineRule="exact"/>
              <w:ind w:firstLine="210" w:firstLineChars="100"/>
              <w:rPr>
                <w:rFonts w:ascii="宋体" w:hAnsi="宋体"/>
                <w:color w:val="auto"/>
                <w:highlight w:val="none"/>
              </w:rPr>
            </w:pPr>
          </w:p>
        </w:tc>
        <w:tc>
          <w:tcPr>
            <w:tcW w:w="1680" w:type="dxa"/>
          </w:tcPr>
          <w:p>
            <w:pPr>
              <w:snapToGrid w:val="0"/>
              <w:spacing w:line="360" w:lineRule="exact"/>
              <w:ind w:firstLine="210" w:firstLineChars="100"/>
              <w:rPr>
                <w:rFonts w:ascii="宋体" w:hAnsi="宋体"/>
                <w:color w:val="auto"/>
                <w:highlight w:val="none"/>
              </w:rPr>
            </w:pPr>
          </w:p>
        </w:tc>
        <w:tc>
          <w:tcPr>
            <w:tcW w:w="910" w:type="dxa"/>
          </w:tcPr>
          <w:p>
            <w:pPr>
              <w:snapToGrid w:val="0"/>
              <w:spacing w:line="360" w:lineRule="exact"/>
              <w:ind w:firstLine="210" w:firstLineChars="100"/>
              <w:rPr>
                <w:rFonts w:ascii="宋体" w:hAnsi="宋体"/>
                <w:color w:val="auto"/>
                <w:highlight w:val="none"/>
              </w:rPr>
            </w:pPr>
          </w:p>
        </w:tc>
        <w:tc>
          <w:tcPr>
            <w:tcW w:w="1076" w:type="dxa"/>
          </w:tcPr>
          <w:p>
            <w:pPr>
              <w:snapToGrid w:val="0"/>
              <w:spacing w:line="360" w:lineRule="exact"/>
              <w:ind w:firstLine="210" w:firstLineChars="100"/>
              <w:rPr>
                <w:rFonts w:ascii="宋体" w:hAnsi="宋体"/>
                <w:color w:val="auto"/>
                <w:highlight w:val="none"/>
              </w:rPr>
            </w:pPr>
          </w:p>
        </w:tc>
      </w:tr>
    </w:tbl>
    <w:p>
      <w:pPr>
        <w:snapToGrid w:val="0"/>
        <w:spacing w:line="360" w:lineRule="exact"/>
        <w:ind w:firstLine="211" w:firstLineChars="100"/>
        <w:rPr>
          <w:rFonts w:ascii="宋体" w:hAnsi="宋体"/>
          <w:color w:val="auto"/>
          <w:highlight w:val="none"/>
        </w:rPr>
      </w:pPr>
      <w:r>
        <w:rPr>
          <w:rFonts w:hint="eastAsia" w:ascii="宋体" w:hAnsi="宋体"/>
          <w:b/>
          <w:bCs/>
          <w:color w:val="auto"/>
          <w:highlight w:val="none"/>
        </w:rPr>
        <w:t xml:space="preserve">合同总计（人民币）: </w:t>
      </w:r>
      <w:r>
        <w:rPr>
          <w:rFonts w:hint="eastAsia" w:ascii="宋体" w:hAnsi="宋体"/>
          <w:b/>
          <w:bCs/>
          <w:color w:val="auto"/>
          <w:highlight w:val="none"/>
          <w:u w:val="single"/>
        </w:rPr>
        <w:t xml:space="preserve">             </w:t>
      </w:r>
      <w:r>
        <w:rPr>
          <w:rFonts w:ascii="宋体" w:hAnsi="宋体"/>
          <w:b/>
          <w:bCs/>
          <w:color w:val="auto"/>
          <w:highlight w:val="none"/>
          <w:u w:val="single"/>
        </w:rPr>
        <w:t xml:space="preserve"> </w:t>
      </w:r>
      <w:r>
        <w:rPr>
          <w:rFonts w:hint="eastAsia" w:ascii="宋体" w:hAnsi="宋体"/>
          <w:b/>
          <w:bCs/>
          <w:color w:val="auto"/>
          <w:highlight w:val="none"/>
        </w:rPr>
        <w:t xml:space="preserve">大写: </w:t>
      </w:r>
      <w:r>
        <w:rPr>
          <w:rFonts w:hint="eastAsia" w:ascii="宋体" w:hAnsi="宋体"/>
          <w:b/>
          <w:bCs/>
          <w:color w:val="auto"/>
          <w:highlight w:val="none"/>
          <w:u w:val="single"/>
        </w:rPr>
        <w:t xml:space="preserve">           </w:t>
      </w:r>
      <w:r>
        <w:rPr>
          <w:rFonts w:hint="eastAsia" w:ascii="宋体" w:hAnsi="宋体"/>
          <w:b/>
          <w:bCs/>
          <w:color w:val="auto"/>
          <w:highlight w:val="none"/>
        </w:rPr>
        <w:t xml:space="preserve">                 </w:t>
      </w:r>
    </w:p>
    <w:p>
      <w:pPr>
        <w:snapToGrid w:val="0"/>
        <w:spacing w:line="360" w:lineRule="exact"/>
        <w:ind w:left="315" w:leftChars="100" w:hanging="105" w:hangingChars="50"/>
        <w:rPr>
          <w:rFonts w:ascii="宋体" w:hAnsi="宋体"/>
          <w:color w:val="auto"/>
          <w:highlight w:val="none"/>
        </w:rPr>
      </w:pPr>
      <w:r>
        <w:rPr>
          <w:rFonts w:hint="eastAsia" w:ascii="宋体" w:hAnsi="宋体"/>
          <w:color w:val="auto"/>
          <w:highlight w:val="none"/>
        </w:rPr>
        <w:t>注：投标总价应是完成采购文件所确定的采购范围内的全部工作内容的价格，并承担一切风险责任。投标价格应该已经扣除所有商业折扣以及现金折扣。投标报价应包括了货物及其附件的设计、采购、制造、检测、试验、运输、保险、安装调试、</w:t>
      </w:r>
      <w:r>
        <w:rPr>
          <w:rFonts w:hint="eastAsia" w:ascii="宋体" w:hAnsi="宋体" w:cs="Arial Unicode MS"/>
          <w:color w:val="auto"/>
          <w:highlight w:val="none"/>
        </w:rPr>
        <w:t>配合费、</w:t>
      </w:r>
      <w:r>
        <w:rPr>
          <w:rFonts w:hint="eastAsia" w:ascii="宋体" w:hAnsi="宋体"/>
          <w:color w:val="auto"/>
          <w:highlight w:val="none"/>
        </w:rPr>
        <w:t>税费（含进口关税、增值税等）以及验收、技术服务（包括技术资料的提供）、质保期保障、招标代理服务费等完成合同所需的一切本身和不可或缺的所有工作开支、政策性文件规定等全部费用。投标供应商应根据上述因素自行考虑含入投标总价。</w:t>
      </w:r>
    </w:p>
    <w:p>
      <w:pPr>
        <w:snapToGrid w:val="0"/>
        <w:spacing w:line="360" w:lineRule="exact"/>
        <w:ind w:left="315" w:leftChars="100" w:hanging="105" w:hangingChars="50"/>
        <w:rPr>
          <w:rFonts w:ascii="宋体" w:hAnsi="宋体"/>
          <w:color w:val="auto"/>
          <w:highlight w:val="none"/>
        </w:rPr>
      </w:pPr>
      <w:r>
        <w:rPr>
          <w:rFonts w:hint="eastAsia" w:ascii="宋体" w:hAnsi="宋体"/>
          <w:color w:val="auto"/>
          <w:highlight w:val="none"/>
        </w:rPr>
        <w:t>一、交（提）货时间、地点、方式：</w:t>
      </w:r>
      <w:r>
        <w:rPr>
          <w:rFonts w:hint="eastAsia" w:ascii="宋体" w:hAnsi="宋体" w:cs="宋体"/>
          <w:color w:val="auto"/>
          <w:highlight w:val="none"/>
        </w:rPr>
        <w:t>乙方</w:t>
      </w:r>
      <w:r>
        <w:rPr>
          <w:rFonts w:hint="eastAsia" w:ascii="宋体" w:hAnsi="宋体"/>
          <w:color w:val="auto"/>
          <w:highlight w:val="none"/>
        </w:rPr>
        <w:t>于合同签订后</w:t>
      </w:r>
      <w:r>
        <w:rPr>
          <w:rFonts w:hint="eastAsia" w:ascii="宋体" w:hAnsi="宋体"/>
          <w:color w:val="auto"/>
          <w:highlight w:val="none"/>
          <w:u w:val="single"/>
        </w:rPr>
        <w:t xml:space="preserve">              个</w:t>
      </w:r>
      <w:r>
        <w:rPr>
          <w:rFonts w:hint="eastAsia" w:ascii="宋体" w:hAnsi="宋体"/>
          <w:color w:val="auto"/>
          <w:highlight w:val="none"/>
        </w:rPr>
        <w:t>工作日内将货物送至以下</w:t>
      </w:r>
      <w:r>
        <w:rPr>
          <w:rFonts w:hint="eastAsia" w:ascii="宋体" w:hAnsi="宋体"/>
          <w:color w:val="auto"/>
          <w:highlight w:val="none"/>
          <w:u w:val="single"/>
        </w:rPr>
        <w:t xml:space="preserve">              </w:t>
      </w:r>
      <w:r>
        <w:rPr>
          <w:rFonts w:hint="eastAsia" w:ascii="宋体" w:hAnsi="宋体"/>
          <w:color w:val="auto"/>
          <w:highlight w:val="none"/>
        </w:rPr>
        <w:t xml:space="preserve">指定地点交由甲方指定人 </w:t>
      </w:r>
    </w:p>
    <w:p>
      <w:pPr>
        <w:snapToGrid w:val="0"/>
        <w:spacing w:line="360" w:lineRule="exact"/>
        <w:ind w:left="315" w:leftChars="100" w:hanging="105" w:hangingChars="50"/>
        <w:rPr>
          <w:rFonts w:ascii="宋体" w:hAnsi="宋体"/>
          <w:color w:val="auto"/>
          <w:highlight w:val="none"/>
        </w:rPr>
      </w:pPr>
      <w:r>
        <w:rPr>
          <w:rFonts w:hint="eastAsia" w:ascii="宋体" w:hAnsi="宋体"/>
          <w:color w:val="auto"/>
          <w:highlight w:val="none"/>
        </w:rPr>
        <w:t xml:space="preserve"> 1、乙方应在交货前向甲方提供交货计划；</w:t>
      </w:r>
    </w:p>
    <w:p>
      <w:pPr>
        <w:snapToGrid w:val="0"/>
        <w:spacing w:line="360" w:lineRule="exact"/>
        <w:ind w:left="315" w:leftChars="150"/>
        <w:rPr>
          <w:rFonts w:ascii="宋体" w:hAnsi="宋体"/>
          <w:color w:val="auto"/>
          <w:highlight w:val="none"/>
        </w:rPr>
      </w:pPr>
      <w:r>
        <w:rPr>
          <w:rFonts w:hint="eastAsia" w:ascii="宋体" w:hAnsi="宋体"/>
          <w:color w:val="auto"/>
          <w:highlight w:val="none"/>
        </w:rPr>
        <w:t>2、运输、保险的费用由乙方承担。</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二、验收标准及提出异议时间：</w:t>
      </w:r>
    </w:p>
    <w:p>
      <w:pPr>
        <w:snapToGrid w:val="0"/>
        <w:spacing w:line="360" w:lineRule="exact"/>
        <w:ind w:firstLine="210" w:firstLineChars="100"/>
        <w:rPr>
          <w:rFonts w:ascii="宋体" w:hAnsi="宋体"/>
          <w:color w:val="auto"/>
          <w:highlight w:val="none"/>
        </w:rPr>
      </w:pPr>
      <w:r>
        <w:rPr>
          <w:rFonts w:ascii="宋体" w:hAnsi="宋体"/>
          <w:color w:val="auto"/>
          <w:highlight w:val="none"/>
        </w:rPr>
        <w:t>1</w:t>
      </w:r>
      <w:r>
        <w:rPr>
          <w:rFonts w:hint="eastAsia" w:ascii="宋体" w:hAnsi="宋体"/>
          <w:color w:val="auto"/>
          <w:highlight w:val="none"/>
        </w:rPr>
        <w:t>、验收标准：</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（1）装箱单、质量合格证书、保修证书、产品使用说明书及其它随箱的技术资料；</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（2）乙方保证一次开箱合格率大于 98% （百分之九十八）。</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（3）系统软硬件安装调试完毕后，试运行一个月均可正常运行。</w:t>
      </w:r>
    </w:p>
    <w:p>
      <w:pPr>
        <w:snapToGrid w:val="0"/>
        <w:spacing w:line="360" w:lineRule="exact"/>
        <w:ind w:firstLine="210" w:firstLineChars="100"/>
        <w:rPr>
          <w:rFonts w:ascii="宋体" w:hAnsi="宋体"/>
          <w:color w:val="auto"/>
          <w:highlight w:val="none"/>
        </w:rPr>
      </w:pPr>
      <w:r>
        <w:rPr>
          <w:rFonts w:ascii="宋体" w:hAnsi="宋体"/>
          <w:color w:val="auto"/>
          <w:highlight w:val="none"/>
        </w:rPr>
        <w:t>2</w:t>
      </w:r>
      <w:r>
        <w:rPr>
          <w:rFonts w:hint="eastAsia" w:ascii="宋体" w:hAnsi="宋体"/>
          <w:color w:val="auto"/>
          <w:highlight w:val="none"/>
        </w:rPr>
        <w:t>、若检验时发现货物数量不足、规格与合同要求不符或开箱时虽然货物外包装完好无损，但箱内货物短缺或损伤，双方应签署书面证明，乙方应根据该证明及时补足或更换。补足或更换的货物应在签署货损证明之日起七日内运达甲方指定地点，相关费用由乙方承担。</w:t>
      </w:r>
    </w:p>
    <w:p>
      <w:pPr>
        <w:snapToGrid w:val="0"/>
        <w:spacing w:line="360" w:lineRule="exact"/>
        <w:ind w:firstLine="210" w:firstLineChars="100"/>
        <w:rPr>
          <w:rFonts w:ascii="宋体" w:hAnsi="宋体"/>
          <w:color w:val="auto"/>
          <w:highlight w:val="none"/>
        </w:rPr>
      </w:pPr>
      <w:r>
        <w:rPr>
          <w:rFonts w:ascii="宋体" w:hAnsi="宋体"/>
          <w:color w:val="auto"/>
          <w:highlight w:val="none"/>
        </w:rPr>
        <w:t>3</w:t>
      </w:r>
      <w:r>
        <w:rPr>
          <w:rFonts w:hint="eastAsia" w:ascii="宋体" w:hAnsi="宋体"/>
          <w:color w:val="auto"/>
          <w:highlight w:val="none"/>
        </w:rPr>
        <w:t>、乙方保证向甲方提供的技术资料是清晰的、正确的、完整的。甲方在清点时如发现缺失，乙方应在接到甲方通知后七日内予以补足。</w:t>
      </w:r>
    </w:p>
    <w:p>
      <w:pPr>
        <w:snapToGrid w:val="0"/>
        <w:spacing w:line="360" w:lineRule="exact"/>
        <w:ind w:firstLine="210" w:firstLineChars="100"/>
        <w:rPr>
          <w:rFonts w:ascii="宋体" w:hAnsi="宋体"/>
          <w:color w:val="auto"/>
          <w:highlight w:val="none"/>
        </w:rPr>
      </w:pPr>
      <w:r>
        <w:rPr>
          <w:rFonts w:ascii="宋体" w:hAnsi="宋体"/>
          <w:color w:val="auto"/>
          <w:highlight w:val="none"/>
        </w:rPr>
        <w:t>4</w:t>
      </w:r>
      <w:r>
        <w:rPr>
          <w:rFonts w:hint="eastAsia" w:ascii="宋体" w:hAnsi="宋体"/>
          <w:color w:val="auto"/>
          <w:highlight w:val="none"/>
        </w:rPr>
        <w:t>、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七日内以书面形式通知乙方，乙方应在收到甲方通知后七日内免费更换有缺陷的货物或部件，相关费用由乙方承担。</w:t>
      </w:r>
    </w:p>
    <w:p>
      <w:pPr>
        <w:snapToGrid w:val="0"/>
        <w:spacing w:line="360" w:lineRule="exact"/>
        <w:ind w:firstLine="210" w:firstLineChars="100"/>
        <w:rPr>
          <w:rFonts w:ascii="宋体" w:hAnsi="宋体"/>
          <w:color w:val="auto"/>
          <w:highlight w:val="none"/>
        </w:rPr>
      </w:pPr>
      <w:r>
        <w:rPr>
          <w:rFonts w:ascii="宋体" w:hAnsi="宋体"/>
          <w:color w:val="auto"/>
          <w:highlight w:val="none"/>
        </w:rPr>
        <w:t>5</w:t>
      </w:r>
      <w:r>
        <w:rPr>
          <w:rFonts w:hint="eastAsia" w:ascii="宋体" w:hAnsi="宋体"/>
          <w:color w:val="auto"/>
          <w:highlight w:val="none"/>
        </w:rPr>
        <w:t>、甲方应将货物验收单同发票一起入账，作为甲方采购的凭证。</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三、质量标准及保修：</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1、乙方保证提供的货物皆为符合国家标准的合格产品，且承诺为甲方提供符合或高于国家标准的服务。</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2、乙方保证提供给甲方的货物是货物生产厂商原造的，全新、未使用过的，是用一流的工艺和优质材料制造而成的，并完全符合甲方在采购时提出的工作需要。</w:t>
      </w:r>
      <w:r>
        <w:rPr>
          <w:rFonts w:ascii="宋体" w:hAnsi="宋体"/>
          <w:color w:val="auto"/>
          <w:highlight w:val="none"/>
        </w:rPr>
        <w:t xml:space="preserve"> </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3、货物的保修期（  年）自双方签署货物验收单之日起算。</w:t>
      </w:r>
      <w:r>
        <w:rPr>
          <w:rFonts w:ascii="宋体" w:hAnsi="宋体"/>
          <w:color w:val="auto"/>
          <w:highlight w:val="none"/>
        </w:rPr>
        <w:t xml:space="preserve"> </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4、如因货物在使用中因人为因素而引起的缺陷，或因甲方人员维护不当而损坏的货物或零部件，乙方不负保修责任，乙方可以提供更换或修理服务，由此引起的费用由甲方负担。</w:t>
      </w:r>
      <w:r>
        <w:rPr>
          <w:rFonts w:ascii="宋体" w:hAnsi="宋体"/>
          <w:color w:val="auto"/>
          <w:highlight w:val="none"/>
        </w:rPr>
        <w:t xml:space="preserve"> </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5、如因乙方提供的货物有缺陷，或乙方提供的技术资料有错误，或乙方在现场的技术人员指导有错误而使货物不能达到合同规定的指标和技术性能，乙方应负责修理或更换有缺陷和损坏的货物，使货物运行指标和技术性能达到合同规定</w:t>
      </w:r>
      <w:r>
        <w:rPr>
          <w:rFonts w:ascii="宋体" w:hAnsi="宋体"/>
          <w:color w:val="auto"/>
          <w:highlight w:val="none"/>
        </w:rPr>
        <w:t xml:space="preserve"> </w:t>
      </w:r>
      <w:r>
        <w:rPr>
          <w:rFonts w:hint="eastAsia" w:ascii="宋体" w:hAnsi="宋体"/>
          <w:color w:val="auto"/>
          <w:highlight w:val="none"/>
        </w:rPr>
        <w:t>， 由此引起的全部费用由乙方承担。</w:t>
      </w:r>
      <w:r>
        <w:rPr>
          <w:rFonts w:ascii="宋体" w:hAnsi="宋体"/>
          <w:color w:val="auto"/>
          <w:highlight w:val="none"/>
        </w:rPr>
        <w:t xml:space="preserve"> </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6、在合同货物保修期内，如果由于乙方更换、修理和续补货物，而造成货物不得不停止使用，货物保修期应依照停止使用的实际时间加以延长，如因此给甲方造成损失，乙方应负责赔偿。</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7、采购的货物发生故障时，乙方应温州及附近地区4小时内、其它地区12小时内派人到达现场处理问题，直至甲方满意为止。</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四、支付方式：</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1、合同签订后成交供应商应提供合同总金额</w:t>
      </w:r>
      <w:r>
        <w:rPr>
          <w:rFonts w:hint="eastAsia" w:ascii="宋体" w:hAnsi="宋体"/>
          <w:color w:val="auto"/>
          <w:highlight w:val="none"/>
          <w:lang w:val="en-US" w:eastAsia="zh-CN"/>
        </w:rPr>
        <w:t>1</w:t>
      </w:r>
      <w:r>
        <w:rPr>
          <w:rFonts w:hint="eastAsia" w:ascii="宋体" w:hAnsi="宋体"/>
          <w:color w:val="auto"/>
          <w:highlight w:val="none"/>
        </w:rPr>
        <w:t>%的履约保证金，项目验收结束后5个工作日内无息退还。</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2、</w:t>
      </w:r>
      <w:r>
        <w:rPr>
          <w:rFonts w:hint="eastAsia" w:ascii="新宋体" w:hAnsi="新宋体" w:eastAsia="新宋体" w:cs="新宋体"/>
          <w:color w:val="auto"/>
          <w:kern w:val="0"/>
          <w:sz w:val="22"/>
          <w:szCs w:val="22"/>
          <w:highlight w:val="none"/>
        </w:rPr>
        <w:t>合同签订生效以及具备实施条件后</w:t>
      </w:r>
      <w:r>
        <w:rPr>
          <w:rFonts w:hint="eastAsia" w:ascii="宋体" w:hAnsi="宋体"/>
          <w:color w:val="auto"/>
          <w:highlight w:val="none"/>
        </w:rPr>
        <w:t>，甲方按照财政审批流程上报，审批后支付合同金额的40%</w:t>
      </w:r>
      <w:r>
        <w:rPr>
          <w:rFonts w:hint="eastAsia" w:ascii="宋体" w:hAnsi="宋体"/>
          <w:color w:val="auto"/>
          <w:sz w:val="22"/>
          <w:szCs w:val="22"/>
          <w:highlight w:val="none"/>
        </w:rPr>
        <w:t>（具体预付约定落实需</w:t>
      </w:r>
      <w:r>
        <w:rPr>
          <w:rFonts w:hint="eastAsia" w:ascii="宋体" w:hAnsi="宋体"/>
          <w:color w:val="auto"/>
          <w:highlight w:val="none"/>
        </w:rPr>
        <w:t>以财政部门资金拨付情况前提</w:t>
      </w:r>
      <w:r>
        <w:rPr>
          <w:rFonts w:hint="eastAsia" w:ascii="宋体" w:hAnsi="宋体"/>
          <w:color w:val="auto"/>
          <w:sz w:val="22"/>
          <w:szCs w:val="22"/>
          <w:highlight w:val="none"/>
        </w:rPr>
        <w:t>）</w:t>
      </w:r>
      <w:r>
        <w:rPr>
          <w:rFonts w:hint="eastAsia" w:ascii="宋体" w:hAnsi="宋体"/>
          <w:color w:val="auto"/>
          <w:highlight w:val="none"/>
        </w:rPr>
        <w:t>；</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3、</w:t>
      </w:r>
      <w:r>
        <w:rPr>
          <w:rFonts w:hint="eastAsia" w:ascii="新宋体" w:hAnsi="新宋体" w:eastAsia="新宋体" w:cs="新宋体"/>
          <w:color w:val="auto"/>
          <w:kern w:val="0"/>
          <w:sz w:val="22"/>
          <w:szCs w:val="22"/>
          <w:highlight w:val="none"/>
        </w:rPr>
        <w:t>项目完成供货、安装、调试上线后</w:t>
      </w:r>
      <w:r>
        <w:rPr>
          <w:rFonts w:hint="eastAsia" w:ascii="宋体" w:hAnsi="宋体"/>
          <w:color w:val="auto"/>
          <w:highlight w:val="none"/>
        </w:rPr>
        <w:t>，甲方在15个工作日内甲方按照财政审批流程上报，审批后支付合同金额的30%（双方协商决定付款比例，具体每笔款项支付视财政部门资金拨付情况而定）；</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4、项目全部完成经甲方验收合格后，甲方在15个工作日内甲方按照财政审批流程上报，审批后支付乙方剩余款项；</w:t>
      </w:r>
    </w:p>
    <w:p>
      <w:pPr>
        <w:pStyle w:val="3"/>
        <w:spacing w:line="360" w:lineRule="auto"/>
        <w:ind w:firstLine="660" w:firstLineChars="300"/>
        <w:rPr>
          <w:rFonts w:ascii="宋体" w:hAnsi="宋体"/>
          <w:color w:val="auto"/>
          <w:sz w:val="22"/>
          <w:szCs w:val="22"/>
          <w:highlight w:val="none"/>
        </w:rPr>
      </w:pPr>
      <w:r>
        <w:rPr>
          <w:rFonts w:hint="eastAsia" w:ascii="宋体" w:hAnsi="宋体"/>
          <w:color w:val="auto"/>
          <w:sz w:val="22"/>
          <w:szCs w:val="22"/>
          <w:highlight w:val="none"/>
        </w:rPr>
        <w:t>注：1、根据《浙江省财政厅关于进一步发挥政府采购政策功能全力推动经济稳进提质的通知》（浙财采监[202</w:t>
      </w:r>
      <w:r>
        <w:rPr>
          <w:rFonts w:ascii="宋体" w:hAnsi="宋体"/>
          <w:color w:val="auto"/>
          <w:sz w:val="22"/>
          <w:szCs w:val="22"/>
          <w:highlight w:val="none"/>
        </w:rPr>
        <w:t>2</w:t>
      </w:r>
      <w:r>
        <w:rPr>
          <w:rFonts w:hint="eastAsia" w:ascii="宋体" w:hAnsi="宋体"/>
          <w:color w:val="auto"/>
          <w:sz w:val="22"/>
          <w:szCs w:val="22"/>
          <w:highlight w:val="none"/>
        </w:rPr>
        <w:t>]3号）的规定，双方协商决定付款比例，具体每笔款项支付视财政部门资金拨付情况而定。</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五、违约责任：</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1、如果乙方未按照合同规定的要求交付合同货物和提供服务，或乙方在收到甲方要求更换有缺陷的货物或部件的通知后七日内或在乙方签署货损证明后七日内没有补足或更换货物、或交货仍不符合要求；或乙方未能履行合同规定的任何其他义务时，甲方有权并直接向乙方发出违约通知书，乙方应按照甲方选择的下列一种或多种方式承担赔偿责任：</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1）在甲方同意延长的期限内交付全部货物、提供服务并承担由此给甲方造成的一切损失。</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2）在甲方规定的时间内，用符合合同规定的规格、质量和性能要求的新零件、部件或货物来更换有缺陷的零件、部件和货物，或修补缺陷部分以达到合同规定的要求，乙方应承担由此发生的一切费用和风险。此时，相关货物的质量保修期也应相应延长。</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3）根据货物低劣程度、损坏程度以及使甲方所遭受的损失，经双方商定降低货物的价格或赔偿甲方所遭受的损失。</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4）乙方同意退货，并按合同规定的同种货币将甲方所退货物的全部价款退还给甲方，并承担由此发生的一切损失和费用。</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5）甲方有权部分或全部解除合同并要求乙方赔偿由此造成的损失。此时甲方可采取必要的补救措施，相关费用由乙方承担。</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2、如果乙方在收到甲方的违约通知书后七日内未作答复也没有按照甲方选择的方式承担违约责任，则甲方有权从尚未支付的合同价款中扣回索赔金额。如果这些金额不足以补偿，甲方有权向乙方提出不足部分的赔偿要求。</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3、如乙方延期交货，每逾期一日，违约方应按合同金额 1% 向对方支付违约金，但该违约金累计不超过合同金额的 5% ，逾期超过 5</w:t>
      </w:r>
      <w:r>
        <w:rPr>
          <w:rFonts w:ascii="宋体" w:hAnsi="宋体"/>
          <w:color w:val="auto"/>
          <w:highlight w:val="none"/>
        </w:rPr>
        <w:t xml:space="preserve"> </w:t>
      </w:r>
      <w:r>
        <w:rPr>
          <w:rFonts w:hint="eastAsia" w:ascii="宋体" w:hAnsi="宋体"/>
          <w:color w:val="auto"/>
          <w:highlight w:val="none"/>
        </w:rPr>
        <w:t>日，守约方有权解除合同，并要求违约方赔偿由此造成的损失。</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4、如任何一方无故解除合同或有其他违约行为，应向对方支付合同金额 5% 的违约金。</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5、货物为假冒伪劣产品的，乙方应按照合同金额双倍赔偿给甲方造成的损失。</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6、项目验收结束后5个工作日内无息退还履约保证金。逾期退还的，乙方可要求甲方支付违约金，每日偿付本合同履约保证金  0.05  %的违约金，最高限额为本合同履约保证金的20 %。</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7、甲方逾期支付货款的，自逾期之日起，向乙方每日偿付合同金额0.5 %的违约金；需方无正当理由拒绝付货款的，应向乙偿付合同金额 5 %的违约金。</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8、除采购人事先书面同意外，中标供应商不得转让和分包其应履行的合同义务。</w:t>
      </w:r>
    </w:p>
    <w:p>
      <w:pPr>
        <w:pStyle w:val="3"/>
        <w:ind w:firstLine="210"/>
        <w:rPr>
          <w:color w:val="auto"/>
          <w:highlight w:val="none"/>
        </w:rPr>
      </w:pP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六、因本合同而引起的纠纷采用以下方式解决：1、双方协商解决（  ）；2、向集中采购机构反映（  ）；3、提请仲裁委员会仲裁（  ）；4、向中国有管辖权的人民法院提起诉讼（  ）。</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（根据《中华人民共和国仲裁法》的规定，第3、4 项只能选择一种。）</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七、其他约定事项：</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1、投标供应商应承诺：本项目合同签订后1年内有效，在合同有效期内，中标单价不变，甲方可以根据实际情况，对采购的产品的数量作适当的核减。采购总价最终以中标人实际提供的产品品种和数量并依据中标单价按实结算。</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3、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4、本项目（项目编号：</w:t>
      </w:r>
      <w:r>
        <w:rPr>
          <w:rFonts w:ascii="宋体" w:hAnsi="宋体"/>
          <w:color w:val="auto"/>
          <w:highlight w:val="none"/>
          <w:u w:val="single"/>
        </w:rPr>
        <w:t xml:space="preserve">          </w:t>
      </w:r>
      <w:r>
        <w:rPr>
          <w:rFonts w:hint="eastAsia" w:ascii="宋体" w:hAnsi="宋体"/>
          <w:color w:val="auto"/>
          <w:highlight w:val="none"/>
        </w:rPr>
        <w:t>）采购文件以及</w:t>
      </w:r>
      <w:r>
        <w:rPr>
          <w:rFonts w:hint="eastAsia" w:ascii="宋体" w:hAnsi="宋体"/>
          <w:bCs/>
          <w:color w:val="auto"/>
          <w:sz w:val="22"/>
          <w:highlight w:val="none"/>
        </w:rPr>
        <w:t>投标</w:t>
      </w:r>
      <w:r>
        <w:rPr>
          <w:rFonts w:hint="eastAsia" w:ascii="宋体" w:hAnsi="宋体"/>
          <w:color w:val="auto"/>
          <w:highlight w:val="none"/>
        </w:rPr>
        <w:t>文件、询标记录是本合同不可分割的组成部分，本合同未尽事宜从其规定。</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5、本合同一式五份，甲乙方各两份，代理公司一份，由乙方在合同生效后三日内向采购机构上报。</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6、本合同经供需双方签字、盖章后生效。</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甲方（签章）：                              乙方（签章）：</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法人或授权人签字：                          法人或授权人签字：</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地址：                                      地  址：</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电话：                                      电  话：</w:t>
      </w:r>
    </w:p>
    <w:p>
      <w:pPr>
        <w:snapToGrid w:val="0"/>
        <w:spacing w:line="360" w:lineRule="exact"/>
        <w:ind w:firstLine="210" w:firstLineChars="100"/>
        <w:rPr>
          <w:rFonts w:ascii="宋体" w:hAnsi="宋体"/>
          <w:color w:val="auto"/>
          <w:highlight w:val="none"/>
        </w:rPr>
      </w:pPr>
      <w:r>
        <w:rPr>
          <w:rFonts w:hint="eastAsia" w:ascii="宋体" w:hAnsi="宋体"/>
          <w:color w:val="auto"/>
          <w:highlight w:val="none"/>
        </w:rPr>
        <w:t>合同签订日期：      年  月  日              合同签订日期：      年  月  日</w:t>
      </w:r>
    </w:p>
    <w:p>
      <w:pPr>
        <w:snapToGrid w:val="0"/>
        <w:spacing w:line="360" w:lineRule="exact"/>
        <w:ind w:firstLine="210" w:firstLineChars="100"/>
        <w:rPr>
          <w:rFonts w:ascii="宋体" w:hAnsi="宋体"/>
          <w:color w:val="auto"/>
          <w:highlight w:val="none"/>
        </w:rPr>
      </w:pPr>
    </w:p>
    <w:p>
      <w:pPr>
        <w:rPr>
          <w:rFonts w:ascii="宋体" w:hAnsi="宋体" w:cs="宋体"/>
          <w:color w:val="auto"/>
          <w:sz w:val="32"/>
          <w:szCs w:val="32"/>
          <w:highlight w:val="none"/>
        </w:rPr>
      </w:pPr>
      <w:r>
        <w:rPr>
          <w:rFonts w:hint="eastAsia" w:ascii="宋体" w:hAnsi="宋体" w:cs="Arial Unicode MS"/>
          <w:color w:val="auto"/>
          <w:highlight w:val="none"/>
        </w:rPr>
        <w:t xml:space="preserve"> </w:t>
      </w:r>
      <w:r>
        <w:rPr>
          <w:rFonts w:hint="eastAsia" w:ascii="宋体" w:hAnsi="宋体" w:cs="宋体"/>
          <w:color w:val="auto"/>
          <w:sz w:val="32"/>
          <w:szCs w:val="32"/>
          <w:highlight w:val="none"/>
        </w:rPr>
        <w:br w:type="page"/>
      </w:r>
    </w:p>
    <w:bookmarkEnd w:id="107"/>
    <w:bookmarkEnd w:id="110"/>
    <w:p>
      <w:pPr>
        <w:pStyle w:val="25"/>
        <w:rPr>
          <w:rFonts w:ascii="宋体" w:hAnsi="宋体" w:cs="宋体"/>
          <w:color w:val="auto"/>
          <w:sz w:val="30"/>
          <w:szCs w:val="30"/>
          <w:highlight w:val="none"/>
        </w:rPr>
      </w:pPr>
      <w:bookmarkStart w:id="112" w:name="_Toc498343172"/>
      <w:bookmarkStart w:id="113" w:name="_Toc73091440"/>
      <w:bookmarkStart w:id="114" w:name="_Toc496116263"/>
      <w:bookmarkStart w:id="115" w:name="_Toc293038721"/>
      <w:r>
        <w:rPr>
          <w:rFonts w:hint="eastAsia" w:ascii="宋体" w:hAnsi="宋体" w:cs="宋体"/>
          <w:color w:val="auto"/>
          <w:sz w:val="30"/>
          <w:szCs w:val="30"/>
          <w:highlight w:val="none"/>
        </w:rPr>
        <w:t>第六部分 投标文件格式</w:t>
      </w:r>
      <w:bookmarkEnd w:id="112"/>
      <w:bookmarkEnd w:id="113"/>
      <w:bookmarkEnd w:id="114"/>
    </w:p>
    <w:bookmarkEnd w:id="115"/>
    <w:p>
      <w:pPr>
        <w:widowControl/>
        <w:spacing w:line="460" w:lineRule="atLeast"/>
        <w:jc w:val="center"/>
        <w:rPr>
          <w:rFonts w:ascii="宋体" w:hAnsi="宋体" w:cs="宋体"/>
          <w:b/>
          <w:bCs/>
          <w:color w:val="auto"/>
          <w:sz w:val="32"/>
          <w:szCs w:val="32"/>
          <w:highlight w:val="none"/>
        </w:rPr>
      </w:pPr>
      <w:bookmarkStart w:id="116" w:name="_Toc498343176"/>
      <w:bookmarkStart w:id="117" w:name="_Toc496116282"/>
      <w:bookmarkStart w:id="118" w:name="_Toc161563051"/>
      <w:bookmarkStart w:id="119" w:name="_Toc293038733"/>
    </w:p>
    <w:p>
      <w:pPr>
        <w:pStyle w:val="25"/>
        <w:rPr>
          <w:rFonts w:ascii="宋体" w:hAnsi="宋体" w:cs="宋体"/>
          <w:color w:val="auto"/>
          <w:highlight w:val="none"/>
        </w:rPr>
      </w:pPr>
      <w:bookmarkStart w:id="120" w:name="_Toc73091441"/>
      <w:bookmarkStart w:id="121" w:name="_Toc42678689"/>
      <w:bookmarkStart w:id="122" w:name="_Toc301515381"/>
      <w:r>
        <w:rPr>
          <w:rFonts w:hint="eastAsia" w:ascii="宋体" w:hAnsi="宋体" w:cs="宋体"/>
          <w:color w:val="auto"/>
          <w:highlight w:val="none"/>
        </w:rPr>
        <w:t>一、资格文件部分格式</w:t>
      </w:r>
      <w:bookmarkEnd w:id="120"/>
      <w:bookmarkEnd w:id="121"/>
    </w:p>
    <w:p>
      <w:pPr>
        <w:widowControl/>
        <w:spacing w:line="460" w:lineRule="atLeast"/>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附件一</w:t>
      </w:r>
    </w:p>
    <w:p>
      <w:pPr>
        <w:pStyle w:val="25"/>
        <w:rPr>
          <w:rFonts w:ascii="宋体" w:hAnsi="宋体" w:cs="宋体"/>
          <w:color w:val="auto"/>
          <w:highlight w:val="none"/>
          <w:lang w:val="zh-CN"/>
        </w:rPr>
      </w:pPr>
      <w:bookmarkStart w:id="123" w:name="_Toc42678179"/>
      <w:bookmarkStart w:id="124" w:name="_Toc42243282"/>
      <w:bookmarkStart w:id="125" w:name="_Toc42678690"/>
      <w:bookmarkStart w:id="126" w:name="_Toc61444210"/>
      <w:bookmarkStart w:id="127" w:name="_Toc42678024"/>
      <w:bookmarkStart w:id="128" w:name="_Toc73091442"/>
      <w:r>
        <w:rPr>
          <w:rFonts w:hint="eastAsia" w:ascii="宋体" w:hAnsi="宋体" w:cs="宋体"/>
          <w:color w:val="auto"/>
          <w:highlight w:val="none"/>
          <w:lang w:val="zh-CN"/>
        </w:rPr>
        <w:t>具有履行合同所必需的设备和专业技术能力的承诺函</w:t>
      </w:r>
      <w:bookmarkEnd w:id="123"/>
      <w:bookmarkEnd w:id="124"/>
      <w:bookmarkEnd w:id="125"/>
      <w:bookmarkEnd w:id="126"/>
      <w:bookmarkEnd w:id="127"/>
      <w:bookmarkEnd w:id="128"/>
    </w:p>
    <w:p>
      <w:pPr>
        <w:spacing w:line="460" w:lineRule="exact"/>
        <w:rPr>
          <w:rFonts w:ascii="宋体" w:hAnsi="宋体" w:cs="宋体"/>
          <w:b/>
          <w:color w:val="auto"/>
          <w:sz w:val="22"/>
          <w:szCs w:val="22"/>
          <w:highlight w:val="none"/>
          <w:u w:val="single"/>
        </w:rPr>
      </w:pPr>
    </w:p>
    <w:p>
      <w:pPr>
        <w:spacing w:line="460" w:lineRule="exac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永嘉县公安局：</w:t>
      </w:r>
    </w:p>
    <w:p>
      <w:pPr>
        <w:spacing w:line="460" w:lineRule="exac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温州市华明招标代理有限公司：</w:t>
      </w:r>
    </w:p>
    <w:p>
      <w:pPr>
        <w:widowControl/>
        <w:snapToGrid w:val="0"/>
        <w:spacing w:line="460" w:lineRule="exact"/>
        <w:ind w:firstLine="440" w:firstLineChars="200"/>
        <w:jc w:val="left"/>
        <w:rPr>
          <w:rFonts w:ascii="宋体" w:hAnsi="宋体" w:cs="宋体"/>
          <w:color w:val="auto"/>
          <w:sz w:val="22"/>
          <w:szCs w:val="22"/>
          <w:highlight w:val="none"/>
        </w:rPr>
      </w:pPr>
    </w:p>
    <w:p>
      <w:pPr>
        <w:widowControl/>
        <w:snapToGrid w:val="0"/>
        <w:spacing w:line="4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我方</w:t>
      </w:r>
      <w:r>
        <w:rPr>
          <w:rFonts w:hint="eastAsia" w:ascii="宋体" w:hAnsi="宋体" w:cs="宋体"/>
          <w:color w:val="auto"/>
          <w:sz w:val="22"/>
          <w:szCs w:val="22"/>
          <w:highlight w:val="none"/>
          <w:u w:val="single"/>
        </w:rPr>
        <w:t xml:space="preserve"> （供应商）</w:t>
      </w:r>
      <w:r>
        <w:rPr>
          <w:rFonts w:hint="eastAsia" w:ascii="宋体" w:hAnsi="宋体" w:cs="宋体"/>
          <w:color w:val="auto"/>
          <w:sz w:val="22"/>
          <w:szCs w:val="22"/>
          <w:highlight w:val="none"/>
        </w:rPr>
        <w:t>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ascii="宋体" w:hAnsi="宋体" w:cs="宋体"/>
          <w:color w:val="auto"/>
          <w:sz w:val="22"/>
          <w:szCs w:val="22"/>
          <w:highlight w:val="none"/>
        </w:rPr>
      </w:pPr>
    </w:p>
    <w:p>
      <w:pPr>
        <w:widowControl/>
        <w:snapToGrid w:val="0"/>
        <w:spacing w:line="4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特此承诺！</w:t>
      </w:r>
    </w:p>
    <w:p>
      <w:pPr>
        <w:widowControl/>
        <w:snapToGrid w:val="0"/>
        <w:spacing w:line="460" w:lineRule="exact"/>
        <w:ind w:firstLine="440" w:firstLineChars="200"/>
        <w:jc w:val="left"/>
        <w:rPr>
          <w:rFonts w:ascii="宋体" w:hAnsi="宋体" w:cs="宋体"/>
          <w:color w:val="auto"/>
          <w:sz w:val="22"/>
          <w:szCs w:val="22"/>
          <w:highlight w:val="none"/>
        </w:rPr>
      </w:pPr>
    </w:p>
    <w:p>
      <w:pPr>
        <w:widowControl/>
        <w:snapToGrid w:val="0"/>
        <w:spacing w:line="4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投标供应商（盖章） ：</w:t>
      </w:r>
    </w:p>
    <w:p>
      <w:pPr>
        <w:widowControl/>
        <w:snapToGrid w:val="0"/>
        <w:spacing w:line="460" w:lineRule="exact"/>
        <w:ind w:firstLine="420" w:firstLineChars="200"/>
        <w:jc w:val="left"/>
        <w:rPr>
          <w:rFonts w:ascii="宋体" w:hAnsi="宋体" w:cs="宋体"/>
          <w:color w:val="auto"/>
          <w:sz w:val="22"/>
          <w:szCs w:val="22"/>
          <w:highlight w:val="none"/>
        </w:rPr>
      </w:pPr>
      <w:r>
        <w:rPr>
          <w:rFonts w:hint="eastAsia" w:ascii="宋体" w:hAnsi="宋体" w:cs="宋体"/>
          <w:bCs/>
          <w:color w:val="auto"/>
          <w:highlight w:val="none"/>
        </w:rPr>
        <w:t>法定代表人（负责人）或授权代表（签字或盖章）：</w:t>
      </w:r>
    </w:p>
    <w:p>
      <w:pPr>
        <w:widowControl/>
        <w:snapToGrid w:val="0"/>
        <w:spacing w:line="4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日期：</w:t>
      </w:r>
    </w:p>
    <w:p>
      <w:pPr>
        <w:widowControl/>
        <w:spacing w:line="460" w:lineRule="atLeast"/>
        <w:jc w:val="left"/>
        <w:rPr>
          <w:rFonts w:ascii="宋体" w:hAnsi="宋体" w:cs="宋体"/>
          <w:b/>
          <w:color w:val="auto"/>
          <w:highlight w:val="none"/>
          <w:lang w:val="zh-CN"/>
        </w:rPr>
      </w:pPr>
      <w:r>
        <w:rPr>
          <w:rFonts w:hint="eastAsia" w:ascii="宋体" w:hAnsi="宋体" w:cs="宋体"/>
          <w:color w:val="auto"/>
          <w:sz w:val="36"/>
          <w:szCs w:val="32"/>
          <w:highlight w:val="none"/>
        </w:rPr>
        <w:br w:type="page"/>
      </w:r>
      <w:bookmarkStart w:id="129" w:name="_Toc30615"/>
      <w:bookmarkStart w:id="130" w:name="_Toc38543882"/>
      <w:r>
        <w:rPr>
          <w:rFonts w:hint="eastAsia" w:ascii="宋体" w:hAnsi="宋体" w:cs="宋体"/>
          <w:b/>
          <w:bCs/>
          <w:color w:val="auto"/>
          <w:sz w:val="22"/>
          <w:szCs w:val="22"/>
          <w:highlight w:val="none"/>
        </w:rPr>
        <w:t>附件二</w:t>
      </w:r>
    </w:p>
    <w:p>
      <w:pPr>
        <w:pStyle w:val="25"/>
        <w:rPr>
          <w:rFonts w:ascii="宋体" w:hAnsi="宋体" w:cs="宋体"/>
          <w:color w:val="auto"/>
          <w:highlight w:val="none"/>
          <w:lang w:val="zh-CN"/>
        </w:rPr>
      </w:pPr>
      <w:bookmarkStart w:id="131" w:name="_Toc42678691"/>
      <w:bookmarkStart w:id="132" w:name="_Toc61444211"/>
      <w:bookmarkStart w:id="133" w:name="_Toc42243283"/>
      <w:bookmarkStart w:id="134" w:name="_Toc42678025"/>
      <w:bookmarkStart w:id="135" w:name="_Toc42678180"/>
      <w:bookmarkStart w:id="136" w:name="_Toc73091443"/>
      <w:r>
        <w:rPr>
          <w:rFonts w:hint="eastAsia" w:ascii="宋体" w:hAnsi="宋体" w:cs="宋体"/>
          <w:color w:val="auto"/>
          <w:highlight w:val="none"/>
          <w:lang w:val="zh-CN"/>
        </w:rPr>
        <w:t>依法缴纳税收和社会保障资金的承诺函</w:t>
      </w:r>
      <w:bookmarkEnd w:id="129"/>
      <w:bookmarkEnd w:id="130"/>
      <w:bookmarkEnd w:id="131"/>
      <w:bookmarkEnd w:id="132"/>
      <w:bookmarkEnd w:id="133"/>
      <w:bookmarkEnd w:id="134"/>
      <w:bookmarkEnd w:id="135"/>
      <w:bookmarkEnd w:id="136"/>
    </w:p>
    <w:p>
      <w:pPr>
        <w:spacing w:line="460" w:lineRule="exac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永嘉县公安局：</w:t>
      </w:r>
    </w:p>
    <w:p>
      <w:pPr>
        <w:spacing w:line="460" w:lineRule="exac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温州市华明招标代理有限公司：</w:t>
      </w:r>
    </w:p>
    <w:p>
      <w:pPr>
        <w:spacing w:line="460" w:lineRule="exact"/>
        <w:ind w:firstLine="440" w:firstLineChars="200"/>
        <w:rPr>
          <w:rFonts w:ascii="宋体" w:hAnsi="宋体" w:cs="宋体"/>
          <w:color w:val="auto"/>
          <w:sz w:val="22"/>
          <w:szCs w:val="22"/>
          <w:highlight w:val="none"/>
        </w:rPr>
      </w:pP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ascii="宋体" w:hAnsi="宋体" w:cs="宋体"/>
          <w:color w:val="auto"/>
          <w:sz w:val="22"/>
          <w:szCs w:val="22"/>
          <w:highlight w:val="none"/>
        </w:rPr>
      </w:pP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特此承诺！</w:t>
      </w:r>
    </w:p>
    <w:p>
      <w:pPr>
        <w:widowControl/>
        <w:snapToGrid w:val="0"/>
        <w:spacing w:line="460" w:lineRule="exact"/>
        <w:ind w:firstLine="440" w:firstLineChars="200"/>
        <w:jc w:val="left"/>
        <w:rPr>
          <w:rFonts w:ascii="宋体" w:hAnsi="宋体" w:cs="宋体"/>
          <w:color w:val="auto"/>
          <w:sz w:val="22"/>
          <w:szCs w:val="22"/>
          <w:highlight w:val="none"/>
        </w:rPr>
      </w:pPr>
    </w:p>
    <w:p>
      <w:pPr>
        <w:widowControl/>
        <w:snapToGrid w:val="0"/>
        <w:spacing w:line="4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投标供应商（盖章） ：</w:t>
      </w:r>
    </w:p>
    <w:p>
      <w:pPr>
        <w:widowControl/>
        <w:snapToGrid w:val="0"/>
        <w:spacing w:line="460" w:lineRule="exact"/>
        <w:ind w:firstLine="420" w:firstLineChars="200"/>
        <w:jc w:val="left"/>
        <w:rPr>
          <w:rFonts w:ascii="宋体" w:hAnsi="宋体" w:cs="宋体"/>
          <w:color w:val="auto"/>
          <w:sz w:val="22"/>
          <w:szCs w:val="22"/>
          <w:highlight w:val="none"/>
        </w:rPr>
      </w:pPr>
      <w:r>
        <w:rPr>
          <w:rFonts w:hint="eastAsia" w:ascii="宋体" w:hAnsi="宋体" w:cs="宋体"/>
          <w:bCs/>
          <w:color w:val="auto"/>
          <w:highlight w:val="none"/>
        </w:rPr>
        <w:t>法定代表人（负责人）或授权代表（签字或盖章）：</w:t>
      </w:r>
    </w:p>
    <w:p>
      <w:pPr>
        <w:widowControl/>
        <w:snapToGrid w:val="0"/>
        <w:spacing w:line="4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日期： </w:t>
      </w:r>
    </w:p>
    <w:p>
      <w:pPr>
        <w:widowControl/>
        <w:snapToGrid w:val="0"/>
        <w:spacing w:line="460" w:lineRule="exact"/>
        <w:ind w:firstLine="440" w:firstLineChars="200"/>
        <w:jc w:val="left"/>
        <w:rPr>
          <w:rFonts w:ascii="宋体" w:hAnsi="宋体" w:cs="宋体"/>
          <w:color w:val="auto"/>
          <w:sz w:val="22"/>
          <w:szCs w:val="22"/>
          <w:highlight w:val="none"/>
        </w:rPr>
      </w:pPr>
    </w:p>
    <w:p>
      <w:pPr>
        <w:widowControl/>
        <w:spacing w:line="460" w:lineRule="atLeast"/>
        <w:jc w:val="left"/>
        <w:rPr>
          <w:rFonts w:ascii="宋体" w:hAnsi="宋体" w:cs="宋体"/>
          <w:b/>
          <w:color w:val="auto"/>
          <w:highlight w:val="none"/>
        </w:rPr>
      </w:pPr>
      <w:r>
        <w:rPr>
          <w:rFonts w:hint="eastAsia" w:ascii="宋体" w:hAnsi="宋体" w:cs="宋体"/>
          <w:color w:val="auto"/>
          <w:sz w:val="30"/>
          <w:szCs w:val="32"/>
          <w:highlight w:val="none"/>
          <w:lang w:val="zh-CN"/>
        </w:rPr>
        <w:br w:type="page"/>
      </w:r>
      <w:bookmarkStart w:id="137" w:name="_Toc14988"/>
      <w:bookmarkStart w:id="138" w:name="_Toc28957"/>
      <w:bookmarkStart w:id="139" w:name="_Toc14589"/>
      <w:bookmarkStart w:id="140" w:name="_Toc13669"/>
      <w:bookmarkStart w:id="141" w:name="_Toc27119255"/>
      <w:bookmarkStart w:id="142" w:name="_Toc33194406"/>
      <w:bookmarkStart w:id="143" w:name="_Toc16491"/>
      <w:bookmarkStart w:id="144" w:name="_Toc10630"/>
      <w:bookmarkStart w:id="145" w:name="_Toc38543883"/>
      <w:bookmarkStart w:id="146" w:name="_Toc6606"/>
      <w:bookmarkStart w:id="147" w:name="_Toc11360"/>
      <w:bookmarkStart w:id="148" w:name="_Toc18304"/>
      <w:bookmarkStart w:id="149" w:name="_Toc31784"/>
      <w:bookmarkStart w:id="150" w:name="_Toc31544"/>
      <w:r>
        <w:rPr>
          <w:rFonts w:hint="eastAsia" w:ascii="宋体" w:hAnsi="宋体" w:cs="宋体"/>
          <w:b/>
          <w:bCs/>
          <w:color w:val="auto"/>
          <w:sz w:val="22"/>
          <w:szCs w:val="22"/>
          <w:highlight w:val="none"/>
        </w:rPr>
        <w:t xml:space="preserve">附件三 </w:t>
      </w:r>
    </w:p>
    <w:p>
      <w:pPr>
        <w:pStyle w:val="25"/>
        <w:rPr>
          <w:rFonts w:ascii="宋体" w:hAnsi="宋体" w:cs="宋体"/>
          <w:color w:val="auto"/>
          <w:highlight w:val="none"/>
          <w:lang w:val="zh-CN"/>
        </w:rPr>
      </w:pPr>
      <w:bookmarkStart w:id="151" w:name="_Toc73091444"/>
      <w:bookmarkStart w:id="152" w:name="_Toc42243284"/>
      <w:bookmarkStart w:id="153" w:name="_Toc42678692"/>
      <w:bookmarkStart w:id="154" w:name="_Toc61444212"/>
      <w:bookmarkStart w:id="155" w:name="_Toc42678181"/>
      <w:bookmarkStart w:id="156" w:name="_Toc42678026"/>
      <w:r>
        <w:rPr>
          <w:rFonts w:hint="eastAsia" w:ascii="宋体" w:hAnsi="宋体" w:cs="宋体"/>
          <w:color w:val="auto"/>
          <w:highlight w:val="none"/>
          <w:lang w:val="zh-CN"/>
        </w:rPr>
        <w:t>参加政府采购活动前3年内在经营活动中没有重大违法记录的声明函</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spacing w:line="460" w:lineRule="exact"/>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永嘉县公安局：</w:t>
      </w:r>
    </w:p>
    <w:p>
      <w:pPr>
        <w:spacing w:line="460" w:lineRule="exact"/>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温州市华明招标代理有限公司：</w:t>
      </w:r>
    </w:p>
    <w:p>
      <w:pPr>
        <w:widowControl/>
        <w:snapToGrid w:val="0"/>
        <w:spacing w:line="4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我方</w:t>
      </w:r>
      <w:r>
        <w:rPr>
          <w:rFonts w:hint="eastAsia" w:ascii="宋体" w:hAnsi="宋体" w:cs="宋体"/>
          <w:color w:val="auto"/>
          <w:sz w:val="22"/>
          <w:szCs w:val="22"/>
          <w:highlight w:val="none"/>
          <w:u w:val="single"/>
        </w:rPr>
        <w:t xml:space="preserve"> （供应商）</w:t>
      </w:r>
      <w:r>
        <w:rPr>
          <w:rFonts w:hint="eastAsia" w:ascii="宋体" w:hAnsi="宋体" w:cs="宋体"/>
          <w:color w:val="auto"/>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0" w:firstLineChars="200"/>
        <w:jc w:val="left"/>
        <w:rPr>
          <w:rFonts w:ascii="宋体" w:hAnsi="宋体" w:cs="宋体"/>
          <w:color w:val="auto"/>
          <w:sz w:val="22"/>
          <w:szCs w:val="22"/>
          <w:highlight w:val="none"/>
        </w:rPr>
      </w:pPr>
    </w:p>
    <w:p>
      <w:pPr>
        <w:widowControl/>
        <w:snapToGrid w:val="0"/>
        <w:spacing w:line="4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特此承诺！</w:t>
      </w:r>
    </w:p>
    <w:p>
      <w:pPr>
        <w:widowControl/>
        <w:snapToGrid w:val="0"/>
        <w:spacing w:line="460" w:lineRule="exact"/>
        <w:ind w:firstLine="440" w:firstLineChars="200"/>
        <w:jc w:val="left"/>
        <w:rPr>
          <w:rFonts w:ascii="宋体" w:hAnsi="宋体" w:cs="宋体"/>
          <w:color w:val="auto"/>
          <w:sz w:val="22"/>
          <w:szCs w:val="22"/>
          <w:highlight w:val="none"/>
        </w:rPr>
      </w:pPr>
    </w:p>
    <w:p>
      <w:pPr>
        <w:widowControl/>
        <w:snapToGrid w:val="0"/>
        <w:spacing w:line="4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投标供应商（盖章） ：</w:t>
      </w:r>
    </w:p>
    <w:p>
      <w:pPr>
        <w:widowControl/>
        <w:snapToGrid w:val="0"/>
        <w:spacing w:line="460" w:lineRule="exact"/>
        <w:ind w:firstLine="420" w:firstLineChars="200"/>
        <w:jc w:val="left"/>
        <w:rPr>
          <w:rFonts w:ascii="宋体" w:hAnsi="宋体" w:cs="宋体"/>
          <w:color w:val="auto"/>
          <w:sz w:val="22"/>
          <w:szCs w:val="22"/>
          <w:highlight w:val="none"/>
        </w:rPr>
      </w:pPr>
      <w:r>
        <w:rPr>
          <w:rFonts w:hint="eastAsia" w:ascii="宋体" w:hAnsi="宋体" w:cs="宋体"/>
          <w:bCs/>
          <w:color w:val="auto"/>
          <w:highlight w:val="none"/>
        </w:rPr>
        <w:t>法定代表人（负责人）或授权代表（签字或盖章）：</w:t>
      </w:r>
    </w:p>
    <w:p>
      <w:pPr>
        <w:widowControl/>
        <w:snapToGrid w:val="0"/>
        <w:spacing w:line="4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日期：  </w:t>
      </w:r>
    </w:p>
    <w:p>
      <w:pPr>
        <w:widowControl/>
        <w:spacing w:line="460" w:lineRule="atLeast"/>
        <w:jc w:val="left"/>
        <w:rPr>
          <w:rFonts w:ascii="宋体" w:hAnsi="宋体" w:cs="宋体"/>
          <w:b/>
          <w:color w:val="auto"/>
          <w:sz w:val="32"/>
          <w:szCs w:val="32"/>
          <w:highlight w:val="none"/>
        </w:rPr>
      </w:pPr>
      <w:bookmarkStart w:id="157" w:name="_Toc56004404"/>
      <w:r>
        <w:rPr>
          <w:rFonts w:hint="eastAsia" w:ascii="宋体" w:hAnsi="宋体" w:cs="宋体"/>
          <w:color w:val="auto"/>
          <w:sz w:val="32"/>
          <w:szCs w:val="32"/>
          <w:highlight w:val="none"/>
          <w:lang w:val="zh-CN"/>
        </w:rPr>
        <w:br w:type="page"/>
      </w:r>
      <w:r>
        <w:rPr>
          <w:rFonts w:hint="eastAsia" w:ascii="宋体" w:hAnsi="宋体" w:cs="宋体"/>
          <w:b/>
          <w:bCs/>
          <w:color w:val="auto"/>
          <w:sz w:val="22"/>
          <w:szCs w:val="22"/>
          <w:highlight w:val="none"/>
        </w:rPr>
        <w:t xml:space="preserve">附件四 </w:t>
      </w:r>
    </w:p>
    <w:p>
      <w:pPr>
        <w:pStyle w:val="10"/>
        <w:spacing w:before="240" w:after="60"/>
        <w:jc w:val="center"/>
        <w:outlineLvl w:val="0"/>
        <w:rPr>
          <w:rFonts w:ascii="宋体" w:hAnsi="宋体" w:eastAsia="宋体" w:cs="宋体"/>
          <w:b/>
          <w:color w:val="auto"/>
          <w:kern w:val="0"/>
          <w:sz w:val="32"/>
          <w:szCs w:val="32"/>
          <w:highlight w:val="none"/>
          <w:lang w:val="zh-CN"/>
        </w:rPr>
      </w:pPr>
      <w:bookmarkStart w:id="158" w:name="_Toc73091445"/>
      <w:bookmarkStart w:id="159" w:name="_Toc61444213"/>
      <w:r>
        <w:rPr>
          <w:rFonts w:hint="eastAsia" w:ascii="宋体" w:hAnsi="宋体" w:eastAsia="宋体" w:cs="宋体"/>
          <w:b/>
          <w:color w:val="auto"/>
          <w:kern w:val="0"/>
          <w:sz w:val="32"/>
          <w:szCs w:val="32"/>
          <w:highlight w:val="none"/>
          <w:lang w:val="zh-CN"/>
        </w:rPr>
        <w:t>与参加本次项目同一合同项下政府采购活动的其他供应商不存在单位负责人为同一人或者直接控股、管理关系的承诺函</w:t>
      </w:r>
      <w:bookmarkEnd w:id="157"/>
      <w:bookmarkEnd w:id="158"/>
      <w:bookmarkEnd w:id="159"/>
    </w:p>
    <w:p>
      <w:pPr>
        <w:spacing w:line="460" w:lineRule="exact"/>
        <w:rPr>
          <w:rFonts w:ascii="宋体" w:hAnsi="宋体" w:cs="宋体"/>
          <w:b/>
          <w:color w:val="auto"/>
          <w:sz w:val="22"/>
          <w:szCs w:val="22"/>
          <w:highlight w:val="none"/>
          <w:u w:val="single"/>
        </w:rPr>
      </w:pPr>
    </w:p>
    <w:p>
      <w:pPr>
        <w:spacing w:line="460" w:lineRule="exact"/>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永嘉县公安局：</w:t>
      </w:r>
    </w:p>
    <w:p>
      <w:pPr>
        <w:spacing w:line="460" w:lineRule="exact"/>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温州市华明招标代理有限公司：</w:t>
      </w:r>
    </w:p>
    <w:p>
      <w:pPr>
        <w:widowControl/>
        <w:spacing w:line="460" w:lineRule="exact"/>
        <w:ind w:firstLine="440"/>
        <w:jc w:val="left"/>
        <w:rPr>
          <w:rFonts w:ascii="宋体" w:hAnsi="宋体" w:cs="宋体"/>
          <w:color w:val="auto"/>
          <w:sz w:val="22"/>
          <w:szCs w:val="22"/>
          <w:highlight w:val="none"/>
        </w:rPr>
      </w:pPr>
      <w:r>
        <w:rPr>
          <w:rFonts w:hint="eastAsia" w:ascii="宋体" w:hAnsi="宋体" w:cs="宋体"/>
          <w:color w:val="auto"/>
          <w:sz w:val="22"/>
          <w:szCs w:val="22"/>
          <w:highlight w:val="none"/>
        </w:rPr>
        <w:t>我方郑重承诺，我方此次参加本项目的投标，与参加本次项目同一合同项下政府采购活动的其他供应商不存在单位负责人为同一人或者直接控股、管理关系。如有虚假或隐瞒，愿意承担一切后果。</w:t>
      </w:r>
    </w:p>
    <w:p>
      <w:pPr>
        <w:pStyle w:val="3"/>
        <w:ind w:firstLine="210"/>
        <w:rPr>
          <w:rFonts w:ascii="宋体" w:hAnsi="宋体" w:cs="宋体"/>
          <w:color w:val="auto"/>
          <w:highlight w:val="none"/>
        </w:rPr>
      </w:pPr>
    </w:p>
    <w:p>
      <w:pPr>
        <w:widowControl/>
        <w:spacing w:line="460" w:lineRule="exact"/>
        <w:ind w:firstLine="440"/>
        <w:jc w:val="left"/>
        <w:rPr>
          <w:rFonts w:ascii="宋体" w:hAnsi="宋体" w:cs="宋体"/>
          <w:color w:val="auto"/>
          <w:sz w:val="22"/>
          <w:szCs w:val="22"/>
          <w:highlight w:val="none"/>
        </w:rPr>
      </w:pPr>
      <w:r>
        <w:rPr>
          <w:rFonts w:hint="eastAsia" w:ascii="宋体" w:hAnsi="宋体" w:cs="宋体"/>
          <w:color w:val="auto"/>
          <w:sz w:val="22"/>
          <w:szCs w:val="22"/>
          <w:highlight w:val="none"/>
        </w:rPr>
        <w:t>特此承诺！</w:t>
      </w:r>
    </w:p>
    <w:p>
      <w:pPr>
        <w:widowControl/>
        <w:spacing w:line="460" w:lineRule="exact"/>
        <w:ind w:firstLine="440"/>
        <w:jc w:val="left"/>
        <w:rPr>
          <w:rFonts w:ascii="宋体" w:hAnsi="宋体" w:cs="宋体"/>
          <w:color w:val="auto"/>
          <w:sz w:val="22"/>
          <w:szCs w:val="22"/>
          <w:highlight w:val="none"/>
        </w:rPr>
      </w:pPr>
    </w:p>
    <w:p>
      <w:pPr>
        <w:widowControl/>
        <w:spacing w:line="460" w:lineRule="exact"/>
        <w:ind w:firstLine="440"/>
        <w:jc w:val="left"/>
        <w:rPr>
          <w:rFonts w:ascii="宋体" w:hAnsi="宋体" w:cs="宋体"/>
          <w:color w:val="auto"/>
          <w:sz w:val="22"/>
          <w:szCs w:val="22"/>
          <w:highlight w:val="none"/>
        </w:rPr>
      </w:pPr>
      <w:r>
        <w:rPr>
          <w:rFonts w:hint="eastAsia" w:ascii="宋体" w:hAnsi="宋体" w:cs="宋体"/>
          <w:color w:val="auto"/>
          <w:sz w:val="22"/>
          <w:szCs w:val="22"/>
          <w:highlight w:val="none"/>
        </w:rPr>
        <w:t>投标供应商（盖章） ：</w:t>
      </w:r>
    </w:p>
    <w:p>
      <w:pPr>
        <w:widowControl/>
        <w:spacing w:line="460" w:lineRule="exact"/>
        <w:ind w:firstLine="440"/>
        <w:jc w:val="left"/>
        <w:rPr>
          <w:rFonts w:ascii="宋体" w:hAnsi="宋体" w:cs="宋体"/>
          <w:color w:val="auto"/>
          <w:sz w:val="22"/>
          <w:szCs w:val="22"/>
          <w:highlight w:val="none"/>
        </w:rPr>
      </w:pPr>
      <w:r>
        <w:rPr>
          <w:rFonts w:hint="eastAsia" w:ascii="宋体" w:hAnsi="宋体" w:cs="宋体"/>
          <w:bCs/>
          <w:color w:val="auto"/>
          <w:highlight w:val="none"/>
        </w:rPr>
        <w:t>法定代表人（负责人）或授权代表（签字或盖章）：</w:t>
      </w:r>
    </w:p>
    <w:p>
      <w:pPr>
        <w:spacing w:line="460" w:lineRule="atLeast"/>
        <w:ind w:firstLine="440"/>
        <w:rPr>
          <w:rFonts w:ascii="宋体" w:hAnsi="宋体" w:cs="宋体"/>
          <w:color w:val="auto"/>
          <w:sz w:val="36"/>
          <w:highlight w:val="none"/>
        </w:rPr>
      </w:pPr>
      <w:r>
        <w:rPr>
          <w:rFonts w:hint="eastAsia" w:ascii="宋体" w:hAnsi="宋体" w:cs="宋体"/>
          <w:color w:val="auto"/>
          <w:sz w:val="22"/>
          <w:szCs w:val="22"/>
          <w:highlight w:val="none"/>
        </w:rPr>
        <w:t>日期：</w:t>
      </w:r>
    </w:p>
    <w:p>
      <w:pPr>
        <w:widowControl/>
        <w:snapToGrid w:val="0"/>
        <w:spacing w:line="460" w:lineRule="exact"/>
        <w:ind w:firstLine="440" w:firstLineChars="200"/>
        <w:jc w:val="left"/>
        <w:rPr>
          <w:rFonts w:ascii="宋体" w:hAnsi="宋体" w:cs="宋体"/>
          <w:color w:val="auto"/>
          <w:sz w:val="22"/>
          <w:szCs w:val="22"/>
          <w:highlight w:val="none"/>
        </w:rPr>
      </w:pPr>
    </w:p>
    <w:p>
      <w:pPr>
        <w:widowControl/>
        <w:spacing w:line="460" w:lineRule="atLeast"/>
        <w:jc w:val="left"/>
        <w:rPr>
          <w:rFonts w:ascii="宋体" w:hAnsi="宋体" w:cs="宋体"/>
          <w:b/>
          <w:bCs/>
          <w:color w:val="auto"/>
          <w:sz w:val="22"/>
          <w:szCs w:val="22"/>
          <w:highlight w:val="none"/>
        </w:rPr>
      </w:pPr>
      <w:bookmarkStart w:id="160" w:name="_Toc509485354"/>
      <w:r>
        <w:rPr>
          <w:rFonts w:hint="eastAsia" w:ascii="宋体" w:hAnsi="宋体" w:cs="宋体"/>
          <w:bCs/>
          <w:color w:val="auto"/>
          <w:sz w:val="22"/>
          <w:szCs w:val="22"/>
          <w:highlight w:val="none"/>
        </w:rPr>
        <w:br w:type="page"/>
      </w:r>
      <w:r>
        <w:rPr>
          <w:rFonts w:hint="eastAsia" w:ascii="宋体" w:hAnsi="宋体" w:cs="宋体"/>
          <w:b/>
          <w:bCs/>
          <w:color w:val="auto"/>
          <w:sz w:val="22"/>
          <w:szCs w:val="22"/>
          <w:highlight w:val="none"/>
        </w:rPr>
        <w:t xml:space="preserve">附件五 </w:t>
      </w:r>
      <w:bookmarkEnd w:id="160"/>
    </w:p>
    <w:p>
      <w:pPr>
        <w:tabs>
          <w:tab w:val="left" w:pos="1080"/>
        </w:tabs>
        <w:autoSpaceDE w:val="0"/>
        <w:autoSpaceDN w:val="0"/>
        <w:adjustRightInd w:val="0"/>
        <w:spacing w:line="440" w:lineRule="atLeast"/>
        <w:jc w:val="center"/>
        <w:rPr>
          <w:rFonts w:ascii="宋体" w:hAnsi="宋体" w:cs="宋体"/>
          <w:b/>
          <w:color w:val="auto"/>
          <w:sz w:val="32"/>
          <w:highlight w:val="none"/>
          <w:lang w:val="zh-CN"/>
        </w:rPr>
      </w:pPr>
      <w:r>
        <w:rPr>
          <w:rFonts w:hint="eastAsia" w:ascii="宋体" w:hAnsi="宋体" w:cs="宋体"/>
          <w:b/>
          <w:color w:val="auto"/>
          <w:sz w:val="32"/>
          <w:szCs w:val="32"/>
          <w:highlight w:val="none"/>
          <w:lang w:val="zh-CN"/>
        </w:rPr>
        <w:t>供应商参与政府采购活动投标资格声明函</w:t>
      </w:r>
    </w:p>
    <w:tbl>
      <w:tblPr>
        <w:tblStyle w:val="27"/>
        <w:tblW w:w="9602"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18" w:type="dxa"/>
          </w:tcPr>
          <w:p>
            <w:pPr>
              <w:pStyle w:val="14"/>
              <w:snapToGrid w:val="0"/>
              <w:spacing w:line="400" w:lineRule="exact"/>
              <w:rPr>
                <w:rFonts w:hAnsi="宋体"/>
                <w:bCs/>
                <w:color w:val="auto"/>
                <w:highlight w:val="none"/>
              </w:rPr>
            </w:pPr>
            <w:r>
              <w:rPr>
                <w:rFonts w:hint="eastAsia" w:hAnsi="宋体"/>
                <w:bCs/>
                <w:color w:val="auto"/>
                <w:highlight w:val="none"/>
              </w:rPr>
              <w:t>项目名称</w:t>
            </w:r>
          </w:p>
        </w:tc>
        <w:tc>
          <w:tcPr>
            <w:tcW w:w="7984" w:type="dxa"/>
          </w:tcPr>
          <w:p>
            <w:pPr>
              <w:pStyle w:val="14"/>
              <w:snapToGrid w:val="0"/>
              <w:spacing w:line="400" w:lineRule="exact"/>
              <w:ind w:left="422" w:firstLine="331"/>
              <w:rPr>
                <w:rFonts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18" w:type="dxa"/>
          </w:tcPr>
          <w:p>
            <w:pPr>
              <w:pStyle w:val="14"/>
              <w:snapToGrid w:val="0"/>
              <w:spacing w:line="400" w:lineRule="exact"/>
              <w:rPr>
                <w:rFonts w:hAnsi="宋体"/>
                <w:bCs/>
                <w:color w:val="auto"/>
                <w:highlight w:val="none"/>
              </w:rPr>
            </w:pPr>
            <w:r>
              <w:rPr>
                <w:rFonts w:hint="eastAsia" w:hAnsi="宋体"/>
                <w:bCs/>
                <w:color w:val="auto"/>
                <w:highlight w:val="none"/>
              </w:rPr>
              <w:t>项目采购编号</w:t>
            </w:r>
          </w:p>
        </w:tc>
        <w:tc>
          <w:tcPr>
            <w:tcW w:w="7984" w:type="dxa"/>
          </w:tcPr>
          <w:p>
            <w:pPr>
              <w:pStyle w:val="14"/>
              <w:snapToGrid w:val="0"/>
              <w:spacing w:line="400" w:lineRule="exact"/>
              <w:ind w:left="422" w:firstLine="361"/>
              <w:rPr>
                <w:rFonts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18" w:type="dxa"/>
          </w:tcPr>
          <w:p>
            <w:pPr>
              <w:pStyle w:val="14"/>
              <w:snapToGrid w:val="0"/>
              <w:spacing w:line="400" w:lineRule="exact"/>
              <w:rPr>
                <w:rFonts w:hAnsi="宋体"/>
                <w:bCs/>
                <w:color w:val="auto"/>
                <w:highlight w:val="none"/>
              </w:rPr>
            </w:pPr>
            <w:r>
              <w:rPr>
                <w:rFonts w:hint="eastAsia" w:hAnsi="宋体"/>
                <w:bCs/>
                <w:color w:val="auto"/>
                <w:highlight w:val="none"/>
              </w:rPr>
              <w:t>时    间</w:t>
            </w:r>
          </w:p>
        </w:tc>
        <w:tc>
          <w:tcPr>
            <w:tcW w:w="7984" w:type="dxa"/>
          </w:tcPr>
          <w:p>
            <w:pPr>
              <w:pStyle w:val="14"/>
              <w:snapToGrid w:val="0"/>
              <w:spacing w:line="400" w:lineRule="exact"/>
              <w:rPr>
                <w:rFonts w:hAnsi="宋体"/>
                <w:bCs/>
                <w:color w:val="auto"/>
                <w:highlight w:val="none"/>
              </w:rPr>
            </w:pPr>
            <w:r>
              <w:rPr>
                <w:rFonts w:hint="eastAsia" w:hAnsi="宋体"/>
                <w:bCs/>
                <w:color w:val="auto"/>
                <w:highlight w:val="none"/>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trPr>
        <w:tc>
          <w:tcPr>
            <w:tcW w:w="9602" w:type="dxa"/>
            <w:gridSpan w:val="2"/>
          </w:tcPr>
          <w:p>
            <w:pPr>
              <w:pStyle w:val="14"/>
              <w:snapToGrid w:val="0"/>
              <w:spacing w:line="400" w:lineRule="exact"/>
              <w:ind w:firstLine="450"/>
              <w:rPr>
                <w:rFonts w:hAnsi="宋体"/>
                <w:color w:val="auto"/>
                <w:highlight w:val="none"/>
              </w:rPr>
            </w:pPr>
            <w:r>
              <w:rPr>
                <w:rFonts w:hint="eastAsia" w:hAnsi="宋体"/>
                <w:color w:val="auto"/>
                <w:highlight w:val="none"/>
              </w:rPr>
              <w:t>1、根据政府采购法第二十二条规定，我单位满足以下条件，并已经在技术资信部分投标文件中提供了相应的证明材料：</w:t>
            </w:r>
          </w:p>
          <w:p>
            <w:pPr>
              <w:pStyle w:val="14"/>
              <w:snapToGrid w:val="0"/>
              <w:spacing w:line="400" w:lineRule="exact"/>
              <w:ind w:firstLine="450"/>
              <w:rPr>
                <w:rFonts w:hint="eastAsia" w:hAnsi="宋体" w:eastAsia="宋体"/>
                <w:color w:val="auto"/>
                <w:highlight w:val="none"/>
                <w:lang w:eastAsia="zh-CN"/>
              </w:rPr>
            </w:pPr>
            <w:r>
              <w:rPr>
                <w:rFonts w:hint="eastAsia" w:hAnsi="宋体"/>
                <w:color w:val="auto"/>
                <w:highlight w:val="none"/>
              </w:rPr>
              <w:t xml:space="preserve">（一）具有独立承担民事责任的能力； </w:t>
            </w:r>
          </w:p>
          <w:p>
            <w:pPr>
              <w:pStyle w:val="14"/>
              <w:snapToGrid w:val="0"/>
              <w:spacing w:line="400" w:lineRule="exact"/>
              <w:ind w:firstLine="450"/>
              <w:rPr>
                <w:rFonts w:hint="eastAsia" w:hAnsi="宋体" w:eastAsia="宋体"/>
                <w:color w:val="auto"/>
                <w:highlight w:val="none"/>
                <w:lang w:eastAsia="zh-CN"/>
              </w:rPr>
            </w:pPr>
            <w:r>
              <w:rPr>
                <w:rFonts w:hint="eastAsia" w:hAnsi="宋体"/>
                <w:color w:val="auto"/>
                <w:highlight w:val="none"/>
              </w:rPr>
              <w:t xml:space="preserve">　　（二）具有良好的商业信誉和健全的财务会计制度； </w:t>
            </w:r>
          </w:p>
          <w:p>
            <w:pPr>
              <w:pStyle w:val="14"/>
              <w:snapToGrid w:val="0"/>
              <w:spacing w:line="400" w:lineRule="exact"/>
              <w:ind w:firstLine="450"/>
              <w:rPr>
                <w:rFonts w:hint="eastAsia" w:hAnsi="宋体" w:eastAsia="宋体"/>
                <w:color w:val="auto"/>
                <w:highlight w:val="none"/>
                <w:lang w:eastAsia="zh-CN"/>
              </w:rPr>
            </w:pPr>
            <w:r>
              <w:rPr>
                <w:rFonts w:hint="eastAsia" w:hAnsi="宋体"/>
                <w:color w:val="auto"/>
                <w:highlight w:val="none"/>
              </w:rPr>
              <w:t xml:space="preserve">　　（三）具有履行合同所必需的设备和专业技术能力； </w:t>
            </w:r>
          </w:p>
          <w:p>
            <w:pPr>
              <w:pStyle w:val="14"/>
              <w:snapToGrid w:val="0"/>
              <w:spacing w:line="400" w:lineRule="exact"/>
              <w:ind w:firstLine="450"/>
              <w:rPr>
                <w:rFonts w:hint="eastAsia" w:hAnsi="宋体" w:eastAsia="宋体"/>
                <w:color w:val="auto"/>
                <w:highlight w:val="none"/>
                <w:lang w:eastAsia="zh-CN"/>
              </w:rPr>
            </w:pPr>
            <w:r>
              <w:rPr>
                <w:rFonts w:hint="eastAsia" w:hAnsi="宋体"/>
                <w:color w:val="auto"/>
                <w:highlight w:val="none"/>
              </w:rPr>
              <w:t xml:space="preserve">　　（四）有依法缴纳税收和社会保障资金的良好记录； </w:t>
            </w:r>
          </w:p>
          <w:p>
            <w:pPr>
              <w:pStyle w:val="14"/>
              <w:snapToGrid w:val="0"/>
              <w:spacing w:line="400" w:lineRule="exact"/>
              <w:ind w:firstLine="450"/>
              <w:rPr>
                <w:rFonts w:hint="eastAsia" w:hAnsi="宋体" w:eastAsia="宋体"/>
                <w:color w:val="auto"/>
                <w:highlight w:val="none"/>
                <w:lang w:eastAsia="zh-CN"/>
              </w:rPr>
            </w:pPr>
            <w:r>
              <w:rPr>
                <w:rFonts w:hint="eastAsia" w:hAnsi="宋体"/>
                <w:color w:val="auto"/>
                <w:highlight w:val="none"/>
              </w:rPr>
              <w:t xml:space="preserve">　　（五）参加政府采购活动前三年内，在经营活动中没有重大违法记录； </w:t>
            </w:r>
          </w:p>
          <w:p>
            <w:pPr>
              <w:pStyle w:val="14"/>
              <w:snapToGrid w:val="0"/>
              <w:spacing w:line="400" w:lineRule="exact"/>
              <w:ind w:firstLine="450"/>
              <w:rPr>
                <w:rFonts w:hAnsi="宋体"/>
                <w:color w:val="auto"/>
                <w:highlight w:val="none"/>
              </w:rPr>
            </w:pPr>
            <w:r>
              <w:rPr>
                <w:rFonts w:hint="eastAsia" w:hAnsi="宋体"/>
                <w:color w:val="auto"/>
                <w:highlight w:val="none"/>
              </w:rPr>
              <w:t xml:space="preserve">　　（六）法律、行政法规规定的其他条件。 </w:t>
            </w:r>
          </w:p>
          <w:p>
            <w:pPr>
              <w:pStyle w:val="14"/>
              <w:snapToGrid w:val="0"/>
              <w:spacing w:line="400" w:lineRule="exact"/>
              <w:ind w:firstLine="450"/>
              <w:rPr>
                <w:rFonts w:hAnsi="宋体"/>
                <w:color w:val="auto"/>
                <w:highlight w:val="none"/>
              </w:rPr>
            </w:pPr>
            <w:r>
              <w:rPr>
                <w:rFonts w:hint="eastAsia" w:hAnsi="宋体"/>
                <w:color w:val="auto"/>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 “中国政府采购网”查询网页截图（公告发布之日至投标截止时间）。</w:t>
            </w:r>
          </w:p>
          <w:p>
            <w:pPr>
              <w:pStyle w:val="14"/>
              <w:snapToGrid w:val="0"/>
              <w:spacing w:line="400" w:lineRule="exact"/>
              <w:ind w:firstLine="450"/>
              <w:rPr>
                <w:rFonts w:hAnsi="宋体"/>
                <w:b/>
                <w:bCs/>
                <w:color w:val="auto"/>
                <w:highlight w:val="none"/>
              </w:rPr>
            </w:pPr>
            <w:r>
              <w:rPr>
                <w:rFonts w:hint="eastAsia" w:hAnsi="宋体"/>
                <w:b/>
                <w:color w:val="auto"/>
                <w:highlight w:val="none"/>
              </w:rPr>
              <w:t>3、我单位没有被各地、各级财政部门限制参加政府采购活动，且在限制期内：</w:t>
            </w:r>
          </w:p>
          <w:p>
            <w:pPr>
              <w:tabs>
                <w:tab w:val="center" w:pos="4483"/>
              </w:tabs>
              <w:adjustRightInd w:val="0"/>
              <w:spacing w:line="360" w:lineRule="auto"/>
              <w:ind w:firstLine="400"/>
              <w:rPr>
                <w:rFonts w:ascii="宋体" w:hAnsi="宋体" w:cs="宋体"/>
                <w:b/>
                <w:bCs/>
                <w:color w:val="auto"/>
                <w:highlight w:val="none"/>
              </w:rPr>
            </w:pPr>
            <w:r>
              <w:rPr>
                <w:rFonts w:hint="eastAsia" w:ascii="宋体" w:hAnsi="宋体" w:cs="宋体"/>
                <w:b/>
                <w:bCs/>
                <w:color w:val="auto"/>
                <w:highlight w:val="none"/>
              </w:rPr>
              <w:t>4、清楚知道参加本项目采购活动的其他所有供应商名称，本单位与其他所有供应商之间均不存在利害关系。</w:t>
            </w:r>
          </w:p>
          <w:p>
            <w:pPr>
              <w:tabs>
                <w:tab w:val="center" w:pos="4483"/>
              </w:tabs>
              <w:adjustRightInd w:val="0"/>
              <w:spacing w:line="360" w:lineRule="auto"/>
              <w:ind w:firstLine="400"/>
              <w:rPr>
                <w:rFonts w:ascii="宋体" w:hAnsi="宋体" w:cs="宋体"/>
                <w:b/>
                <w:color w:val="auto"/>
                <w:highlight w:val="none"/>
              </w:rPr>
            </w:pPr>
            <w:r>
              <w:rPr>
                <w:rFonts w:hint="eastAsia" w:ascii="宋体" w:hAnsi="宋体" w:cs="宋体"/>
                <w:b/>
                <w:bCs/>
                <w:color w:val="auto"/>
                <w:highlight w:val="none"/>
              </w:rPr>
              <w:t>5、我单位</w:t>
            </w:r>
            <w:r>
              <w:rPr>
                <w:rFonts w:hint="eastAsia" w:ascii="宋体" w:hAnsi="宋体" w:cs="宋体"/>
                <w:b/>
                <w:color w:val="auto"/>
                <w:highlight w:val="none"/>
              </w:rPr>
              <w:t>参与本项目政府采购活动3年内其它重大违法记录（重大违法记录，是指供应商因违法经营受到刑事处罚或者责令停产停业、吊销许可证或者执照、较大数额罚款等行政处罚）情况声明：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ascii="宋体" w:hAnsi="宋体" w:cs="宋体"/>
                <w:color w:val="auto"/>
                <w:highlight w:val="none"/>
                <w:u w:val="single"/>
              </w:rPr>
            </w:pPr>
          </w:p>
          <w:p>
            <w:pPr>
              <w:tabs>
                <w:tab w:val="center" w:pos="4483"/>
              </w:tabs>
              <w:adjustRightInd w:val="0"/>
              <w:spacing w:line="360" w:lineRule="auto"/>
              <w:ind w:firstLine="400"/>
              <w:rPr>
                <w:rFonts w:ascii="宋体" w:hAnsi="宋体" w:cs="宋体"/>
                <w:color w:val="auto"/>
                <w:highlight w:val="none"/>
              </w:rPr>
            </w:pPr>
            <w:r>
              <w:rPr>
                <w:rFonts w:hint="eastAsia" w:ascii="宋体" w:hAnsi="宋体" w:cs="宋体"/>
                <w:color w:val="auto"/>
                <w:highlight w:val="none"/>
                <w:u w:val="single"/>
              </w:rPr>
              <w:t>6、我单位符合本项目特定资格条件：                         的要求，并在</w:t>
            </w:r>
            <w:r>
              <w:rPr>
                <w:rFonts w:hint="eastAsia" w:ascii="宋体" w:hAnsi="宋体" w:cs="宋体"/>
                <w:color w:val="auto"/>
                <w:highlight w:val="none"/>
              </w:rPr>
              <w:t>技术资信部分投标文件中提供了相应的证明材料</w:t>
            </w:r>
            <w:r>
              <w:rPr>
                <w:rFonts w:hint="eastAsia" w:ascii="宋体" w:hAnsi="宋体" w:cs="宋体"/>
                <w:color w:val="auto"/>
                <w:highlight w:val="none"/>
                <w:u w:val="single"/>
              </w:rPr>
              <w:t>（招标文件没有要求特定资格条件的，本条款空格处可以空白）</w:t>
            </w:r>
          </w:p>
          <w:p>
            <w:pPr>
              <w:tabs>
                <w:tab w:val="center" w:pos="4483"/>
              </w:tabs>
              <w:adjustRightInd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602" w:type="dxa"/>
            <w:gridSpan w:val="2"/>
            <w:vAlign w:val="center"/>
          </w:tcPr>
          <w:p>
            <w:pPr>
              <w:pStyle w:val="14"/>
              <w:snapToGrid w:val="0"/>
              <w:spacing w:line="400" w:lineRule="exact"/>
              <w:ind w:left="422" w:firstLine="331"/>
              <w:rPr>
                <w:rFonts w:hAnsi="宋体"/>
                <w:bCs/>
                <w:color w:val="auto"/>
                <w:highlight w:val="none"/>
              </w:rPr>
            </w:pPr>
            <w:r>
              <w:rPr>
                <w:rFonts w:hint="eastAsia" w:hAnsi="宋体"/>
                <w:bCs/>
                <w:color w:val="auto"/>
                <w:highlight w:val="none"/>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9602" w:type="dxa"/>
            <w:gridSpan w:val="2"/>
            <w:vAlign w:val="center"/>
          </w:tcPr>
          <w:p>
            <w:pPr>
              <w:pStyle w:val="14"/>
              <w:snapToGrid w:val="0"/>
              <w:spacing w:line="400" w:lineRule="exact"/>
              <w:ind w:left="422" w:firstLine="316"/>
              <w:rPr>
                <w:rFonts w:hAnsi="宋体"/>
                <w:bCs/>
                <w:color w:val="auto"/>
                <w:highlight w:val="none"/>
              </w:rPr>
            </w:pPr>
            <w:r>
              <w:rPr>
                <w:rFonts w:hint="eastAsia" w:hAnsi="宋体"/>
                <w:bCs/>
                <w:color w:val="auto"/>
                <w:highlight w:val="none"/>
              </w:rPr>
              <w:t>法定代表人（负责人）或授权代表（签字或盖章）：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9602" w:type="dxa"/>
            <w:gridSpan w:val="2"/>
            <w:vAlign w:val="center"/>
          </w:tcPr>
          <w:p>
            <w:pPr>
              <w:pStyle w:val="14"/>
              <w:snapToGrid w:val="0"/>
              <w:spacing w:line="400" w:lineRule="exact"/>
              <w:ind w:left="422" w:firstLine="331"/>
              <w:rPr>
                <w:rFonts w:hAnsi="宋体"/>
                <w:bCs/>
                <w:color w:val="auto"/>
                <w:highlight w:val="none"/>
              </w:rPr>
            </w:pPr>
            <w:r>
              <w:rPr>
                <w:rFonts w:hint="eastAsia" w:hAnsi="宋体"/>
                <w:bCs/>
                <w:color w:val="auto"/>
                <w:highlight w:val="none"/>
              </w:rPr>
              <w:t>签署日期：</w:t>
            </w:r>
          </w:p>
        </w:tc>
      </w:tr>
    </w:tbl>
    <w:p>
      <w:pPr>
        <w:autoSpaceDE w:val="0"/>
        <w:autoSpaceDN w:val="0"/>
        <w:adjustRightInd w:val="0"/>
        <w:snapToGrid w:val="0"/>
        <w:spacing w:line="360" w:lineRule="auto"/>
        <w:textAlignment w:val="bottom"/>
        <w:rPr>
          <w:rFonts w:ascii="宋体" w:hAnsi="宋体" w:cs="宋体"/>
          <w:b/>
          <w:bCs/>
          <w:color w:val="auto"/>
          <w:sz w:val="22"/>
          <w:highlight w:val="none"/>
          <w:u w:val="single"/>
        </w:rPr>
      </w:pPr>
      <w:r>
        <w:rPr>
          <w:rFonts w:hint="eastAsia" w:ascii="宋体" w:hAnsi="宋体" w:cs="宋体"/>
          <w:b/>
          <w:bCs/>
          <w:color w:val="auto"/>
          <w:sz w:val="22"/>
          <w:highlight w:val="none"/>
          <w:u w:val="single"/>
        </w:rPr>
        <w:t>备注：▲投标供应商必须提供本声明，不提供按无效投标处理。</w:t>
      </w:r>
    </w:p>
    <w:p>
      <w:pPr>
        <w:pStyle w:val="25"/>
        <w:jc w:val="left"/>
        <w:rPr>
          <w:rFonts w:ascii="宋体" w:hAnsi="宋体" w:cs="宋体"/>
          <w:color w:val="auto"/>
          <w:sz w:val="22"/>
          <w:szCs w:val="22"/>
          <w:highlight w:val="none"/>
        </w:rPr>
      </w:pPr>
      <w:bookmarkStart w:id="161" w:name="_Toc42243289"/>
      <w:bookmarkStart w:id="162" w:name="_Toc42678618"/>
      <w:bookmarkStart w:id="163" w:name="_Toc410055446"/>
      <w:bookmarkStart w:id="164" w:name="_Toc491606420"/>
      <w:bookmarkStart w:id="165" w:name="_Toc459450868"/>
      <w:bookmarkStart w:id="166" w:name="_Toc19204522"/>
      <w:bookmarkStart w:id="167" w:name="_Toc61444218"/>
      <w:bookmarkStart w:id="168" w:name="_Toc518512536"/>
      <w:bookmarkStart w:id="169" w:name="_Toc522469121"/>
      <w:bookmarkStart w:id="170" w:name="_Toc459361857"/>
      <w:bookmarkStart w:id="171" w:name="_Toc42678186"/>
      <w:bookmarkStart w:id="172" w:name="_Toc496618934"/>
      <w:bookmarkStart w:id="173" w:name="_Toc9334951"/>
      <w:bookmarkStart w:id="174" w:name="_Toc430717503"/>
      <w:bookmarkStart w:id="175" w:name="_Toc73091450"/>
      <w:bookmarkStart w:id="176" w:name="_Toc42678031"/>
      <w:bookmarkStart w:id="177" w:name="_Toc402361081"/>
      <w:bookmarkStart w:id="178" w:name="_Toc404262445"/>
      <w:bookmarkStart w:id="179" w:name="_Toc42678697"/>
      <w:bookmarkStart w:id="180" w:name="_Toc402360964"/>
      <w:bookmarkStart w:id="181" w:name="_Toc427581337"/>
      <w:bookmarkStart w:id="182" w:name="_Toc511045483"/>
      <w:bookmarkStart w:id="183" w:name="_Toc438150553"/>
      <w:r>
        <w:rPr>
          <w:rFonts w:hint="eastAsia" w:ascii="宋体" w:hAnsi="宋体" w:cs="宋体"/>
          <w:color w:val="auto"/>
          <w:sz w:val="22"/>
          <w:szCs w:val="22"/>
          <w:highlight w:val="none"/>
        </w:rPr>
        <w:t>附件六</w:t>
      </w:r>
    </w:p>
    <w:p>
      <w:pPr>
        <w:pStyle w:val="25"/>
        <w:rPr>
          <w:rFonts w:ascii="宋体" w:hAnsi="宋体" w:cs="宋体"/>
          <w:color w:val="auto"/>
          <w:highlight w:val="none"/>
        </w:rPr>
      </w:pPr>
      <w:r>
        <w:rPr>
          <w:rFonts w:hint="eastAsia" w:ascii="宋体" w:hAnsi="宋体" w:cs="宋体"/>
          <w:color w:val="auto"/>
          <w:highlight w:val="none"/>
        </w:rPr>
        <w:t>法定代表人（负责人）授权书</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spacing w:line="480" w:lineRule="auto"/>
        <w:rPr>
          <w:rFonts w:ascii="宋体" w:hAnsi="宋体" w:cs="宋体"/>
          <w:color w:val="auto"/>
          <w:sz w:val="22"/>
          <w:szCs w:val="22"/>
          <w:highlight w:val="none"/>
        </w:rPr>
      </w:pPr>
      <w:r>
        <w:rPr>
          <w:rFonts w:hint="eastAsia" w:ascii="宋体" w:hAnsi="宋体" w:cs="宋体"/>
          <w:color w:val="auto"/>
          <w:sz w:val="22"/>
          <w:szCs w:val="22"/>
          <w:highlight w:val="none"/>
          <w:u w:val="single"/>
        </w:rPr>
        <w:t>（采购人名称）</w:t>
      </w:r>
      <w:r>
        <w:rPr>
          <w:rFonts w:hint="eastAsia" w:ascii="宋体" w:hAnsi="宋体" w:cs="宋体"/>
          <w:color w:val="auto"/>
          <w:sz w:val="22"/>
          <w:szCs w:val="22"/>
          <w:highlight w:val="none"/>
          <w:lang w:val="zh-CN"/>
        </w:rPr>
        <w:t>：</w:t>
      </w:r>
    </w:p>
    <w:p>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本授权委托书声明：我</w:t>
      </w:r>
      <w:r>
        <w:rPr>
          <w:rFonts w:hint="eastAsia" w:ascii="宋体" w:hAnsi="宋体" w:cs="宋体"/>
          <w:color w:val="auto"/>
          <w:sz w:val="22"/>
          <w:szCs w:val="22"/>
          <w:highlight w:val="none"/>
          <w:u w:val="single"/>
        </w:rPr>
        <w:t xml:space="preserve">   （法定代表人（负责人）姓名）   </w:t>
      </w:r>
      <w:r>
        <w:rPr>
          <w:rFonts w:hint="eastAsia" w:ascii="宋体" w:hAnsi="宋体" w:cs="宋体"/>
          <w:color w:val="auto"/>
          <w:sz w:val="22"/>
          <w:szCs w:val="22"/>
          <w:highlight w:val="none"/>
        </w:rPr>
        <w:t>系</w:t>
      </w:r>
      <w:r>
        <w:rPr>
          <w:rFonts w:hint="eastAsia" w:ascii="宋体" w:hAnsi="宋体" w:cs="宋体"/>
          <w:color w:val="auto"/>
          <w:sz w:val="22"/>
          <w:szCs w:val="22"/>
          <w:highlight w:val="none"/>
          <w:u w:val="single"/>
        </w:rPr>
        <w:t xml:space="preserve">   （供 应 商 名 称）  </w:t>
      </w:r>
      <w:r>
        <w:rPr>
          <w:rFonts w:hint="eastAsia" w:ascii="宋体" w:hAnsi="宋体" w:cs="宋体"/>
          <w:color w:val="auto"/>
          <w:sz w:val="22"/>
          <w:szCs w:val="22"/>
          <w:highlight w:val="none"/>
        </w:rPr>
        <w:t>的法定代表人（负责人），现授权委托</w:t>
      </w:r>
      <w:r>
        <w:rPr>
          <w:rFonts w:hint="eastAsia" w:ascii="宋体" w:hAnsi="宋体" w:cs="宋体"/>
          <w:color w:val="auto"/>
          <w:sz w:val="22"/>
          <w:szCs w:val="22"/>
          <w:highlight w:val="none"/>
          <w:u w:val="single"/>
        </w:rPr>
        <w:t xml:space="preserve">  （单 位 名 称）   </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 xml:space="preserve">  （授权代表姓名）  </w:t>
      </w:r>
      <w:r>
        <w:rPr>
          <w:rFonts w:hint="eastAsia" w:ascii="宋体" w:hAnsi="宋体" w:cs="宋体"/>
          <w:color w:val="auto"/>
          <w:sz w:val="22"/>
          <w:szCs w:val="22"/>
          <w:highlight w:val="none"/>
        </w:rPr>
        <w:t>为我公司法定代表人（负责人）授权代表，参加贵处组织的</w:t>
      </w:r>
      <w:r>
        <w:rPr>
          <w:rFonts w:hint="eastAsia" w:ascii="宋体" w:hAnsi="宋体" w:cs="宋体"/>
          <w:color w:val="auto"/>
          <w:sz w:val="22"/>
          <w:szCs w:val="22"/>
          <w:highlight w:val="none"/>
          <w:u w:val="single"/>
        </w:rPr>
        <w:t xml:space="preserve">  （招标项目名称，括号中填写项目编号）  </w:t>
      </w:r>
      <w:r>
        <w:rPr>
          <w:rFonts w:hint="eastAsia" w:ascii="宋体" w:hAnsi="宋体" w:cs="宋体"/>
          <w:color w:val="auto"/>
          <w:sz w:val="22"/>
          <w:szCs w:val="22"/>
          <w:highlight w:val="none"/>
        </w:rPr>
        <w:t>项目投标，全权处理本次招投标活动中的一切事宜，我承认授权代表全权代表我所签署的本项目的投标文件的内容。</w:t>
      </w:r>
    </w:p>
    <w:p>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授权代表无转授权，特此授权</w:t>
      </w:r>
    </w:p>
    <w:p>
      <w:pPr>
        <w:spacing w:line="360" w:lineRule="auto"/>
        <w:ind w:left="1260"/>
        <w:rPr>
          <w:rFonts w:ascii="宋体" w:hAnsi="宋体" w:cs="宋体"/>
          <w:color w:val="auto"/>
          <w:sz w:val="22"/>
          <w:szCs w:val="22"/>
          <w:highlight w:val="none"/>
        </w:rPr>
      </w:pPr>
    </w:p>
    <w:p>
      <w:pPr>
        <w:spacing w:line="480" w:lineRule="auto"/>
        <w:ind w:left="2100" w:leftChars="1000"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授权代表： 性别 ：</w:t>
      </w:r>
    </w:p>
    <w:p>
      <w:pPr>
        <w:spacing w:line="480" w:lineRule="auto"/>
        <w:ind w:left="2100" w:leftChars="1000"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职务：年龄：</w:t>
      </w:r>
    </w:p>
    <w:p>
      <w:pPr>
        <w:spacing w:line="480" w:lineRule="auto"/>
        <w:ind w:left="2100" w:leftChars="1000"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详细通讯地址： 邮政编码：</w:t>
      </w:r>
    </w:p>
    <w:p>
      <w:pPr>
        <w:spacing w:line="480" w:lineRule="auto"/>
        <w:ind w:left="1" w:firstLine="2510" w:firstLineChars="1141"/>
        <w:rPr>
          <w:rFonts w:ascii="宋体" w:hAnsi="宋体" w:cs="宋体"/>
          <w:color w:val="auto"/>
          <w:sz w:val="22"/>
          <w:szCs w:val="22"/>
          <w:highlight w:val="none"/>
          <w:u w:val="single"/>
        </w:rPr>
      </w:pPr>
      <w:r>
        <w:rPr>
          <w:rFonts w:hint="eastAsia" w:ascii="宋体" w:hAnsi="宋体" w:cs="宋体"/>
          <w:color w:val="auto"/>
          <w:sz w:val="22"/>
          <w:szCs w:val="22"/>
          <w:highlight w:val="none"/>
        </w:rPr>
        <w:t>电话： 传真：</w:t>
      </w:r>
    </w:p>
    <w:p>
      <w:pPr>
        <w:spacing w:line="480" w:lineRule="auto"/>
        <w:ind w:left="1" w:firstLine="422" w:firstLineChars="192"/>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w:t>
      </w:r>
      <w:r>
        <w:rPr>
          <w:rFonts w:hint="eastAsia" w:ascii="宋体" w:hAnsi="宋体" w:cs="宋体"/>
          <w:color w:val="auto"/>
          <w:sz w:val="22"/>
          <w:szCs w:val="22"/>
          <w:highlight w:val="none"/>
          <w:u w:val="single"/>
        </w:rPr>
        <w:t xml:space="preserve">                                      （盖章）</w:t>
      </w:r>
    </w:p>
    <w:p>
      <w:pPr>
        <w:spacing w:line="480" w:lineRule="auto"/>
        <w:ind w:left="2100" w:right="440"/>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法定代表人（负责人）：</w:t>
      </w:r>
      <w:r>
        <w:rPr>
          <w:rFonts w:hint="eastAsia" w:ascii="宋体" w:hAnsi="宋体" w:cs="宋体"/>
          <w:color w:val="auto"/>
          <w:sz w:val="22"/>
          <w:szCs w:val="22"/>
          <w:highlight w:val="none"/>
          <w:u w:val="single"/>
        </w:rPr>
        <w:t xml:space="preserve">                  （签字或盖章）</w:t>
      </w:r>
    </w:p>
    <w:p>
      <w:pPr>
        <w:wordWrap w:val="0"/>
        <w:spacing w:line="480" w:lineRule="auto"/>
        <w:ind w:right="440" w:firstLine="3300" w:firstLineChars="1500"/>
        <w:jc w:val="right"/>
        <w:rPr>
          <w:rFonts w:ascii="宋体" w:hAnsi="宋体" w:cs="宋体"/>
          <w:color w:val="auto"/>
          <w:sz w:val="22"/>
          <w:szCs w:val="22"/>
          <w:highlight w:val="none"/>
        </w:rPr>
      </w:pPr>
      <w:r>
        <w:rPr>
          <w:rFonts w:hint="eastAsia" w:ascii="宋体" w:hAnsi="宋体" w:cs="宋体"/>
          <w:color w:val="auto"/>
          <w:sz w:val="22"/>
          <w:szCs w:val="22"/>
          <w:highlight w:val="none"/>
        </w:rPr>
        <w:t>授权委托日期：   年 月     日</w:t>
      </w:r>
    </w:p>
    <w:tbl>
      <w:tblPr>
        <w:tblStyle w:val="27"/>
        <w:tblW w:w="7839"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trPr>
        <w:tc>
          <w:tcPr>
            <w:tcW w:w="7839" w:type="dxa"/>
          </w:tcPr>
          <w:p>
            <w:pPr>
              <w:pStyle w:val="14"/>
              <w:spacing w:line="440" w:lineRule="atLeast"/>
              <w:rPr>
                <w:rFonts w:hAnsi="宋体"/>
                <w:b/>
                <w:color w:val="auto"/>
                <w:sz w:val="36"/>
                <w:highlight w:val="none"/>
              </w:rPr>
            </w:pPr>
          </w:p>
          <w:p>
            <w:pPr>
              <w:pStyle w:val="14"/>
              <w:spacing w:line="440" w:lineRule="atLeast"/>
              <w:jc w:val="center"/>
              <w:rPr>
                <w:rFonts w:hAnsi="宋体"/>
                <w:b/>
                <w:color w:val="auto"/>
                <w:sz w:val="36"/>
                <w:highlight w:val="none"/>
              </w:rPr>
            </w:pPr>
          </w:p>
          <w:p>
            <w:pPr>
              <w:pStyle w:val="14"/>
              <w:spacing w:line="440" w:lineRule="atLeast"/>
              <w:jc w:val="center"/>
              <w:rPr>
                <w:rFonts w:hAnsi="宋体"/>
                <w:b/>
                <w:color w:val="auto"/>
                <w:sz w:val="36"/>
                <w:highlight w:val="none"/>
              </w:rPr>
            </w:pPr>
          </w:p>
          <w:p>
            <w:pPr>
              <w:pStyle w:val="14"/>
              <w:spacing w:line="440" w:lineRule="atLeast"/>
              <w:jc w:val="center"/>
              <w:rPr>
                <w:rFonts w:hAnsi="宋体"/>
                <w:b/>
                <w:color w:val="auto"/>
                <w:sz w:val="36"/>
                <w:highlight w:val="none"/>
              </w:rPr>
            </w:pPr>
          </w:p>
          <w:p>
            <w:pPr>
              <w:pStyle w:val="14"/>
              <w:spacing w:line="440" w:lineRule="atLeast"/>
              <w:jc w:val="center"/>
              <w:rPr>
                <w:rFonts w:hAnsi="宋体"/>
                <w:b/>
                <w:color w:val="auto"/>
                <w:sz w:val="36"/>
                <w:highlight w:val="none"/>
              </w:rPr>
            </w:pPr>
            <w:r>
              <w:rPr>
                <w:rFonts w:hint="eastAsia" w:hAnsi="宋体"/>
                <w:b/>
                <w:color w:val="auto"/>
                <w:sz w:val="36"/>
                <w:highlight w:val="none"/>
              </w:rPr>
              <w:t>（授权代表身份证扫描件或影印件）</w:t>
            </w:r>
          </w:p>
          <w:p>
            <w:pPr>
              <w:pStyle w:val="14"/>
              <w:spacing w:line="440" w:lineRule="atLeast"/>
              <w:ind w:left="5271" w:firstLine="1084" w:firstLineChars="300"/>
              <w:rPr>
                <w:rFonts w:hAnsi="宋体"/>
                <w:b/>
                <w:color w:val="auto"/>
                <w:sz w:val="36"/>
                <w:highlight w:val="none"/>
              </w:rPr>
            </w:pPr>
          </w:p>
        </w:tc>
      </w:tr>
    </w:tbl>
    <w:p>
      <w:pPr>
        <w:pStyle w:val="25"/>
        <w:rPr>
          <w:rFonts w:ascii="宋体" w:hAnsi="宋体" w:cs="宋体"/>
          <w:color w:val="auto"/>
          <w:highlight w:val="none"/>
        </w:rPr>
      </w:pPr>
      <w:r>
        <w:rPr>
          <w:rFonts w:hint="eastAsia" w:ascii="宋体" w:hAnsi="宋体" w:cs="宋体"/>
          <w:color w:val="auto"/>
          <w:highlight w:val="none"/>
        </w:rPr>
        <w:br w:type="page"/>
      </w:r>
      <w:bookmarkStart w:id="184" w:name="_Toc42243285"/>
      <w:bookmarkStart w:id="185" w:name="_Toc73091446"/>
      <w:bookmarkStart w:id="186" w:name="_Toc42678693"/>
      <w:r>
        <w:rPr>
          <w:rFonts w:hint="eastAsia" w:ascii="宋体" w:hAnsi="宋体" w:cs="宋体"/>
          <w:color w:val="auto"/>
          <w:highlight w:val="none"/>
        </w:rPr>
        <w:t>二、报价文件部分格式</w:t>
      </w:r>
      <w:bookmarkEnd w:id="184"/>
      <w:bookmarkEnd w:id="185"/>
      <w:bookmarkEnd w:id="186"/>
    </w:p>
    <w:p>
      <w:pPr>
        <w:widowControl/>
        <w:spacing w:line="460" w:lineRule="atLeast"/>
        <w:jc w:val="left"/>
        <w:rPr>
          <w:rFonts w:ascii="宋体" w:hAnsi="宋体" w:cs="宋体"/>
          <w:b/>
          <w:bCs/>
          <w:color w:val="auto"/>
          <w:sz w:val="22"/>
          <w:szCs w:val="22"/>
          <w:highlight w:val="none"/>
        </w:rPr>
      </w:pPr>
      <w:bookmarkStart w:id="187" w:name="_Toc413747701"/>
      <w:r>
        <w:rPr>
          <w:rFonts w:hint="eastAsia" w:ascii="宋体" w:hAnsi="宋体" w:cs="宋体"/>
          <w:b/>
          <w:bCs/>
          <w:color w:val="auto"/>
          <w:sz w:val="22"/>
          <w:szCs w:val="22"/>
          <w:highlight w:val="none"/>
        </w:rPr>
        <w:t>附件</w:t>
      </w:r>
      <w:bookmarkEnd w:id="187"/>
      <w:r>
        <w:rPr>
          <w:rFonts w:hint="eastAsia" w:ascii="宋体" w:hAnsi="宋体" w:cs="宋体"/>
          <w:b/>
          <w:bCs/>
          <w:color w:val="auto"/>
          <w:sz w:val="22"/>
          <w:szCs w:val="22"/>
          <w:highlight w:val="none"/>
        </w:rPr>
        <w:t>七</w:t>
      </w:r>
    </w:p>
    <w:p>
      <w:pPr>
        <w:pStyle w:val="25"/>
        <w:rPr>
          <w:rFonts w:ascii="宋体" w:hAnsi="宋体" w:cs="宋体"/>
          <w:color w:val="auto"/>
          <w:highlight w:val="none"/>
        </w:rPr>
      </w:pPr>
      <w:bookmarkStart w:id="188" w:name="_Toc42678615"/>
      <w:bookmarkStart w:id="189" w:name="_Toc42678694"/>
      <w:bookmarkStart w:id="190" w:name="_Toc518512529"/>
      <w:bookmarkStart w:id="191" w:name="_Toc19204519"/>
      <w:bookmarkStart w:id="192" w:name="_Toc73091447"/>
      <w:bookmarkStart w:id="193" w:name="_Toc61444215"/>
      <w:bookmarkStart w:id="194" w:name="_Toc511045476"/>
      <w:bookmarkStart w:id="195" w:name="_Toc9334945"/>
      <w:bookmarkStart w:id="196" w:name="_Toc42678183"/>
      <w:bookmarkStart w:id="197" w:name="_Toc522469114"/>
      <w:bookmarkStart w:id="198" w:name="_Toc42243286"/>
      <w:bookmarkStart w:id="199" w:name="_Toc496618930"/>
      <w:bookmarkStart w:id="200" w:name="_Toc42678028"/>
      <w:r>
        <w:rPr>
          <w:rFonts w:hint="eastAsia" w:ascii="宋体" w:hAnsi="宋体" w:cs="宋体"/>
          <w:color w:val="auto"/>
          <w:highlight w:val="none"/>
        </w:rPr>
        <w:t>报价一览表</w:t>
      </w:r>
      <w:bookmarkEnd w:id="188"/>
      <w:bookmarkEnd w:id="189"/>
      <w:bookmarkEnd w:id="190"/>
      <w:bookmarkEnd w:id="191"/>
      <w:bookmarkEnd w:id="192"/>
      <w:bookmarkEnd w:id="193"/>
      <w:bookmarkEnd w:id="194"/>
      <w:bookmarkEnd w:id="195"/>
      <w:bookmarkEnd w:id="196"/>
      <w:bookmarkEnd w:id="197"/>
      <w:bookmarkEnd w:id="198"/>
      <w:bookmarkEnd w:id="199"/>
      <w:bookmarkEnd w:id="200"/>
    </w:p>
    <w:p>
      <w:pPr>
        <w:spacing w:line="380" w:lineRule="exact"/>
        <w:ind w:right="349" w:rightChars="166"/>
        <w:rPr>
          <w:rFonts w:ascii="宋体" w:hAnsi="宋体" w:cs="宋体"/>
          <w:color w:val="auto"/>
          <w:sz w:val="22"/>
          <w:szCs w:val="22"/>
          <w:highlight w:val="none"/>
        </w:rPr>
      </w:pPr>
      <w:r>
        <w:rPr>
          <w:rFonts w:hint="eastAsia" w:ascii="宋体" w:hAnsi="宋体" w:cs="宋体"/>
          <w:color w:val="auto"/>
          <w:sz w:val="22"/>
          <w:szCs w:val="22"/>
          <w:highlight w:val="none"/>
        </w:rPr>
        <w:t>项目名称：                              项目编号：              人民币（元）</w:t>
      </w:r>
    </w:p>
    <w:tbl>
      <w:tblPr>
        <w:tblStyle w:val="27"/>
        <w:tblW w:w="89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75"/>
        <w:gridCol w:w="3837"/>
        <w:gridCol w:w="1262"/>
        <w:gridCol w:w="12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jc w:val="center"/>
        </w:trPr>
        <w:tc>
          <w:tcPr>
            <w:tcW w:w="2575" w:type="dxa"/>
            <w:tcBorders>
              <w:top w:val="single" w:color="auto" w:sz="8" w:space="0"/>
              <w:left w:val="single" w:color="auto" w:sz="8" w:space="0"/>
              <w:bottom w:val="single" w:color="auto" w:sz="8" w:space="0"/>
              <w:right w:val="single" w:color="auto" w:sz="8" w:space="0"/>
            </w:tcBorders>
            <w:vAlign w:val="center"/>
          </w:tcPr>
          <w:p>
            <w:pPr>
              <w:ind w:right="-21" w:rightChars="-10"/>
              <w:jc w:val="center"/>
              <w:rPr>
                <w:rFonts w:ascii="宋体" w:hAnsi="宋体" w:cs="Arial"/>
                <w:color w:val="auto"/>
                <w:highlight w:val="none"/>
              </w:rPr>
            </w:pPr>
            <w:r>
              <w:rPr>
                <w:rFonts w:hint="eastAsia" w:ascii="宋体" w:hAnsi="宋体" w:cs="Arial"/>
                <w:color w:val="auto"/>
                <w:highlight w:val="none"/>
              </w:rPr>
              <w:t>项目名称</w:t>
            </w:r>
          </w:p>
        </w:tc>
        <w:tc>
          <w:tcPr>
            <w:tcW w:w="3837" w:type="dxa"/>
            <w:tcBorders>
              <w:top w:val="single" w:color="auto" w:sz="8" w:space="0"/>
              <w:left w:val="single" w:color="auto" w:sz="8" w:space="0"/>
              <w:bottom w:val="single" w:color="auto" w:sz="8" w:space="0"/>
              <w:right w:val="single" w:color="auto" w:sz="8" w:space="0"/>
            </w:tcBorders>
            <w:vAlign w:val="center"/>
          </w:tcPr>
          <w:p>
            <w:pPr>
              <w:ind w:right="-21" w:rightChars="-10"/>
              <w:jc w:val="center"/>
              <w:rPr>
                <w:rFonts w:ascii="宋体" w:hAnsi="宋体" w:cs="Arial"/>
                <w:color w:val="auto"/>
                <w:highlight w:val="none"/>
              </w:rPr>
            </w:pPr>
            <w:r>
              <w:rPr>
                <w:rFonts w:hint="eastAsia" w:ascii="宋体" w:hAnsi="宋体" w:cs="Arial"/>
                <w:color w:val="auto"/>
                <w:highlight w:val="none"/>
              </w:rPr>
              <w:t>投标报价</w:t>
            </w:r>
          </w:p>
        </w:tc>
        <w:tc>
          <w:tcPr>
            <w:tcW w:w="1262" w:type="dxa"/>
            <w:tcBorders>
              <w:top w:val="single" w:color="auto" w:sz="8" w:space="0"/>
              <w:left w:val="single" w:color="auto" w:sz="8" w:space="0"/>
              <w:bottom w:val="single" w:color="auto" w:sz="8" w:space="0"/>
              <w:right w:val="single" w:color="auto" w:sz="8" w:space="0"/>
            </w:tcBorders>
            <w:vAlign w:val="center"/>
          </w:tcPr>
          <w:p>
            <w:pPr>
              <w:ind w:right="-21" w:rightChars="-10"/>
              <w:jc w:val="center"/>
              <w:rPr>
                <w:rFonts w:ascii="宋体" w:hAnsi="宋体" w:cs="Arial"/>
                <w:color w:val="auto"/>
                <w:highlight w:val="none"/>
              </w:rPr>
            </w:pPr>
            <w:r>
              <w:rPr>
                <w:rFonts w:hint="eastAsia" w:ascii="宋体" w:hAnsi="宋体" w:cs="Arial"/>
                <w:color w:val="auto"/>
                <w:highlight w:val="none"/>
              </w:rPr>
              <w:t>质保期</w:t>
            </w:r>
          </w:p>
        </w:tc>
        <w:tc>
          <w:tcPr>
            <w:tcW w:w="1262" w:type="dxa"/>
            <w:tcBorders>
              <w:top w:val="single" w:color="auto" w:sz="8" w:space="0"/>
              <w:left w:val="single" w:color="auto" w:sz="8" w:space="0"/>
              <w:bottom w:val="single" w:color="auto" w:sz="8" w:space="0"/>
              <w:right w:val="single" w:color="auto" w:sz="8" w:space="0"/>
            </w:tcBorders>
            <w:vAlign w:val="center"/>
          </w:tcPr>
          <w:p>
            <w:pPr>
              <w:ind w:right="-21" w:rightChars="-10"/>
              <w:jc w:val="center"/>
              <w:rPr>
                <w:rFonts w:ascii="宋体" w:hAnsi="宋体" w:cs="Arial"/>
                <w:color w:val="auto"/>
                <w:highlight w:val="none"/>
              </w:rPr>
            </w:pPr>
            <w:r>
              <w:rPr>
                <w:rFonts w:hint="eastAsia" w:ascii="宋体" w:hAnsi="宋体" w:cs="Arial"/>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1" w:hRule="atLeast"/>
          <w:jc w:val="center"/>
        </w:trPr>
        <w:tc>
          <w:tcPr>
            <w:tcW w:w="2575" w:type="dxa"/>
            <w:tcBorders>
              <w:top w:val="single" w:color="auto" w:sz="8" w:space="0"/>
              <w:left w:val="single" w:color="auto" w:sz="8" w:space="0"/>
              <w:bottom w:val="single" w:color="auto" w:sz="8" w:space="0"/>
              <w:right w:val="single" w:color="auto" w:sz="8" w:space="0"/>
            </w:tcBorders>
            <w:vAlign w:val="center"/>
          </w:tcPr>
          <w:p>
            <w:pPr>
              <w:ind w:right="-21" w:rightChars="-10"/>
              <w:jc w:val="center"/>
              <w:rPr>
                <w:rFonts w:ascii="宋体" w:hAnsi="宋体" w:cs="Arial"/>
                <w:color w:val="auto"/>
                <w:highlight w:val="none"/>
              </w:rPr>
            </w:pPr>
          </w:p>
        </w:tc>
        <w:tc>
          <w:tcPr>
            <w:tcW w:w="3837" w:type="dxa"/>
            <w:tcBorders>
              <w:top w:val="single" w:color="auto" w:sz="8" w:space="0"/>
              <w:left w:val="single" w:color="auto" w:sz="8" w:space="0"/>
              <w:bottom w:val="single" w:color="auto" w:sz="8" w:space="0"/>
              <w:right w:val="single" w:color="auto" w:sz="8" w:space="0"/>
            </w:tcBorders>
            <w:vAlign w:val="center"/>
          </w:tcPr>
          <w:p>
            <w:pPr>
              <w:ind w:right="-21" w:rightChars="-10"/>
              <w:rPr>
                <w:color w:val="auto"/>
                <w:highlight w:val="none"/>
              </w:rPr>
            </w:pPr>
            <w:r>
              <w:rPr>
                <w:rFonts w:hint="eastAsia"/>
                <w:color w:val="auto"/>
                <w:highlight w:val="none"/>
              </w:rPr>
              <w:t>小写：</w:t>
            </w:r>
          </w:p>
          <w:p>
            <w:pPr>
              <w:ind w:right="-21" w:rightChars="-10"/>
              <w:rPr>
                <w:color w:val="auto"/>
                <w:highlight w:val="none"/>
              </w:rPr>
            </w:pPr>
            <w:r>
              <w:rPr>
                <w:rFonts w:hint="eastAsia"/>
                <w:color w:val="auto"/>
                <w:highlight w:val="none"/>
              </w:rPr>
              <w:t>大写：</w:t>
            </w:r>
          </w:p>
        </w:tc>
        <w:tc>
          <w:tcPr>
            <w:tcW w:w="1262" w:type="dxa"/>
            <w:tcBorders>
              <w:top w:val="single" w:color="auto" w:sz="8" w:space="0"/>
              <w:left w:val="single" w:color="auto" w:sz="8" w:space="0"/>
              <w:bottom w:val="single" w:color="auto" w:sz="8" w:space="0"/>
              <w:right w:val="single" w:color="auto" w:sz="8" w:space="0"/>
            </w:tcBorders>
            <w:vAlign w:val="center"/>
          </w:tcPr>
          <w:p>
            <w:pPr>
              <w:ind w:right="-21" w:rightChars="-10"/>
              <w:jc w:val="center"/>
              <w:rPr>
                <w:rFonts w:ascii="宋体" w:hAnsi="宋体" w:cs="Arial"/>
                <w:color w:val="auto"/>
                <w:highlight w:val="none"/>
              </w:rPr>
            </w:pPr>
          </w:p>
        </w:tc>
        <w:tc>
          <w:tcPr>
            <w:tcW w:w="1262" w:type="dxa"/>
            <w:tcBorders>
              <w:top w:val="single" w:color="auto" w:sz="8" w:space="0"/>
              <w:left w:val="single" w:color="auto" w:sz="8" w:space="0"/>
              <w:bottom w:val="single" w:color="auto" w:sz="8" w:space="0"/>
              <w:right w:val="single" w:color="auto" w:sz="8" w:space="0"/>
            </w:tcBorders>
            <w:vAlign w:val="center"/>
          </w:tcPr>
          <w:p>
            <w:pPr>
              <w:ind w:right="-21" w:rightChars="-10"/>
              <w:jc w:val="center"/>
              <w:rPr>
                <w:rFonts w:ascii="宋体" w:hAnsi="宋体" w:cs="Arial"/>
                <w:color w:val="auto"/>
                <w:highlight w:val="none"/>
              </w:rPr>
            </w:pPr>
          </w:p>
        </w:tc>
      </w:tr>
    </w:tbl>
    <w:p>
      <w:pPr>
        <w:spacing w:line="360" w:lineRule="exact"/>
        <w:ind w:firstLine="241" w:firstLineChars="100"/>
        <w:rPr>
          <w:rFonts w:ascii="宋体" w:hAnsi="宋体" w:cs="Arial Unicode MS"/>
          <w:color w:val="auto"/>
          <w:sz w:val="24"/>
          <w:szCs w:val="24"/>
          <w:highlight w:val="none"/>
        </w:rPr>
      </w:pPr>
      <w:r>
        <w:rPr>
          <w:rFonts w:hint="eastAsia" w:ascii="宋体" w:hAnsi="宋体" w:cs="Arial Unicode MS"/>
          <w:b/>
          <w:bCs/>
          <w:color w:val="auto"/>
          <w:sz w:val="24"/>
          <w:szCs w:val="24"/>
          <w:highlight w:val="none"/>
        </w:rPr>
        <w:t>注：</w:t>
      </w:r>
    </w:p>
    <w:p>
      <w:pPr>
        <w:numPr>
          <w:ilvl w:val="0"/>
          <w:numId w:val="17"/>
        </w:numPr>
        <w:tabs>
          <w:tab w:val="clear" w:pos="1200"/>
        </w:tabs>
        <w:spacing w:line="360" w:lineRule="exact"/>
        <w:ind w:left="640"/>
        <w:rPr>
          <w:rFonts w:ascii="宋体" w:hAnsi="宋体" w:cs="Arial Unicode MS"/>
          <w:color w:val="auto"/>
          <w:highlight w:val="none"/>
        </w:rPr>
      </w:pPr>
      <w:r>
        <w:rPr>
          <w:rFonts w:hint="eastAsia" w:ascii="宋体" w:hAnsi="宋体" w:cs="Arial Unicode MS"/>
          <w:color w:val="auto"/>
          <w:highlight w:val="none"/>
        </w:rPr>
        <w:t>投标报价包括货物及其附件的设计、采购、制造、检测、试验、运输、保险、安装调试、配合费、税费（含进口关税、增值税等）以及验收、技术服务（包括技术资料的提供）、质保期保障、招标代理服务费等完成合同所需的一切本身和不可或缺的所有工作开支、政策性文件规定等全部费用。供应商应根据上述因素自行考虑含入投标总价。</w:t>
      </w:r>
    </w:p>
    <w:p>
      <w:pPr>
        <w:numPr>
          <w:ilvl w:val="0"/>
          <w:numId w:val="17"/>
        </w:numPr>
        <w:tabs>
          <w:tab w:val="clear" w:pos="1200"/>
        </w:tabs>
        <w:spacing w:line="360" w:lineRule="exact"/>
        <w:ind w:left="640"/>
        <w:rPr>
          <w:rFonts w:ascii="宋体" w:hAnsi="宋体" w:cs="Arial Unicode MS"/>
          <w:color w:val="auto"/>
          <w:highlight w:val="none"/>
        </w:rPr>
      </w:pPr>
      <w:r>
        <w:rPr>
          <w:rFonts w:hint="eastAsia" w:ascii="宋体" w:hAnsi="宋体" w:cs="Arial Unicode MS"/>
          <w:color w:val="auto"/>
          <w:highlight w:val="none"/>
        </w:rPr>
        <w:t>该表中“投标报价”应与附件八 “投标分项报价表”中“合计总价”相一致。</w:t>
      </w:r>
    </w:p>
    <w:p>
      <w:pPr>
        <w:numPr>
          <w:ilvl w:val="0"/>
          <w:numId w:val="17"/>
        </w:numPr>
        <w:tabs>
          <w:tab w:val="clear" w:pos="1200"/>
        </w:tabs>
        <w:spacing w:line="360" w:lineRule="exact"/>
        <w:ind w:left="640"/>
        <w:rPr>
          <w:rFonts w:ascii="宋体" w:hAnsi="宋体" w:cs="Arial Unicode MS"/>
          <w:color w:val="auto"/>
          <w:highlight w:val="none"/>
        </w:rPr>
      </w:pPr>
      <w:r>
        <w:rPr>
          <w:rFonts w:hint="eastAsia" w:ascii="宋体" w:hAnsi="宋体" w:cs="宋体"/>
          <w:color w:val="auto"/>
          <w:highlight w:val="none"/>
        </w:rPr>
        <w:t>如投标供应商为小型、微型企业、监狱企业或残疾人福利性单位的（以提供中小企业声明函或残疾人福利性单位声明函为准），其评标价为投标报价给予价格扣除后的价格。</w:t>
      </w:r>
    </w:p>
    <w:p>
      <w:pPr>
        <w:numPr>
          <w:ilvl w:val="0"/>
          <w:numId w:val="17"/>
        </w:numPr>
        <w:tabs>
          <w:tab w:val="clear" w:pos="1200"/>
        </w:tabs>
        <w:spacing w:line="360" w:lineRule="exact"/>
        <w:ind w:left="640"/>
        <w:rPr>
          <w:rFonts w:ascii="宋体" w:hAnsi="宋体" w:cs="Arial Unicode MS"/>
          <w:color w:val="auto"/>
          <w:highlight w:val="none"/>
        </w:rPr>
      </w:pPr>
      <w:r>
        <w:rPr>
          <w:rFonts w:hint="eastAsia" w:ascii="宋体" w:hAnsi="宋体" w:cs="Arial Unicode MS"/>
          <w:color w:val="auto"/>
          <w:highlight w:val="none"/>
        </w:rPr>
        <w:t>此表不得自行增减内容，不提供此表的报价，视为没有实质性响应招标文件要求。</w:t>
      </w:r>
    </w:p>
    <w:p>
      <w:pPr>
        <w:pStyle w:val="14"/>
        <w:spacing w:line="460" w:lineRule="atLeast"/>
        <w:rPr>
          <w:rFonts w:hAnsi="宋体"/>
          <w:b/>
          <w:color w:val="auto"/>
          <w:sz w:val="22"/>
          <w:szCs w:val="22"/>
          <w:highlight w:val="none"/>
          <w:u w:val="single"/>
        </w:rPr>
      </w:pPr>
    </w:p>
    <w:p>
      <w:pPr>
        <w:autoSpaceDE w:val="0"/>
        <w:autoSpaceDN w:val="0"/>
        <w:adjustRightInd w:val="0"/>
        <w:spacing w:line="500" w:lineRule="atLeast"/>
        <w:rPr>
          <w:rFonts w:ascii="宋体" w:hAnsi="宋体" w:cs="宋体"/>
          <w:color w:val="auto"/>
          <w:sz w:val="30"/>
          <w:szCs w:val="30"/>
          <w:highlight w:val="none"/>
        </w:rPr>
      </w:pPr>
    </w:p>
    <w:p>
      <w:pPr>
        <w:spacing w:line="360" w:lineRule="auto"/>
        <w:ind w:left="359" w:leftChars="171"/>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360" w:lineRule="auto"/>
        <w:ind w:left="359" w:leftChars="171"/>
        <w:rPr>
          <w:rFonts w:ascii="宋体" w:hAnsi="宋体" w:cs="宋体"/>
          <w:color w:val="auto"/>
          <w:sz w:val="22"/>
          <w:szCs w:val="22"/>
          <w:highlight w:val="none"/>
        </w:rPr>
      </w:pPr>
      <w:r>
        <w:rPr>
          <w:rFonts w:hint="eastAsia" w:ascii="宋体" w:hAnsi="宋体" w:cs="宋体"/>
          <w:color w:val="auto"/>
          <w:sz w:val="22"/>
          <w:szCs w:val="22"/>
          <w:highlight w:val="none"/>
        </w:rPr>
        <w:t>法定代表人（负责人）或授权代表（签字）：</w:t>
      </w:r>
    </w:p>
    <w:p>
      <w:pPr>
        <w:spacing w:line="360" w:lineRule="auto"/>
        <w:ind w:firstLine="330" w:firstLineChars="150"/>
        <w:rPr>
          <w:rFonts w:ascii="宋体" w:hAnsi="宋体" w:cs="宋体"/>
          <w:color w:val="auto"/>
          <w:sz w:val="22"/>
          <w:szCs w:val="22"/>
          <w:highlight w:val="none"/>
          <w:u w:val="single"/>
        </w:rPr>
      </w:pPr>
      <w:r>
        <w:rPr>
          <w:rFonts w:hint="eastAsia" w:ascii="宋体" w:hAnsi="宋体" w:cs="宋体"/>
          <w:color w:val="auto"/>
          <w:sz w:val="22"/>
          <w:szCs w:val="22"/>
          <w:highlight w:val="none"/>
        </w:rPr>
        <w:t>日 期：       年      月     日</w:t>
      </w:r>
    </w:p>
    <w:p>
      <w:pPr>
        <w:autoSpaceDE w:val="0"/>
        <w:autoSpaceDN w:val="0"/>
        <w:adjustRightInd w:val="0"/>
        <w:spacing w:line="500" w:lineRule="atLeast"/>
        <w:rPr>
          <w:rFonts w:ascii="宋体" w:hAnsi="宋体" w:cs="宋体"/>
          <w:color w:val="auto"/>
          <w:sz w:val="30"/>
          <w:szCs w:val="30"/>
          <w:highlight w:val="none"/>
          <w:lang w:val="zh-CN"/>
        </w:rPr>
      </w:pPr>
    </w:p>
    <w:p>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p>
    <w:p>
      <w:pPr>
        <w:autoSpaceDE w:val="0"/>
        <w:autoSpaceDN w:val="0"/>
        <w:adjustRightInd w:val="0"/>
        <w:spacing w:line="500" w:lineRule="atLeast"/>
        <w:rPr>
          <w:rFonts w:ascii="宋体" w:hAnsi="宋体" w:cs="宋体"/>
          <w:b/>
          <w:color w:val="auto"/>
          <w:sz w:val="30"/>
          <w:szCs w:val="30"/>
          <w:highlight w:val="none"/>
          <w:lang w:val="zh-CN"/>
        </w:rPr>
      </w:pPr>
      <w:r>
        <w:rPr>
          <w:rFonts w:hint="eastAsia" w:ascii="宋体" w:hAnsi="宋体" w:cs="宋体"/>
          <w:b/>
          <w:bCs/>
          <w:color w:val="auto"/>
          <w:sz w:val="22"/>
          <w:szCs w:val="22"/>
          <w:highlight w:val="none"/>
        </w:rPr>
        <w:t>附件八</w:t>
      </w:r>
    </w:p>
    <w:p>
      <w:pPr>
        <w:autoSpaceDE w:val="0"/>
        <w:autoSpaceDN w:val="0"/>
        <w:adjustRightInd w:val="0"/>
        <w:spacing w:line="380" w:lineRule="atLeast"/>
        <w:jc w:val="center"/>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二、投标分项报价表</w:t>
      </w:r>
    </w:p>
    <w:p>
      <w:pPr>
        <w:spacing w:line="380" w:lineRule="exact"/>
        <w:rPr>
          <w:rFonts w:ascii="宋体" w:hAnsi="宋体" w:cs="宋体"/>
          <w:b/>
          <w:bCs/>
          <w:color w:val="auto"/>
          <w:kern w:val="0"/>
          <w:sz w:val="22"/>
          <w:szCs w:val="22"/>
          <w:highlight w:val="none"/>
          <w:lang w:val="zh-CN"/>
        </w:rPr>
      </w:pPr>
      <w:r>
        <w:rPr>
          <w:rFonts w:hint="eastAsia" w:ascii="宋体" w:hAnsi="宋体" w:cs="Arial Unicode MS"/>
          <w:b/>
          <w:bCs/>
          <w:color w:val="auto"/>
          <w:sz w:val="22"/>
          <w:highlight w:val="none"/>
        </w:rPr>
        <w:t xml:space="preserve">项目名称： </w:t>
      </w:r>
      <w:r>
        <w:rPr>
          <w:rFonts w:hint="eastAsia" w:ascii="宋体" w:hAnsi="宋体" w:cs="Arial Unicode MS"/>
          <w:color w:val="auto"/>
          <w:sz w:val="22"/>
          <w:highlight w:val="none"/>
        </w:rPr>
        <w:t xml:space="preserve">                                       </w:t>
      </w:r>
      <w:r>
        <w:rPr>
          <w:rFonts w:hint="eastAsia" w:ascii="宋体" w:hAnsi="宋体" w:cs="Arial Unicode MS"/>
          <w:b/>
          <w:bCs/>
          <w:color w:val="auto"/>
          <w:sz w:val="22"/>
          <w:highlight w:val="none"/>
        </w:rPr>
        <w:t>项目编号：</w:t>
      </w:r>
    </w:p>
    <w:tbl>
      <w:tblPr>
        <w:tblStyle w:val="2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989"/>
        <w:gridCol w:w="1058"/>
        <w:gridCol w:w="785"/>
        <w:gridCol w:w="1066"/>
        <w:gridCol w:w="10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Align w:val="center"/>
          </w:tcPr>
          <w:p>
            <w:pPr>
              <w:ind w:right="-11"/>
              <w:jc w:val="center"/>
              <w:rPr>
                <w:rFonts w:ascii="Arial" w:hAnsi="Arial" w:cs="Arial"/>
                <w:bCs/>
                <w:color w:val="auto"/>
                <w:highlight w:val="none"/>
              </w:rPr>
            </w:pPr>
            <w:r>
              <w:rPr>
                <w:rFonts w:hint="eastAsia" w:ascii="Arial" w:hAnsi="宋体" w:cs="Arial"/>
                <w:bCs/>
                <w:color w:val="auto"/>
                <w:highlight w:val="none"/>
              </w:rPr>
              <w:t>序号</w:t>
            </w:r>
          </w:p>
        </w:tc>
        <w:tc>
          <w:tcPr>
            <w:tcW w:w="1605" w:type="dxa"/>
            <w:vAlign w:val="center"/>
          </w:tcPr>
          <w:p>
            <w:pPr>
              <w:ind w:right="-11"/>
              <w:jc w:val="center"/>
              <w:rPr>
                <w:rFonts w:ascii="Arial" w:hAnsi="Arial" w:cs="Arial"/>
                <w:bCs/>
                <w:color w:val="auto"/>
                <w:highlight w:val="none"/>
              </w:rPr>
            </w:pPr>
            <w:r>
              <w:rPr>
                <w:rFonts w:hint="eastAsia" w:ascii="Arial" w:hAnsi="宋体" w:cs="Arial"/>
                <w:bCs/>
                <w:color w:val="auto"/>
                <w:highlight w:val="none"/>
              </w:rPr>
              <w:t>设备</w:t>
            </w:r>
            <w:r>
              <w:rPr>
                <w:rFonts w:ascii="Arial" w:hAnsi="宋体" w:cs="Arial"/>
                <w:bCs/>
                <w:color w:val="auto"/>
                <w:highlight w:val="none"/>
              </w:rPr>
              <w:t>名称</w:t>
            </w:r>
          </w:p>
        </w:tc>
        <w:tc>
          <w:tcPr>
            <w:tcW w:w="1989" w:type="dxa"/>
            <w:vAlign w:val="center"/>
          </w:tcPr>
          <w:p>
            <w:pPr>
              <w:ind w:right="-11"/>
              <w:jc w:val="center"/>
              <w:rPr>
                <w:rFonts w:ascii="Arial" w:hAnsi="Arial" w:cs="Arial"/>
                <w:bCs/>
                <w:color w:val="auto"/>
                <w:highlight w:val="none"/>
              </w:rPr>
            </w:pPr>
            <w:r>
              <w:rPr>
                <w:rFonts w:ascii="Arial" w:hAnsi="宋体" w:cs="Arial"/>
                <w:bCs/>
                <w:color w:val="auto"/>
                <w:highlight w:val="none"/>
              </w:rPr>
              <w:t>品牌</w:t>
            </w:r>
            <w:r>
              <w:rPr>
                <w:rFonts w:hint="eastAsia" w:ascii="Arial" w:hAnsi="宋体" w:cs="Arial"/>
                <w:bCs/>
                <w:color w:val="auto"/>
                <w:highlight w:val="none"/>
              </w:rPr>
              <w:t>规格</w:t>
            </w:r>
            <w:r>
              <w:rPr>
                <w:rFonts w:ascii="Arial" w:hAnsi="宋体" w:cs="Arial"/>
                <w:bCs/>
                <w:color w:val="auto"/>
                <w:highlight w:val="none"/>
              </w:rPr>
              <w:t>型号</w:t>
            </w:r>
          </w:p>
        </w:tc>
        <w:tc>
          <w:tcPr>
            <w:tcW w:w="1058" w:type="dxa"/>
            <w:vAlign w:val="center"/>
          </w:tcPr>
          <w:p>
            <w:pPr>
              <w:ind w:right="-11"/>
              <w:jc w:val="center"/>
              <w:rPr>
                <w:rFonts w:ascii="Arial" w:hAnsi="Arial" w:cs="Arial"/>
                <w:bCs/>
                <w:color w:val="auto"/>
                <w:highlight w:val="none"/>
              </w:rPr>
            </w:pPr>
            <w:r>
              <w:rPr>
                <w:rFonts w:hint="eastAsia" w:ascii="Arial" w:hAnsi="宋体" w:cs="Arial"/>
                <w:bCs/>
                <w:color w:val="auto"/>
                <w:highlight w:val="none"/>
              </w:rPr>
              <w:t>产地</w:t>
            </w:r>
          </w:p>
        </w:tc>
        <w:tc>
          <w:tcPr>
            <w:tcW w:w="785" w:type="dxa"/>
            <w:vAlign w:val="center"/>
          </w:tcPr>
          <w:p>
            <w:pPr>
              <w:ind w:right="-11"/>
              <w:jc w:val="center"/>
              <w:rPr>
                <w:rFonts w:ascii="Arial" w:hAnsi="Arial" w:cs="Arial"/>
                <w:bCs/>
                <w:color w:val="auto"/>
                <w:highlight w:val="none"/>
              </w:rPr>
            </w:pPr>
            <w:r>
              <w:rPr>
                <w:rFonts w:ascii="Arial" w:hAnsi="宋体" w:cs="Arial"/>
                <w:bCs/>
                <w:color w:val="auto"/>
                <w:highlight w:val="none"/>
              </w:rPr>
              <w:t>数量</w:t>
            </w:r>
          </w:p>
        </w:tc>
        <w:tc>
          <w:tcPr>
            <w:tcW w:w="1066" w:type="dxa"/>
            <w:vAlign w:val="center"/>
          </w:tcPr>
          <w:p>
            <w:pPr>
              <w:ind w:right="-11"/>
              <w:jc w:val="center"/>
              <w:rPr>
                <w:rFonts w:ascii="Arial" w:hAnsi="Arial" w:cs="Arial"/>
                <w:bCs/>
                <w:color w:val="auto"/>
                <w:highlight w:val="none"/>
              </w:rPr>
            </w:pPr>
            <w:r>
              <w:rPr>
                <w:rFonts w:hint="eastAsia" w:ascii="Arial" w:hAnsi="宋体" w:cs="Arial"/>
                <w:bCs/>
                <w:color w:val="auto"/>
                <w:highlight w:val="none"/>
              </w:rPr>
              <w:t>投标</w:t>
            </w:r>
            <w:r>
              <w:rPr>
                <w:rFonts w:ascii="Arial" w:hAnsi="宋体" w:cs="Arial"/>
                <w:bCs/>
                <w:color w:val="auto"/>
                <w:highlight w:val="none"/>
              </w:rPr>
              <w:t>单价</w:t>
            </w:r>
          </w:p>
          <w:p>
            <w:pPr>
              <w:ind w:right="-11"/>
              <w:jc w:val="center"/>
              <w:rPr>
                <w:rFonts w:ascii="Arial" w:hAnsi="Arial" w:cs="Arial"/>
                <w:color w:val="auto"/>
                <w:highlight w:val="none"/>
              </w:rPr>
            </w:pPr>
            <w:r>
              <w:rPr>
                <w:rFonts w:ascii="Arial" w:hAnsi="宋体" w:cs="Arial"/>
                <w:color w:val="auto"/>
                <w:highlight w:val="none"/>
              </w:rPr>
              <w:t>（含税）</w:t>
            </w:r>
          </w:p>
        </w:tc>
        <w:tc>
          <w:tcPr>
            <w:tcW w:w="1000" w:type="dxa"/>
            <w:vAlign w:val="center"/>
          </w:tcPr>
          <w:p>
            <w:pPr>
              <w:ind w:right="-11"/>
              <w:jc w:val="center"/>
              <w:rPr>
                <w:rFonts w:ascii="Arial" w:hAnsi="Arial" w:cs="Arial"/>
                <w:bCs/>
                <w:color w:val="auto"/>
                <w:highlight w:val="none"/>
              </w:rPr>
            </w:pPr>
            <w:r>
              <w:rPr>
                <w:rFonts w:ascii="Arial" w:hAnsi="宋体" w:cs="Arial"/>
                <w:bCs/>
                <w:color w:val="auto"/>
                <w:highlight w:val="none"/>
              </w:rPr>
              <w:t>总价</w:t>
            </w:r>
          </w:p>
          <w:p>
            <w:pPr>
              <w:ind w:right="-11"/>
              <w:jc w:val="center"/>
              <w:rPr>
                <w:rFonts w:ascii="Arial" w:hAnsi="Arial" w:cs="Arial"/>
                <w:color w:val="auto"/>
                <w:highlight w:val="none"/>
              </w:rPr>
            </w:pPr>
            <w:r>
              <w:rPr>
                <w:rFonts w:ascii="Arial" w:hAnsi="宋体" w:cs="Arial"/>
                <w:color w:val="auto"/>
                <w:highlight w:val="none"/>
              </w:rPr>
              <w:t>（含税）</w:t>
            </w:r>
          </w:p>
        </w:tc>
        <w:tc>
          <w:tcPr>
            <w:tcW w:w="1159" w:type="dxa"/>
            <w:vAlign w:val="center"/>
          </w:tcPr>
          <w:p>
            <w:pPr>
              <w:ind w:right="-11"/>
              <w:jc w:val="center"/>
              <w:rPr>
                <w:rFonts w:ascii="Arial" w:hAnsi="Arial" w:cs="Arial"/>
                <w:bCs/>
                <w:color w:val="auto"/>
                <w:highlight w:val="none"/>
              </w:rPr>
            </w:pPr>
            <w:r>
              <w:rPr>
                <w:rFonts w:hint="eastAsia" w:ascii="Arial" w:hAnsi="宋体" w:cs="Arial"/>
                <w:bCs/>
                <w:color w:val="auto"/>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vAlign w:val="center"/>
          </w:tcPr>
          <w:p>
            <w:pPr>
              <w:ind w:right="-11"/>
              <w:jc w:val="center"/>
              <w:rPr>
                <w:rFonts w:ascii="Arial" w:hAnsi="Arial" w:cs="Arial"/>
                <w:color w:val="auto"/>
                <w:highlight w:val="none"/>
              </w:rPr>
            </w:pPr>
          </w:p>
        </w:tc>
        <w:tc>
          <w:tcPr>
            <w:tcW w:w="1605" w:type="dxa"/>
            <w:vAlign w:val="center"/>
          </w:tcPr>
          <w:p>
            <w:pPr>
              <w:jc w:val="center"/>
              <w:rPr>
                <w:rFonts w:ascii="宋体" w:hAnsi="宋体"/>
                <w:color w:val="auto"/>
                <w:sz w:val="24"/>
                <w:highlight w:val="none"/>
              </w:rPr>
            </w:pPr>
          </w:p>
        </w:tc>
        <w:tc>
          <w:tcPr>
            <w:tcW w:w="1989" w:type="dxa"/>
            <w:vAlign w:val="center"/>
          </w:tcPr>
          <w:p>
            <w:pPr>
              <w:jc w:val="center"/>
              <w:rPr>
                <w:rFonts w:ascii="宋体" w:hAnsi="宋体"/>
                <w:color w:val="auto"/>
                <w:sz w:val="24"/>
                <w:highlight w:val="none"/>
              </w:rPr>
            </w:pPr>
          </w:p>
        </w:tc>
        <w:tc>
          <w:tcPr>
            <w:tcW w:w="1058" w:type="dxa"/>
            <w:vAlign w:val="center"/>
          </w:tcPr>
          <w:p>
            <w:pPr>
              <w:ind w:right="-11"/>
              <w:jc w:val="center"/>
              <w:rPr>
                <w:rFonts w:ascii="Arial" w:hAnsi="Arial" w:cs="Arial"/>
                <w:color w:val="auto"/>
                <w:highlight w:val="none"/>
              </w:rPr>
            </w:pPr>
          </w:p>
        </w:tc>
        <w:tc>
          <w:tcPr>
            <w:tcW w:w="785" w:type="dxa"/>
            <w:vAlign w:val="center"/>
          </w:tcPr>
          <w:p>
            <w:pPr>
              <w:jc w:val="center"/>
              <w:rPr>
                <w:rFonts w:ascii="宋体" w:hAnsi="宋体"/>
                <w:color w:val="auto"/>
                <w:sz w:val="24"/>
                <w:highlight w:val="none"/>
              </w:rPr>
            </w:pPr>
          </w:p>
        </w:tc>
        <w:tc>
          <w:tcPr>
            <w:tcW w:w="1066" w:type="dxa"/>
            <w:vAlign w:val="center"/>
          </w:tcPr>
          <w:p>
            <w:pPr>
              <w:ind w:right="-11"/>
              <w:jc w:val="center"/>
              <w:rPr>
                <w:rFonts w:ascii="Arial" w:hAnsi="Arial" w:cs="Arial"/>
                <w:color w:val="auto"/>
                <w:highlight w:val="none"/>
              </w:rPr>
            </w:pPr>
          </w:p>
        </w:tc>
        <w:tc>
          <w:tcPr>
            <w:tcW w:w="1000" w:type="dxa"/>
            <w:vAlign w:val="center"/>
          </w:tcPr>
          <w:p>
            <w:pPr>
              <w:ind w:right="-11"/>
              <w:jc w:val="center"/>
              <w:rPr>
                <w:rFonts w:ascii="Arial" w:hAnsi="Arial" w:cs="Arial"/>
                <w:color w:val="auto"/>
                <w:highlight w:val="none"/>
              </w:rPr>
            </w:pPr>
          </w:p>
        </w:tc>
        <w:tc>
          <w:tcPr>
            <w:tcW w:w="1159" w:type="dxa"/>
            <w:vAlign w:val="center"/>
          </w:tcPr>
          <w:p>
            <w:pPr>
              <w:ind w:right="-11"/>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25" w:type="dxa"/>
            <w:vAlign w:val="center"/>
          </w:tcPr>
          <w:p>
            <w:pPr>
              <w:ind w:right="-11"/>
              <w:jc w:val="center"/>
              <w:rPr>
                <w:rFonts w:ascii="Arial" w:hAnsi="Arial" w:cs="Arial"/>
                <w:color w:val="auto"/>
                <w:highlight w:val="none"/>
              </w:rPr>
            </w:pPr>
          </w:p>
        </w:tc>
        <w:tc>
          <w:tcPr>
            <w:tcW w:w="1605" w:type="dxa"/>
            <w:vAlign w:val="center"/>
          </w:tcPr>
          <w:p>
            <w:pPr>
              <w:jc w:val="center"/>
              <w:rPr>
                <w:rFonts w:ascii="宋体" w:hAnsi="宋体"/>
                <w:color w:val="auto"/>
                <w:sz w:val="24"/>
                <w:highlight w:val="none"/>
              </w:rPr>
            </w:pPr>
          </w:p>
        </w:tc>
        <w:tc>
          <w:tcPr>
            <w:tcW w:w="1989" w:type="dxa"/>
            <w:vAlign w:val="center"/>
          </w:tcPr>
          <w:p>
            <w:pPr>
              <w:jc w:val="center"/>
              <w:rPr>
                <w:rFonts w:ascii="宋体" w:hAnsi="宋体"/>
                <w:color w:val="auto"/>
                <w:sz w:val="24"/>
                <w:highlight w:val="none"/>
              </w:rPr>
            </w:pPr>
          </w:p>
        </w:tc>
        <w:tc>
          <w:tcPr>
            <w:tcW w:w="1058" w:type="dxa"/>
            <w:vAlign w:val="center"/>
          </w:tcPr>
          <w:p>
            <w:pPr>
              <w:ind w:right="-11"/>
              <w:jc w:val="center"/>
              <w:rPr>
                <w:rFonts w:ascii="Arial" w:hAnsi="Arial" w:cs="Arial"/>
                <w:color w:val="auto"/>
                <w:highlight w:val="none"/>
              </w:rPr>
            </w:pPr>
          </w:p>
        </w:tc>
        <w:tc>
          <w:tcPr>
            <w:tcW w:w="785" w:type="dxa"/>
            <w:vAlign w:val="center"/>
          </w:tcPr>
          <w:p>
            <w:pPr>
              <w:jc w:val="center"/>
              <w:rPr>
                <w:rFonts w:ascii="宋体" w:hAnsi="宋体"/>
                <w:color w:val="auto"/>
                <w:sz w:val="24"/>
                <w:highlight w:val="none"/>
              </w:rPr>
            </w:pPr>
          </w:p>
        </w:tc>
        <w:tc>
          <w:tcPr>
            <w:tcW w:w="1066" w:type="dxa"/>
            <w:vAlign w:val="center"/>
          </w:tcPr>
          <w:p>
            <w:pPr>
              <w:ind w:right="-11"/>
              <w:jc w:val="center"/>
              <w:rPr>
                <w:rFonts w:ascii="Arial" w:hAnsi="Arial" w:cs="Arial"/>
                <w:color w:val="auto"/>
                <w:highlight w:val="none"/>
              </w:rPr>
            </w:pPr>
          </w:p>
        </w:tc>
        <w:tc>
          <w:tcPr>
            <w:tcW w:w="1000" w:type="dxa"/>
            <w:vAlign w:val="center"/>
          </w:tcPr>
          <w:p>
            <w:pPr>
              <w:ind w:right="-11"/>
              <w:jc w:val="center"/>
              <w:rPr>
                <w:rFonts w:ascii="Arial" w:hAnsi="Arial" w:cs="Arial"/>
                <w:color w:val="auto"/>
                <w:highlight w:val="none"/>
              </w:rPr>
            </w:pPr>
          </w:p>
        </w:tc>
        <w:tc>
          <w:tcPr>
            <w:tcW w:w="1159" w:type="dxa"/>
            <w:vAlign w:val="center"/>
          </w:tcPr>
          <w:p>
            <w:pPr>
              <w:ind w:right="-11"/>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25" w:type="dxa"/>
            <w:vAlign w:val="center"/>
          </w:tcPr>
          <w:p>
            <w:pPr>
              <w:ind w:right="-11"/>
              <w:jc w:val="center"/>
              <w:rPr>
                <w:rFonts w:ascii="Arial" w:hAnsi="Arial" w:cs="Arial"/>
                <w:color w:val="auto"/>
                <w:highlight w:val="none"/>
              </w:rPr>
            </w:pPr>
          </w:p>
        </w:tc>
        <w:tc>
          <w:tcPr>
            <w:tcW w:w="1605" w:type="dxa"/>
            <w:vAlign w:val="center"/>
          </w:tcPr>
          <w:p>
            <w:pPr>
              <w:jc w:val="center"/>
              <w:rPr>
                <w:rFonts w:ascii="宋体" w:hAnsi="宋体"/>
                <w:color w:val="auto"/>
                <w:sz w:val="24"/>
                <w:highlight w:val="none"/>
              </w:rPr>
            </w:pPr>
          </w:p>
        </w:tc>
        <w:tc>
          <w:tcPr>
            <w:tcW w:w="1989" w:type="dxa"/>
            <w:vAlign w:val="center"/>
          </w:tcPr>
          <w:p>
            <w:pPr>
              <w:jc w:val="center"/>
              <w:rPr>
                <w:rFonts w:ascii="宋体" w:hAnsi="宋体"/>
                <w:color w:val="auto"/>
                <w:sz w:val="24"/>
                <w:highlight w:val="none"/>
              </w:rPr>
            </w:pPr>
          </w:p>
        </w:tc>
        <w:tc>
          <w:tcPr>
            <w:tcW w:w="1058" w:type="dxa"/>
            <w:vAlign w:val="center"/>
          </w:tcPr>
          <w:p>
            <w:pPr>
              <w:ind w:right="-11"/>
              <w:jc w:val="center"/>
              <w:rPr>
                <w:rFonts w:ascii="Arial" w:hAnsi="Arial" w:cs="Arial"/>
                <w:color w:val="auto"/>
                <w:highlight w:val="none"/>
              </w:rPr>
            </w:pPr>
          </w:p>
        </w:tc>
        <w:tc>
          <w:tcPr>
            <w:tcW w:w="785" w:type="dxa"/>
            <w:vAlign w:val="center"/>
          </w:tcPr>
          <w:p>
            <w:pPr>
              <w:jc w:val="center"/>
              <w:rPr>
                <w:rFonts w:ascii="宋体" w:hAnsi="宋体"/>
                <w:color w:val="auto"/>
                <w:sz w:val="24"/>
                <w:highlight w:val="none"/>
              </w:rPr>
            </w:pPr>
          </w:p>
        </w:tc>
        <w:tc>
          <w:tcPr>
            <w:tcW w:w="1066" w:type="dxa"/>
            <w:vAlign w:val="center"/>
          </w:tcPr>
          <w:p>
            <w:pPr>
              <w:ind w:right="-11"/>
              <w:jc w:val="center"/>
              <w:rPr>
                <w:rFonts w:ascii="Arial" w:hAnsi="Arial" w:cs="Arial"/>
                <w:color w:val="auto"/>
                <w:highlight w:val="none"/>
              </w:rPr>
            </w:pPr>
          </w:p>
        </w:tc>
        <w:tc>
          <w:tcPr>
            <w:tcW w:w="1000" w:type="dxa"/>
            <w:vAlign w:val="center"/>
          </w:tcPr>
          <w:p>
            <w:pPr>
              <w:ind w:right="-11"/>
              <w:jc w:val="center"/>
              <w:rPr>
                <w:rFonts w:ascii="Arial" w:hAnsi="Arial" w:cs="Arial"/>
                <w:color w:val="auto"/>
                <w:highlight w:val="none"/>
              </w:rPr>
            </w:pPr>
          </w:p>
        </w:tc>
        <w:tc>
          <w:tcPr>
            <w:tcW w:w="1159" w:type="dxa"/>
            <w:vAlign w:val="center"/>
          </w:tcPr>
          <w:p>
            <w:pPr>
              <w:ind w:right="-11"/>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25" w:type="dxa"/>
            <w:vAlign w:val="center"/>
          </w:tcPr>
          <w:p>
            <w:pPr>
              <w:ind w:right="-11"/>
              <w:jc w:val="center"/>
              <w:rPr>
                <w:rFonts w:ascii="Arial" w:hAnsi="Arial" w:cs="Arial"/>
                <w:color w:val="auto"/>
                <w:highlight w:val="none"/>
              </w:rPr>
            </w:pPr>
          </w:p>
        </w:tc>
        <w:tc>
          <w:tcPr>
            <w:tcW w:w="1605" w:type="dxa"/>
            <w:vAlign w:val="center"/>
          </w:tcPr>
          <w:p>
            <w:pPr>
              <w:jc w:val="center"/>
              <w:rPr>
                <w:rFonts w:ascii="宋体" w:hAnsi="宋体"/>
                <w:color w:val="auto"/>
                <w:sz w:val="24"/>
                <w:highlight w:val="none"/>
              </w:rPr>
            </w:pPr>
          </w:p>
        </w:tc>
        <w:tc>
          <w:tcPr>
            <w:tcW w:w="1989" w:type="dxa"/>
            <w:vAlign w:val="center"/>
          </w:tcPr>
          <w:p>
            <w:pPr>
              <w:jc w:val="center"/>
              <w:rPr>
                <w:rFonts w:ascii="宋体" w:hAnsi="宋体"/>
                <w:color w:val="auto"/>
                <w:sz w:val="24"/>
                <w:highlight w:val="none"/>
              </w:rPr>
            </w:pPr>
          </w:p>
        </w:tc>
        <w:tc>
          <w:tcPr>
            <w:tcW w:w="1058" w:type="dxa"/>
            <w:vAlign w:val="center"/>
          </w:tcPr>
          <w:p>
            <w:pPr>
              <w:ind w:right="-11"/>
              <w:jc w:val="center"/>
              <w:rPr>
                <w:rFonts w:ascii="Arial" w:hAnsi="Arial" w:cs="Arial"/>
                <w:color w:val="auto"/>
                <w:highlight w:val="none"/>
              </w:rPr>
            </w:pPr>
          </w:p>
        </w:tc>
        <w:tc>
          <w:tcPr>
            <w:tcW w:w="785" w:type="dxa"/>
            <w:vAlign w:val="center"/>
          </w:tcPr>
          <w:p>
            <w:pPr>
              <w:jc w:val="center"/>
              <w:rPr>
                <w:rFonts w:ascii="宋体" w:hAnsi="宋体"/>
                <w:color w:val="auto"/>
                <w:sz w:val="24"/>
                <w:highlight w:val="none"/>
              </w:rPr>
            </w:pPr>
          </w:p>
        </w:tc>
        <w:tc>
          <w:tcPr>
            <w:tcW w:w="1066" w:type="dxa"/>
            <w:vAlign w:val="center"/>
          </w:tcPr>
          <w:p>
            <w:pPr>
              <w:ind w:right="-11"/>
              <w:jc w:val="center"/>
              <w:rPr>
                <w:rFonts w:ascii="Arial" w:hAnsi="Arial" w:cs="Arial"/>
                <w:color w:val="auto"/>
                <w:highlight w:val="none"/>
              </w:rPr>
            </w:pPr>
          </w:p>
        </w:tc>
        <w:tc>
          <w:tcPr>
            <w:tcW w:w="1000" w:type="dxa"/>
            <w:vAlign w:val="center"/>
          </w:tcPr>
          <w:p>
            <w:pPr>
              <w:ind w:right="-11"/>
              <w:jc w:val="center"/>
              <w:rPr>
                <w:rFonts w:ascii="Arial" w:hAnsi="Arial" w:cs="Arial"/>
                <w:color w:val="auto"/>
                <w:highlight w:val="none"/>
              </w:rPr>
            </w:pPr>
          </w:p>
        </w:tc>
        <w:tc>
          <w:tcPr>
            <w:tcW w:w="1159" w:type="dxa"/>
            <w:vAlign w:val="center"/>
          </w:tcPr>
          <w:p>
            <w:pPr>
              <w:ind w:right="-11"/>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25" w:type="dxa"/>
            <w:vAlign w:val="center"/>
          </w:tcPr>
          <w:p>
            <w:pPr>
              <w:ind w:right="-11"/>
              <w:jc w:val="center"/>
              <w:rPr>
                <w:rFonts w:ascii="Arial" w:hAnsi="Arial" w:cs="Arial"/>
                <w:color w:val="auto"/>
                <w:highlight w:val="none"/>
              </w:rPr>
            </w:pPr>
          </w:p>
        </w:tc>
        <w:tc>
          <w:tcPr>
            <w:tcW w:w="1605" w:type="dxa"/>
            <w:vAlign w:val="center"/>
          </w:tcPr>
          <w:p>
            <w:pPr>
              <w:jc w:val="center"/>
              <w:rPr>
                <w:rFonts w:ascii="宋体" w:hAnsi="宋体"/>
                <w:color w:val="auto"/>
                <w:sz w:val="24"/>
                <w:highlight w:val="none"/>
              </w:rPr>
            </w:pPr>
          </w:p>
        </w:tc>
        <w:tc>
          <w:tcPr>
            <w:tcW w:w="1989" w:type="dxa"/>
            <w:vAlign w:val="center"/>
          </w:tcPr>
          <w:p>
            <w:pPr>
              <w:jc w:val="center"/>
              <w:rPr>
                <w:rFonts w:ascii="宋体" w:hAnsi="宋体"/>
                <w:color w:val="auto"/>
                <w:sz w:val="24"/>
                <w:highlight w:val="none"/>
              </w:rPr>
            </w:pPr>
          </w:p>
        </w:tc>
        <w:tc>
          <w:tcPr>
            <w:tcW w:w="1058" w:type="dxa"/>
            <w:vAlign w:val="center"/>
          </w:tcPr>
          <w:p>
            <w:pPr>
              <w:ind w:right="-11"/>
              <w:jc w:val="center"/>
              <w:rPr>
                <w:rFonts w:ascii="Arial" w:hAnsi="Arial" w:cs="Arial"/>
                <w:color w:val="auto"/>
                <w:highlight w:val="none"/>
              </w:rPr>
            </w:pPr>
          </w:p>
        </w:tc>
        <w:tc>
          <w:tcPr>
            <w:tcW w:w="785" w:type="dxa"/>
            <w:vAlign w:val="center"/>
          </w:tcPr>
          <w:p>
            <w:pPr>
              <w:jc w:val="center"/>
              <w:rPr>
                <w:rFonts w:ascii="宋体" w:hAnsi="宋体"/>
                <w:color w:val="auto"/>
                <w:sz w:val="24"/>
                <w:highlight w:val="none"/>
              </w:rPr>
            </w:pPr>
          </w:p>
        </w:tc>
        <w:tc>
          <w:tcPr>
            <w:tcW w:w="1066" w:type="dxa"/>
            <w:vAlign w:val="center"/>
          </w:tcPr>
          <w:p>
            <w:pPr>
              <w:ind w:right="-11"/>
              <w:jc w:val="center"/>
              <w:rPr>
                <w:rFonts w:ascii="Arial" w:hAnsi="Arial" w:cs="Arial"/>
                <w:color w:val="auto"/>
                <w:highlight w:val="none"/>
              </w:rPr>
            </w:pPr>
          </w:p>
        </w:tc>
        <w:tc>
          <w:tcPr>
            <w:tcW w:w="1000" w:type="dxa"/>
            <w:vAlign w:val="center"/>
          </w:tcPr>
          <w:p>
            <w:pPr>
              <w:ind w:right="-11"/>
              <w:jc w:val="center"/>
              <w:rPr>
                <w:rFonts w:ascii="Arial" w:hAnsi="Arial" w:cs="Arial"/>
                <w:color w:val="auto"/>
                <w:highlight w:val="none"/>
              </w:rPr>
            </w:pPr>
          </w:p>
        </w:tc>
        <w:tc>
          <w:tcPr>
            <w:tcW w:w="1159" w:type="dxa"/>
            <w:vAlign w:val="center"/>
          </w:tcPr>
          <w:p>
            <w:pPr>
              <w:ind w:right="-11"/>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25" w:type="dxa"/>
            <w:vAlign w:val="center"/>
          </w:tcPr>
          <w:p>
            <w:pPr>
              <w:ind w:right="-11"/>
              <w:jc w:val="center"/>
              <w:rPr>
                <w:rFonts w:ascii="Arial" w:hAnsi="Arial" w:cs="Arial"/>
                <w:color w:val="auto"/>
                <w:highlight w:val="none"/>
              </w:rPr>
            </w:pPr>
          </w:p>
        </w:tc>
        <w:tc>
          <w:tcPr>
            <w:tcW w:w="1605" w:type="dxa"/>
            <w:vAlign w:val="center"/>
          </w:tcPr>
          <w:p>
            <w:pPr>
              <w:jc w:val="center"/>
              <w:rPr>
                <w:rFonts w:ascii="宋体" w:hAnsi="宋体"/>
                <w:color w:val="auto"/>
                <w:sz w:val="24"/>
                <w:highlight w:val="none"/>
              </w:rPr>
            </w:pPr>
          </w:p>
        </w:tc>
        <w:tc>
          <w:tcPr>
            <w:tcW w:w="1989" w:type="dxa"/>
            <w:vAlign w:val="center"/>
          </w:tcPr>
          <w:p>
            <w:pPr>
              <w:jc w:val="center"/>
              <w:rPr>
                <w:rFonts w:ascii="宋体" w:hAnsi="宋体"/>
                <w:color w:val="auto"/>
                <w:sz w:val="24"/>
                <w:highlight w:val="none"/>
              </w:rPr>
            </w:pPr>
          </w:p>
        </w:tc>
        <w:tc>
          <w:tcPr>
            <w:tcW w:w="1058" w:type="dxa"/>
            <w:vAlign w:val="center"/>
          </w:tcPr>
          <w:p>
            <w:pPr>
              <w:ind w:right="-11"/>
              <w:jc w:val="center"/>
              <w:rPr>
                <w:rFonts w:ascii="Arial" w:hAnsi="Arial" w:cs="Arial"/>
                <w:color w:val="auto"/>
                <w:highlight w:val="none"/>
              </w:rPr>
            </w:pPr>
          </w:p>
        </w:tc>
        <w:tc>
          <w:tcPr>
            <w:tcW w:w="785" w:type="dxa"/>
            <w:vAlign w:val="center"/>
          </w:tcPr>
          <w:p>
            <w:pPr>
              <w:jc w:val="center"/>
              <w:rPr>
                <w:rFonts w:ascii="宋体" w:hAnsi="宋体"/>
                <w:color w:val="auto"/>
                <w:sz w:val="24"/>
                <w:highlight w:val="none"/>
              </w:rPr>
            </w:pPr>
          </w:p>
        </w:tc>
        <w:tc>
          <w:tcPr>
            <w:tcW w:w="1066" w:type="dxa"/>
            <w:vAlign w:val="center"/>
          </w:tcPr>
          <w:p>
            <w:pPr>
              <w:ind w:right="-11"/>
              <w:jc w:val="center"/>
              <w:rPr>
                <w:rFonts w:ascii="Arial" w:hAnsi="Arial" w:cs="Arial"/>
                <w:color w:val="auto"/>
                <w:highlight w:val="none"/>
              </w:rPr>
            </w:pPr>
          </w:p>
        </w:tc>
        <w:tc>
          <w:tcPr>
            <w:tcW w:w="1000" w:type="dxa"/>
            <w:vAlign w:val="center"/>
          </w:tcPr>
          <w:p>
            <w:pPr>
              <w:ind w:right="-11"/>
              <w:jc w:val="center"/>
              <w:rPr>
                <w:rFonts w:ascii="Arial" w:hAnsi="Arial" w:cs="Arial"/>
                <w:color w:val="auto"/>
                <w:highlight w:val="none"/>
              </w:rPr>
            </w:pPr>
          </w:p>
        </w:tc>
        <w:tc>
          <w:tcPr>
            <w:tcW w:w="1159" w:type="dxa"/>
            <w:vAlign w:val="center"/>
          </w:tcPr>
          <w:p>
            <w:pPr>
              <w:ind w:right="-11"/>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25" w:type="dxa"/>
            <w:vAlign w:val="center"/>
          </w:tcPr>
          <w:p>
            <w:pPr>
              <w:ind w:right="-11"/>
              <w:jc w:val="center"/>
              <w:rPr>
                <w:rFonts w:ascii="Arial" w:hAnsi="Arial" w:cs="Arial"/>
                <w:color w:val="auto"/>
                <w:highlight w:val="none"/>
              </w:rPr>
            </w:pPr>
          </w:p>
        </w:tc>
        <w:tc>
          <w:tcPr>
            <w:tcW w:w="1605" w:type="dxa"/>
            <w:vAlign w:val="center"/>
          </w:tcPr>
          <w:p>
            <w:pPr>
              <w:jc w:val="center"/>
              <w:rPr>
                <w:rFonts w:ascii="宋体" w:hAnsi="宋体"/>
                <w:color w:val="auto"/>
                <w:sz w:val="24"/>
                <w:highlight w:val="none"/>
              </w:rPr>
            </w:pPr>
          </w:p>
        </w:tc>
        <w:tc>
          <w:tcPr>
            <w:tcW w:w="1989" w:type="dxa"/>
            <w:vAlign w:val="center"/>
          </w:tcPr>
          <w:p>
            <w:pPr>
              <w:jc w:val="center"/>
              <w:rPr>
                <w:rFonts w:ascii="宋体" w:hAnsi="宋体"/>
                <w:color w:val="auto"/>
                <w:sz w:val="24"/>
                <w:highlight w:val="none"/>
              </w:rPr>
            </w:pPr>
          </w:p>
        </w:tc>
        <w:tc>
          <w:tcPr>
            <w:tcW w:w="1058" w:type="dxa"/>
            <w:vAlign w:val="center"/>
          </w:tcPr>
          <w:p>
            <w:pPr>
              <w:ind w:right="-11"/>
              <w:jc w:val="center"/>
              <w:rPr>
                <w:rFonts w:ascii="Arial" w:hAnsi="Arial" w:cs="Arial"/>
                <w:color w:val="auto"/>
                <w:highlight w:val="none"/>
              </w:rPr>
            </w:pPr>
          </w:p>
        </w:tc>
        <w:tc>
          <w:tcPr>
            <w:tcW w:w="785" w:type="dxa"/>
            <w:vAlign w:val="center"/>
          </w:tcPr>
          <w:p>
            <w:pPr>
              <w:jc w:val="center"/>
              <w:rPr>
                <w:rFonts w:ascii="宋体" w:hAnsi="宋体"/>
                <w:b/>
                <w:color w:val="auto"/>
                <w:sz w:val="24"/>
                <w:highlight w:val="none"/>
              </w:rPr>
            </w:pPr>
          </w:p>
        </w:tc>
        <w:tc>
          <w:tcPr>
            <w:tcW w:w="1066" w:type="dxa"/>
            <w:vAlign w:val="center"/>
          </w:tcPr>
          <w:p>
            <w:pPr>
              <w:ind w:right="-11"/>
              <w:jc w:val="center"/>
              <w:rPr>
                <w:rFonts w:ascii="Arial" w:hAnsi="Arial" w:cs="Arial"/>
                <w:b/>
                <w:color w:val="auto"/>
                <w:highlight w:val="none"/>
              </w:rPr>
            </w:pPr>
          </w:p>
        </w:tc>
        <w:tc>
          <w:tcPr>
            <w:tcW w:w="1000" w:type="dxa"/>
            <w:vAlign w:val="center"/>
          </w:tcPr>
          <w:p>
            <w:pPr>
              <w:ind w:right="-11"/>
              <w:jc w:val="center"/>
              <w:rPr>
                <w:rFonts w:ascii="Arial" w:hAnsi="Arial" w:cs="Arial"/>
                <w:b/>
                <w:color w:val="auto"/>
                <w:highlight w:val="none"/>
              </w:rPr>
            </w:pPr>
          </w:p>
        </w:tc>
        <w:tc>
          <w:tcPr>
            <w:tcW w:w="1159" w:type="dxa"/>
            <w:vAlign w:val="center"/>
          </w:tcPr>
          <w:p>
            <w:pPr>
              <w:ind w:right="-11"/>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4219" w:type="dxa"/>
            <w:gridSpan w:val="3"/>
            <w:vAlign w:val="center"/>
          </w:tcPr>
          <w:p>
            <w:pPr>
              <w:ind w:right="-10"/>
              <w:jc w:val="center"/>
              <w:rPr>
                <w:rFonts w:ascii="Arial" w:hAnsi="Arial" w:cs="Arial"/>
                <w:bCs/>
                <w:color w:val="auto"/>
                <w:highlight w:val="none"/>
              </w:rPr>
            </w:pPr>
            <w:r>
              <w:rPr>
                <w:rFonts w:ascii="Arial" w:hAnsi="宋体" w:cs="Arial"/>
                <w:bCs/>
                <w:color w:val="auto"/>
                <w:highlight w:val="none"/>
              </w:rPr>
              <w:t>设备总价</w:t>
            </w:r>
          </w:p>
        </w:tc>
        <w:tc>
          <w:tcPr>
            <w:tcW w:w="5068" w:type="dxa"/>
            <w:gridSpan w:val="5"/>
            <w:vAlign w:val="center"/>
          </w:tcPr>
          <w:p>
            <w:pPr>
              <w:ind w:right="-10"/>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219" w:type="dxa"/>
            <w:gridSpan w:val="3"/>
            <w:vAlign w:val="center"/>
          </w:tcPr>
          <w:p>
            <w:pPr>
              <w:ind w:right="-11"/>
              <w:rPr>
                <w:rFonts w:ascii="Arial" w:hAnsi="Arial" w:cs="Arial"/>
                <w:color w:val="auto"/>
                <w:highlight w:val="none"/>
              </w:rPr>
            </w:pPr>
            <w:r>
              <w:rPr>
                <w:rFonts w:ascii="Arial" w:hAnsi="宋体" w:cs="Arial"/>
                <w:color w:val="auto"/>
                <w:highlight w:val="none"/>
              </w:rPr>
              <w:t>运杂及保险费（含卸货）</w:t>
            </w:r>
          </w:p>
        </w:tc>
        <w:tc>
          <w:tcPr>
            <w:tcW w:w="5068" w:type="dxa"/>
            <w:gridSpan w:val="5"/>
          </w:tcPr>
          <w:p>
            <w:pPr>
              <w:spacing w:line="340" w:lineRule="exact"/>
              <w:rPr>
                <w:rFonts w:ascii="Arial" w:hAnsi="Arial" w:cs="Arial"/>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219" w:type="dxa"/>
            <w:gridSpan w:val="3"/>
            <w:vAlign w:val="center"/>
          </w:tcPr>
          <w:p>
            <w:pPr>
              <w:ind w:right="-11"/>
              <w:rPr>
                <w:rFonts w:ascii="Arial" w:hAnsi="Arial" w:cs="Arial"/>
                <w:color w:val="auto"/>
                <w:highlight w:val="none"/>
              </w:rPr>
            </w:pPr>
            <w:r>
              <w:rPr>
                <w:rFonts w:ascii="Arial" w:hAnsi="宋体" w:cs="Arial"/>
                <w:color w:val="auto"/>
                <w:highlight w:val="none"/>
              </w:rPr>
              <w:t>安装调试费（包括设备的测试、调试、验收等费用）</w:t>
            </w:r>
          </w:p>
        </w:tc>
        <w:tc>
          <w:tcPr>
            <w:tcW w:w="5068" w:type="dxa"/>
            <w:gridSpan w:val="5"/>
          </w:tcPr>
          <w:p>
            <w:pPr>
              <w:spacing w:line="340" w:lineRule="exact"/>
              <w:rPr>
                <w:rFonts w:ascii="Arial" w:hAnsi="Arial" w:cs="Arial"/>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219" w:type="dxa"/>
            <w:gridSpan w:val="3"/>
            <w:vAlign w:val="center"/>
          </w:tcPr>
          <w:p>
            <w:pPr>
              <w:ind w:right="-11"/>
              <w:rPr>
                <w:rFonts w:ascii="Arial" w:hAnsi="Arial" w:cs="Arial"/>
                <w:color w:val="auto"/>
                <w:highlight w:val="none"/>
              </w:rPr>
            </w:pPr>
            <w:r>
              <w:rPr>
                <w:rFonts w:ascii="Arial" w:hAnsi="宋体" w:cs="Arial"/>
                <w:color w:val="auto"/>
                <w:highlight w:val="none"/>
              </w:rPr>
              <w:t>随机附件、备品备件、专用工具费</w:t>
            </w:r>
          </w:p>
        </w:tc>
        <w:tc>
          <w:tcPr>
            <w:tcW w:w="5068" w:type="dxa"/>
            <w:gridSpan w:val="5"/>
          </w:tcPr>
          <w:p>
            <w:pPr>
              <w:spacing w:line="340" w:lineRule="exact"/>
              <w:rPr>
                <w:rFonts w:ascii="Arial" w:hAnsi="Arial" w:cs="Arial"/>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219" w:type="dxa"/>
            <w:gridSpan w:val="3"/>
            <w:vAlign w:val="center"/>
          </w:tcPr>
          <w:p>
            <w:pPr>
              <w:ind w:right="-11"/>
              <w:rPr>
                <w:rFonts w:ascii="Arial" w:hAnsi="Arial" w:cs="Arial"/>
                <w:color w:val="auto"/>
                <w:highlight w:val="none"/>
              </w:rPr>
            </w:pPr>
            <w:r>
              <w:rPr>
                <w:rFonts w:ascii="Arial" w:hAnsi="宋体" w:cs="Arial"/>
                <w:color w:val="auto"/>
                <w:highlight w:val="none"/>
              </w:rPr>
              <w:t>其他相关费用</w:t>
            </w:r>
          </w:p>
        </w:tc>
        <w:tc>
          <w:tcPr>
            <w:tcW w:w="5068" w:type="dxa"/>
            <w:gridSpan w:val="5"/>
          </w:tcPr>
          <w:p>
            <w:pPr>
              <w:spacing w:line="340" w:lineRule="exact"/>
              <w:rPr>
                <w:rFonts w:ascii="Arial" w:hAnsi="Arial" w:cs="Arial"/>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219" w:type="dxa"/>
            <w:gridSpan w:val="3"/>
            <w:vAlign w:val="center"/>
          </w:tcPr>
          <w:p>
            <w:pPr>
              <w:ind w:right="-11"/>
              <w:rPr>
                <w:rFonts w:ascii="Arial" w:hAnsi="Arial" w:cs="Arial"/>
                <w:color w:val="auto"/>
                <w:highlight w:val="none"/>
              </w:rPr>
            </w:pPr>
            <w:r>
              <w:rPr>
                <w:rFonts w:ascii="Arial" w:hAnsi="宋体" w:cs="Arial"/>
                <w:color w:val="auto"/>
                <w:highlight w:val="none"/>
              </w:rPr>
              <w:t>合计总价</w:t>
            </w:r>
          </w:p>
          <w:p>
            <w:pPr>
              <w:ind w:right="-11"/>
              <w:rPr>
                <w:rFonts w:ascii="Arial" w:hAnsi="Arial" w:cs="Arial"/>
                <w:color w:val="auto"/>
                <w:highlight w:val="none"/>
              </w:rPr>
            </w:pPr>
            <w:r>
              <w:rPr>
                <w:rFonts w:ascii="Arial" w:hAnsi="宋体" w:cs="Arial"/>
                <w:color w:val="auto"/>
                <w:highlight w:val="none"/>
              </w:rPr>
              <w:t>（应与</w:t>
            </w:r>
            <w:r>
              <w:rPr>
                <w:rFonts w:hint="eastAsia" w:ascii="Arial" w:hAnsi="宋体" w:cs="Arial"/>
                <w:color w:val="auto"/>
                <w:highlight w:val="none"/>
              </w:rPr>
              <w:t>报价</w:t>
            </w:r>
            <w:r>
              <w:rPr>
                <w:rFonts w:ascii="Arial" w:hAnsi="宋体" w:cs="Arial"/>
                <w:color w:val="auto"/>
                <w:highlight w:val="none"/>
              </w:rPr>
              <w:t>一览表中投标总价相一致）</w:t>
            </w:r>
          </w:p>
        </w:tc>
        <w:tc>
          <w:tcPr>
            <w:tcW w:w="5068" w:type="dxa"/>
            <w:gridSpan w:val="5"/>
          </w:tcPr>
          <w:p>
            <w:pPr>
              <w:spacing w:line="340" w:lineRule="exact"/>
              <w:rPr>
                <w:rFonts w:ascii="Arial" w:hAnsi="Arial" w:cs="Arial"/>
                <w:bCs/>
                <w:color w:val="auto"/>
                <w:highlight w:val="none"/>
              </w:rPr>
            </w:pPr>
          </w:p>
        </w:tc>
      </w:tr>
    </w:tbl>
    <w:p>
      <w:pPr>
        <w:spacing w:line="440" w:lineRule="exact"/>
        <w:rPr>
          <w:rFonts w:ascii="宋体" w:hAnsi="宋体" w:cs="Arial Unicode MS"/>
          <w:color w:val="auto"/>
          <w:sz w:val="22"/>
          <w:szCs w:val="22"/>
          <w:highlight w:val="none"/>
        </w:rPr>
      </w:pPr>
      <w:r>
        <w:rPr>
          <w:rFonts w:hint="eastAsia" w:ascii="宋体" w:hAnsi="宋体" w:cs="Arial Unicode MS"/>
          <w:color w:val="auto"/>
          <w:sz w:val="22"/>
          <w:szCs w:val="22"/>
          <w:highlight w:val="none"/>
        </w:rPr>
        <w:t>注：1.不提供详细此表将视为没有实质性采购文件。</w:t>
      </w:r>
    </w:p>
    <w:p>
      <w:pPr>
        <w:spacing w:line="440" w:lineRule="exact"/>
        <w:ind w:left="485" w:leftChars="231"/>
        <w:rPr>
          <w:rFonts w:ascii="宋体" w:hAnsi="宋体" w:cs="Arial Unicode MS"/>
          <w:color w:val="auto"/>
          <w:sz w:val="22"/>
          <w:szCs w:val="22"/>
          <w:highlight w:val="none"/>
        </w:rPr>
      </w:pPr>
      <w:r>
        <w:rPr>
          <w:rFonts w:hint="eastAsia" w:ascii="宋体" w:hAnsi="宋体" w:cs="Arial Unicode MS"/>
          <w:color w:val="auto"/>
          <w:sz w:val="22"/>
          <w:szCs w:val="22"/>
          <w:highlight w:val="none"/>
        </w:rPr>
        <w:t>2.此表的“合计总价”应与附件七“开标一览表”中“投标报价”相一致。</w:t>
      </w:r>
    </w:p>
    <w:p>
      <w:pPr>
        <w:spacing w:line="440" w:lineRule="exact"/>
        <w:ind w:left="485" w:leftChars="231"/>
        <w:rPr>
          <w:rFonts w:ascii="宋体" w:hAnsi="宋体" w:cs="Arial Unicode MS"/>
          <w:color w:val="auto"/>
          <w:sz w:val="22"/>
          <w:szCs w:val="22"/>
          <w:highlight w:val="none"/>
        </w:rPr>
      </w:pPr>
      <w:r>
        <w:rPr>
          <w:rFonts w:hint="eastAsia" w:ascii="宋体" w:hAnsi="宋体" w:cs="Arial Unicode MS"/>
          <w:color w:val="auto"/>
          <w:sz w:val="22"/>
          <w:szCs w:val="22"/>
          <w:highlight w:val="none"/>
        </w:rPr>
        <w:t>3.如果免费请在该备注栏内注明“免”，如果含在产品价格中则填“含”，如无此项内容</w:t>
      </w:r>
      <w:r>
        <w:rPr>
          <w:rFonts w:hint="eastAsia" w:ascii="宋体" w:hAnsi="宋体" w:cs="Arial Unicode MS"/>
          <w:color w:val="auto"/>
          <w:sz w:val="22"/>
          <w:szCs w:val="22"/>
          <w:highlight w:val="none"/>
        </w:rPr>
        <w:tab/>
      </w:r>
      <w:r>
        <w:rPr>
          <w:rFonts w:hint="eastAsia" w:ascii="宋体" w:hAnsi="宋体" w:cs="Arial Unicode MS"/>
          <w:color w:val="auto"/>
          <w:sz w:val="22"/>
          <w:szCs w:val="22"/>
          <w:highlight w:val="none"/>
        </w:rPr>
        <w:t>则填“无”，不留空白。</w:t>
      </w:r>
    </w:p>
    <w:p>
      <w:pPr>
        <w:spacing w:line="440" w:lineRule="exact"/>
        <w:ind w:left="485" w:leftChars="231"/>
        <w:rPr>
          <w:rFonts w:ascii="宋体" w:hAnsi="宋体" w:cs="Arial Unicode MS"/>
          <w:color w:val="auto"/>
          <w:sz w:val="22"/>
          <w:szCs w:val="22"/>
          <w:highlight w:val="none"/>
        </w:rPr>
      </w:pPr>
      <w:r>
        <w:rPr>
          <w:rFonts w:hint="eastAsia" w:ascii="宋体" w:hAnsi="宋体" w:cs="Arial Unicode MS"/>
          <w:color w:val="auto"/>
          <w:sz w:val="22"/>
          <w:szCs w:val="22"/>
          <w:highlight w:val="none"/>
        </w:rPr>
        <w:t>4.表中的设备名称按采购文件第三部分中“采购清单”分项填写。</w:t>
      </w:r>
    </w:p>
    <w:p>
      <w:pPr>
        <w:spacing w:line="440" w:lineRule="exact"/>
        <w:ind w:left="485" w:leftChars="231"/>
        <w:rPr>
          <w:rFonts w:ascii="宋体" w:hAnsi="宋体" w:cs="Arial Unicode MS"/>
          <w:color w:val="auto"/>
          <w:sz w:val="22"/>
          <w:szCs w:val="22"/>
          <w:highlight w:val="none"/>
        </w:rPr>
      </w:pPr>
      <w:r>
        <w:rPr>
          <w:rFonts w:hint="eastAsia" w:ascii="宋体" w:hAnsi="宋体" w:cs="Arial Unicode MS"/>
          <w:color w:val="auto"/>
          <w:sz w:val="22"/>
          <w:szCs w:val="22"/>
          <w:highlight w:val="none"/>
        </w:rPr>
        <w:t>5.此表可根据具体需要自行增加内容。</w:t>
      </w:r>
    </w:p>
    <w:p>
      <w:pPr>
        <w:spacing w:line="380" w:lineRule="exact"/>
        <w:ind w:firstLine="4400" w:firstLineChars="2000"/>
        <w:rPr>
          <w:rFonts w:ascii="宋体" w:hAnsi="宋体" w:cs="宋体"/>
          <w:color w:val="auto"/>
          <w:sz w:val="22"/>
          <w:szCs w:val="22"/>
          <w:highlight w:val="none"/>
        </w:rPr>
      </w:pP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法定代表人（负责人）或授权代表（签字或盖章）：</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pPr>
        <w:snapToGrid w:val="0"/>
        <w:spacing w:line="500" w:lineRule="atLeast"/>
        <w:ind w:firstLine="4367" w:firstLineChars="1450"/>
        <w:rPr>
          <w:rFonts w:ascii="宋体" w:hAnsi="宋体" w:cs="宋体"/>
          <w:b/>
          <w:color w:val="auto"/>
          <w:sz w:val="30"/>
          <w:highlight w:val="none"/>
        </w:rPr>
        <w:sectPr>
          <w:pgSz w:w="11906" w:h="16838"/>
          <w:pgMar w:top="1440" w:right="1701" w:bottom="1440" w:left="1701" w:header="851" w:footer="992" w:gutter="0"/>
          <w:cols w:space="720" w:num="1"/>
          <w:docGrid w:linePitch="312" w:charSpace="0"/>
        </w:sectPr>
      </w:pPr>
    </w:p>
    <w:p>
      <w:pPr>
        <w:pStyle w:val="25"/>
        <w:rPr>
          <w:rFonts w:ascii="宋体" w:hAnsi="宋体" w:cs="宋体"/>
          <w:color w:val="auto"/>
          <w:highlight w:val="none"/>
        </w:rPr>
      </w:pPr>
      <w:bookmarkStart w:id="201" w:name="_Toc73091448"/>
      <w:bookmarkStart w:id="202" w:name="_Toc42678695"/>
      <w:bookmarkStart w:id="203" w:name="_Toc42243287"/>
      <w:r>
        <w:rPr>
          <w:rFonts w:hint="eastAsia" w:ascii="宋体" w:hAnsi="宋体" w:cs="宋体"/>
          <w:color w:val="auto"/>
          <w:highlight w:val="none"/>
        </w:rPr>
        <w:t>三、商务技术文件部分格式</w:t>
      </w:r>
      <w:bookmarkEnd w:id="201"/>
      <w:bookmarkEnd w:id="202"/>
      <w:bookmarkEnd w:id="203"/>
    </w:p>
    <w:p>
      <w:pPr>
        <w:widowControl/>
        <w:spacing w:line="460" w:lineRule="atLeast"/>
        <w:jc w:val="left"/>
        <w:rPr>
          <w:rFonts w:ascii="宋体" w:hAnsi="宋体" w:cs="宋体"/>
          <w:b/>
          <w:bCs/>
          <w:color w:val="auto"/>
          <w:sz w:val="22"/>
          <w:szCs w:val="22"/>
          <w:highlight w:val="none"/>
        </w:rPr>
      </w:pPr>
      <w:bookmarkStart w:id="204" w:name="_Toc493530215"/>
      <w:r>
        <w:rPr>
          <w:rFonts w:hint="eastAsia" w:ascii="宋体" w:hAnsi="宋体" w:cs="宋体"/>
          <w:b/>
          <w:bCs/>
          <w:color w:val="auto"/>
          <w:sz w:val="22"/>
          <w:szCs w:val="22"/>
          <w:highlight w:val="none"/>
        </w:rPr>
        <w:t xml:space="preserve">附件九 </w:t>
      </w:r>
      <w:bookmarkEnd w:id="204"/>
    </w:p>
    <w:p>
      <w:pPr>
        <w:pStyle w:val="25"/>
        <w:rPr>
          <w:rFonts w:ascii="宋体" w:hAnsi="宋体" w:cs="宋体"/>
          <w:color w:val="auto"/>
          <w:highlight w:val="none"/>
        </w:rPr>
      </w:pPr>
      <w:bookmarkStart w:id="205" w:name="_Toc42678185"/>
      <w:bookmarkStart w:id="206" w:name="_Toc518512534"/>
      <w:bookmarkStart w:id="207" w:name="_Toc42243288"/>
      <w:bookmarkStart w:id="208" w:name="_Toc42678617"/>
      <w:bookmarkStart w:id="209" w:name="_Toc511045481"/>
      <w:bookmarkStart w:id="210" w:name="_Toc42678030"/>
      <w:bookmarkStart w:id="211" w:name="_Toc19204521"/>
      <w:bookmarkStart w:id="212" w:name="_Toc42678696"/>
      <w:bookmarkStart w:id="213" w:name="_Toc61444217"/>
      <w:bookmarkStart w:id="214" w:name="_Toc522469119"/>
      <w:bookmarkStart w:id="215" w:name="_Toc73091449"/>
      <w:bookmarkStart w:id="216" w:name="_Toc9334949"/>
      <w:r>
        <w:rPr>
          <w:rFonts w:hint="eastAsia" w:ascii="宋体" w:hAnsi="宋体" w:cs="宋体"/>
          <w:color w:val="auto"/>
          <w:highlight w:val="none"/>
        </w:rPr>
        <w:t>投 标 函</w:t>
      </w:r>
      <w:bookmarkEnd w:id="205"/>
      <w:bookmarkEnd w:id="206"/>
      <w:bookmarkEnd w:id="207"/>
      <w:bookmarkEnd w:id="208"/>
      <w:bookmarkEnd w:id="209"/>
      <w:bookmarkEnd w:id="210"/>
      <w:bookmarkEnd w:id="211"/>
      <w:bookmarkEnd w:id="212"/>
      <w:bookmarkEnd w:id="213"/>
      <w:bookmarkEnd w:id="214"/>
      <w:bookmarkEnd w:id="215"/>
      <w:bookmarkEnd w:id="216"/>
    </w:p>
    <w:p>
      <w:pPr>
        <w:autoSpaceDE w:val="0"/>
        <w:autoSpaceDN w:val="0"/>
        <w:adjustRightInd w:val="0"/>
        <w:snapToGrid w:val="0"/>
        <w:spacing w:line="480" w:lineRule="atLeast"/>
        <w:rPr>
          <w:rFonts w:ascii="宋体" w:hAnsi="宋体" w:cs="宋体"/>
          <w:color w:val="auto"/>
          <w:sz w:val="22"/>
          <w:highlight w:val="none"/>
          <w:u w:val="single"/>
        </w:rPr>
      </w:pPr>
      <w:r>
        <w:rPr>
          <w:rFonts w:hint="eastAsia" w:ascii="宋体" w:hAnsi="宋体" w:cs="宋体"/>
          <w:color w:val="auto"/>
          <w:sz w:val="22"/>
          <w:highlight w:val="none"/>
          <w:u w:val="single"/>
          <w:lang w:val="zh-CN"/>
        </w:rPr>
        <w:t xml:space="preserve">  （采购人）   ：</w:t>
      </w:r>
    </w:p>
    <w:p>
      <w:pPr>
        <w:autoSpaceDE w:val="0"/>
        <w:autoSpaceDN w:val="0"/>
        <w:adjustRightInd w:val="0"/>
        <w:snapToGrid w:val="0"/>
        <w:spacing w:line="480" w:lineRule="atLeast"/>
        <w:rPr>
          <w:rFonts w:ascii="宋体" w:hAnsi="宋体" w:cs="宋体"/>
          <w:color w:val="auto"/>
          <w:sz w:val="22"/>
          <w:highlight w:val="none"/>
          <w:lang w:val="zh-CN"/>
        </w:rPr>
      </w:pPr>
      <w:r>
        <w:rPr>
          <w:rFonts w:hint="eastAsia" w:ascii="宋体" w:hAnsi="宋体" w:cs="宋体"/>
          <w:color w:val="auto"/>
          <w:sz w:val="22"/>
          <w:highlight w:val="none"/>
          <w:lang w:val="zh-CN"/>
        </w:rPr>
        <w:t xml:space="preserve">（供应商全称）授权 （授权代表名称）（职务、职称）为授权代表，参加贵方组织的（招标项目名称）（括号内填投标编号） 招标的有关活动，并对该项目进行投标。为此：    </w:t>
      </w:r>
    </w:p>
    <w:p>
      <w:pPr>
        <w:tabs>
          <w:tab w:val="left" w:pos="803"/>
        </w:tabs>
        <w:autoSpaceDE w:val="0"/>
        <w:autoSpaceDN w:val="0"/>
        <w:adjustRightInd w:val="0"/>
        <w:snapToGrid w:val="0"/>
        <w:spacing w:line="480" w:lineRule="atLeast"/>
        <w:ind w:left="443"/>
        <w:rPr>
          <w:rFonts w:ascii="宋体" w:hAnsi="宋体" w:cs="宋体"/>
          <w:color w:val="auto"/>
          <w:sz w:val="22"/>
          <w:highlight w:val="none"/>
        </w:rPr>
      </w:pPr>
      <w:r>
        <w:rPr>
          <w:rFonts w:hint="eastAsia" w:ascii="宋体" w:hAnsi="宋体" w:cs="宋体"/>
          <w:color w:val="auto"/>
          <w:sz w:val="22"/>
          <w:highlight w:val="none"/>
          <w:lang w:val="zh-CN"/>
        </w:rPr>
        <w:t>1、提供投标须知规定的全部投标文件。</w:t>
      </w:r>
    </w:p>
    <w:p>
      <w:pPr>
        <w:autoSpaceDE w:val="0"/>
        <w:autoSpaceDN w:val="0"/>
        <w:adjustRightInd w:val="0"/>
        <w:snapToGrid w:val="0"/>
        <w:spacing w:line="480" w:lineRule="atLeast"/>
        <w:ind w:firstLine="450"/>
        <w:rPr>
          <w:rFonts w:ascii="宋体" w:hAnsi="宋体" w:cs="宋体"/>
          <w:color w:val="auto"/>
          <w:sz w:val="22"/>
          <w:highlight w:val="none"/>
          <w:u w:val="single"/>
          <w:lang w:val="zh-CN"/>
        </w:rPr>
      </w:pPr>
      <w:bookmarkStart w:id="217" w:name="_Toc356545138"/>
      <w:r>
        <w:rPr>
          <w:rFonts w:hint="eastAsia" w:ascii="宋体" w:hAnsi="宋体" w:cs="宋体"/>
          <w:color w:val="auto"/>
          <w:sz w:val="22"/>
          <w:highlight w:val="none"/>
          <w:lang w:val="zh-CN"/>
        </w:rPr>
        <w:t>2、我方对服务期承诺如下：</w:t>
      </w:r>
      <w:bookmarkEnd w:id="217"/>
      <w:r>
        <w:rPr>
          <w:rFonts w:hint="eastAsia" w:ascii="宋体" w:hAnsi="宋体" w:cs="宋体"/>
          <w:color w:val="auto"/>
          <w:sz w:val="22"/>
          <w:highlight w:val="none"/>
          <w:u w:val="single"/>
        </w:rPr>
        <w:t>按招标文件要求完成本项目</w:t>
      </w:r>
      <w:r>
        <w:rPr>
          <w:rFonts w:hint="eastAsia" w:ascii="宋体" w:hAnsi="宋体" w:cs="宋体"/>
          <w:color w:val="auto"/>
          <w:sz w:val="22"/>
          <w:highlight w:val="none"/>
          <w:u w:val="single"/>
          <w:lang w:val="zh-CN"/>
        </w:rPr>
        <w:t>。</w:t>
      </w:r>
    </w:p>
    <w:p>
      <w:pPr>
        <w:autoSpaceDE w:val="0"/>
        <w:autoSpaceDN w:val="0"/>
        <w:adjustRightInd w:val="0"/>
        <w:snapToGrid w:val="0"/>
        <w:spacing w:line="48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3、保证遵守采购文件中的有关规定和收费标准。</w:t>
      </w:r>
    </w:p>
    <w:p>
      <w:pPr>
        <w:autoSpaceDE w:val="0"/>
        <w:autoSpaceDN w:val="0"/>
        <w:adjustRightInd w:val="0"/>
        <w:snapToGrid w:val="0"/>
        <w:spacing w:line="480" w:lineRule="atLeast"/>
        <w:ind w:firstLine="465"/>
        <w:rPr>
          <w:rFonts w:ascii="宋体" w:hAnsi="宋体" w:cs="宋体"/>
          <w:color w:val="auto"/>
          <w:sz w:val="22"/>
          <w:highlight w:val="none"/>
          <w:lang w:val="zh-CN"/>
        </w:rPr>
      </w:pPr>
      <w:r>
        <w:rPr>
          <w:rFonts w:hint="eastAsia" w:ascii="宋体" w:hAnsi="宋体" w:cs="宋体"/>
          <w:color w:val="auto"/>
          <w:sz w:val="22"/>
          <w:highlight w:val="none"/>
          <w:lang w:val="zh-CN"/>
        </w:rPr>
        <w:t>4、保证忠实地执行采购人、成交供应商双方所签的合同，并承担合同规定的责任义务。</w:t>
      </w:r>
    </w:p>
    <w:p>
      <w:pPr>
        <w:autoSpaceDE w:val="0"/>
        <w:autoSpaceDN w:val="0"/>
        <w:adjustRightInd w:val="0"/>
        <w:snapToGrid w:val="0"/>
        <w:spacing w:line="480" w:lineRule="atLeast"/>
        <w:ind w:firstLine="465"/>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5、供应商已详细审查全部采购文件，包括采购文件补充文件（如有）。我方完全理解并同意放弃对这方面有不明及误解的权力。如果采购文件有相互矛盾之处，我方同意按采购人的理解处理。</w:t>
      </w:r>
    </w:p>
    <w:p>
      <w:pPr>
        <w:autoSpaceDE w:val="0"/>
        <w:autoSpaceDN w:val="0"/>
        <w:adjustRightInd w:val="0"/>
        <w:snapToGrid w:val="0"/>
        <w:spacing w:line="48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6、愿意向贵方提供任何与该项投标有关的数据、情况和技术资料，完全理解贵方不一定接受最低价的投标或收到的任何投标。</w:t>
      </w:r>
    </w:p>
    <w:p>
      <w:pPr>
        <w:autoSpaceDE w:val="0"/>
        <w:autoSpaceDN w:val="0"/>
        <w:adjustRightInd w:val="0"/>
        <w:snapToGrid w:val="0"/>
        <w:spacing w:line="48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7、利益冲突：近三年内直至目前，我公司与本项目的采购人、采购代理机构没有任何的隶属关系。</w:t>
      </w:r>
    </w:p>
    <w:p>
      <w:pPr>
        <w:autoSpaceDE w:val="0"/>
        <w:autoSpaceDN w:val="0"/>
        <w:adjustRightInd w:val="0"/>
        <w:snapToGrid w:val="0"/>
        <w:spacing w:line="48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8、</w:t>
      </w:r>
      <w:r>
        <w:rPr>
          <w:rFonts w:hint="eastAsia" w:ascii="宋体" w:hAnsi="宋体" w:cs="宋体"/>
          <w:color w:val="auto"/>
          <w:sz w:val="22"/>
          <w:highlight w:val="none"/>
        </w:rPr>
        <w:t>我单位没有被各地、各级财政部门限制参加政府采购活动或曾被各地、各级财政部门限制参加政府采购活动但已不在限制期内。</w:t>
      </w:r>
    </w:p>
    <w:p>
      <w:pPr>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szCs w:val="22"/>
          <w:highlight w:val="none"/>
          <w:lang w:val="zh-CN"/>
        </w:rPr>
        <w:t>9、</w:t>
      </w:r>
      <w:r>
        <w:rPr>
          <w:rFonts w:hint="eastAsia" w:ascii="宋体" w:hAnsi="宋体" w:cs="宋体"/>
          <w:color w:val="auto"/>
          <w:sz w:val="22"/>
          <w:highlight w:val="none"/>
          <w:lang w:val="zh-CN"/>
        </w:rPr>
        <w:t>投标有效期内不撤销投标文件；强行撤销的，承诺按采购预算金额的2%赔偿对采购组织机构造成的损失。</w:t>
      </w:r>
    </w:p>
    <w:p>
      <w:pPr>
        <w:autoSpaceDE w:val="0"/>
        <w:autoSpaceDN w:val="0"/>
        <w:adjustRightInd w:val="0"/>
        <w:spacing w:line="440" w:lineRule="atLeast"/>
        <w:ind w:firstLine="4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10、中标或者成交后，按采购文件规定与采购人签订合同。拒绝签订合同的，承诺按采购预算金额的 2%对采购人进行赔偿；赔偿金额不足以弥补采购人损失的，承诺继续承担超过部分的损失。</w:t>
      </w:r>
    </w:p>
    <w:p>
      <w:pPr>
        <w:autoSpaceDE w:val="0"/>
        <w:autoSpaceDN w:val="0"/>
        <w:adjustRightInd w:val="0"/>
        <w:spacing w:line="440" w:lineRule="atLeast"/>
        <w:ind w:firstLine="4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11、中标或者成交后，按采购文件规定的采购代理服务费标准，承诺在签订合同前向采购代理机构支付采购代理服务费。</w:t>
      </w:r>
    </w:p>
    <w:p>
      <w:pPr>
        <w:autoSpaceDE w:val="0"/>
        <w:autoSpaceDN w:val="0"/>
        <w:adjustRightInd w:val="0"/>
        <w:spacing w:line="440" w:lineRule="atLeast"/>
        <w:ind w:firstLine="4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12、本投标自开标之日起90天内有效。</w:t>
      </w:r>
    </w:p>
    <w:p>
      <w:pPr>
        <w:spacing w:line="42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13、如有列情形之一的，我方愿意被取消成交资格（如成交），同时继续承担其他一切法律后果，并不再寻求任何旨在减轻或免除法律责任的解释：</w:t>
      </w:r>
    </w:p>
    <w:p>
      <w:pPr>
        <w:spacing w:line="42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(1)提供虚假材料（承诺）谋取成交、成交的；</w:t>
      </w:r>
    </w:p>
    <w:p>
      <w:pPr>
        <w:spacing w:line="42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(2)采取不正当手段诋毁、排挤其他供应商的；</w:t>
      </w:r>
    </w:p>
    <w:p>
      <w:pPr>
        <w:spacing w:line="42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(3)与采购人、其它供应商或者采购代理机构恶意串通的；</w:t>
      </w:r>
    </w:p>
    <w:p>
      <w:pPr>
        <w:spacing w:line="42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(4)向采购人、采购代理机构行贿或者提供其他不正当利益的；</w:t>
      </w:r>
    </w:p>
    <w:p>
      <w:pPr>
        <w:spacing w:line="42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(5)在招标采购过程中与采购人进行协商谈判的；</w:t>
      </w:r>
    </w:p>
    <w:p>
      <w:pPr>
        <w:spacing w:line="42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(6)拒绝有关部门监督检查或提供虚假情况的。</w:t>
      </w:r>
    </w:p>
    <w:p>
      <w:pPr>
        <w:autoSpaceDE w:val="0"/>
        <w:autoSpaceDN w:val="0"/>
        <w:adjustRightInd w:val="0"/>
        <w:spacing w:line="440" w:lineRule="atLeast"/>
        <w:ind w:firstLine="4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14、与本投标有关的一切往来通讯请寄：</w:t>
      </w:r>
    </w:p>
    <w:p>
      <w:pPr>
        <w:autoSpaceDE w:val="0"/>
        <w:autoSpaceDN w:val="0"/>
        <w:adjustRightInd w:val="0"/>
        <w:spacing w:line="440" w:lineRule="atLeas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地址：</w:t>
      </w:r>
    </w:p>
    <w:p>
      <w:pPr>
        <w:autoSpaceDE w:val="0"/>
        <w:autoSpaceDN w:val="0"/>
        <w:adjustRightInd w:val="0"/>
        <w:spacing w:line="440" w:lineRule="atLeas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邮编：电话：传真：</w:t>
      </w:r>
    </w:p>
    <w:p>
      <w:pPr>
        <w:autoSpaceDE w:val="0"/>
        <w:autoSpaceDN w:val="0"/>
        <w:adjustRightInd w:val="0"/>
        <w:spacing w:line="440" w:lineRule="atLeast"/>
        <w:ind w:firstLine="1980" w:firstLineChars="900"/>
        <w:rPr>
          <w:rFonts w:ascii="宋体" w:hAnsi="宋体" w:cs="宋体"/>
          <w:color w:val="auto"/>
          <w:sz w:val="22"/>
          <w:szCs w:val="22"/>
          <w:highlight w:val="none"/>
          <w:lang w:val="zh-CN"/>
        </w:rPr>
      </w:pPr>
    </w:p>
    <w:p>
      <w:pPr>
        <w:autoSpaceDE w:val="0"/>
        <w:autoSpaceDN w:val="0"/>
        <w:adjustRightInd w:val="0"/>
        <w:spacing w:line="440" w:lineRule="atLeast"/>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供应商全称（盖章）：</w:t>
      </w:r>
    </w:p>
    <w:p>
      <w:pPr>
        <w:autoSpaceDE w:val="0"/>
        <w:autoSpaceDN w:val="0"/>
        <w:adjustRightInd w:val="0"/>
        <w:spacing w:line="440" w:lineRule="atLeast"/>
        <w:jc w:val="left"/>
        <w:rPr>
          <w:rFonts w:ascii="宋体" w:hAnsi="宋体" w:cs="宋体"/>
          <w:color w:val="auto"/>
          <w:sz w:val="22"/>
          <w:szCs w:val="22"/>
          <w:highlight w:val="none"/>
          <w:lang w:val="zh-CN"/>
        </w:rPr>
      </w:pPr>
      <w:r>
        <w:rPr>
          <w:rFonts w:hint="eastAsia" w:ascii="宋体" w:hAnsi="宋体" w:cs="宋体"/>
          <w:color w:val="auto"/>
          <w:sz w:val="22"/>
          <w:szCs w:val="22"/>
          <w:highlight w:val="none"/>
        </w:rPr>
        <w:t>法定代表人（负责人）或授权代表（签字或盖章）</w:t>
      </w:r>
      <w:r>
        <w:rPr>
          <w:rFonts w:hint="eastAsia" w:ascii="宋体" w:hAnsi="宋体" w:cs="宋体"/>
          <w:color w:val="auto"/>
          <w:sz w:val="22"/>
          <w:szCs w:val="22"/>
          <w:highlight w:val="none"/>
          <w:lang w:val="zh-CN"/>
        </w:rPr>
        <w:t>：</w:t>
      </w:r>
    </w:p>
    <w:p>
      <w:pPr>
        <w:autoSpaceDE w:val="0"/>
        <w:autoSpaceDN w:val="0"/>
        <w:adjustRightInd w:val="0"/>
        <w:spacing w:line="440" w:lineRule="atLeast"/>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日期：</w:t>
      </w:r>
    </w:p>
    <w:p>
      <w:pPr>
        <w:autoSpaceDE w:val="0"/>
        <w:autoSpaceDN w:val="0"/>
        <w:adjustRightInd w:val="0"/>
        <w:snapToGrid w:val="0"/>
        <w:spacing w:line="480" w:lineRule="atLeast"/>
        <w:ind w:firstLine="440" w:firstLineChars="200"/>
        <w:jc w:val="left"/>
        <w:rPr>
          <w:rFonts w:ascii="宋体" w:hAnsi="宋体" w:cs="宋体"/>
          <w:color w:val="auto"/>
          <w:sz w:val="22"/>
          <w:highlight w:val="none"/>
          <w:lang w:val="zh-CN"/>
        </w:rPr>
      </w:pPr>
    </w:p>
    <w:p>
      <w:pPr>
        <w:widowControl/>
        <w:spacing w:line="460" w:lineRule="atLeast"/>
        <w:jc w:val="left"/>
        <w:rPr>
          <w:rFonts w:ascii="宋体" w:hAnsi="宋体" w:cs="宋体"/>
          <w:b/>
          <w:bCs/>
          <w:color w:val="auto"/>
          <w:sz w:val="22"/>
          <w:szCs w:val="22"/>
          <w:highlight w:val="none"/>
        </w:rPr>
      </w:pPr>
      <w:r>
        <w:rPr>
          <w:rFonts w:hint="eastAsia" w:ascii="宋体" w:hAnsi="宋体" w:cs="宋体"/>
          <w:bCs/>
          <w:color w:val="auto"/>
          <w:sz w:val="22"/>
          <w:szCs w:val="22"/>
          <w:highlight w:val="none"/>
        </w:rPr>
        <w:br w:type="page"/>
      </w:r>
      <w:r>
        <w:rPr>
          <w:rFonts w:hint="eastAsia" w:ascii="宋体" w:hAnsi="宋体" w:cs="宋体"/>
          <w:b/>
          <w:bCs/>
          <w:color w:val="auto"/>
          <w:sz w:val="22"/>
          <w:szCs w:val="22"/>
          <w:highlight w:val="none"/>
        </w:rPr>
        <w:t>附件十</w:t>
      </w:r>
    </w:p>
    <w:p>
      <w:pPr>
        <w:tabs>
          <w:tab w:val="left" w:pos="1080"/>
        </w:tabs>
        <w:autoSpaceDE w:val="0"/>
        <w:autoSpaceDN w:val="0"/>
        <w:adjustRightInd w:val="0"/>
        <w:spacing w:line="440" w:lineRule="atLeas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法定代表人（负责人）诚信投标承诺书</w:t>
      </w:r>
    </w:p>
    <w:p>
      <w:pPr>
        <w:spacing w:line="360" w:lineRule="auto"/>
        <w:jc w:val="left"/>
        <w:rPr>
          <w:rFonts w:ascii="宋体" w:hAnsi="宋体" w:cs="宋体"/>
          <w:color w:val="auto"/>
          <w:sz w:val="24"/>
          <w:highlight w:val="none"/>
        </w:rPr>
      </w:pPr>
    </w:p>
    <w:p>
      <w:pPr>
        <w:spacing w:line="46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本人以企业法定代表人（负责人）的身份郑重承诺：</w:t>
      </w:r>
    </w:p>
    <w:p>
      <w:pPr>
        <w:spacing w:line="46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将遵循公开、公平、公正和诚信信用的原则参加</w:t>
      </w:r>
      <w:r>
        <w:rPr>
          <w:rFonts w:hint="eastAsia" w:ascii="宋体" w:hAnsi="宋体" w:cs="宋体"/>
          <w:color w:val="auto"/>
          <w:sz w:val="22"/>
          <w:szCs w:val="22"/>
          <w:highlight w:val="none"/>
          <w:u w:val="single"/>
        </w:rPr>
        <w:t xml:space="preserve">              项目（项目编号：   ）</w:t>
      </w:r>
      <w:r>
        <w:rPr>
          <w:rFonts w:hint="eastAsia" w:ascii="宋体" w:hAnsi="宋体" w:cs="宋体"/>
          <w:color w:val="auto"/>
          <w:sz w:val="22"/>
          <w:szCs w:val="22"/>
          <w:highlight w:val="none"/>
        </w:rPr>
        <w:t>的投标；</w:t>
      </w:r>
    </w:p>
    <w:p>
      <w:pPr>
        <w:spacing w:line="460" w:lineRule="atLeas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二、投标文件所提供的一切材料都是真实、有效、合法的。</w:t>
      </w:r>
    </w:p>
    <w:p>
      <w:pPr>
        <w:spacing w:line="46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三、不与其他投标人相互串通投标报价，不排挤其他投标人的公平竞争，不损害招标人或其他投标人的合法权益。</w:t>
      </w:r>
    </w:p>
    <w:p>
      <w:pPr>
        <w:spacing w:line="46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四、不与采购人或采购代理机构串通投标，不损害国家利益，社会公共利益或其他人的合法权益。</w:t>
      </w:r>
    </w:p>
    <w:p>
      <w:pPr>
        <w:spacing w:line="46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五、不向采购人或者评标委员会成员行贿以牟取中标。</w:t>
      </w:r>
    </w:p>
    <w:p>
      <w:pPr>
        <w:spacing w:line="46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六、不以其他人名义投标或者以其他方式弄虚作假，骗取中标。</w:t>
      </w:r>
    </w:p>
    <w:p>
      <w:pPr>
        <w:spacing w:line="46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七、不在开标后进行虚假恶意投诉。</w:t>
      </w:r>
    </w:p>
    <w:p>
      <w:pPr>
        <w:spacing w:line="46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九、没有被各地、各级财政部门禁止参加政府采购活动，且在限制期限内：    </w:t>
      </w:r>
    </w:p>
    <w:p>
      <w:pPr>
        <w:spacing w:line="46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十、参与本项目政府采购活动3年内没有重大违法记录情况。</w:t>
      </w:r>
    </w:p>
    <w:p>
      <w:pPr>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970" w:firstLineChars="1350"/>
        <w:rPr>
          <w:rFonts w:ascii="宋体" w:hAnsi="宋体" w:cs="宋体"/>
          <w:color w:val="auto"/>
          <w:sz w:val="22"/>
          <w:szCs w:val="22"/>
          <w:highlight w:val="none"/>
        </w:rPr>
      </w:pPr>
      <w:r>
        <w:rPr>
          <w:rFonts w:hint="eastAsia" w:ascii="宋体" w:hAnsi="宋体" w:cs="宋体"/>
          <w:color w:val="auto"/>
          <w:sz w:val="22"/>
          <w:szCs w:val="22"/>
          <w:highlight w:val="none"/>
        </w:rPr>
        <w:t>法定代表人（负责人）或授权代表（签字或盖章）：</w:t>
      </w:r>
    </w:p>
    <w:p>
      <w:pPr>
        <w:spacing w:line="460" w:lineRule="atLeast"/>
        <w:ind w:right="1120" w:firstLine="2970" w:firstLineChars="1350"/>
        <w:rPr>
          <w:rFonts w:ascii="宋体" w:hAnsi="宋体" w:cs="宋体"/>
          <w:color w:val="auto"/>
          <w:sz w:val="22"/>
          <w:szCs w:val="22"/>
          <w:highlight w:val="none"/>
        </w:rPr>
      </w:pPr>
      <w:r>
        <w:rPr>
          <w:rFonts w:hint="eastAsia" w:ascii="宋体" w:hAnsi="宋体" w:cs="宋体"/>
          <w:color w:val="auto"/>
          <w:sz w:val="22"/>
          <w:szCs w:val="22"/>
          <w:highlight w:val="none"/>
        </w:rPr>
        <w:t>投标供应商（盖章）</w:t>
      </w:r>
    </w:p>
    <w:p>
      <w:pPr>
        <w:spacing w:line="460" w:lineRule="atLeast"/>
        <w:ind w:right="1120" w:firstLine="2970" w:firstLineChars="1350"/>
        <w:rPr>
          <w:rFonts w:ascii="宋体" w:hAnsi="宋体" w:cs="宋体"/>
          <w:color w:val="auto"/>
          <w:highlight w:val="none"/>
        </w:rPr>
      </w:pPr>
      <w:r>
        <w:rPr>
          <w:rFonts w:hint="eastAsia" w:ascii="宋体" w:hAnsi="宋体" w:cs="宋体"/>
          <w:color w:val="auto"/>
          <w:sz w:val="22"/>
          <w:szCs w:val="22"/>
          <w:highlight w:val="none"/>
        </w:rPr>
        <w:t>承诺书签署日期：         年  月  日</w:t>
      </w:r>
    </w:p>
    <w:p>
      <w:pPr>
        <w:spacing w:line="360" w:lineRule="exact"/>
        <w:jc w:val="left"/>
        <w:rPr>
          <w:rFonts w:ascii="宋体" w:hAnsi="宋体" w:cs="宋体"/>
          <w:bCs/>
          <w:color w:val="auto"/>
          <w:sz w:val="22"/>
          <w:szCs w:val="22"/>
          <w:highlight w:val="none"/>
          <w:u w:val="single"/>
        </w:rPr>
      </w:pPr>
    </w:p>
    <w:p>
      <w:pPr>
        <w:spacing w:line="360" w:lineRule="exact"/>
        <w:jc w:val="left"/>
        <w:rPr>
          <w:rFonts w:ascii="宋体" w:hAnsi="宋体" w:cs="宋体"/>
          <w:b/>
          <w:color w:val="auto"/>
          <w:sz w:val="30"/>
          <w:highlight w:val="none"/>
        </w:rPr>
      </w:pPr>
      <w:r>
        <w:rPr>
          <w:rFonts w:hint="eastAsia" w:ascii="宋体" w:hAnsi="宋体" w:cs="宋体"/>
          <w:b/>
          <w:bCs/>
          <w:color w:val="auto"/>
          <w:sz w:val="22"/>
          <w:szCs w:val="22"/>
          <w:highlight w:val="none"/>
          <w:u w:val="single"/>
        </w:rPr>
        <w:t>备注：▲投标供应商必须提供本承诺书，不提供按无效投标处理。</w:t>
      </w:r>
    </w:p>
    <w:p>
      <w:pPr>
        <w:tabs>
          <w:tab w:val="left" w:pos="2520"/>
        </w:tabs>
        <w:spacing w:line="440" w:lineRule="exact"/>
        <w:outlineLvl w:val="0"/>
        <w:rPr>
          <w:rFonts w:ascii="宋体" w:hAnsi="宋体" w:cs="宋体"/>
          <w:color w:val="auto"/>
          <w:highlight w:val="none"/>
        </w:rPr>
      </w:pPr>
    </w:p>
    <w:p>
      <w:pPr>
        <w:tabs>
          <w:tab w:val="left" w:pos="2520"/>
        </w:tabs>
        <w:spacing w:line="440" w:lineRule="exact"/>
        <w:outlineLvl w:val="0"/>
        <w:rPr>
          <w:rFonts w:ascii="宋体" w:hAnsi="宋体" w:cs="宋体"/>
          <w:color w:val="auto"/>
          <w:highlight w:val="none"/>
        </w:rPr>
      </w:pPr>
    </w:p>
    <w:p>
      <w:pPr>
        <w:spacing w:line="360" w:lineRule="exact"/>
        <w:jc w:val="left"/>
        <w:rPr>
          <w:rFonts w:ascii="宋体" w:hAnsi="宋体" w:cs="宋体"/>
          <w:b/>
          <w:bCs/>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color w:val="auto"/>
          <w:sz w:val="22"/>
          <w:szCs w:val="22"/>
          <w:highlight w:val="none"/>
        </w:rPr>
        <w:t>附件十一</w:t>
      </w:r>
    </w:p>
    <w:p>
      <w:pPr>
        <w:tabs>
          <w:tab w:val="left" w:pos="1080"/>
        </w:tabs>
        <w:autoSpaceDE w:val="0"/>
        <w:autoSpaceDN w:val="0"/>
        <w:adjustRightInd w:val="0"/>
        <w:spacing w:line="440" w:lineRule="atLeas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投标供应商有同类项目业绩</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项目名称：                                              项目编号：</w:t>
      </w:r>
    </w:p>
    <w:tbl>
      <w:tblPr>
        <w:tblStyle w:val="27"/>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szCs w:val="22"/>
                <w:highlight w:val="none"/>
              </w:rPr>
              <w:t>序号</w:t>
            </w:r>
          </w:p>
        </w:tc>
        <w:tc>
          <w:tcPr>
            <w:tcW w:w="128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szCs w:val="22"/>
                <w:highlight w:val="none"/>
              </w:rPr>
              <w:t>采购单位</w:t>
            </w:r>
          </w:p>
        </w:tc>
        <w:tc>
          <w:tcPr>
            <w:tcW w:w="1299" w:type="dxa"/>
            <w:vAlign w:val="center"/>
          </w:tcPr>
          <w:p>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szCs w:val="22"/>
                <w:highlight w:val="none"/>
              </w:rPr>
              <w:t>项目名称</w:t>
            </w:r>
          </w:p>
        </w:tc>
        <w:tc>
          <w:tcPr>
            <w:tcW w:w="1355" w:type="dxa"/>
            <w:vAlign w:val="center"/>
          </w:tcPr>
          <w:p>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szCs w:val="22"/>
                <w:highlight w:val="none"/>
              </w:rPr>
              <w:t>销售数量（台）</w:t>
            </w:r>
          </w:p>
        </w:tc>
        <w:tc>
          <w:tcPr>
            <w:tcW w:w="129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szCs w:val="22"/>
                <w:highlight w:val="none"/>
              </w:rPr>
              <w:t>签约日期</w:t>
            </w: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szCs w:val="22"/>
                <w:highlight w:val="none"/>
              </w:rPr>
              <w:t>联系人</w:t>
            </w:r>
          </w:p>
        </w:tc>
        <w:tc>
          <w:tcPr>
            <w:tcW w:w="1271"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szCs w:val="22"/>
                <w:highlight w:val="none"/>
              </w:rPr>
              <w:t>联系电话</w:t>
            </w: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hAnsi="宋体" w:cs="宋体"/>
                <w:color w:val="auto"/>
                <w:spacing w:val="20"/>
                <w:sz w:val="22"/>
                <w:highlight w:val="none"/>
              </w:rPr>
            </w:pPr>
          </w:p>
        </w:tc>
      </w:tr>
    </w:tbl>
    <w:p>
      <w:pPr>
        <w:spacing w:line="460" w:lineRule="exact"/>
        <w:ind w:left="755" w:hanging="754" w:hangingChars="343"/>
        <w:rPr>
          <w:rFonts w:ascii="宋体" w:hAnsi="宋体" w:cs="宋体"/>
          <w:bCs/>
          <w:color w:val="auto"/>
          <w:sz w:val="22"/>
          <w:szCs w:val="22"/>
          <w:highlight w:val="none"/>
        </w:rPr>
      </w:pPr>
      <w:r>
        <w:rPr>
          <w:rFonts w:hint="eastAsia" w:ascii="宋体" w:hAnsi="宋体" w:cs="宋体"/>
          <w:color w:val="auto"/>
          <w:sz w:val="22"/>
          <w:szCs w:val="22"/>
          <w:highlight w:val="none"/>
        </w:rPr>
        <w:t>注：投标供应商可按此表格式复制，需后附合同及相关材料扫描件加盖公章。</w:t>
      </w:r>
    </w:p>
    <w:p>
      <w:pPr>
        <w:spacing w:line="460" w:lineRule="exact"/>
        <w:ind w:left="755" w:hanging="754" w:hangingChars="343"/>
        <w:rPr>
          <w:rFonts w:ascii="宋体" w:hAnsi="宋体" w:cs="宋体"/>
          <w:bCs/>
          <w:color w:val="auto"/>
          <w:sz w:val="22"/>
          <w:szCs w:val="22"/>
          <w:highlight w:val="none"/>
        </w:rPr>
      </w:pPr>
    </w:p>
    <w:p>
      <w:pPr>
        <w:spacing w:line="440" w:lineRule="atLeast"/>
        <w:rPr>
          <w:rFonts w:ascii="宋体" w:hAnsi="宋体" w:cs="宋体"/>
          <w:color w:val="auto"/>
          <w:sz w:val="22"/>
          <w:szCs w:val="22"/>
          <w:highlight w:val="none"/>
        </w:rPr>
      </w:pPr>
      <w:r>
        <w:rPr>
          <w:rFonts w:hint="eastAsia" w:ascii="宋体" w:hAnsi="宋体" w:cs="宋体"/>
          <w:color w:val="auto"/>
          <w:sz w:val="22"/>
          <w:szCs w:val="22"/>
          <w:highlight w:val="none"/>
        </w:rPr>
        <w:t>供应商全称（盖章）：</w:t>
      </w:r>
    </w:p>
    <w:p>
      <w:pPr>
        <w:spacing w:line="440" w:lineRule="atLeast"/>
        <w:rPr>
          <w:rFonts w:ascii="宋体" w:hAnsi="宋体" w:cs="宋体"/>
          <w:color w:val="auto"/>
          <w:sz w:val="22"/>
          <w:szCs w:val="22"/>
          <w:highlight w:val="none"/>
        </w:rPr>
      </w:pPr>
      <w:r>
        <w:rPr>
          <w:rFonts w:hint="eastAsia" w:ascii="宋体" w:hAnsi="宋体" w:cs="宋体"/>
          <w:color w:val="auto"/>
          <w:sz w:val="22"/>
          <w:szCs w:val="22"/>
          <w:highlight w:val="none"/>
        </w:rPr>
        <w:t>法定代表人（负责人）或授权代表（签字或盖章）：</w:t>
      </w:r>
    </w:p>
    <w:p>
      <w:pPr>
        <w:autoSpaceDE w:val="0"/>
        <w:autoSpaceDN w:val="0"/>
        <w:adjustRightInd w:val="0"/>
        <w:spacing w:line="460" w:lineRule="atLeast"/>
        <w:rPr>
          <w:rFonts w:ascii="宋体" w:hAnsi="宋体" w:cs="宋体"/>
          <w:color w:val="auto"/>
          <w:sz w:val="22"/>
          <w:szCs w:val="22"/>
          <w:highlight w:val="none"/>
        </w:rPr>
      </w:pPr>
      <w:r>
        <w:rPr>
          <w:rFonts w:hint="eastAsia" w:ascii="宋体" w:hAnsi="宋体" w:cs="宋体"/>
          <w:color w:val="auto"/>
          <w:sz w:val="22"/>
          <w:szCs w:val="22"/>
          <w:highlight w:val="none"/>
        </w:rPr>
        <w:t>日期：</w:t>
      </w:r>
    </w:p>
    <w:p>
      <w:pPr>
        <w:autoSpaceDE w:val="0"/>
        <w:autoSpaceDN w:val="0"/>
        <w:adjustRightInd w:val="0"/>
        <w:spacing w:line="460" w:lineRule="atLeast"/>
        <w:rPr>
          <w:rFonts w:ascii="宋体" w:hAnsi="宋体" w:cs="宋体"/>
          <w:color w:val="auto"/>
          <w:sz w:val="22"/>
          <w:highlight w:val="none"/>
        </w:rPr>
      </w:pPr>
    </w:p>
    <w:p>
      <w:pPr>
        <w:autoSpaceDE w:val="0"/>
        <w:autoSpaceDN w:val="0"/>
        <w:adjustRightInd w:val="0"/>
        <w:spacing w:line="460" w:lineRule="atLeast"/>
        <w:rPr>
          <w:rFonts w:ascii="宋体" w:hAnsi="宋体" w:cs="宋体"/>
          <w:color w:val="auto"/>
          <w:sz w:val="22"/>
          <w:highlight w:val="none"/>
        </w:rPr>
      </w:pPr>
    </w:p>
    <w:p>
      <w:pPr>
        <w:pStyle w:val="25"/>
        <w:rPr>
          <w:rFonts w:ascii="宋体" w:hAnsi="宋体" w:cs="宋体"/>
          <w:color w:val="auto"/>
          <w:highlight w:val="none"/>
        </w:rPr>
      </w:pPr>
      <w:bookmarkStart w:id="218" w:name="_Toc493530220"/>
    </w:p>
    <w:bookmarkEnd w:id="218"/>
    <w:p>
      <w:pPr>
        <w:widowControl/>
        <w:jc w:val="left"/>
        <w:rPr>
          <w:rFonts w:ascii="宋体" w:hAnsi="宋体" w:cs="宋体"/>
          <w:b/>
          <w:color w:val="auto"/>
          <w:sz w:val="22"/>
          <w:szCs w:val="22"/>
          <w:highlight w:val="none"/>
        </w:rPr>
      </w:pPr>
    </w:p>
    <w:p>
      <w:pPr>
        <w:widowControl/>
        <w:jc w:val="left"/>
        <w:rPr>
          <w:rFonts w:ascii="宋体" w:hAnsi="宋体" w:cs="宋体"/>
          <w:b/>
          <w:bCs/>
          <w:color w:val="auto"/>
          <w:sz w:val="22"/>
          <w:szCs w:val="22"/>
          <w:highlight w:val="none"/>
        </w:rPr>
      </w:pPr>
      <w:r>
        <w:rPr>
          <w:rFonts w:hint="eastAsia" w:ascii="宋体" w:hAnsi="宋体" w:cs="宋体"/>
          <w:b/>
          <w:color w:val="auto"/>
          <w:sz w:val="22"/>
          <w:szCs w:val="22"/>
          <w:highlight w:val="none"/>
        </w:rPr>
        <w:t>附件十二</w:t>
      </w:r>
    </w:p>
    <w:p>
      <w:pPr>
        <w:pStyle w:val="25"/>
        <w:rPr>
          <w:rFonts w:ascii="宋体" w:hAnsi="宋体" w:cs="宋体"/>
          <w:color w:val="auto"/>
          <w:highlight w:val="none"/>
        </w:rPr>
      </w:pPr>
      <w:bookmarkStart w:id="219" w:name="_Toc9334958"/>
      <w:bookmarkStart w:id="220" w:name="_Toc73091451"/>
      <w:bookmarkStart w:id="221" w:name="_Toc61444220"/>
      <w:bookmarkStart w:id="222" w:name="_Toc42243291"/>
      <w:bookmarkStart w:id="223" w:name="_Toc46386542"/>
      <w:bookmarkStart w:id="224" w:name="_Toc19204524"/>
      <w:bookmarkStart w:id="225" w:name="_Toc518512543"/>
      <w:bookmarkStart w:id="226" w:name="_Toc511045490"/>
      <w:bookmarkStart w:id="227" w:name="_Toc522469128"/>
      <w:bookmarkStart w:id="228" w:name="_Toc496618932"/>
      <w:r>
        <w:rPr>
          <w:rFonts w:hint="eastAsia" w:ascii="宋体" w:hAnsi="宋体" w:cs="宋体"/>
          <w:color w:val="auto"/>
          <w:highlight w:val="none"/>
        </w:rPr>
        <w:t>偏离表</w:t>
      </w:r>
      <w:bookmarkEnd w:id="219"/>
      <w:bookmarkEnd w:id="220"/>
      <w:bookmarkEnd w:id="221"/>
      <w:bookmarkEnd w:id="222"/>
      <w:bookmarkEnd w:id="223"/>
      <w:bookmarkEnd w:id="224"/>
      <w:bookmarkEnd w:id="225"/>
      <w:bookmarkEnd w:id="226"/>
      <w:bookmarkEnd w:id="227"/>
      <w:bookmarkEnd w:id="228"/>
    </w:p>
    <w:p>
      <w:pPr>
        <w:spacing w:line="560" w:lineRule="exact"/>
        <w:ind w:firstLine="431" w:firstLineChars="196"/>
        <w:rPr>
          <w:rFonts w:ascii="宋体" w:hAnsi="宋体" w:cs="宋体"/>
          <w:bCs/>
          <w:color w:val="auto"/>
          <w:sz w:val="22"/>
          <w:szCs w:val="22"/>
          <w:highlight w:val="none"/>
        </w:rPr>
      </w:pPr>
      <w:r>
        <w:rPr>
          <w:rFonts w:hint="eastAsia" w:ascii="宋体" w:hAnsi="宋体" w:cs="宋体"/>
          <w:color w:val="auto"/>
          <w:sz w:val="22"/>
          <w:szCs w:val="22"/>
          <w:highlight w:val="none"/>
        </w:rPr>
        <w:t>项目名称：                                       项目编号：</w:t>
      </w:r>
    </w:p>
    <w:tbl>
      <w:tblPr>
        <w:tblStyle w:val="2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34"/>
        <w:gridCol w:w="2743"/>
        <w:gridCol w:w="302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68"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内   容</w:t>
            </w:r>
          </w:p>
        </w:tc>
        <w:tc>
          <w:tcPr>
            <w:tcW w:w="1434"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采购文件</w:t>
            </w:r>
          </w:p>
          <w:p>
            <w:pPr>
              <w:jc w:val="center"/>
              <w:rPr>
                <w:rFonts w:ascii="宋体" w:hAnsi="宋体" w:cs="宋体"/>
                <w:color w:val="auto"/>
                <w:sz w:val="22"/>
                <w:highlight w:val="none"/>
              </w:rPr>
            </w:pPr>
            <w:r>
              <w:rPr>
                <w:rFonts w:hint="eastAsia" w:ascii="宋体" w:hAnsi="宋体" w:cs="宋体"/>
                <w:color w:val="auto"/>
                <w:sz w:val="22"/>
                <w:szCs w:val="22"/>
                <w:highlight w:val="none"/>
              </w:rPr>
              <w:t>条目</w:t>
            </w:r>
          </w:p>
        </w:tc>
        <w:tc>
          <w:tcPr>
            <w:tcW w:w="2743"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采购文件</w:t>
            </w:r>
          </w:p>
          <w:p>
            <w:pPr>
              <w:jc w:val="center"/>
              <w:rPr>
                <w:rFonts w:ascii="宋体" w:hAnsi="宋体" w:cs="宋体"/>
                <w:color w:val="auto"/>
                <w:sz w:val="22"/>
                <w:highlight w:val="none"/>
              </w:rPr>
            </w:pPr>
            <w:r>
              <w:rPr>
                <w:rFonts w:hint="eastAsia" w:ascii="宋体" w:hAnsi="宋体" w:cs="宋体"/>
                <w:color w:val="auto"/>
                <w:sz w:val="22"/>
                <w:szCs w:val="22"/>
                <w:highlight w:val="none"/>
              </w:rPr>
              <w:t>规格要求</w:t>
            </w:r>
          </w:p>
        </w:tc>
        <w:tc>
          <w:tcPr>
            <w:tcW w:w="3023"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投标文件</w:t>
            </w:r>
          </w:p>
          <w:p>
            <w:pPr>
              <w:jc w:val="center"/>
              <w:rPr>
                <w:rFonts w:ascii="宋体" w:hAnsi="宋体" w:cs="宋体"/>
                <w:color w:val="auto"/>
                <w:sz w:val="22"/>
                <w:highlight w:val="none"/>
              </w:rPr>
            </w:pPr>
            <w:r>
              <w:rPr>
                <w:rFonts w:hint="eastAsia" w:ascii="宋体" w:hAnsi="宋体" w:cs="宋体"/>
                <w:color w:val="auto"/>
                <w:sz w:val="22"/>
                <w:szCs w:val="22"/>
                <w:highlight w:val="none"/>
              </w:rPr>
              <w:t>对应规格</w:t>
            </w:r>
          </w:p>
        </w:tc>
        <w:tc>
          <w:tcPr>
            <w:tcW w:w="1260" w:type="dxa"/>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pPr>
              <w:rPr>
                <w:rFonts w:ascii="宋体" w:hAnsi="宋体" w:cs="宋体"/>
                <w:color w:val="auto"/>
                <w:sz w:val="22"/>
                <w:highlight w:val="none"/>
              </w:rPr>
            </w:pPr>
            <w:r>
              <w:rPr>
                <w:rFonts w:hint="eastAsia" w:ascii="宋体" w:hAnsi="宋体" w:cs="宋体"/>
                <w:color w:val="auto"/>
                <w:sz w:val="22"/>
                <w:szCs w:val="22"/>
                <w:highlight w:val="none"/>
              </w:rPr>
              <w:t>技术偏离</w:t>
            </w:r>
          </w:p>
        </w:tc>
        <w:tc>
          <w:tcPr>
            <w:tcW w:w="1434" w:type="dxa"/>
            <w:vAlign w:val="center"/>
          </w:tcPr>
          <w:p>
            <w:pPr>
              <w:jc w:val="center"/>
              <w:rPr>
                <w:rFonts w:ascii="宋体" w:hAnsi="宋体" w:cs="宋体"/>
                <w:color w:val="auto"/>
                <w:sz w:val="22"/>
                <w:highlight w:val="none"/>
              </w:rPr>
            </w:pPr>
          </w:p>
        </w:tc>
        <w:tc>
          <w:tcPr>
            <w:tcW w:w="2743" w:type="dxa"/>
            <w:vAlign w:val="center"/>
          </w:tcPr>
          <w:p>
            <w:pPr>
              <w:jc w:val="center"/>
              <w:rPr>
                <w:rFonts w:ascii="宋体" w:hAnsi="宋体" w:cs="宋体"/>
                <w:color w:val="auto"/>
                <w:sz w:val="22"/>
                <w:highlight w:val="none"/>
              </w:rPr>
            </w:pPr>
          </w:p>
        </w:tc>
        <w:tc>
          <w:tcPr>
            <w:tcW w:w="3023" w:type="dxa"/>
            <w:vAlign w:val="center"/>
          </w:tcPr>
          <w:p>
            <w:pPr>
              <w:jc w:val="center"/>
              <w:rPr>
                <w:rFonts w:ascii="宋体" w:hAnsi="宋体" w:cs="宋体"/>
                <w:color w:val="auto"/>
                <w:sz w:val="22"/>
                <w:highlight w:val="none"/>
              </w:rPr>
            </w:pPr>
          </w:p>
        </w:tc>
        <w:tc>
          <w:tcPr>
            <w:tcW w:w="1260" w:type="dxa"/>
            <w:vAlign w:val="center"/>
          </w:tcPr>
          <w:p>
            <w:pPr>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hAnsi="宋体" w:cs="宋体"/>
                <w:color w:val="auto"/>
                <w:sz w:val="22"/>
                <w:highlight w:val="none"/>
              </w:rPr>
            </w:pPr>
          </w:p>
        </w:tc>
        <w:tc>
          <w:tcPr>
            <w:tcW w:w="1434" w:type="dxa"/>
            <w:vAlign w:val="center"/>
          </w:tcPr>
          <w:p>
            <w:pPr>
              <w:jc w:val="center"/>
              <w:rPr>
                <w:rFonts w:ascii="宋体" w:hAnsi="宋体" w:cs="宋体"/>
                <w:color w:val="auto"/>
                <w:sz w:val="22"/>
                <w:highlight w:val="none"/>
              </w:rPr>
            </w:pPr>
          </w:p>
        </w:tc>
        <w:tc>
          <w:tcPr>
            <w:tcW w:w="2743" w:type="dxa"/>
            <w:vAlign w:val="center"/>
          </w:tcPr>
          <w:p>
            <w:pPr>
              <w:jc w:val="center"/>
              <w:rPr>
                <w:rFonts w:ascii="宋体" w:hAnsi="宋体" w:cs="宋体"/>
                <w:color w:val="auto"/>
                <w:sz w:val="22"/>
                <w:highlight w:val="none"/>
              </w:rPr>
            </w:pPr>
          </w:p>
        </w:tc>
        <w:tc>
          <w:tcPr>
            <w:tcW w:w="3023" w:type="dxa"/>
            <w:vAlign w:val="center"/>
          </w:tcPr>
          <w:p>
            <w:pPr>
              <w:jc w:val="center"/>
              <w:rPr>
                <w:rFonts w:ascii="宋体" w:hAnsi="宋体" w:cs="宋体"/>
                <w:color w:val="auto"/>
                <w:sz w:val="22"/>
                <w:highlight w:val="none"/>
              </w:rPr>
            </w:pPr>
          </w:p>
        </w:tc>
        <w:tc>
          <w:tcPr>
            <w:tcW w:w="1260" w:type="dxa"/>
            <w:vAlign w:val="center"/>
          </w:tcPr>
          <w:p>
            <w:pPr>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hAnsi="宋体" w:cs="宋体"/>
                <w:color w:val="auto"/>
                <w:sz w:val="22"/>
                <w:highlight w:val="none"/>
              </w:rPr>
            </w:pPr>
          </w:p>
        </w:tc>
        <w:tc>
          <w:tcPr>
            <w:tcW w:w="1434" w:type="dxa"/>
            <w:vAlign w:val="center"/>
          </w:tcPr>
          <w:p>
            <w:pPr>
              <w:jc w:val="center"/>
              <w:rPr>
                <w:rFonts w:ascii="宋体" w:hAnsi="宋体" w:cs="宋体"/>
                <w:color w:val="auto"/>
                <w:sz w:val="22"/>
                <w:highlight w:val="none"/>
              </w:rPr>
            </w:pPr>
          </w:p>
        </w:tc>
        <w:tc>
          <w:tcPr>
            <w:tcW w:w="2743" w:type="dxa"/>
            <w:vAlign w:val="center"/>
          </w:tcPr>
          <w:p>
            <w:pPr>
              <w:jc w:val="center"/>
              <w:rPr>
                <w:rFonts w:ascii="宋体" w:hAnsi="宋体" w:cs="宋体"/>
                <w:color w:val="auto"/>
                <w:sz w:val="22"/>
                <w:highlight w:val="none"/>
              </w:rPr>
            </w:pPr>
          </w:p>
        </w:tc>
        <w:tc>
          <w:tcPr>
            <w:tcW w:w="3023" w:type="dxa"/>
            <w:vAlign w:val="center"/>
          </w:tcPr>
          <w:p>
            <w:pPr>
              <w:jc w:val="center"/>
              <w:rPr>
                <w:rFonts w:ascii="宋体" w:hAnsi="宋体" w:cs="宋体"/>
                <w:color w:val="auto"/>
                <w:sz w:val="22"/>
                <w:highlight w:val="none"/>
              </w:rPr>
            </w:pPr>
          </w:p>
        </w:tc>
        <w:tc>
          <w:tcPr>
            <w:tcW w:w="1260" w:type="dxa"/>
            <w:vAlign w:val="center"/>
          </w:tcPr>
          <w:p>
            <w:pPr>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hAnsi="宋体" w:cs="宋体"/>
                <w:color w:val="auto"/>
                <w:sz w:val="22"/>
                <w:highlight w:val="none"/>
              </w:rPr>
            </w:pPr>
          </w:p>
        </w:tc>
        <w:tc>
          <w:tcPr>
            <w:tcW w:w="1434" w:type="dxa"/>
            <w:vAlign w:val="center"/>
          </w:tcPr>
          <w:p>
            <w:pPr>
              <w:jc w:val="center"/>
              <w:rPr>
                <w:rFonts w:ascii="宋体" w:hAnsi="宋体" w:cs="宋体"/>
                <w:color w:val="auto"/>
                <w:sz w:val="22"/>
                <w:highlight w:val="none"/>
              </w:rPr>
            </w:pPr>
          </w:p>
        </w:tc>
        <w:tc>
          <w:tcPr>
            <w:tcW w:w="2743" w:type="dxa"/>
            <w:vAlign w:val="center"/>
          </w:tcPr>
          <w:p>
            <w:pPr>
              <w:jc w:val="center"/>
              <w:rPr>
                <w:rFonts w:ascii="宋体" w:hAnsi="宋体" w:cs="宋体"/>
                <w:color w:val="auto"/>
                <w:sz w:val="22"/>
                <w:highlight w:val="none"/>
              </w:rPr>
            </w:pPr>
          </w:p>
        </w:tc>
        <w:tc>
          <w:tcPr>
            <w:tcW w:w="3023" w:type="dxa"/>
            <w:vAlign w:val="center"/>
          </w:tcPr>
          <w:p>
            <w:pPr>
              <w:jc w:val="center"/>
              <w:rPr>
                <w:rFonts w:ascii="宋体" w:hAnsi="宋体" w:cs="宋体"/>
                <w:color w:val="auto"/>
                <w:sz w:val="22"/>
                <w:highlight w:val="none"/>
              </w:rPr>
            </w:pPr>
          </w:p>
        </w:tc>
        <w:tc>
          <w:tcPr>
            <w:tcW w:w="1260" w:type="dxa"/>
            <w:vAlign w:val="center"/>
          </w:tcPr>
          <w:p>
            <w:pPr>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hAnsi="宋体" w:cs="宋体"/>
                <w:color w:val="auto"/>
                <w:sz w:val="22"/>
                <w:highlight w:val="none"/>
              </w:rPr>
            </w:pPr>
          </w:p>
        </w:tc>
        <w:tc>
          <w:tcPr>
            <w:tcW w:w="1434" w:type="dxa"/>
            <w:vAlign w:val="center"/>
          </w:tcPr>
          <w:p>
            <w:pPr>
              <w:jc w:val="center"/>
              <w:rPr>
                <w:rFonts w:ascii="宋体" w:hAnsi="宋体" w:cs="宋体"/>
                <w:color w:val="auto"/>
                <w:sz w:val="22"/>
                <w:highlight w:val="none"/>
              </w:rPr>
            </w:pPr>
          </w:p>
        </w:tc>
        <w:tc>
          <w:tcPr>
            <w:tcW w:w="2743" w:type="dxa"/>
            <w:vAlign w:val="center"/>
          </w:tcPr>
          <w:p>
            <w:pPr>
              <w:jc w:val="center"/>
              <w:rPr>
                <w:rFonts w:ascii="宋体" w:hAnsi="宋体" w:cs="宋体"/>
                <w:color w:val="auto"/>
                <w:sz w:val="22"/>
                <w:highlight w:val="none"/>
              </w:rPr>
            </w:pPr>
          </w:p>
        </w:tc>
        <w:tc>
          <w:tcPr>
            <w:tcW w:w="3023" w:type="dxa"/>
            <w:vAlign w:val="center"/>
          </w:tcPr>
          <w:p>
            <w:pPr>
              <w:jc w:val="center"/>
              <w:rPr>
                <w:rFonts w:ascii="宋体" w:hAnsi="宋体" w:cs="宋体"/>
                <w:color w:val="auto"/>
                <w:sz w:val="22"/>
                <w:highlight w:val="none"/>
              </w:rPr>
            </w:pPr>
          </w:p>
        </w:tc>
        <w:tc>
          <w:tcPr>
            <w:tcW w:w="1260" w:type="dxa"/>
            <w:vAlign w:val="center"/>
          </w:tcPr>
          <w:p>
            <w:pPr>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pPr>
              <w:rPr>
                <w:rFonts w:ascii="宋体" w:hAnsi="宋体" w:cs="宋体"/>
                <w:color w:val="auto"/>
                <w:sz w:val="22"/>
                <w:highlight w:val="none"/>
              </w:rPr>
            </w:pPr>
            <w:r>
              <w:rPr>
                <w:rFonts w:hint="eastAsia" w:ascii="宋体" w:hAnsi="宋体" w:cs="宋体"/>
                <w:color w:val="auto"/>
                <w:sz w:val="22"/>
                <w:szCs w:val="22"/>
                <w:highlight w:val="none"/>
              </w:rPr>
              <w:t>商务偏离</w:t>
            </w:r>
          </w:p>
        </w:tc>
        <w:tc>
          <w:tcPr>
            <w:tcW w:w="1434" w:type="dxa"/>
            <w:vAlign w:val="center"/>
          </w:tcPr>
          <w:p>
            <w:pPr>
              <w:jc w:val="center"/>
              <w:rPr>
                <w:rFonts w:ascii="宋体" w:hAnsi="宋体" w:cs="宋体"/>
                <w:color w:val="auto"/>
                <w:sz w:val="22"/>
                <w:highlight w:val="none"/>
              </w:rPr>
            </w:pPr>
          </w:p>
        </w:tc>
        <w:tc>
          <w:tcPr>
            <w:tcW w:w="2743" w:type="dxa"/>
            <w:vAlign w:val="center"/>
          </w:tcPr>
          <w:p>
            <w:pPr>
              <w:jc w:val="center"/>
              <w:rPr>
                <w:rFonts w:ascii="宋体" w:hAnsi="宋体" w:cs="宋体"/>
                <w:color w:val="auto"/>
                <w:sz w:val="22"/>
                <w:highlight w:val="none"/>
              </w:rPr>
            </w:pPr>
          </w:p>
        </w:tc>
        <w:tc>
          <w:tcPr>
            <w:tcW w:w="3023" w:type="dxa"/>
            <w:vAlign w:val="center"/>
          </w:tcPr>
          <w:p>
            <w:pPr>
              <w:jc w:val="center"/>
              <w:rPr>
                <w:rFonts w:ascii="宋体" w:hAnsi="宋体" w:cs="宋体"/>
                <w:color w:val="auto"/>
                <w:sz w:val="22"/>
                <w:highlight w:val="none"/>
              </w:rPr>
            </w:pPr>
          </w:p>
        </w:tc>
        <w:tc>
          <w:tcPr>
            <w:tcW w:w="1260" w:type="dxa"/>
            <w:vAlign w:val="center"/>
          </w:tcPr>
          <w:p>
            <w:pPr>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hAnsi="宋体" w:cs="宋体"/>
                <w:color w:val="auto"/>
                <w:sz w:val="22"/>
                <w:highlight w:val="none"/>
              </w:rPr>
            </w:pPr>
          </w:p>
        </w:tc>
        <w:tc>
          <w:tcPr>
            <w:tcW w:w="1434" w:type="dxa"/>
            <w:vAlign w:val="center"/>
          </w:tcPr>
          <w:p>
            <w:pPr>
              <w:jc w:val="center"/>
              <w:rPr>
                <w:rFonts w:ascii="宋体" w:hAnsi="宋体" w:cs="宋体"/>
                <w:color w:val="auto"/>
                <w:sz w:val="22"/>
                <w:highlight w:val="none"/>
              </w:rPr>
            </w:pPr>
          </w:p>
        </w:tc>
        <w:tc>
          <w:tcPr>
            <w:tcW w:w="2743" w:type="dxa"/>
            <w:vAlign w:val="center"/>
          </w:tcPr>
          <w:p>
            <w:pPr>
              <w:jc w:val="center"/>
              <w:rPr>
                <w:rFonts w:ascii="宋体" w:hAnsi="宋体" w:cs="宋体"/>
                <w:color w:val="auto"/>
                <w:sz w:val="22"/>
                <w:highlight w:val="none"/>
              </w:rPr>
            </w:pPr>
          </w:p>
        </w:tc>
        <w:tc>
          <w:tcPr>
            <w:tcW w:w="3023" w:type="dxa"/>
            <w:vAlign w:val="center"/>
          </w:tcPr>
          <w:p>
            <w:pPr>
              <w:jc w:val="center"/>
              <w:rPr>
                <w:rFonts w:ascii="宋体" w:hAnsi="宋体" w:cs="宋体"/>
                <w:color w:val="auto"/>
                <w:sz w:val="22"/>
                <w:highlight w:val="none"/>
              </w:rPr>
            </w:pPr>
          </w:p>
        </w:tc>
        <w:tc>
          <w:tcPr>
            <w:tcW w:w="1260" w:type="dxa"/>
            <w:vAlign w:val="center"/>
          </w:tcPr>
          <w:p>
            <w:pPr>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hAnsi="宋体" w:cs="宋体"/>
                <w:color w:val="auto"/>
                <w:sz w:val="22"/>
                <w:highlight w:val="none"/>
              </w:rPr>
            </w:pPr>
          </w:p>
        </w:tc>
        <w:tc>
          <w:tcPr>
            <w:tcW w:w="1434" w:type="dxa"/>
            <w:vAlign w:val="center"/>
          </w:tcPr>
          <w:p>
            <w:pPr>
              <w:jc w:val="center"/>
              <w:rPr>
                <w:rFonts w:ascii="宋体" w:hAnsi="宋体" w:cs="宋体"/>
                <w:color w:val="auto"/>
                <w:sz w:val="22"/>
                <w:highlight w:val="none"/>
              </w:rPr>
            </w:pPr>
          </w:p>
        </w:tc>
        <w:tc>
          <w:tcPr>
            <w:tcW w:w="2743" w:type="dxa"/>
            <w:vAlign w:val="center"/>
          </w:tcPr>
          <w:p>
            <w:pPr>
              <w:jc w:val="center"/>
              <w:rPr>
                <w:rFonts w:ascii="宋体" w:hAnsi="宋体" w:cs="宋体"/>
                <w:color w:val="auto"/>
                <w:sz w:val="22"/>
                <w:highlight w:val="none"/>
              </w:rPr>
            </w:pPr>
          </w:p>
        </w:tc>
        <w:tc>
          <w:tcPr>
            <w:tcW w:w="3023" w:type="dxa"/>
            <w:vAlign w:val="center"/>
          </w:tcPr>
          <w:p>
            <w:pPr>
              <w:jc w:val="center"/>
              <w:rPr>
                <w:rFonts w:ascii="宋体" w:hAnsi="宋体" w:cs="宋体"/>
                <w:color w:val="auto"/>
                <w:sz w:val="22"/>
                <w:highlight w:val="none"/>
              </w:rPr>
            </w:pPr>
          </w:p>
        </w:tc>
        <w:tc>
          <w:tcPr>
            <w:tcW w:w="1260" w:type="dxa"/>
            <w:vAlign w:val="center"/>
          </w:tcPr>
          <w:p>
            <w:pPr>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hAnsi="宋体" w:cs="宋体"/>
                <w:color w:val="auto"/>
                <w:sz w:val="22"/>
                <w:highlight w:val="none"/>
              </w:rPr>
            </w:pPr>
          </w:p>
        </w:tc>
        <w:tc>
          <w:tcPr>
            <w:tcW w:w="1434" w:type="dxa"/>
            <w:vAlign w:val="center"/>
          </w:tcPr>
          <w:p>
            <w:pPr>
              <w:jc w:val="center"/>
              <w:rPr>
                <w:rFonts w:ascii="宋体" w:hAnsi="宋体" w:cs="宋体"/>
                <w:color w:val="auto"/>
                <w:sz w:val="22"/>
                <w:highlight w:val="none"/>
              </w:rPr>
            </w:pPr>
          </w:p>
        </w:tc>
        <w:tc>
          <w:tcPr>
            <w:tcW w:w="2743" w:type="dxa"/>
            <w:vAlign w:val="center"/>
          </w:tcPr>
          <w:p>
            <w:pPr>
              <w:jc w:val="center"/>
              <w:rPr>
                <w:rFonts w:ascii="宋体" w:hAnsi="宋体" w:cs="宋体"/>
                <w:color w:val="auto"/>
                <w:sz w:val="22"/>
                <w:highlight w:val="none"/>
              </w:rPr>
            </w:pPr>
          </w:p>
        </w:tc>
        <w:tc>
          <w:tcPr>
            <w:tcW w:w="3023" w:type="dxa"/>
            <w:vAlign w:val="center"/>
          </w:tcPr>
          <w:p>
            <w:pPr>
              <w:jc w:val="center"/>
              <w:rPr>
                <w:rFonts w:ascii="宋体" w:hAnsi="宋体" w:cs="宋体"/>
                <w:color w:val="auto"/>
                <w:sz w:val="22"/>
                <w:highlight w:val="none"/>
              </w:rPr>
            </w:pPr>
          </w:p>
        </w:tc>
        <w:tc>
          <w:tcPr>
            <w:tcW w:w="1260" w:type="dxa"/>
            <w:vAlign w:val="center"/>
          </w:tcPr>
          <w:p>
            <w:pPr>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hAnsi="宋体" w:cs="宋体"/>
                <w:color w:val="auto"/>
                <w:sz w:val="22"/>
                <w:highlight w:val="none"/>
              </w:rPr>
            </w:pPr>
          </w:p>
        </w:tc>
        <w:tc>
          <w:tcPr>
            <w:tcW w:w="1434" w:type="dxa"/>
            <w:vAlign w:val="center"/>
          </w:tcPr>
          <w:p>
            <w:pPr>
              <w:jc w:val="center"/>
              <w:rPr>
                <w:rFonts w:ascii="宋体" w:hAnsi="宋体" w:cs="宋体"/>
                <w:color w:val="auto"/>
                <w:sz w:val="22"/>
                <w:highlight w:val="none"/>
              </w:rPr>
            </w:pPr>
          </w:p>
        </w:tc>
        <w:tc>
          <w:tcPr>
            <w:tcW w:w="2743" w:type="dxa"/>
            <w:vAlign w:val="center"/>
          </w:tcPr>
          <w:p>
            <w:pPr>
              <w:jc w:val="center"/>
              <w:rPr>
                <w:rFonts w:ascii="宋体" w:hAnsi="宋体" w:cs="宋体"/>
                <w:color w:val="auto"/>
                <w:sz w:val="22"/>
                <w:highlight w:val="none"/>
              </w:rPr>
            </w:pPr>
          </w:p>
        </w:tc>
        <w:tc>
          <w:tcPr>
            <w:tcW w:w="3023" w:type="dxa"/>
            <w:vAlign w:val="center"/>
          </w:tcPr>
          <w:p>
            <w:pPr>
              <w:jc w:val="center"/>
              <w:rPr>
                <w:rFonts w:ascii="宋体" w:hAnsi="宋体" w:cs="宋体"/>
                <w:color w:val="auto"/>
                <w:sz w:val="22"/>
                <w:highlight w:val="none"/>
              </w:rPr>
            </w:pPr>
          </w:p>
        </w:tc>
        <w:tc>
          <w:tcPr>
            <w:tcW w:w="1260" w:type="dxa"/>
            <w:vAlign w:val="center"/>
          </w:tcPr>
          <w:p>
            <w:pPr>
              <w:jc w:val="center"/>
              <w:rPr>
                <w:rFonts w:ascii="宋体" w:hAnsi="宋体" w:cs="宋体"/>
                <w:color w:val="auto"/>
                <w:sz w:val="22"/>
                <w:highlight w:val="none"/>
              </w:rPr>
            </w:pPr>
          </w:p>
        </w:tc>
      </w:tr>
    </w:tbl>
    <w:p>
      <w:pPr>
        <w:pStyle w:val="14"/>
        <w:spacing w:line="340" w:lineRule="exact"/>
        <w:rPr>
          <w:rFonts w:hAnsi="宋体"/>
          <w:color w:val="auto"/>
          <w:highlight w:val="none"/>
        </w:rPr>
      </w:pPr>
      <w:r>
        <w:rPr>
          <w:rFonts w:hint="eastAsia" w:hAnsi="宋体"/>
          <w:color w:val="auto"/>
          <w:highlight w:val="none"/>
        </w:rPr>
        <w:t>注：1、不填写此表视为完全响应招标文件内容；</w:t>
      </w:r>
    </w:p>
    <w:p>
      <w:pPr>
        <w:pStyle w:val="14"/>
        <w:spacing w:line="340" w:lineRule="exact"/>
        <w:rPr>
          <w:rFonts w:hAnsi="宋体"/>
          <w:color w:val="auto"/>
          <w:sz w:val="22"/>
          <w:highlight w:val="none"/>
        </w:rPr>
      </w:pPr>
      <w:r>
        <w:rPr>
          <w:rFonts w:hint="eastAsia" w:hAnsi="宋体"/>
          <w:color w:val="auto"/>
          <w:highlight w:val="none"/>
        </w:rPr>
        <w:t>2、“技术规格偏离表”必须按照招标文件要求逐条如实填写，根据投标情况在“说明”项填写正偏离或负偏离，完全符合的填写“无偏离”，并在投标文件中逐条提供响应技术规格要求的直接证据</w:t>
      </w:r>
      <w:r>
        <w:rPr>
          <w:rFonts w:hint="eastAsia" w:hAnsi="宋体"/>
          <w:color w:val="auto"/>
          <w:sz w:val="22"/>
          <w:szCs w:val="22"/>
          <w:highlight w:val="none"/>
        </w:rPr>
        <w:t>。</w:t>
      </w:r>
    </w:p>
    <w:p>
      <w:pPr>
        <w:pStyle w:val="14"/>
        <w:spacing w:line="340" w:lineRule="exact"/>
        <w:ind w:left="657" w:leftChars="313" w:firstLine="4180" w:firstLineChars="1900"/>
        <w:rPr>
          <w:rFonts w:hAnsi="宋体"/>
          <w:color w:val="auto"/>
          <w:sz w:val="22"/>
          <w:highlight w:val="none"/>
        </w:rPr>
      </w:pPr>
    </w:p>
    <w:p>
      <w:pPr>
        <w:pStyle w:val="14"/>
        <w:spacing w:line="340" w:lineRule="exact"/>
        <w:ind w:left="657" w:leftChars="313" w:firstLine="4180" w:firstLineChars="1900"/>
        <w:rPr>
          <w:rFonts w:hAnsi="宋体"/>
          <w:color w:val="auto"/>
          <w:sz w:val="22"/>
          <w:highlight w:val="none"/>
        </w:rPr>
      </w:pPr>
    </w:p>
    <w:p>
      <w:pPr>
        <w:pStyle w:val="14"/>
        <w:spacing w:line="340" w:lineRule="exact"/>
        <w:ind w:left="657" w:leftChars="313" w:firstLine="4180" w:firstLineChars="1900"/>
        <w:rPr>
          <w:rFonts w:hAnsi="宋体"/>
          <w:color w:val="auto"/>
          <w:sz w:val="22"/>
          <w:highlight w:val="none"/>
        </w:rPr>
      </w:pPr>
      <w:r>
        <w:rPr>
          <w:rFonts w:hint="eastAsia" w:hAnsi="宋体"/>
          <w:color w:val="auto"/>
          <w:sz w:val="22"/>
          <w:highlight w:val="none"/>
        </w:rPr>
        <w:t>投标单位名称（盖章）：</w:t>
      </w:r>
    </w:p>
    <w:p>
      <w:pPr>
        <w:spacing w:line="440" w:lineRule="atLeast"/>
        <w:ind w:firstLine="4070" w:firstLineChars="1850"/>
        <w:rPr>
          <w:rFonts w:ascii="宋体" w:hAnsi="宋体" w:cs="宋体"/>
          <w:color w:val="auto"/>
          <w:sz w:val="22"/>
          <w:szCs w:val="22"/>
          <w:highlight w:val="none"/>
        </w:rPr>
      </w:pPr>
      <w:r>
        <w:rPr>
          <w:rFonts w:hint="eastAsia" w:ascii="宋体" w:hAnsi="宋体" w:cs="宋体"/>
          <w:color w:val="auto"/>
          <w:sz w:val="22"/>
          <w:szCs w:val="22"/>
          <w:highlight w:val="none"/>
        </w:rPr>
        <w:t>法定代表人（负责人）或授权代表（签字或盖章）：</w:t>
      </w:r>
    </w:p>
    <w:p>
      <w:pPr>
        <w:pStyle w:val="14"/>
        <w:tabs>
          <w:tab w:val="left" w:pos="0"/>
          <w:tab w:val="left" w:pos="540"/>
        </w:tabs>
        <w:spacing w:line="340" w:lineRule="exact"/>
        <w:rPr>
          <w:rFonts w:hAnsi="宋体"/>
          <w:color w:val="auto"/>
          <w:sz w:val="22"/>
          <w:highlight w:val="none"/>
        </w:rPr>
      </w:pPr>
      <w:r>
        <w:rPr>
          <w:rFonts w:hint="eastAsia" w:hAnsi="宋体"/>
          <w:color w:val="auto"/>
          <w:sz w:val="22"/>
          <w:highlight w:val="none"/>
        </w:rPr>
        <w:t xml:space="preserve">                                            日    期：    年   月   日</w:t>
      </w:r>
    </w:p>
    <w:p>
      <w:pPr>
        <w:widowControl/>
        <w:autoSpaceDE w:val="0"/>
        <w:autoSpaceDN w:val="0"/>
        <w:adjustRightInd w:val="0"/>
        <w:spacing w:line="460" w:lineRule="atLeast"/>
        <w:textAlignment w:val="bottom"/>
        <w:rPr>
          <w:rFonts w:ascii="宋体" w:hAnsi="宋体" w:cs="宋体"/>
          <w:color w:val="auto"/>
          <w:sz w:val="22"/>
          <w:szCs w:val="22"/>
          <w:highlight w:val="none"/>
        </w:rPr>
        <w:sectPr>
          <w:headerReference r:id="rId13" w:type="default"/>
          <w:footerReference r:id="rId14" w:type="default"/>
          <w:pgSz w:w="11906" w:h="16838"/>
          <w:pgMar w:top="1134" w:right="1134" w:bottom="1134" w:left="1134" w:header="851" w:footer="850" w:gutter="0"/>
          <w:cols w:space="720" w:num="1"/>
          <w:titlePg/>
          <w:docGrid w:type="lines" w:linePitch="312" w:charSpace="0"/>
        </w:sectPr>
      </w:pPr>
    </w:p>
    <w:p>
      <w:pPr>
        <w:widowControl/>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附件十三</w:t>
      </w:r>
    </w:p>
    <w:p>
      <w:pPr>
        <w:pStyle w:val="5"/>
        <w:tabs>
          <w:tab w:val="left" w:pos="840"/>
        </w:tabs>
        <w:jc w:val="center"/>
        <w:rPr>
          <w:rFonts w:ascii="宋体" w:hAnsi="宋体" w:eastAsia="宋体"/>
          <w:color w:val="auto"/>
          <w:sz w:val="28"/>
          <w:highlight w:val="none"/>
        </w:rPr>
      </w:pPr>
      <w:r>
        <w:rPr>
          <w:rFonts w:hint="eastAsia" w:ascii="宋体" w:hAnsi="宋体"/>
          <w:color w:val="auto"/>
          <w:sz w:val="28"/>
          <w:highlight w:val="none"/>
        </w:rPr>
        <w:t>拟投入本项目人员配备情况表</w:t>
      </w:r>
    </w:p>
    <w:tbl>
      <w:tblPr>
        <w:tblStyle w:val="27"/>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09"/>
        <w:gridCol w:w="908"/>
        <w:gridCol w:w="909"/>
        <w:gridCol w:w="909"/>
        <w:gridCol w:w="1235"/>
        <w:gridCol w:w="1358"/>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9" w:hRule="exact"/>
          <w:jc w:val="center"/>
        </w:trPr>
        <w:tc>
          <w:tcPr>
            <w:tcW w:w="908" w:type="dxa"/>
            <w:vAlign w:val="center"/>
          </w:tcPr>
          <w:p>
            <w:pPr>
              <w:spacing w:before="31" w:beforeLines="10" w:line="400" w:lineRule="exact"/>
              <w:jc w:val="center"/>
              <w:rPr>
                <w:rFonts w:ascii="宋体" w:hAnsi="宋体" w:cs="Arial Unicode MS"/>
                <w:color w:val="auto"/>
                <w:highlight w:val="none"/>
              </w:rPr>
            </w:pPr>
            <w:r>
              <w:rPr>
                <w:rFonts w:hint="eastAsia" w:ascii="宋体" w:hAnsi="宋体" w:cs="Arial Unicode MS"/>
                <w:color w:val="auto"/>
                <w:highlight w:val="none"/>
              </w:rPr>
              <w:t>姓名</w:t>
            </w:r>
          </w:p>
        </w:tc>
        <w:tc>
          <w:tcPr>
            <w:tcW w:w="909" w:type="dxa"/>
            <w:vAlign w:val="center"/>
          </w:tcPr>
          <w:p>
            <w:pPr>
              <w:spacing w:before="31" w:beforeLines="10" w:line="400" w:lineRule="exact"/>
              <w:jc w:val="center"/>
              <w:rPr>
                <w:rFonts w:ascii="宋体" w:hAnsi="宋体" w:cs="Arial Unicode MS"/>
                <w:color w:val="auto"/>
                <w:highlight w:val="none"/>
              </w:rPr>
            </w:pPr>
            <w:r>
              <w:rPr>
                <w:rFonts w:hint="eastAsia" w:ascii="宋体" w:hAnsi="宋体" w:cs="Arial Unicode MS"/>
                <w:color w:val="auto"/>
                <w:highlight w:val="none"/>
              </w:rPr>
              <w:t>性别</w:t>
            </w:r>
          </w:p>
        </w:tc>
        <w:tc>
          <w:tcPr>
            <w:tcW w:w="908" w:type="dxa"/>
            <w:vAlign w:val="center"/>
          </w:tcPr>
          <w:p>
            <w:pPr>
              <w:spacing w:before="31" w:beforeLines="10" w:line="400" w:lineRule="exact"/>
              <w:jc w:val="center"/>
              <w:rPr>
                <w:rFonts w:ascii="宋体" w:hAnsi="宋体" w:cs="Arial Unicode MS"/>
                <w:color w:val="auto"/>
                <w:highlight w:val="none"/>
              </w:rPr>
            </w:pPr>
            <w:r>
              <w:rPr>
                <w:rFonts w:hint="eastAsia" w:ascii="宋体" w:hAnsi="宋体" w:cs="Arial Unicode MS"/>
                <w:color w:val="auto"/>
                <w:highlight w:val="none"/>
              </w:rPr>
              <w:t>年龄</w:t>
            </w:r>
          </w:p>
        </w:tc>
        <w:tc>
          <w:tcPr>
            <w:tcW w:w="909" w:type="dxa"/>
            <w:vAlign w:val="center"/>
          </w:tcPr>
          <w:p>
            <w:pPr>
              <w:spacing w:before="31" w:beforeLines="10" w:line="400" w:lineRule="exact"/>
              <w:jc w:val="center"/>
              <w:rPr>
                <w:rFonts w:ascii="宋体" w:hAnsi="宋体" w:cs="Arial Unicode MS"/>
                <w:color w:val="auto"/>
                <w:highlight w:val="none"/>
              </w:rPr>
            </w:pPr>
            <w:r>
              <w:rPr>
                <w:rFonts w:hint="eastAsia" w:ascii="宋体" w:hAnsi="宋体" w:cs="Arial Unicode MS"/>
                <w:color w:val="auto"/>
                <w:highlight w:val="none"/>
              </w:rPr>
              <w:t>职务</w:t>
            </w:r>
          </w:p>
        </w:tc>
        <w:tc>
          <w:tcPr>
            <w:tcW w:w="909" w:type="dxa"/>
            <w:vAlign w:val="center"/>
          </w:tcPr>
          <w:p>
            <w:pPr>
              <w:spacing w:before="31" w:beforeLines="10" w:line="400" w:lineRule="exact"/>
              <w:jc w:val="center"/>
              <w:rPr>
                <w:rFonts w:ascii="宋体" w:hAnsi="宋体" w:cs="Arial Unicode MS"/>
                <w:color w:val="auto"/>
                <w:highlight w:val="none"/>
              </w:rPr>
            </w:pPr>
            <w:r>
              <w:rPr>
                <w:rFonts w:hint="eastAsia" w:ascii="宋体" w:hAnsi="宋体" w:cs="Arial Unicode MS"/>
                <w:color w:val="auto"/>
                <w:highlight w:val="none"/>
              </w:rPr>
              <w:t>职称</w:t>
            </w:r>
          </w:p>
        </w:tc>
        <w:tc>
          <w:tcPr>
            <w:tcW w:w="1235" w:type="dxa"/>
            <w:vAlign w:val="center"/>
          </w:tcPr>
          <w:p>
            <w:pPr>
              <w:spacing w:before="31" w:beforeLines="10" w:line="400" w:lineRule="exact"/>
              <w:jc w:val="center"/>
              <w:rPr>
                <w:rFonts w:ascii="宋体" w:hAnsi="宋体" w:cs="Arial Unicode MS"/>
                <w:color w:val="auto"/>
                <w:highlight w:val="none"/>
              </w:rPr>
            </w:pPr>
            <w:r>
              <w:rPr>
                <w:rFonts w:hint="eastAsia" w:ascii="宋体" w:hAnsi="宋体" w:cs="Arial Unicode MS"/>
                <w:color w:val="auto"/>
                <w:highlight w:val="none"/>
              </w:rPr>
              <w:t>拟担任本项目工作内容</w:t>
            </w:r>
          </w:p>
        </w:tc>
        <w:tc>
          <w:tcPr>
            <w:tcW w:w="1358" w:type="dxa"/>
            <w:vAlign w:val="center"/>
          </w:tcPr>
          <w:p>
            <w:pPr>
              <w:spacing w:before="31" w:beforeLines="10" w:line="400" w:lineRule="exact"/>
              <w:jc w:val="center"/>
              <w:rPr>
                <w:rFonts w:ascii="宋体" w:hAnsi="宋体" w:cs="Arial Unicode MS"/>
                <w:color w:val="auto"/>
                <w:highlight w:val="none"/>
              </w:rPr>
            </w:pPr>
            <w:r>
              <w:rPr>
                <w:rFonts w:hint="eastAsia" w:ascii="宋体" w:hAnsi="宋体" w:cs="Arial Unicode MS"/>
                <w:color w:val="auto"/>
                <w:highlight w:val="none"/>
              </w:rPr>
              <w:t>资格证书（如有）</w:t>
            </w:r>
          </w:p>
        </w:tc>
        <w:tc>
          <w:tcPr>
            <w:tcW w:w="1874" w:type="dxa"/>
            <w:vAlign w:val="center"/>
          </w:tcPr>
          <w:p>
            <w:pPr>
              <w:spacing w:before="31" w:beforeLines="10" w:line="400" w:lineRule="exact"/>
              <w:jc w:val="center"/>
              <w:rPr>
                <w:rFonts w:ascii="宋体" w:hAnsi="宋体" w:cs="Arial Unicode MS"/>
                <w:color w:val="auto"/>
                <w:highlight w:val="none"/>
              </w:rPr>
            </w:pPr>
            <w:r>
              <w:rPr>
                <w:rFonts w:hint="eastAsia" w:ascii="宋体" w:hAnsi="宋体" w:cs="Arial Unicode MS"/>
                <w:color w:val="auto"/>
                <w:highlight w:val="none"/>
              </w:rPr>
              <w:t>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1235" w:type="dxa"/>
          </w:tcPr>
          <w:p>
            <w:pPr>
              <w:spacing w:before="31" w:beforeLines="10" w:line="400" w:lineRule="exact"/>
              <w:rPr>
                <w:rFonts w:ascii="宋体" w:hAnsi="宋体" w:cs="Arial Unicode MS"/>
                <w:color w:val="auto"/>
                <w:highlight w:val="none"/>
              </w:rPr>
            </w:pPr>
          </w:p>
        </w:tc>
        <w:tc>
          <w:tcPr>
            <w:tcW w:w="1358" w:type="dxa"/>
          </w:tcPr>
          <w:p>
            <w:pPr>
              <w:spacing w:before="31" w:beforeLines="10" w:line="400" w:lineRule="exact"/>
              <w:rPr>
                <w:rFonts w:ascii="宋体" w:hAnsi="宋体" w:cs="Arial Unicode MS"/>
                <w:color w:val="auto"/>
                <w:highlight w:val="none"/>
              </w:rPr>
            </w:pPr>
          </w:p>
        </w:tc>
        <w:tc>
          <w:tcPr>
            <w:tcW w:w="1874" w:type="dxa"/>
          </w:tcPr>
          <w:p>
            <w:pPr>
              <w:spacing w:before="31" w:beforeLines="10" w:line="400" w:lineRule="exact"/>
              <w:rPr>
                <w:rFonts w:ascii="宋体" w:hAnsi="宋体" w:cs="Arial Unicode M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1235" w:type="dxa"/>
          </w:tcPr>
          <w:p>
            <w:pPr>
              <w:spacing w:before="31" w:beforeLines="10" w:line="400" w:lineRule="exact"/>
              <w:rPr>
                <w:rFonts w:ascii="宋体" w:hAnsi="宋体" w:cs="Arial Unicode MS"/>
                <w:color w:val="auto"/>
                <w:highlight w:val="none"/>
              </w:rPr>
            </w:pPr>
          </w:p>
        </w:tc>
        <w:tc>
          <w:tcPr>
            <w:tcW w:w="1358" w:type="dxa"/>
          </w:tcPr>
          <w:p>
            <w:pPr>
              <w:spacing w:before="31" w:beforeLines="10" w:line="400" w:lineRule="exact"/>
              <w:rPr>
                <w:rFonts w:ascii="宋体" w:hAnsi="宋体" w:cs="Arial Unicode MS"/>
                <w:color w:val="auto"/>
                <w:highlight w:val="none"/>
              </w:rPr>
            </w:pPr>
          </w:p>
        </w:tc>
        <w:tc>
          <w:tcPr>
            <w:tcW w:w="1874" w:type="dxa"/>
          </w:tcPr>
          <w:p>
            <w:pPr>
              <w:spacing w:before="31" w:beforeLines="10" w:line="400" w:lineRule="exact"/>
              <w:rPr>
                <w:rFonts w:ascii="宋体" w:hAnsi="宋体" w:cs="Arial Unicode M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1235" w:type="dxa"/>
          </w:tcPr>
          <w:p>
            <w:pPr>
              <w:spacing w:before="31" w:beforeLines="10" w:line="400" w:lineRule="exact"/>
              <w:rPr>
                <w:rFonts w:ascii="宋体" w:hAnsi="宋体" w:cs="Arial Unicode MS"/>
                <w:color w:val="auto"/>
                <w:highlight w:val="none"/>
              </w:rPr>
            </w:pPr>
          </w:p>
        </w:tc>
        <w:tc>
          <w:tcPr>
            <w:tcW w:w="1358" w:type="dxa"/>
          </w:tcPr>
          <w:p>
            <w:pPr>
              <w:spacing w:before="31" w:beforeLines="10" w:line="400" w:lineRule="exact"/>
              <w:rPr>
                <w:rFonts w:ascii="宋体" w:hAnsi="宋体" w:cs="Arial Unicode MS"/>
                <w:color w:val="auto"/>
                <w:highlight w:val="none"/>
              </w:rPr>
            </w:pPr>
          </w:p>
        </w:tc>
        <w:tc>
          <w:tcPr>
            <w:tcW w:w="1874" w:type="dxa"/>
          </w:tcPr>
          <w:p>
            <w:pPr>
              <w:spacing w:before="31" w:beforeLines="10" w:line="400" w:lineRule="exact"/>
              <w:rPr>
                <w:rFonts w:ascii="宋体" w:hAnsi="宋体" w:cs="Arial Unicode M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1235" w:type="dxa"/>
          </w:tcPr>
          <w:p>
            <w:pPr>
              <w:spacing w:before="31" w:beforeLines="10" w:line="400" w:lineRule="exact"/>
              <w:rPr>
                <w:rFonts w:ascii="宋体" w:hAnsi="宋体" w:cs="Arial Unicode MS"/>
                <w:color w:val="auto"/>
                <w:highlight w:val="none"/>
              </w:rPr>
            </w:pPr>
          </w:p>
        </w:tc>
        <w:tc>
          <w:tcPr>
            <w:tcW w:w="1358" w:type="dxa"/>
          </w:tcPr>
          <w:p>
            <w:pPr>
              <w:spacing w:before="31" w:beforeLines="10" w:line="400" w:lineRule="exact"/>
              <w:rPr>
                <w:rFonts w:ascii="宋体" w:hAnsi="宋体" w:cs="Arial Unicode MS"/>
                <w:color w:val="auto"/>
                <w:highlight w:val="none"/>
              </w:rPr>
            </w:pPr>
          </w:p>
        </w:tc>
        <w:tc>
          <w:tcPr>
            <w:tcW w:w="1874" w:type="dxa"/>
          </w:tcPr>
          <w:p>
            <w:pPr>
              <w:spacing w:before="31" w:beforeLines="10" w:line="400" w:lineRule="exact"/>
              <w:rPr>
                <w:rFonts w:ascii="宋体" w:hAnsi="宋体" w:cs="Arial Unicode M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1235" w:type="dxa"/>
          </w:tcPr>
          <w:p>
            <w:pPr>
              <w:spacing w:before="31" w:beforeLines="10" w:line="400" w:lineRule="exact"/>
              <w:rPr>
                <w:rFonts w:ascii="宋体" w:hAnsi="宋体" w:cs="Arial Unicode MS"/>
                <w:color w:val="auto"/>
                <w:highlight w:val="none"/>
              </w:rPr>
            </w:pPr>
          </w:p>
        </w:tc>
        <w:tc>
          <w:tcPr>
            <w:tcW w:w="1358" w:type="dxa"/>
          </w:tcPr>
          <w:p>
            <w:pPr>
              <w:spacing w:before="31" w:beforeLines="10" w:line="400" w:lineRule="exact"/>
              <w:rPr>
                <w:rFonts w:ascii="宋体" w:hAnsi="宋体" w:cs="Arial Unicode MS"/>
                <w:color w:val="auto"/>
                <w:highlight w:val="none"/>
              </w:rPr>
            </w:pPr>
          </w:p>
        </w:tc>
        <w:tc>
          <w:tcPr>
            <w:tcW w:w="1874" w:type="dxa"/>
          </w:tcPr>
          <w:p>
            <w:pPr>
              <w:spacing w:before="31" w:beforeLines="10" w:line="400" w:lineRule="exact"/>
              <w:rPr>
                <w:rFonts w:ascii="宋体" w:hAnsi="宋体" w:cs="Arial Unicode M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1235" w:type="dxa"/>
          </w:tcPr>
          <w:p>
            <w:pPr>
              <w:spacing w:before="31" w:beforeLines="10" w:line="400" w:lineRule="exact"/>
              <w:rPr>
                <w:rFonts w:ascii="宋体" w:hAnsi="宋体" w:cs="Arial Unicode MS"/>
                <w:color w:val="auto"/>
                <w:highlight w:val="none"/>
              </w:rPr>
            </w:pPr>
          </w:p>
        </w:tc>
        <w:tc>
          <w:tcPr>
            <w:tcW w:w="1358" w:type="dxa"/>
          </w:tcPr>
          <w:p>
            <w:pPr>
              <w:spacing w:before="31" w:beforeLines="10" w:line="400" w:lineRule="exact"/>
              <w:rPr>
                <w:rFonts w:ascii="宋体" w:hAnsi="宋体" w:cs="Arial Unicode MS"/>
                <w:color w:val="auto"/>
                <w:highlight w:val="none"/>
              </w:rPr>
            </w:pPr>
          </w:p>
        </w:tc>
        <w:tc>
          <w:tcPr>
            <w:tcW w:w="1874" w:type="dxa"/>
          </w:tcPr>
          <w:p>
            <w:pPr>
              <w:spacing w:before="31" w:beforeLines="10" w:line="400" w:lineRule="exact"/>
              <w:rPr>
                <w:rFonts w:ascii="宋体" w:hAnsi="宋体" w:cs="Arial Unicode M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1235" w:type="dxa"/>
          </w:tcPr>
          <w:p>
            <w:pPr>
              <w:spacing w:before="31" w:beforeLines="10" w:line="400" w:lineRule="exact"/>
              <w:rPr>
                <w:rFonts w:ascii="宋体" w:hAnsi="宋体" w:cs="Arial Unicode MS"/>
                <w:color w:val="auto"/>
                <w:highlight w:val="none"/>
              </w:rPr>
            </w:pPr>
          </w:p>
        </w:tc>
        <w:tc>
          <w:tcPr>
            <w:tcW w:w="1358" w:type="dxa"/>
          </w:tcPr>
          <w:p>
            <w:pPr>
              <w:spacing w:before="31" w:beforeLines="10" w:line="400" w:lineRule="exact"/>
              <w:rPr>
                <w:rFonts w:ascii="宋体" w:hAnsi="宋体" w:cs="Arial Unicode MS"/>
                <w:color w:val="auto"/>
                <w:highlight w:val="none"/>
              </w:rPr>
            </w:pPr>
          </w:p>
        </w:tc>
        <w:tc>
          <w:tcPr>
            <w:tcW w:w="1874" w:type="dxa"/>
          </w:tcPr>
          <w:p>
            <w:pPr>
              <w:spacing w:before="31" w:beforeLines="10" w:line="400" w:lineRule="exact"/>
              <w:rPr>
                <w:rFonts w:ascii="宋体" w:hAnsi="宋体" w:cs="Arial Unicode M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1235" w:type="dxa"/>
          </w:tcPr>
          <w:p>
            <w:pPr>
              <w:spacing w:before="31" w:beforeLines="10" w:line="400" w:lineRule="exact"/>
              <w:rPr>
                <w:rFonts w:ascii="宋体" w:hAnsi="宋体" w:cs="Arial Unicode MS"/>
                <w:color w:val="auto"/>
                <w:highlight w:val="none"/>
              </w:rPr>
            </w:pPr>
          </w:p>
        </w:tc>
        <w:tc>
          <w:tcPr>
            <w:tcW w:w="1358" w:type="dxa"/>
          </w:tcPr>
          <w:p>
            <w:pPr>
              <w:spacing w:before="31" w:beforeLines="10" w:line="400" w:lineRule="exact"/>
              <w:rPr>
                <w:rFonts w:ascii="宋体" w:hAnsi="宋体" w:cs="Arial Unicode MS"/>
                <w:color w:val="auto"/>
                <w:highlight w:val="none"/>
              </w:rPr>
            </w:pPr>
          </w:p>
        </w:tc>
        <w:tc>
          <w:tcPr>
            <w:tcW w:w="1874" w:type="dxa"/>
          </w:tcPr>
          <w:p>
            <w:pPr>
              <w:spacing w:before="31" w:beforeLines="10" w:line="400" w:lineRule="exact"/>
              <w:rPr>
                <w:rFonts w:ascii="宋体" w:hAnsi="宋体" w:cs="Arial Unicode M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1235" w:type="dxa"/>
          </w:tcPr>
          <w:p>
            <w:pPr>
              <w:spacing w:before="31" w:beforeLines="10" w:line="400" w:lineRule="exact"/>
              <w:rPr>
                <w:rFonts w:ascii="宋体" w:hAnsi="宋体" w:cs="Arial Unicode MS"/>
                <w:color w:val="auto"/>
                <w:highlight w:val="none"/>
              </w:rPr>
            </w:pPr>
          </w:p>
        </w:tc>
        <w:tc>
          <w:tcPr>
            <w:tcW w:w="1358" w:type="dxa"/>
          </w:tcPr>
          <w:p>
            <w:pPr>
              <w:spacing w:before="31" w:beforeLines="10" w:line="400" w:lineRule="exact"/>
              <w:rPr>
                <w:rFonts w:ascii="宋体" w:hAnsi="宋体" w:cs="Arial Unicode MS"/>
                <w:color w:val="auto"/>
                <w:highlight w:val="none"/>
              </w:rPr>
            </w:pPr>
          </w:p>
        </w:tc>
        <w:tc>
          <w:tcPr>
            <w:tcW w:w="1874" w:type="dxa"/>
          </w:tcPr>
          <w:p>
            <w:pPr>
              <w:spacing w:before="31" w:beforeLines="10" w:line="400" w:lineRule="exact"/>
              <w:rPr>
                <w:rFonts w:ascii="宋体" w:hAnsi="宋体" w:cs="Arial Unicode M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1235" w:type="dxa"/>
          </w:tcPr>
          <w:p>
            <w:pPr>
              <w:spacing w:before="31" w:beforeLines="10" w:line="400" w:lineRule="exact"/>
              <w:rPr>
                <w:rFonts w:ascii="宋体" w:hAnsi="宋体" w:cs="Arial Unicode MS"/>
                <w:color w:val="auto"/>
                <w:highlight w:val="none"/>
              </w:rPr>
            </w:pPr>
          </w:p>
        </w:tc>
        <w:tc>
          <w:tcPr>
            <w:tcW w:w="1358" w:type="dxa"/>
          </w:tcPr>
          <w:p>
            <w:pPr>
              <w:spacing w:before="31" w:beforeLines="10" w:line="400" w:lineRule="exact"/>
              <w:rPr>
                <w:rFonts w:ascii="宋体" w:hAnsi="宋体" w:cs="Arial Unicode MS"/>
                <w:color w:val="auto"/>
                <w:highlight w:val="none"/>
              </w:rPr>
            </w:pPr>
          </w:p>
        </w:tc>
        <w:tc>
          <w:tcPr>
            <w:tcW w:w="1874" w:type="dxa"/>
          </w:tcPr>
          <w:p>
            <w:pPr>
              <w:spacing w:before="31" w:beforeLines="10" w:line="400" w:lineRule="exact"/>
              <w:rPr>
                <w:rFonts w:ascii="宋体" w:hAnsi="宋体" w:cs="Arial Unicode M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8"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909" w:type="dxa"/>
          </w:tcPr>
          <w:p>
            <w:pPr>
              <w:spacing w:before="31" w:beforeLines="10" w:line="400" w:lineRule="exact"/>
              <w:rPr>
                <w:rFonts w:ascii="宋体" w:hAnsi="宋体" w:cs="Arial Unicode MS"/>
                <w:color w:val="auto"/>
                <w:highlight w:val="none"/>
              </w:rPr>
            </w:pPr>
          </w:p>
        </w:tc>
        <w:tc>
          <w:tcPr>
            <w:tcW w:w="1235" w:type="dxa"/>
          </w:tcPr>
          <w:p>
            <w:pPr>
              <w:spacing w:before="31" w:beforeLines="10" w:line="400" w:lineRule="exact"/>
              <w:rPr>
                <w:rFonts w:ascii="宋体" w:hAnsi="宋体" w:cs="Arial Unicode MS"/>
                <w:color w:val="auto"/>
                <w:highlight w:val="none"/>
              </w:rPr>
            </w:pPr>
          </w:p>
        </w:tc>
        <w:tc>
          <w:tcPr>
            <w:tcW w:w="1358" w:type="dxa"/>
          </w:tcPr>
          <w:p>
            <w:pPr>
              <w:spacing w:before="31" w:beforeLines="10" w:line="400" w:lineRule="exact"/>
              <w:rPr>
                <w:rFonts w:ascii="宋体" w:hAnsi="宋体" w:cs="Arial Unicode MS"/>
                <w:color w:val="auto"/>
                <w:highlight w:val="none"/>
              </w:rPr>
            </w:pPr>
          </w:p>
        </w:tc>
        <w:tc>
          <w:tcPr>
            <w:tcW w:w="1874" w:type="dxa"/>
          </w:tcPr>
          <w:p>
            <w:pPr>
              <w:spacing w:before="31" w:beforeLines="10" w:line="400" w:lineRule="exact"/>
              <w:rPr>
                <w:rFonts w:ascii="宋体" w:hAnsi="宋体" w:cs="Arial Unicode MS"/>
                <w:color w:val="auto"/>
                <w:highlight w:val="none"/>
              </w:rPr>
            </w:pPr>
          </w:p>
        </w:tc>
      </w:tr>
    </w:tbl>
    <w:p>
      <w:pPr>
        <w:pStyle w:val="19"/>
        <w:tabs>
          <w:tab w:val="clear" w:pos="8777"/>
        </w:tabs>
        <w:rPr>
          <w:color w:val="auto"/>
          <w:highlight w:val="none"/>
        </w:rPr>
      </w:pPr>
      <w:r>
        <w:rPr>
          <w:rFonts w:hint="eastAsia"/>
          <w:color w:val="auto"/>
          <w:highlight w:val="none"/>
        </w:rPr>
        <w:t>注：1、本表中项目人员需提供相关证书和社保证明扫描件并加盖公章；</w:t>
      </w:r>
    </w:p>
    <w:p>
      <w:pPr>
        <w:pStyle w:val="19"/>
        <w:tabs>
          <w:tab w:val="clear" w:pos="8777"/>
        </w:tabs>
        <w:rPr>
          <w:color w:val="auto"/>
          <w:highlight w:val="none"/>
        </w:rPr>
      </w:pPr>
      <w:r>
        <w:rPr>
          <w:rFonts w:hint="eastAsia"/>
          <w:color w:val="auto"/>
          <w:highlight w:val="none"/>
        </w:rPr>
        <w:t>2、列入本表人员如要更换，需经采购人同意；擅自更换或不到位属违约行为。</w:t>
      </w:r>
    </w:p>
    <w:p>
      <w:pPr>
        <w:pStyle w:val="14"/>
        <w:tabs>
          <w:tab w:val="left" w:pos="0"/>
          <w:tab w:val="left" w:pos="540"/>
        </w:tabs>
        <w:spacing w:line="300" w:lineRule="auto"/>
        <w:ind w:left="438" w:leftChars="156" w:hanging="110" w:hangingChars="50"/>
        <w:rPr>
          <w:rFonts w:hAnsi="宋体"/>
          <w:color w:val="auto"/>
          <w:sz w:val="22"/>
          <w:szCs w:val="22"/>
          <w:highlight w:val="none"/>
        </w:rPr>
      </w:pPr>
    </w:p>
    <w:p>
      <w:pPr>
        <w:pStyle w:val="14"/>
        <w:spacing w:line="360" w:lineRule="auto"/>
        <w:rPr>
          <w:rFonts w:hAnsi="宋体"/>
          <w:color w:val="auto"/>
          <w:sz w:val="22"/>
          <w:szCs w:val="22"/>
          <w:highlight w:val="none"/>
        </w:rPr>
      </w:pPr>
      <w:r>
        <w:rPr>
          <w:rFonts w:hint="eastAsia" w:hAnsi="宋体"/>
          <w:color w:val="auto"/>
          <w:sz w:val="22"/>
          <w:szCs w:val="22"/>
          <w:highlight w:val="none"/>
        </w:rPr>
        <w:t>投标供应商全称（盖章）：</w:t>
      </w:r>
    </w:p>
    <w:p>
      <w:pPr>
        <w:pStyle w:val="14"/>
        <w:spacing w:line="360" w:lineRule="auto"/>
        <w:rPr>
          <w:rFonts w:hAnsi="宋体"/>
          <w:color w:val="auto"/>
          <w:sz w:val="22"/>
          <w:szCs w:val="22"/>
          <w:highlight w:val="none"/>
        </w:rPr>
      </w:pPr>
      <w:r>
        <w:rPr>
          <w:rFonts w:hint="eastAsia" w:hAnsi="宋体"/>
          <w:color w:val="auto"/>
          <w:sz w:val="22"/>
          <w:szCs w:val="22"/>
          <w:highlight w:val="none"/>
        </w:rPr>
        <w:t>法定代表人（负责人）或授权代表（签字或盖章）：</w:t>
      </w:r>
    </w:p>
    <w:p>
      <w:pPr>
        <w:pStyle w:val="14"/>
        <w:spacing w:line="360" w:lineRule="auto"/>
        <w:rPr>
          <w:rFonts w:hAnsi="宋体"/>
          <w:color w:val="auto"/>
          <w:sz w:val="22"/>
          <w:szCs w:val="22"/>
          <w:highlight w:val="none"/>
        </w:rPr>
      </w:pPr>
      <w:r>
        <w:rPr>
          <w:rFonts w:hint="eastAsia" w:hAnsi="宋体"/>
          <w:color w:val="auto"/>
          <w:sz w:val="22"/>
          <w:szCs w:val="22"/>
          <w:highlight w:val="none"/>
        </w:rPr>
        <w:t>日 期：       年      月      日</w:t>
      </w:r>
    </w:p>
    <w:p>
      <w:pPr>
        <w:rPr>
          <w:rFonts w:cs="宋体"/>
          <w:color w:val="auto"/>
          <w:kern w:val="0"/>
          <w:highlight w:val="none"/>
        </w:rPr>
      </w:pPr>
      <w:r>
        <w:rPr>
          <w:color w:val="auto"/>
          <w:highlight w:val="none"/>
        </w:rPr>
        <w:br w:type="page"/>
      </w:r>
    </w:p>
    <w:p>
      <w:pPr>
        <w:widowControl/>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附件十四</w:t>
      </w:r>
    </w:p>
    <w:p>
      <w:pPr>
        <w:spacing w:line="360" w:lineRule="exact"/>
        <w:jc w:val="center"/>
        <w:rPr>
          <w:rFonts w:ascii="宋体" w:hAnsi="宋体"/>
          <w:color w:val="auto"/>
          <w:spacing w:val="20"/>
          <w:sz w:val="32"/>
          <w:highlight w:val="none"/>
        </w:rPr>
      </w:pPr>
      <w:r>
        <w:rPr>
          <w:rFonts w:hint="eastAsia" w:ascii="宋体" w:hAnsi="宋体"/>
          <w:color w:val="auto"/>
          <w:sz w:val="36"/>
          <w:szCs w:val="36"/>
          <w:highlight w:val="none"/>
          <w:lang w:val="zh-CN"/>
        </w:rPr>
        <w:t>产品配置及主要技术参数</w:t>
      </w:r>
    </w:p>
    <w:p>
      <w:pPr>
        <w:spacing w:line="360" w:lineRule="exact"/>
        <w:rPr>
          <w:rFonts w:ascii="宋体" w:hAnsi="宋体"/>
          <w:b/>
          <w:color w:val="auto"/>
          <w:spacing w:val="20"/>
          <w:sz w:val="22"/>
          <w:highlight w:val="none"/>
        </w:rPr>
      </w:pPr>
      <w:r>
        <w:rPr>
          <w:rFonts w:hint="eastAsia" w:ascii="宋体" w:hAnsi="宋体"/>
          <w:color w:val="auto"/>
          <w:spacing w:val="20"/>
          <w:sz w:val="22"/>
          <w:highlight w:val="none"/>
        </w:rPr>
        <w:t xml:space="preserve">               招标编号：               项目名称：</w:t>
      </w:r>
    </w:p>
    <w:tbl>
      <w:tblPr>
        <w:tblStyle w:val="27"/>
        <w:tblW w:w="985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3"/>
        <w:gridCol w:w="1449"/>
        <w:gridCol w:w="1384"/>
        <w:gridCol w:w="3339"/>
        <w:gridCol w:w="757"/>
        <w:gridCol w:w="757"/>
        <w:gridCol w:w="16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513" w:type="dxa"/>
            <w:vAlign w:val="center"/>
          </w:tcPr>
          <w:p>
            <w:pPr>
              <w:spacing w:line="360" w:lineRule="exact"/>
              <w:jc w:val="center"/>
              <w:rPr>
                <w:rFonts w:ascii="宋体" w:hAnsi="宋体"/>
                <w:b/>
                <w:color w:val="auto"/>
                <w:spacing w:val="20"/>
                <w:sz w:val="22"/>
                <w:highlight w:val="none"/>
              </w:rPr>
            </w:pPr>
            <w:r>
              <w:rPr>
                <w:rFonts w:hint="eastAsia" w:ascii="宋体" w:hAnsi="宋体"/>
                <w:color w:val="auto"/>
                <w:spacing w:val="20"/>
                <w:sz w:val="22"/>
                <w:highlight w:val="none"/>
              </w:rPr>
              <w:t>序号</w:t>
            </w:r>
          </w:p>
        </w:tc>
        <w:tc>
          <w:tcPr>
            <w:tcW w:w="1449" w:type="dxa"/>
            <w:vAlign w:val="center"/>
          </w:tcPr>
          <w:p>
            <w:pPr>
              <w:spacing w:line="360" w:lineRule="exact"/>
              <w:jc w:val="center"/>
              <w:rPr>
                <w:rFonts w:ascii="宋体" w:hAnsi="宋体"/>
                <w:b/>
                <w:color w:val="auto"/>
                <w:spacing w:val="20"/>
                <w:sz w:val="22"/>
                <w:highlight w:val="none"/>
              </w:rPr>
            </w:pPr>
            <w:r>
              <w:rPr>
                <w:rFonts w:hint="eastAsia" w:ascii="宋体" w:hAnsi="宋体"/>
                <w:color w:val="auto"/>
                <w:spacing w:val="20"/>
                <w:sz w:val="22"/>
                <w:highlight w:val="none"/>
              </w:rPr>
              <w:t>货物名称</w:t>
            </w:r>
          </w:p>
        </w:tc>
        <w:tc>
          <w:tcPr>
            <w:tcW w:w="1384" w:type="dxa"/>
            <w:tcBorders>
              <w:right w:val="single" w:color="auto" w:sz="4" w:space="0"/>
            </w:tcBorders>
            <w:vAlign w:val="center"/>
          </w:tcPr>
          <w:p>
            <w:pPr>
              <w:spacing w:line="360" w:lineRule="exact"/>
              <w:jc w:val="center"/>
              <w:rPr>
                <w:rFonts w:ascii="宋体" w:hAnsi="宋体"/>
                <w:b/>
                <w:color w:val="auto"/>
                <w:spacing w:val="20"/>
                <w:sz w:val="22"/>
                <w:highlight w:val="none"/>
              </w:rPr>
            </w:pPr>
            <w:r>
              <w:rPr>
                <w:rFonts w:hint="eastAsia" w:ascii="宋体" w:hAnsi="宋体"/>
                <w:color w:val="auto"/>
                <w:spacing w:val="20"/>
                <w:sz w:val="22"/>
                <w:szCs w:val="22"/>
                <w:highlight w:val="none"/>
              </w:rPr>
              <w:t>品牌产地</w:t>
            </w:r>
          </w:p>
        </w:tc>
        <w:tc>
          <w:tcPr>
            <w:tcW w:w="3339" w:type="dxa"/>
            <w:tcBorders>
              <w:left w:val="single" w:color="auto" w:sz="4" w:space="0"/>
            </w:tcBorders>
            <w:vAlign w:val="center"/>
          </w:tcPr>
          <w:p>
            <w:pPr>
              <w:spacing w:line="360" w:lineRule="exact"/>
              <w:jc w:val="center"/>
              <w:rPr>
                <w:rFonts w:ascii="宋体" w:hAnsi="宋体"/>
                <w:b/>
                <w:color w:val="auto"/>
                <w:spacing w:val="20"/>
                <w:sz w:val="22"/>
                <w:highlight w:val="none"/>
              </w:rPr>
            </w:pPr>
            <w:r>
              <w:rPr>
                <w:rFonts w:hint="eastAsia" w:ascii="宋体" w:hAnsi="宋体"/>
                <w:color w:val="auto"/>
                <w:spacing w:val="20"/>
                <w:sz w:val="22"/>
                <w:szCs w:val="22"/>
                <w:highlight w:val="none"/>
              </w:rPr>
              <w:t>主要规格</w:t>
            </w:r>
          </w:p>
        </w:tc>
        <w:tc>
          <w:tcPr>
            <w:tcW w:w="757" w:type="dxa"/>
            <w:vAlign w:val="center"/>
          </w:tcPr>
          <w:p>
            <w:pPr>
              <w:spacing w:line="360" w:lineRule="exact"/>
              <w:jc w:val="center"/>
              <w:rPr>
                <w:rFonts w:ascii="宋体" w:hAnsi="宋体"/>
                <w:b/>
                <w:color w:val="auto"/>
                <w:spacing w:val="20"/>
                <w:sz w:val="22"/>
                <w:highlight w:val="none"/>
              </w:rPr>
            </w:pPr>
            <w:r>
              <w:rPr>
                <w:rFonts w:hint="eastAsia" w:ascii="宋体" w:hAnsi="宋体"/>
                <w:color w:val="auto"/>
                <w:spacing w:val="20"/>
                <w:sz w:val="22"/>
                <w:highlight w:val="none"/>
              </w:rPr>
              <w:t>数量</w:t>
            </w:r>
          </w:p>
        </w:tc>
        <w:tc>
          <w:tcPr>
            <w:tcW w:w="757" w:type="dxa"/>
          </w:tcPr>
          <w:p>
            <w:pPr>
              <w:spacing w:line="360" w:lineRule="exact"/>
              <w:jc w:val="center"/>
              <w:rPr>
                <w:rFonts w:ascii="宋体" w:hAnsi="宋体"/>
                <w:b/>
                <w:color w:val="auto"/>
                <w:spacing w:val="20"/>
                <w:sz w:val="22"/>
                <w:highlight w:val="none"/>
              </w:rPr>
            </w:pPr>
            <w:r>
              <w:rPr>
                <w:rFonts w:hint="eastAsia" w:ascii="宋体" w:hAnsi="宋体"/>
                <w:color w:val="auto"/>
                <w:spacing w:val="20"/>
                <w:sz w:val="22"/>
                <w:highlight w:val="none"/>
              </w:rPr>
              <w:t>免费质保期</w:t>
            </w:r>
          </w:p>
        </w:tc>
        <w:tc>
          <w:tcPr>
            <w:tcW w:w="1655" w:type="dxa"/>
            <w:vAlign w:val="center"/>
          </w:tcPr>
          <w:p>
            <w:pPr>
              <w:spacing w:line="360" w:lineRule="exact"/>
              <w:jc w:val="center"/>
              <w:rPr>
                <w:rFonts w:ascii="宋体" w:hAnsi="宋体"/>
                <w:b/>
                <w:color w:val="auto"/>
                <w:spacing w:val="20"/>
                <w:sz w:val="22"/>
                <w:highlight w:val="none"/>
              </w:rPr>
            </w:pPr>
            <w:r>
              <w:rPr>
                <w:rFonts w:hint="eastAsia" w:ascii="宋体" w:hAnsi="宋体"/>
                <w:color w:val="auto"/>
                <w:spacing w:val="20"/>
                <w:sz w:val="22"/>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513" w:type="dxa"/>
            <w:vAlign w:val="center"/>
          </w:tcPr>
          <w:p>
            <w:pPr>
              <w:spacing w:line="360" w:lineRule="exact"/>
              <w:jc w:val="center"/>
              <w:rPr>
                <w:rFonts w:ascii="宋体" w:hAnsi="宋体"/>
                <w:b/>
                <w:color w:val="auto"/>
                <w:spacing w:val="20"/>
                <w:sz w:val="22"/>
                <w:highlight w:val="none"/>
              </w:rPr>
            </w:pPr>
          </w:p>
        </w:tc>
        <w:tc>
          <w:tcPr>
            <w:tcW w:w="1449" w:type="dxa"/>
            <w:vAlign w:val="center"/>
          </w:tcPr>
          <w:p>
            <w:pPr>
              <w:spacing w:line="360" w:lineRule="exact"/>
              <w:jc w:val="center"/>
              <w:rPr>
                <w:rFonts w:ascii="宋体" w:hAnsi="宋体"/>
                <w:b/>
                <w:color w:val="auto"/>
                <w:spacing w:val="20"/>
                <w:sz w:val="22"/>
                <w:highlight w:val="none"/>
              </w:rPr>
            </w:pPr>
          </w:p>
        </w:tc>
        <w:tc>
          <w:tcPr>
            <w:tcW w:w="1384" w:type="dxa"/>
            <w:tcBorders>
              <w:right w:val="single" w:color="auto" w:sz="4" w:space="0"/>
            </w:tcBorders>
            <w:vAlign w:val="center"/>
          </w:tcPr>
          <w:p>
            <w:pPr>
              <w:spacing w:line="360" w:lineRule="exact"/>
              <w:jc w:val="center"/>
              <w:rPr>
                <w:rFonts w:ascii="宋体" w:hAnsi="宋体"/>
                <w:b/>
                <w:color w:val="auto"/>
                <w:spacing w:val="20"/>
                <w:sz w:val="22"/>
                <w:highlight w:val="none"/>
              </w:rPr>
            </w:pPr>
          </w:p>
        </w:tc>
        <w:tc>
          <w:tcPr>
            <w:tcW w:w="3339" w:type="dxa"/>
            <w:tcBorders>
              <w:left w:val="single" w:color="auto" w:sz="4" w:space="0"/>
            </w:tcBorders>
            <w:vAlign w:val="center"/>
          </w:tcPr>
          <w:p>
            <w:pPr>
              <w:spacing w:line="360" w:lineRule="exact"/>
              <w:jc w:val="center"/>
              <w:rPr>
                <w:rFonts w:ascii="宋体" w:hAnsi="宋体"/>
                <w:b/>
                <w:color w:val="auto"/>
                <w:spacing w:val="20"/>
                <w:sz w:val="22"/>
                <w:highlight w:val="none"/>
              </w:rPr>
            </w:pPr>
          </w:p>
        </w:tc>
        <w:tc>
          <w:tcPr>
            <w:tcW w:w="757" w:type="dxa"/>
            <w:vAlign w:val="center"/>
          </w:tcPr>
          <w:p>
            <w:pPr>
              <w:spacing w:line="360" w:lineRule="exact"/>
              <w:jc w:val="center"/>
              <w:rPr>
                <w:rFonts w:ascii="宋体" w:hAnsi="宋体"/>
                <w:b/>
                <w:color w:val="auto"/>
                <w:spacing w:val="20"/>
                <w:sz w:val="22"/>
                <w:highlight w:val="none"/>
              </w:rPr>
            </w:pPr>
          </w:p>
        </w:tc>
        <w:tc>
          <w:tcPr>
            <w:tcW w:w="757" w:type="dxa"/>
          </w:tcPr>
          <w:p>
            <w:pPr>
              <w:spacing w:line="360" w:lineRule="exact"/>
              <w:jc w:val="center"/>
              <w:rPr>
                <w:rFonts w:ascii="宋体" w:hAnsi="宋体"/>
                <w:b/>
                <w:color w:val="auto"/>
                <w:spacing w:val="20"/>
                <w:sz w:val="22"/>
                <w:highlight w:val="none"/>
              </w:rPr>
            </w:pPr>
          </w:p>
        </w:tc>
        <w:tc>
          <w:tcPr>
            <w:tcW w:w="1655" w:type="dxa"/>
            <w:vAlign w:val="center"/>
          </w:tcPr>
          <w:p>
            <w:pPr>
              <w:spacing w:line="360" w:lineRule="exact"/>
              <w:jc w:val="center"/>
              <w:rPr>
                <w:rFonts w:ascii="宋体" w:hAnsi="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513" w:type="dxa"/>
            <w:vAlign w:val="center"/>
          </w:tcPr>
          <w:p>
            <w:pPr>
              <w:spacing w:line="360" w:lineRule="exact"/>
              <w:jc w:val="center"/>
              <w:rPr>
                <w:rFonts w:ascii="宋体" w:hAnsi="宋体"/>
                <w:b/>
                <w:color w:val="auto"/>
                <w:spacing w:val="20"/>
                <w:sz w:val="22"/>
                <w:highlight w:val="none"/>
              </w:rPr>
            </w:pPr>
          </w:p>
        </w:tc>
        <w:tc>
          <w:tcPr>
            <w:tcW w:w="1449" w:type="dxa"/>
            <w:vAlign w:val="center"/>
          </w:tcPr>
          <w:p>
            <w:pPr>
              <w:spacing w:line="360" w:lineRule="exact"/>
              <w:jc w:val="center"/>
              <w:rPr>
                <w:rFonts w:ascii="宋体" w:hAnsi="宋体"/>
                <w:b/>
                <w:color w:val="auto"/>
                <w:spacing w:val="20"/>
                <w:sz w:val="22"/>
                <w:highlight w:val="none"/>
              </w:rPr>
            </w:pPr>
          </w:p>
        </w:tc>
        <w:tc>
          <w:tcPr>
            <w:tcW w:w="1384" w:type="dxa"/>
            <w:tcBorders>
              <w:right w:val="single" w:color="auto" w:sz="4" w:space="0"/>
            </w:tcBorders>
            <w:vAlign w:val="center"/>
          </w:tcPr>
          <w:p>
            <w:pPr>
              <w:spacing w:line="360" w:lineRule="exact"/>
              <w:jc w:val="center"/>
              <w:rPr>
                <w:rFonts w:ascii="宋体" w:hAnsi="宋体"/>
                <w:b/>
                <w:color w:val="auto"/>
                <w:spacing w:val="20"/>
                <w:sz w:val="22"/>
                <w:highlight w:val="none"/>
              </w:rPr>
            </w:pPr>
          </w:p>
        </w:tc>
        <w:tc>
          <w:tcPr>
            <w:tcW w:w="3339" w:type="dxa"/>
            <w:tcBorders>
              <w:left w:val="single" w:color="auto" w:sz="4" w:space="0"/>
            </w:tcBorders>
            <w:vAlign w:val="center"/>
          </w:tcPr>
          <w:p>
            <w:pPr>
              <w:spacing w:line="360" w:lineRule="exact"/>
              <w:jc w:val="center"/>
              <w:rPr>
                <w:rFonts w:ascii="宋体" w:hAnsi="宋体"/>
                <w:b/>
                <w:color w:val="auto"/>
                <w:spacing w:val="20"/>
                <w:sz w:val="22"/>
                <w:highlight w:val="none"/>
              </w:rPr>
            </w:pPr>
          </w:p>
        </w:tc>
        <w:tc>
          <w:tcPr>
            <w:tcW w:w="757" w:type="dxa"/>
            <w:vAlign w:val="center"/>
          </w:tcPr>
          <w:p>
            <w:pPr>
              <w:spacing w:line="360" w:lineRule="exact"/>
              <w:jc w:val="center"/>
              <w:rPr>
                <w:rFonts w:ascii="宋体" w:hAnsi="宋体"/>
                <w:b/>
                <w:color w:val="auto"/>
                <w:spacing w:val="20"/>
                <w:sz w:val="22"/>
                <w:highlight w:val="none"/>
              </w:rPr>
            </w:pPr>
          </w:p>
        </w:tc>
        <w:tc>
          <w:tcPr>
            <w:tcW w:w="757" w:type="dxa"/>
          </w:tcPr>
          <w:p>
            <w:pPr>
              <w:spacing w:line="360" w:lineRule="exact"/>
              <w:jc w:val="center"/>
              <w:rPr>
                <w:rFonts w:ascii="宋体" w:hAnsi="宋体"/>
                <w:b/>
                <w:color w:val="auto"/>
                <w:spacing w:val="20"/>
                <w:sz w:val="22"/>
                <w:highlight w:val="none"/>
              </w:rPr>
            </w:pPr>
          </w:p>
        </w:tc>
        <w:tc>
          <w:tcPr>
            <w:tcW w:w="1655" w:type="dxa"/>
            <w:vAlign w:val="center"/>
          </w:tcPr>
          <w:p>
            <w:pPr>
              <w:spacing w:line="360" w:lineRule="exact"/>
              <w:jc w:val="center"/>
              <w:rPr>
                <w:rFonts w:ascii="宋体" w:hAnsi="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513" w:type="dxa"/>
            <w:vAlign w:val="center"/>
          </w:tcPr>
          <w:p>
            <w:pPr>
              <w:spacing w:line="360" w:lineRule="exact"/>
              <w:jc w:val="center"/>
              <w:rPr>
                <w:rFonts w:ascii="宋体" w:hAnsi="宋体"/>
                <w:b/>
                <w:color w:val="auto"/>
                <w:spacing w:val="20"/>
                <w:sz w:val="22"/>
                <w:highlight w:val="none"/>
              </w:rPr>
            </w:pPr>
          </w:p>
        </w:tc>
        <w:tc>
          <w:tcPr>
            <w:tcW w:w="1449" w:type="dxa"/>
            <w:vAlign w:val="center"/>
          </w:tcPr>
          <w:p>
            <w:pPr>
              <w:spacing w:line="360" w:lineRule="exact"/>
              <w:jc w:val="center"/>
              <w:rPr>
                <w:rFonts w:ascii="宋体" w:hAnsi="宋体"/>
                <w:b/>
                <w:color w:val="auto"/>
                <w:spacing w:val="20"/>
                <w:sz w:val="22"/>
                <w:highlight w:val="none"/>
              </w:rPr>
            </w:pPr>
          </w:p>
        </w:tc>
        <w:tc>
          <w:tcPr>
            <w:tcW w:w="1384" w:type="dxa"/>
            <w:tcBorders>
              <w:right w:val="single" w:color="auto" w:sz="4" w:space="0"/>
            </w:tcBorders>
            <w:vAlign w:val="center"/>
          </w:tcPr>
          <w:p>
            <w:pPr>
              <w:spacing w:line="360" w:lineRule="exact"/>
              <w:jc w:val="center"/>
              <w:rPr>
                <w:rFonts w:ascii="宋体" w:hAnsi="宋体"/>
                <w:b/>
                <w:color w:val="auto"/>
                <w:spacing w:val="20"/>
                <w:sz w:val="22"/>
                <w:highlight w:val="none"/>
              </w:rPr>
            </w:pPr>
          </w:p>
        </w:tc>
        <w:tc>
          <w:tcPr>
            <w:tcW w:w="3339" w:type="dxa"/>
            <w:tcBorders>
              <w:left w:val="single" w:color="auto" w:sz="4" w:space="0"/>
            </w:tcBorders>
            <w:vAlign w:val="center"/>
          </w:tcPr>
          <w:p>
            <w:pPr>
              <w:spacing w:line="360" w:lineRule="exact"/>
              <w:jc w:val="center"/>
              <w:rPr>
                <w:rFonts w:ascii="宋体" w:hAnsi="宋体"/>
                <w:b/>
                <w:color w:val="auto"/>
                <w:spacing w:val="20"/>
                <w:sz w:val="22"/>
                <w:highlight w:val="none"/>
              </w:rPr>
            </w:pPr>
          </w:p>
        </w:tc>
        <w:tc>
          <w:tcPr>
            <w:tcW w:w="757" w:type="dxa"/>
            <w:vAlign w:val="center"/>
          </w:tcPr>
          <w:p>
            <w:pPr>
              <w:spacing w:line="360" w:lineRule="exact"/>
              <w:jc w:val="center"/>
              <w:rPr>
                <w:rFonts w:ascii="宋体" w:hAnsi="宋体"/>
                <w:b/>
                <w:color w:val="auto"/>
                <w:spacing w:val="20"/>
                <w:sz w:val="22"/>
                <w:highlight w:val="none"/>
              </w:rPr>
            </w:pPr>
          </w:p>
        </w:tc>
        <w:tc>
          <w:tcPr>
            <w:tcW w:w="757" w:type="dxa"/>
          </w:tcPr>
          <w:p>
            <w:pPr>
              <w:spacing w:line="360" w:lineRule="exact"/>
              <w:jc w:val="center"/>
              <w:rPr>
                <w:rFonts w:ascii="宋体" w:hAnsi="宋体"/>
                <w:b/>
                <w:color w:val="auto"/>
                <w:spacing w:val="20"/>
                <w:sz w:val="22"/>
                <w:highlight w:val="none"/>
              </w:rPr>
            </w:pPr>
          </w:p>
        </w:tc>
        <w:tc>
          <w:tcPr>
            <w:tcW w:w="1655" w:type="dxa"/>
            <w:vAlign w:val="center"/>
          </w:tcPr>
          <w:p>
            <w:pPr>
              <w:spacing w:line="360" w:lineRule="exact"/>
              <w:jc w:val="center"/>
              <w:rPr>
                <w:rFonts w:ascii="宋体" w:hAnsi="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513" w:type="dxa"/>
            <w:vAlign w:val="center"/>
          </w:tcPr>
          <w:p>
            <w:pPr>
              <w:spacing w:line="360" w:lineRule="exact"/>
              <w:jc w:val="center"/>
              <w:rPr>
                <w:rFonts w:ascii="宋体" w:hAnsi="宋体"/>
                <w:b/>
                <w:color w:val="auto"/>
                <w:spacing w:val="20"/>
                <w:sz w:val="22"/>
                <w:highlight w:val="none"/>
              </w:rPr>
            </w:pPr>
          </w:p>
        </w:tc>
        <w:tc>
          <w:tcPr>
            <w:tcW w:w="1449" w:type="dxa"/>
            <w:vAlign w:val="center"/>
          </w:tcPr>
          <w:p>
            <w:pPr>
              <w:spacing w:line="360" w:lineRule="exact"/>
              <w:jc w:val="center"/>
              <w:rPr>
                <w:rFonts w:ascii="宋体" w:hAnsi="宋体"/>
                <w:b/>
                <w:color w:val="auto"/>
                <w:spacing w:val="20"/>
                <w:sz w:val="22"/>
                <w:highlight w:val="none"/>
              </w:rPr>
            </w:pPr>
          </w:p>
        </w:tc>
        <w:tc>
          <w:tcPr>
            <w:tcW w:w="1384" w:type="dxa"/>
            <w:tcBorders>
              <w:right w:val="single" w:color="auto" w:sz="4" w:space="0"/>
            </w:tcBorders>
            <w:vAlign w:val="center"/>
          </w:tcPr>
          <w:p>
            <w:pPr>
              <w:spacing w:line="360" w:lineRule="exact"/>
              <w:jc w:val="center"/>
              <w:rPr>
                <w:rFonts w:ascii="宋体" w:hAnsi="宋体"/>
                <w:b/>
                <w:color w:val="auto"/>
                <w:spacing w:val="20"/>
                <w:sz w:val="22"/>
                <w:highlight w:val="none"/>
              </w:rPr>
            </w:pPr>
          </w:p>
        </w:tc>
        <w:tc>
          <w:tcPr>
            <w:tcW w:w="3339" w:type="dxa"/>
            <w:tcBorders>
              <w:left w:val="single" w:color="auto" w:sz="4" w:space="0"/>
            </w:tcBorders>
            <w:vAlign w:val="center"/>
          </w:tcPr>
          <w:p>
            <w:pPr>
              <w:spacing w:line="360" w:lineRule="exact"/>
              <w:jc w:val="center"/>
              <w:rPr>
                <w:rFonts w:ascii="宋体" w:hAnsi="宋体"/>
                <w:b/>
                <w:color w:val="auto"/>
                <w:spacing w:val="20"/>
                <w:sz w:val="22"/>
                <w:highlight w:val="none"/>
              </w:rPr>
            </w:pPr>
          </w:p>
        </w:tc>
        <w:tc>
          <w:tcPr>
            <w:tcW w:w="757" w:type="dxa"/>
            <w:vAlign w:val="center"/>
          </w:tcPr>
          <w:p>
            <w:pPr>
              <w:spacing w:line="360" w:lineRule="exact"/>
              <w:jc w:val="center"/>
              <w:rPr>
                <w:rFonts w:ascii="宋体" w:hAnsi="宋体"/>
                <w:b/>
                <w:color w:val="auto"/>
                <w:spacing w:val="20"/>
                <w:sz w:val="22"/>
                <w:highlight w:val="none"/>
              </w:rPr>
            </w:pPr>
          </w:p>
        </w:tc>
        <w:tc>
          <w:tcPr>
            <w:tcW w:w="757" w:type="dxa"/>
          </w:tcPr>
          <w:p>
            <w:pPr>
              <w:spacing w:line="360" w:lineRule="exact"/>
              <w:jc w:val="center"/>
              <w:rPr>
                <w:rFonts w:ascii="宋体" w:hAnsi="宋体"/>
                <w:b/>
                <w:color w:val="auto"/>
                <w:spacing w:val="20"/>
                <w:sz w:val="22"/>
                <w:highlight w:val="none"/>
              </w:rPr>
            </w:pPr>
          </w:p>
        </w:tc>
        <w:tc>
          <w:tcPr>
            <w:tcW w:w="1655" w:type="dxa"/>
            <w:vAlign w:val="center"/>
          </w:tcPr>
          <w:p>
            <w:pPr>
              <w:spacing w:line="360" w:lineRule="exact"/>
              <w:jc w:val="center"/>
              <w:rPr>
                <w:rFonts w:ascii="宋体" w:hAnsi="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513" w:type="dxa"/>
            <w:vAlign w:val="center"/>
          </w:tcPr>
          <w:p>
            <w:pPr>
              <w:spacing w:line="360" w:lineRule="exact"/>
              <w:jc w:val="center"/>
              <w:rPr>
                <w:rFonts w:ascii="宋体" w:hAnsi="宋体"/>
                <w:b/>
                <w:color w:val="auto"/>
                <w:spacing w:val="20"/>
                <w:sz w:val="22"/>
                <w:highlight w:val="none"/>
              </w:rPr>
            </w:pPr>
          </w:p>
        </w:tc>
        <w:tc>
          <w:tcPr>
            <w:tcW w:w="1449" w:type="dxa"/>
            <w:vAlign w:val="center"/>
          </w:tcPr>
          <w:p>
            <w:pPr>
              <w:spacing w:line="360" w:lineRule="exact"/>
              <w:jc w:val="center"/>
              <w:rPr>
                <w:rFonts w:ascii="宋体" w:hAnsi="宋体"/>
                <w:b/>
                <w:color w:val="auto"/>
                <w:spacing w:val="20"/>
                <w:sz w:val="22"/>
                <w:highlight w:val="none"/>
              </w:rPr>
            </w:pPr>
          </w:p>
        </w:tc>
        <w:tc>
          <w:tcPr>
            <w:tcW w:w="1384" w:type="dxa"/>
            <w:tcBorders>
              <w:right w:val="single" w:color="auto" w:sz="4" w:space="0"/>
            </w:tcBorders>
            <w:vAlign w:val="center"/>
          </w:tcPr>
          <w:p>
            <w:pPr>
              <w:spacing w:line="360" w:lineRule="exact"/>
              <w:jc w:val="center"/>
              <w:rPr>
                <w:rFonts w:ascii="宋体" w:hAnsi="宋体"/>
                <w:b/>
                <w:color w:val="auto"/>
                <w:spacing w:val="20"/>
                <w:sz w:val="22"/>
                <w:highlight w:val="none"/>
              </w:rPr>
            </w:pPr>
          </w:p>
        </w:tc>
        <w:tc>
          <w:tcPr>
            <w:tcW w:w="3339" w:type="dxa"/>
            <w:tcBorders>
              <w:left w:val="single" w:color="auto" w:sz="4" w:space="0"/>
            </w:tcBorders>
            <w:vAlign w:val="center"/>
          </w:tcPr>
          <w:p>
            <w:pPr>
              <w:spacing w:line="360" w:lineRule="exact"/>
              <w:jc w:val="center"/>
              <w:rPr>
                <w:rFonts w:ascii="宋体" w:hAnsi="宋体"/>
                <w:b/>
                <w:color w:val="auto"/>
                <w:spacing w:val="20"/>
                <w:sz w:val="22"/>
                <w:highlight w:val="none"/>
              </w:rPr>
            </w:pPr>
          </w:p>
        </w:tc>
        <w:tc>
          <w:tcPr>
            <w:tcW w:w="757" w:type="dxa"/>
            <w:vAlign w:val="center"/>
          </w:tcPr>
          <w:p>
            <w:pPr>
              <w:spacing w:line="360" w:lineRule="exact"/>
              <w:jc w:val="center"/>
              <w:rPr>
                <w:rFonts w:ascii="宋体" w:hAnsi="宋体"/>
                <w:b/>
                <w:color w:val="auto"/>
                <w:spacing w:val="20"/>
                <w:sz w:val="22"/>
                <w:highlight w:val="none"/>
              </w:rPr>
            </w:pPr>
          </w:p>
        </w:tc>
        <w:tc>
          <w:tcPr>
            <w:tcW w:w="757" w:type="dxa"/>
          </w:tcPr>
          <w:p>
            <w:pPr>
              <w:spacing w:line="360" w:lineRule="exact"/>
              <w:jc w:val="center"/>
              <w:rPr>
                <w:rFonts w:ascii="宋体" w:hAnsi="宋体"/>
                <w:b/>
                <w:color w:val="auto"/>
                <w:spacing w:val="20"/>
                <w:sz w:val="22"/>
                <w:highlight w:val="none"/>
              </w:rPr>
            </w:pPr>
          </w:p>
        </w:tc>
        <w:tc>
          <w:tcPr>
            <w:tcW w:w="1655" w:type="dxa"/>
            <w:vAlign w:val="center"/>
          </w:tcPr>
          <w:p>
            <w:pPr>
              <w:spacing w:line="360" w:lineRule="exact"/>
              <w:jc w:val="center"/>
              <w:rPr>
                <w:rFonts w:ascii="宋体" w:hAnsi="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513" w:type="dxa"/>
            <w:vAlign w:val="center"/>
          </w:tcPr>
          <w:p>
            <w:pPr>
              <w:spacing w:line="360" w:lineRule="exact"/>
              <w:jc w:val="center"/>
              <w:rPr>
                <w:rFonts w:ascii="宋体" w:hAnsi="宋体"/>
                <w:b/>
                <w:color w:val="auto"/>
                <w:spacing w:val="20"/>
                <w:sz w:val="22"/>
                <w:highlight w:val="none"/>
              </w:rPr>
            </w:pPr>
          </w:p>
        </w:tc>
        <w:tc>
          <w:tcPr>
            <w:tcW w:w="1449" w:type="dxa"/>
            <w:vAlign w:val="center"/>
          </w:tcPr>
          <w:p>
            <w:pPr>
              <w:spacing w:line="360" w:lineRule="exact"/>
              <w:jc w:val="center"/>
              <w:rPr>
                <w:rFonts w:ascii="宋体" w:hAnsi="宋体"/>
                <w:b/>
                <w:color w:val="auto"/>
                <w:spacing w:val="20"/>
                <w:sz w:val="22"/>
                <w:highlight w:val="none"/>
              </w:rPr>
            </w:pPr>
          </w:p>
        </w:tc>
        <w:tc>
          <w:tcPr>
            <w:tcW w:w="1384" w:type="dxa"/>
            <w:tcBorders>
              <w:right w:val="single" w:color="auto" w:sz="4" w:space="0"/>
            </w:tcBorders>
            <w:vAlign w:val="center"/>
          </w:tcPr>
          <w:p>
            <w:pPr>
              <w:spacing w:line="360" w:lineRule="exact"/>
              <w:jc w:val="center"/>
              <w:rPr>
                <w:rFonts w:ascii="宋体" w:hAnsi="宋体"/>
                <w:b/>
                <w:color w:val="auto"/>
                <w:spacing w:val="20"/>
                <w:sz w:val="22"/>
                <w:highlight w:val="none"/>
              </w:rPr>
            </w:pPr>
          </w:p>
        </w:tc>
        <w:tc>
          <w:tcPr>
            <w:tcW w:w="3339" w:type="dxa"/>
            <w:tcBorders>
              <w:left w:val="single" w:color="auto" w:sz="4" w:space="0"/>
            </w:tcBorders>
            <w:vAlign w:val="center"/>
          </w:tcPr>
          <w:p>
            <w:pPr>
              <w:spacing w:line="360" w:lineRule="exact"/>
              <w:jc w:val="center"/>
              <w:rPr>
                <w:rFonts w:ascii="宋体" w:hAnsi="宋体"/>
                <w:b/>
                <w:color w:val="auto"/>
                <w:spacing w:val="20"/>
                <w:sz w:val="22"/>
                <w:highlight w:val="none"/>
              </w:rPr>
            </w:pPr>
          </w:p>
        </w:tc>
        <w:tc>
          <w:tcPr>
            <w:tcW w:w="757" w:type="dxa"/>
            <w:vAlign w:val="center"/>
          </w:tcPr>
          <w:p>
            <w:pPr>
              <w:spacing w:line="360" w:lineRule="exact"/>
              <w:jc w:val="center"/>
              <w:rPr>
                <w:rFonts w:ascii="宋体" w:hAnsi="宋体"/>
                <w:b/>
                <w:color w:val="auto"/>
                <w:spacing w:val="20"/>
                <w:sz w:val="22"/>
                <w:highlight w:val="none"/>
              </w:rPr>
            </w:pPr>
          </w:p>
        </w:tc>
        <w:tc>
          <w:tcPr>
            <w:tcW w:w="757" w:type="dxa"/>
          </w:tcPr>
          <w:p>
            <w:pPr>
              <w:spacing w:line="360" w:lineRule="exact"/>
              <w:jc w:val="center"/>
              <w:rPr>
                <w:rFonts w:ascii="宋体" w:hAnsi="宋体"/>
                <w:b/>
                <w:color w:val="auto"/>
                <w:spacing w:val="20"/>
                <w:sz w:val="22"/>
                <w:highlight w:val="none"/>
              </w:rPr>
            </w:pPr>
          </w:p>
        </w:tc>
        <w:tc>
          <w:tcPr>
            <w:tcW w:w="1655" w:type="dxa"/>
            <w:vAlign w:val="center"/>
          </w:tcPr>
          <w:p>
            <w:pPr>
              <w:spacing w:line="360" w:lineRule="exact"/>
              <w:jc w:val="center"/>
              <w:rPr>
                <w:rFonts w:ascii="宋体" w:hAnsi="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513" w:type="dxa"/>
            <w:vAlign w:val="center"/>
          </w:tcPr>
          <w:p>
            <w:pPr>
              <w:spacing w:line="360" w:lineRule="exact"/>
              <w:jc w:val="center"/>
              <w:rPr>
                <w:rFonts w:ascii="宋体" w:hAnsi="宋体"/>
                <w:b/>
                <w:color w:val="auto"/>
                <w:spacing w:val="20"/>
                <w:sz w:val="22"/>
                <w:highlight w:val="none"/>
              </w:rPr>
            </w:pPr>
          </w:p>
        </w:tc>
        <w:tc>
          <w:tcPr>
            <w:tcW w:w="1449" w:type="dxa"/>
            <w:vAlign w:val="center"/>
          </w:tcPr>
          <w:p>
            <w:pPr>
              <w:spacing w:line="360" w:lineRule="exact"/>
              <w:jc w:val="center"/>
              <w:rPr>
                <w:rFonts w:ascii="宋体" w:hAnsi="宋体"/>
                <w:b/>
                <w:color w:val="auto"/>
                <w:spacing w:val="20"/>
                <w:sz w:val="22"/>
                <w:highlight w:val="none"/>
              </w:rPr>
            </w:pPr>
          </w:p>
        </w:tc>
        <w:tc>
          <w:tcPr>
            <w:tcW w:w="1384" w:type="dxa"/>
            <w:tcBorders>
              <w:right w:val="single" w:color="auto" w:sz="4" w:space="0"/>
            </w:tcBorders>
            <w:vAlign w:val="center"/>
          </w:tcPr>
          <w:p>
            <w:pPr>
              <w:spacing w:line="360" w:lineRule="exact"/>
              <w:jc w:val="center"/>
              <w:rPr>
                <w:rFonts w:ascii="宋体" w:hAnsi="宋体"/>
                <w:b/>
                <w:color w:val="auto"/>
                <w:spacing w:val="20"/>
                <w:sz w:val="22"/>
                <w:highlight w:val="none"/>
              </w:rPr>
            </w:pPr>
          </w:p>
        </w:tc>
        <w:tc>
          <w:tcPr>
            <w:tcW w:w="3339" w:type="dxa"/>
            <w:tcBorders>
              <w:left w:val="single" w:color="auto" w:sz="4" w:space="0"/>
            </w:tcBorders>
            <w:vAlign w:val="center"/>
          </w:tcPr>
          <w:p>
            <w:pPr>
              <w:spacing w:line="360" w:lineRule="exact"/>
              <w:jc w:val="center"/>
              <w:rPr>
                <w:rFonts w:ascii="宋体" w:hAnsi="宋体"/>
                <w:b/>
                <w:color w:val="auto"/>
                <w:spacing w:val="20"/>
                <w:sz w:val="22"/>
                <w:highlight w:val="none"/>
              </w:rPr>
            </w:pPr>
          </w:p>
        </w:tc>
        <w:tc>
          <w:tcPr>
            <w:tcW w:w="757" w:type="dxa"/>
            <w:vAlign w:val="center"/>
          </w:tcPr>
          <w:p>
            <w:pPr>
              <w:spacing w:line="360" w:lineRule="exact"/>
              <w:jc w:val="center"/>
              <w:rPr>
                <w:rFonts w:ascii="宋体" w:hAnsi="宋体"/>
                <w:b/>
                <w:color w:val="auto"/>
                <w:spacing w:val="20"/>
                <w:sz w:val="22"/>
                <w:highlight w:val="none"/>
              </w:rPr>
            </w:pPr>
          </w:p>
        </w:tc>
        <w:tc>
          <w:tcPr>
            <w:tcW w:w="757" w:type="dxa"/>
          </w:tcPr>
          <w:p>
            <w:pPr>
              <w:spacing w:line="360" w:lineRule="exact"/>
              <w:jc w:val="center"/>
              <w:rPr>
                <w:rFonts w:ascii="宋体" w:hAnsi="宋体"/>
                <w:b/>
                <w:color w:val="auto"/>
                <w:spacing w:val="20"/>
                <w:sz w:val="22"/>
                <w:highlight w:val="none"/>
              </w:rPr>
            </w:pPr>
          </w:p>
        </w:tc>
        <w:tc>
          <w:tcPr>
            <w:tcW w:w="1655" w:type="dxa"/>
            <w:vAlign w:val="center"/>
          </w:tcPr>
          <w:p>
            <w:pPr>
              <w:spacing w:line="360" w:lineRule="exact"/>
              <w:jc w:val="center"/>
              <w:rPr>
                <w:rFonts w:ascii="宋体" w:hAnsi="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513" w:type="dxa"/>
            <w:vAlign w:val="center"/>
          </w:tcPr>
          <w:p>
            <w:pPr>
              <w:spacing w:line="360" w:lineRule="exact"/>
              <w:jc w:val="center"/>
              <w:rPr>
                <w:rFonts w:ascii="宋体" w:hAnsi="宋体"/>
                <w:b/>
                <w:color w:val="auto"/>
                <w:spacing w:val="20"/>
                <w:sz w:val="22"/>
                <w:highlight w:val="none"/>
              </w:rPr>
            </w:pPr>
          </w:p>
        </w:tc>
        <w:tc>
          <w:tcPr>
            <w:tcW w:w="1449" w:type="dxa"/>
            <w:vAlign w:val="center"/>
          </w:tcPr>
          <w:p>
            <w:pPr>
              <w:spacing w:line="360" w:lineRule="exact"/>
              <w:jc w:val="center"/>
              <w:rPr>
                <w:rFonts w:ascii="宋体" w:hAnsi="宋体"/>
                <w:b/>
                <w:color w:val="auto"/>
                <w:spacing w:val="20"/>
                <w:sz w:val="22"/>
                <w:highlight w:val="none"/>
              </w:rPr>
            </w:pPr>
          </w:p>
        </w:tc>
        <w:tc>
          <w:tcPr>
            <w:tcW w:w="1384" w:type="dxa"/>
            <w:tcBorders>
              <w:right w:val="single" w:color="auto" w:sz="4" w:space="0"/>
            </w:tcBorders>
            <w:vAlign w:val="center"/>
          </w:tcPr>
          <w:p>
            <w:pPr>
              <w:spacing w:line="360" w:lineRule="exact"/>
              <w:jc w:val="center"/>
              <w:rPr>
                <w:rFonts w:ascii="宋体" w:hAnsi="宋体"/>
                <w:b/>
                <w:color w:val="auto"/>
                <w:spacing w:val="20"/>
                <w:sz w:val="22"/>
                <w:highlight w:val="none"/>
              </w:rPr>
            </w:pPr>
          </w:p>
        </w:tc>
        <w:tc>
          <w:tcPr>
            <w:tcW w:w="3339" w:type="dxa"/>
            <w:tcBorders>
              <w:left w:val="single" w:color="auto" w:sz="4" w:space="0"/>
            </w:tcBorders>
            <w:vAlign w:val="center"/>
          </w:tcPr>
          <w:p>
            <w:pPr>
              <w:spacing w:line="360" w:lineRule="exact"/>
              <w:jc w:val="center"/>
              <w:rPr>
                <w:rFonts w:ascii="宋体" w:hAnsi="宋体"/>
                <w:b/>
                <w:color w:val="auto"/>
                <w:spacing w:val="20"/>
                <w:sz w:val="22"/>
                <w:highlight w:val="none"/>
              </w:rPr>
            </w:pPr>
          </w:p>
        </w:tc>
        <w:tc>
          <w:tcPr>
            <w:tcW w:w="757" w:type="dxa"/>
            <w:vAlign w:val="center"/>
          </w:tcPr>
          <w:p>
            <w:pPr>
              <w:spacing w:line="360" w:lineRule="exact"/>
              <w:jc w:val="center"/>
              <w:rPr>
                <w:rFonts w:ascii="宋体" w:hAnsi="宋体"/>
                <w:b/>
                <w:color w:val="auto"/>
                <w:spacing w:val="20"/>
                <w:sz w:val="22"/>
                <w:highlight w:val="none"/>
              </w:rPr>
            </w:pPr>
          </w:p>
        </w:tc>
        <w:tc>
          <w:tcPr>
            <w:tcW w:w="757" w:type="dxa"/>
          </w:tcPr>
          <w:p>
            <w:pPr>
              <w:spacing w:line="360" w:lineRule="exact"/>
              <w:jc w:val="center"/>
              <w:rPr>
                <w:rFonts w:ascii="宋体" w:hAnsi="宋体"/>
                <w:b/>
                <w:color w:val="auto"/>
                <w:spacing w:val="20"/>
                <w:sz w:val="22"/>
                <w:highlight w:val="none"/>
              </w:rPr>
            </w:pPr>
          </w:p>
        </w:tc>
        <w:tc>
          <w:tcPr>
            <w:tcW w:w="1655" w:type="dxa"/>
            <w:vAlign w:val="center"/>
          </w:tcPr>
          <w:p>
            <w:pPr>
              <w:spacing w:line="360" w:lineRule="exact"/>
              <w:jc w:val="center"/>
              <w:rPr>
                <w:rFonts w:ascii="宋体" w:hAnsi="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513" w:type="dxa"/>
            <w:vAlign w:val="center"/>
          </w:tcPr>
          <w:p>
            <w:pPr>
              <w:spacing w:line="360" w:lineRule="exact"/>
              <w:jc w:val="center"/>
              <w:rPr>
                <w:rFonts w:ascii="宋体" w:hAnsi="宋体"/>
                <w:b/>
                <w:color w:val="auto"/>
                <w:spacing w:val="20"/>
                <w:sz w:val="22"/>
                <w:highlight w:val="none"/>
              </w:rPr>
            </w:pPr>
          </w:p>
        </w:tc>
        <w:tc>
          <w:tcPr>
            <w:tcW w:w="1449" w:type="dxa"/>
            <w:vAlign w:val="center"/>
          </w:tcPr>
          <w:p>
            <w:pPr>
              <w:spacing w:line="360" w:lineRule="exact"/>
              <w:jc w:val="center"/>
              <w:rPr>
                <w:rFonts w:ascii="宋体" w:hAnsi="宋体"/>
                <w:b/>
                <w:color w:val="auto"/>
                <w:spacing w:val="20"/>
                <w:sz w:val="22"/>
                <w:highlight w:val="none"/>
              </w:rPr>
            </w:pPr>
          </w:p>
        </w:tc>
        <w:tc>
          <w:tcPr>
            <w:tcW w:w="1384" w:type="dxa"/>
            <w:tcBorders>
              <w:right w:val="single" w:color="auto" w:sz="4" w:space="0"/>
            </w:tcBorders>
            <w:vAlign w:val="center"/>
          </w:tcPr>
          <w:p>
            <w:pPr>
              <w:spacing w:line="360" w:lineRule="exact"/>
              <w:jc w:val="center"/>
              <w:rPr>
                <w:rFonts w:ascii="宋体" w:hAnsi="宋体"/>
                <w:b/>
                <w:color w:val="auto"/>
                <w:spacing w:val="20"/>
                <w:sz w:val="22"/>
                <w:highlight w:val="none"/>
              </w:rPr>
            </w:pPr>
          </w:p>
        </w:tc>
        <w:tc>
          <w:tcPr>
            <w:tcW w:w="3339" w:type="dxa"/>
            <w:tcBorders>
              <w:left w:val="single" w:color="auto" w:sz="4" w:space="0"/>
            </w:tcBorders>
            <w:vAlign w:val="center"/>
          </w:tcPr>
          <w:p>
            <w:pPr>
              <w:spacing w:line="360" w:lineRule="exact"/>
              <w:jc w:val="center"/>
              <w:rPr>
                <w:rFonts w:ascii="宋体" w:hAnsi="宋体"/>
                <w:b/>
                <w:color w:val="auto"/>
                <w:spacing w:val="20"/>
                <w:sz w:val="22"/>
                <w:highlight w:val="none"/>
              </w:rPr>
            </w:pPr>
          </w:p>
        </w:tc>
        <w:tc>
          <w:tcPr>
            <w:tcW w:w="757" w:type="dxa"/>
            <w:vAlign w:val="center"/>
          </w:tcPr>
          <w:p>
            <w:pPr>
              <w:spacing w:line="360" w:lineRule="exact"/>
              <w:jc w:val="center"/>
              <w:rPr>
                <w:rFonts w:ascii="宋体" w:hAnsi="宋体"/>
                <w:b/>
                <w:color w:val="auto"/>
                <w:spacing w:val="20"/>
                <w:sz w:val="22"/>
                <w:highlight w:val="none"/>
              </w:rPr>
            </w:pPr>
          </w:p>
        </w:tc>
        <w:tc>
          <w:tcPr>
            <w:tcW w:w="757" w:type="dxa"/>
          </w:tcPr>
          <w:p>
            <w:pPr>
              <w:spacing w:line="360" w:lineRule="exact"/>
              <w:jc w:val="center"/>
              <w:rPr>
                <w:rFonts w:ascii="宋体" w:hAnsi="宋体"/>
                <w:b/>
                <w:color w:val="auto"/>
                <w:spacing w:val="20"/>
                <w:sz w:val="22"/>
                <w:highlight w:val="none"/>
              </w:rPr>
            </w:pPr>
          </w:p>
        </w:tc>
        <w:tc>
          <w:tcPr>
            <w:tcW w:w="1655" w:type="dxa"/>
            <w:vAlign w:val="center"/>
          </w:tcPr>
          <w:p>
            <w:pPr>
              <w:spacing w:line="360" w:lineRule="exact"/>
              <w:jc w:val="center"/>
              <w:rPr>
                <w:rFonts w:ascii="宋体" w:hAnsi="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513" w:type="dxa"/>
            <w:vAlign w:val="center"/>
          </w:tcPr>
          <w:p>
            <w:pPr>
              <w:spacing w:line="360" w:lineRule="exact"/>
              <w:jc w:val="center"/>
              <w:rPr>
                <w:rFonts w:ascii="宋体" w:hAnsi="宋体"/>
                <w:b/>
                <w:color w:val="auto"/>
                <w:spacing w:val="20"/>
                <w:sz w:val="22"/>
                <w:highlight w:val="none"/>
              </w:rPr>
            </w:pPr>
          </w:p>
        </w:tc>
        <w:tc>
          <w:tcPr>
            <w:tcW w:w="1449" w:type="dxa"/>
            <w:vAlign w:val="center"/>
          </w:tcPr>
          <w:p>
            <w:pPr>
              <w:spacing w:line="360" w:lineRule="exact"/>
              <w:jc w:val="center"/>
              <w:rPr>
                <w:rFonts w:ascii="宋体" w:hAnsi="宋体"/>
                <w:b/>
                <w:color w:val="auto"/>
                <w:spacing w:val="20"/>
                <w:sz w:val="22"/>
                <w:highlight w:val="none"/>
              </w:rPr>
            </w:pPr>
          </w:p>
        </w:tc>
        <w:tc>
          <w:tcPr>
            <w:tcW w:w="1384" w:type="dxa"/>
            <w:tcBorders>
              <w:right w:val="single" w:color="auto" w:sz="4" w:space="0"/>
            </w:tcBorders>
            <w:vAlign w:val="center"/>
          </w:tcPr>
          <w:p>
            <w:pPr>
              <w:spacing w:line="360" w:lineRule="exact"/>
              <w:jc w:val="center"/>
              <w:rPr>
                <w:rFonts w:ascii="宋体" w:hAnsi="宋体"/>
                <w:b/>
                <w:color w:val="auto"/>
                <w:spacing w:val="20"/>
                <w:sz w:val="22"/>
                <w:highlight w:val="none"/>
              </w:rPr>
            </w:pPr>
          </w:p>
        </w:tc>
        <w:tc>
          <w:tcPr>
            <w:tcW w:w="3339" w:type="dxa"/>
            <w:tcBorders>
              <w:left w:val="single" w:color="auto" w:sz="4" w:space="0"/>
            </w:tcBorders>
            <w:vAlign w:val="center"/>
          </w:tcPr>
          <w:p>
            <w:pPr>
              <w:spacing w:line="360" w:lineRule="exact"/>
              <w:jc w:val="center"/>
              <w:rPr>
                <w:rFonts w:ascii="宋体" w:hAnsi="宋体"/>
                <w:b/>
                <w:color w:val="auto"/>
                <w:spacing w:val="20"/>
                <w:sz w:val="22"/>
                <w:highlight w:val="none"/>
              </w:rPr>
            </w:pPr>
          </w:p>
        </w:tc>
        <w:tc>
          <w:tcPr>
            <w:tcW w:w="757" w:type="dxa"/>
            <w:vAlign w:val="center"/>
          </w:tcPr>
          <w:p>
            <w:pPr>
              <w:spacing w:line="360" w:lineRule="exact"/>
              <w:jc w:val="center"/>
              <w:rPr>
                <w:rFonts w:ascii="宋体" w:hAnsi="宋体"/>
                <w:b/>
                <w:color w:val="auto"/>
                <w:spacing w:val="20"/>
                <w:sz w:val="22"/>
                <w:highlight w:val="none"/>
              </w:rPr>
            </w:pPr>
          </w:p>
        </w:tc>
        <w:tc>
          <w:tcPr>
            <w:tcW w:w="757" w:type="dxa"/>
          </w:tcPr>
          <w:p>
            <w:pPr>
              <w:spacing w:line="360" w:lineRule="exact"/>
              <w:jc w:val="center"/>
              <w:rPr>
                <w:rFonts w:ascii="宋体" w:hAnsi="宋体"/>
                <w:b/>
                <w:color w:val="auto"/>
                <w:spacing w:val="20"/>
                <w:sz w:val="22"/>
                <w:highlight w:val="none"/>
              </w:rPr>
            </w:pPr>
          </w:p>
        </w:tc>
        <w:tc>
          <w:tcPr>
            <w:tcW w:w="1655" w:type="dxa"/>
            <w:vAlign w:val="center"/>
          </w:tcPr>
          <w:p>
            <w:pPr>
              <w:spacing w:line="360" w:lineRule="exact"/>
              <w:jc w:val="center"/>
              <w:rPr>
                <w:rFonts w:ascii="宋体" w:hAnsi="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513" w:type="dxa"/>
            <w:vAlign w:val="center"/>
          </w:tcPr>
          <w:p>
            <w:pPr>
              <w:spacing w:line="360" w:lineRule="exact"/>
              <w:jc w:val="center"/>
              <w:rPr>
                <w:rFonts w:ascii="宋体" w:hAnsi="宋体"/>
                <w:b/>
                <w:color w:val="auto"/>
                <w:spacing w:val="20"/>
                <w:sz w:val="22"/>
                <w:highlight w:val="none"/>
              </w:rPr>
            </w:pPr>
          </w:p>
        </w:tc>
        <w:tc>
          <w:tcPr>
            <w:tcW w:w="1449" w:type="dxa"/>
            <w:vAlign w:val="center"/>
          </w:tcPr>
          <w:p>
            <w:pPr>
              <w:spacing w:line="360" w:lineRule="exact"/>
              <w:jc w:val="center"/>
              <w:rPr>
                <w:rFonts w:ascii="宋体" w:hAnsi="宋体"/>
                <w:b/>
                <w:color w:val="auto"/>
                <w:spacing w:val="20"/>
                <w:sz w:val="22"/>
                <w:highlight w:val="none"/>
              </w:rPr>
            </w:pPr>
          </w:p>
        </w:tc>
        <w:tc>
          <w:tcPr>
            <w:tcW w:w="1384" w:type="dxa"/>
            <w:tcBorders>
              <w:right w:val="single" w:color="auto" w:sz="4" w:space="0"/>
            </w:tcBorders>
            <w:vAlign w:val="center"/>
          </w:tcPr>
          <w:p>
            <w:pPr>
              <w:spacing w:line="360" w:lineRule="exact"/>
              <w:jc w:val="center"/>
              <w:rPr>
                <w:rFonts w:ascii="宋体" w:hAnsi="宋体"/>
                <w:b/>
                <w:color w:val="auto"/>
                <w:spacing w:val="20"/>
                <w:sz w:val="22"/>
                <w:highlight w:val="none"/>
              </w:rPr>
            </w:pPr>
          </w:p>
        </w:tc>
        <w:tc>
          <w:tcPr>
            <w:tcW w:w="3339" w:type="dxa"/>
            <w:tcBorders>
              <w:left w:val="single" w:color="auto" w:sz="4" w:space="0"/>
            </w:tcBorders>
            <w:vAlign w:val="center"/>
          </w:tcPr>
          <w:p>
            <w:pPr>
              <w:spacing w:line="360" w:lineRule="exact"/>
              <w:jc w:val="center"/>
              <w:rPr>
                <w:rFonts w:ascii="宋体" w:hAnsi="宋体"/>
                <w:b/>
                <w:color w:val="auto"/>
                <w:spacing w:val="20"/>
                <w:sz w:val="22"/>
                <w:highlight w:val="none"/>
              </w:rPr>
            </w:pPr>
          </w:p>
        </w:tc>
        <w:tc>
          <w:tcPr>
            <w:tcW w:w="757" w:type="dxa"/>
            <w:vAlign w:val="center"/>
          </w:tcPr>
          <w:p>
            <w:pPr>
              <w:spacing w:line="360" w:lineRule="exact"/>
              <w:jc w:val="center"/>
              <w:rPr>
                <w:rFonts w:ascii="宋体" w:hAnsi="宋体"/>
                <w:b/>
                <w:color w:val="auto"/>
                <w:spacing w:val="20"/>
                <w:sz w:val="22"/>
                <w:highlight w:val="none"/>
              </w:rPr>
            </w:pPr>
          </w:p>
        </w:tc>
        <w:tc>
          <w:tcPr>
            <w:tcW w:w="757" w:type="dxa"/>
          </w:tcPr>
          <w:p>
            <w:pPr>
              <w:spacing w:line="360" w:lineRule="exact"/>
              <w:jc w:val="center"/>
              <w:rPr>
                <w:rFonts w:ascii="宋体" w:hAnsi="宋体"/>
                <w:b/>
                <w:color w:val="auto"/>
                <w:spacing w:val="20"/>
                <w:sz w:val="22"/>
                <w:highlight w:val="none"/>
              </w:rPr>
            </w:pPr>
          </w:p>
        </w:tc>
        <w:tc>
          <w:tcPr>
            <w:tcW w:w="1655" w:type="dxa"/>
            <w:vAlign w:val="center"/>
          </w:tcPr>
          <w:p>
            <w:pPr>
              <w:spacing w:line="360" w:lineRule="exact"/>
              <w:jc w:val="center"/>
              <w:rPr>
                <w:rFonts w:ascii="宋体" w:hAnsi="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513" w:type="dxa"/>
            <w:vAlign w:val="center"/>
          </w:tcPr>
          <w:p>
            <w:pPr>
              <w:spacing w:line="360" w:lineRule="exact"/>
              <w:jc w:val="center"/>
              <w:rPr>
                <w:rFonts w:ascii="宋体" w:hAnsi="宋体"/>
                <w:b/>
                <w:color w:val="auto"/>
                <w:spacing w:val="20"/>
                <w:sz w:val="22"/>
                <w:highlight w:val="none"/>
              </w:rPr>
            </w:pPr>
          </w:p>
        </w:tc>
        <w:tc>
          <w:tcPr>
            <w:tcW w:w="1449" w:type="dxa"/>
            <w:vAlign w:val="center"/>
          </w:tcPr>
          <w:p>
            <w:pPr>
              <w:spacing w:line="360" w:lineRule="exact"/>
              <w:jc w:val="center"/>
              <w:rPr>
                <w:rFonts w:ascii="宋体" w:hAnsi="宋体"/>
                <w:b/>
                <w:color w:val="auto"/>
                <w:spacing w:val="20"/>
                <w:sz w:val="22"/>
                <w:highlight w:val="none"/>
              </w:rPr>
            </w:pPr>
          </w:p>
        </w:tc>
        <w:tc>
          <w:tcPr>
            <w:tcW w:w="1384" w:type="dxa"/>
            <w:tcBorders>
              <w:right w:val="single" w:color="auto" w:sz="4" w:space="0"/>
            </w:tcBorders>
            <w:vAlign w:val="center"/>
          </w:tcPr>
          <w:p>
            <w:pPr>
              <w:spacing w:line="360" w:lineRule="exact"/>
              <w:jc w:val="center"/>
              <w:rPr>
                <w:rFonts w:ascii="宋体" w:hAnsi="宋体"/>
                <w:b/>
                <w:color w:val="auto"/>
                <w:spacing w:val="20"/>
                <w:sz w:val="22"/>
                <w:highlight w:val="none"/>
              </w:rPr>
            </w:pPr>
          </w:p>
        </w:tc>
        <w:tc>
          <w:tcPr>
            <w:tcW w:w="3339" w:type="dxa"/>
            <w:tcBorders>
              <w:left w:val="single" w:color="auto" w:sz="4" w:space="0"/>
            </w:tcBorders>
            <w:vAlign w:val="center"/>
          </w:tcPr>
          <w:p>
            <w:pPr>
              <w:spacing w:line="360" w:lineRule="exact"/>
              <w:jc w:val="center"/>
              <w:rPr>
                <w:rFonts w:ascii="宋体" w:hAnsi="宋体"/>
                <w:b/>
                <w:color w:val="auto"/>
                <w:spacing w:val="20"/>
                <w:sz w:val="22"/>
                <w:highlight w:val="none"/>
              </w:rPr>
            </w:pPr>
          </w:p>
        </w:tc>
        <w:tc>
          <w:tcPr>
            <w:tcW w:w="757" w:type="dxa"/>
            <w:vAlign w:val="center"/>
          </w:tcPr>
          <w:p>
            <w:pPr>
              <w:spacing w:line="360" w:lineRule="exact"/>
              <w:jc w:val="center"/>
              <w:rPr>
                <w:rFonts w:ascii="宋体" w:hAnsi="宋体"/>
                <w:b/>
                <w:color w:val="auto"/>
                <w:spacing w:val="20"/>
                <w:sz w:val="22"/>
                <w:highlight w:val="none"/>
              </w:rPr>
            </w:pPr>
          </w:p>
        </w:tc>
        <w:tc>
          <w:tcPr>
            <w:tcW w:w="757" w:type="dxa"/>
          </w:tcPr>
          <w:p>
            <w:pPr>
              <w:spacing w:line="360" w:lineRule="exact"/>
              <w:jc w:val="center"/>
              <w:rPr>
                <w:rFonts w:ascii="宋体" w:hAnsi="宋体"/>
                <w:b/>
                <w:color w:val="auto"/>
                <w:spacing w:val="20"/>
                <w:sz w:val="22"/>
                <w:highlight w:val="none"/>
              </w:rPr>
            </w:pPr>
          </w:p>
        </w:tc>
        <w:tc>
          <w:tcPr>
            <w:tcW w:w="1655" w:type="dxa"/>
            <w:vAlign w:val="center"/>
          </w:tcPr>
          <w:p>
            <w:pPr>
              <w:spacing w:line="360" w:lineRule="exact"/>
              <w:jc w:val="center"/>
              <w:rPr>
                <w:rFonts w:ascii="宋体" w:hAnsi="宋体"/>
                <w:b/>
                <w:color w:val="auto"/>
                <w:spacing w:val="20"/>
                <w:sz w:val="22"/>
                <w:highlight w:val="none"/>
              </w:rPr>
            </w:pPr>
          </w:p>
        </w:tc>
      </w:tr>
    </w:tbl>
    <w:p>
      <w:pPr>
        <w:spacing w:line="360" w:lineRule="exact"/>
        <w:rPr>
          <w:rFonts w:ascii="宋体" w:hAnsi="宋体"/>
          <w:b/>
          <w:color w:val="auto"/>
          <w:spacing w:val="20"/>
          <w:sz w:val="22"/>
          <w:highlight w:val="none"/>
        </w:rPr>
      </w:pPr>
      <w:r>
        <w:rPr>
          <w:rFonts w:hint="eastAsia" w:ascii="宋体" w:hAnsi="宋体"/>
          <w:color w:val="auto"/>
          <w:spacing w:val="20"/>
          <w:sz w:val="22"/>
          <w:highlight w:val="none"/>
        </w:rPr>
        <w:t>注：1、放置技术资信标中</w:t>
      </w:r>
    </w:p>
    <w:p>
      <w:pPr>
        <w:spacing w:line="360" w:lineRule="exact"/>
        <w:ind w:firstLine="520" w:firstLineChars="200"/>
        <w:rPr>
          <w:rFonts w:ascii="宋体" w:hAnsi="宋体"/>
          <w:b/>
          <w:color w:val="auto"/>
          <w:spacing w:val="20"/>
          <w:sz w:val="22"/>
          <w:highlight w:val="none"/>
        </w:rPr>
      </w:pPr>
      <w:r>
        <w:rPr>
          <w:rFonts w:hint="eastAsia" w:ascii="宋体" w:hAnsi="宋体"/>
          <w:color w:val="auto"/>
          <w:spacing w:val="20"/>
          <w:sz w:val="22"/>
          <w:highlight w:val="none"/>
        </w:rPr>
        <w:t>2、所投产品详细配置、技术应另页描述。</w:t>
      </w:r>
    </w:p>
    <w:p>
      <w:pPr>
        <w:spacing w:line="360" w:lineRule="exact"/>
        <w:ind w:firstLine="520" w:firstLineChars="200"/>
        <w:rPr>
          <w:rFonts w:ascii="宋体" w:hAnsi="宋体"/>
          <w:color w:val="auto"/>
          <w:spacing w:val="20"/>
          <w:sz w:val="22"/>
          <w:highlight w:val="none"/>
        </w:rPr>
      </w:pPr>
      <w:r>
        <w:rPr>
          <w:rFonts w:hint="eastAsia" w:ascii="宋体" w:hAnsi="宋体"/>
          <w:color w:val="auto"/>
          <w:spacing w:val="20"/>
          <w:sz w:val="22"/>
          <w:highlight w:val="none"/>
        </w:rPr>
        <w:t>3、相当于不带价格的详细报价表，必须提供，所有项目均需在本表体现</w:t>
      </w:r>
    </w:p>
    <w:p>
      <w:pPr>
        <w:pStyle w:val="14"/>
        <w:spacing w:line="360" w:lineRule="auto"/>
        <w:rPr>
          <w:rFonts w:hAnsi="宋体"/>
          <w:b/>
          <w:color w:val="auto"/>
          <w:sz w:val="22"/>
          <w:szCs w:val="22"/>
          <w:highlight w:val="none"/>
        </w:rPr>
      </w:pPr>
      <w:r>
        <w:rPr>
          <w:rFonts w:hAnsi="宋体"/>
          <w:color w:val="auto"/>
          <w:sz w:val="22"/>
          <w:szCs w:val="22"/>
          <w:highlight w:val="none"/>
        </w:rPr>
        <w:t>投标供应商全称（盖章）：</w:t>
      </w:r>
    </w:p>
    <w:p>
      <w:pPr>
        <w:pStyle w:val="14"/>
        <w:spacing w:line="360" w:lineRule="auto"/>
        <w:rPr>
          <w:rFonts w:hAnsi="宋体"/>
          <w:b/>
          <w:color w:val="auto"/>
          <w:sz w:val="22"/>
          <w:szCs w:val="22"/>
          <w:highlight w:val="none"/>
        </w:rPr>
      </w:pPr>
      <w:r>
        <w:rPr>
          <w:rFonts w:hAnsi="宋体"/>
          <w:color w:val="auto"/>
          <w:sz w:val="22"/>
          <w:szCs w:val="22"/>
          <w:highlight w:val="none"/>
        </w:rPr>
        <w:t>法定代表人</w:t>
      </w:r>
      <w:r>
        <w:rPr>
          <w:rFonts w:hint="eastAsia" w:hAnsi="宋体"/>
          <w:color w:val="auto"/>
          <w:sz w:val="22"/>
          <w:szCs w:val="22"/>
          <w:highlight w:val="none"/>
        </w:rPr>
        <w:t>（负责人）</w:t>
      </w:r>
      <w:r>
        <w:rPr>
          <w:rFonts w:hAnsi="宋体"/>
          <w:color w:val="auto"/>
          <w:sz w:val="22"/>
          <w:szCs w:val="22"/>
          <w:highlight w:val="none"/>
        </w:rPr>
        <w:t>或授权代表（签字</w:t>
      </w:r>
      <w:r>
        <w:rPr>
          <w:rFonts w:hint="eastAsia" w:hAnsi="宋体"/>
          <w:color w:val="auto"/>
          <w:sz w:val="22"/>
          <w:szCs w:val="22"/>
          <w:highlight w:val="none"/>
        </w:rPr>
        <w:t>或盖章</w:t>
      </w:r>
      <w:r>
        <w:rPr>
          <w:rFonts w:hAnsi="宋体"/>
          <w:color w:val="auto"/>
          <w:sz w:val="22"/>
          <w:szCs w:val="22"/>
          <w:highlight w:val="none"/>
        </w:rPr>
        <w:t>）：</w:t>
      </w:r>
    </w:p>
    <w:p>
      <w:pPr>
        <w:pStyle w:val="14"/>
        <w:spacing w:line="360" w:lineRule="auto"/>
        <w:rPr>
          <w:rFonts w:hAnsi="宋体"/>
          <w:b/>
          <w:color w:val="auto"/>
          <w:sz w:val="22"/>
          <w:szCs w:val="22"/>
          <w:highlight w:val="none"/>
        </w:rPr>
      </w:pPr>
      <w:r>
        <w:rPr>
          <w:rFonts w:hAnsi="宋体"/>
          <w:color w:val="auto"/>
          <w:sz w:val="22"/>
          <w:szCs w:val="22"/>
          <w:highlight w:val="none"/>
        </w:rPr>
        <w:t>日 期：       年      月      日</w:t>
      </w:r>
    </w:p>
    <w:p>
      <w:pPr>
        <w:pStyle w:val="14"/>
        <w:spacing w:line="360" w:lineRule="auto"/>
        <w:rPr>
          <w:rFonts w:hAnsi="宋体"/>
          <w:color w:val="auto"/>
          <w:sz w:val="22"/>
          <w:szCs w:val="22"/>
          <w:highlight w:val="none"/>
        </w:rPr>
      </w:pPr>
    </w:p>
    <w:p>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p>
    <w:bookmarkEnd w:id="122"/>
    <w:p>
      <w:pPr>
        <w:pStyle w:val="25"/>
        <w:rPr>
          <w:rFonts w:ascii="宋体" w:hAnsi="宋体" w:cs="宋体"/>
          <w:color w:val="auto"/>
          <w:sz w:val="30"/>
          <w:szCs w:val="30"/>
          <w:highlight w:val="none"/>
        </w:rPr>
      </w:pPr>
      <w:bookmarkStart w:id="229" w:name="_Toc73091452"/>
      <w:r>
        <w:rPr>
          <w:rFonts w:hint="eastAsia" w:ascii="宋体" w:hAnsi="宋体" w:cs="宋体"/>
          <w:color w:val="auto"/>
          <w:sz w:val="30"/>
          <w:szCs w:val="30"/>
          <w:highlight w:val="none"/>
        </w:rPr>
        <w:t>第七部分 评标定标办法</w:t>
      </w:r>
      <w:bookmarkEnd w:id="116"/>
      <w:bookmarkEnd w:id="117"/>
      <w:bookmarkEnd w:id="118"/>
      <w:bookmarkEnd w:id="229"/>
    </w:p>
    <w:p>
      <w:pPr>
        <w:tabs>
          <w:tab w:val="left" w:pos="8820"/>
        </w:tabs>
        <w:adjustRightInd w:val="0"/>
        <w:snapToGrid w:val="0"/>
        <w:spacing w:before="100" w:after="50"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根据《中华人民共和国政府采购法》等有关政府采购法规，结合本次所要采购服务的实际，按照公平、公正、科学、择优的原则选择中标供应商，特制定本评标办法。</w:t>
      </w:r>
    </w:p>
    <w:p>
      <w:pPr>
        <w:adjustRightInd w:val="0"/>
        <w:snapToGrid w:val="0"/>
        <w:spacing w:before="156" w:beforeLines="50" w:after="50" w:line="460" w:lineRule="atLeast"/>
        <w:jc w:val="center"/>
        <w:rPr>
          <w:rFonts w:ascii="宋体" w:hAnsi="宋体" w:cs="宋体"/>
          <w:color w:val="auto"/>
          <w:sz w:val="22"/>
          <w:szCs w:val="22"/>
          <w:highlight w:val="none"/>
        </w:rPr>
      </w:pPr>
      <w:r>
        <w:rPr>
          <w:rFonts w:hint="eastAsia" w:ascii="宋体" w:hAnsi="宋体" w:cs="宋体"/>
          <w:color w:val="auto"/>
          <w:sz w:val="22"/>
          <w:szCs w:val="22"/>
          <w:highlight w:val="none"/>
        </w:rPr>
        <w:t>一、总则</w:t>
      </w:r>
    </w:p>
    <w:p>
      <w:pPr>
        <w:pStyle w:val="15"/>
        <w:adjustRightInd w:val="0"/>
        <w:snapToGrid w:val="0"/>
        <w:spacing w:before="100" w:after="50" w:line="460" w:lineRule="atLeast"/>
        <w:rPr>
          <w:rFonts w:eastAsia="宋体"/>
          <w:b w:val="0"/>
          <w:bCs w:val="0"/>
          <w:color w:val="auto"/>
          <w:sz w:val="22"/>
          <w:szCs w:val="22"/>
          <w:highlight w:val="none"/>
        </w:rPr>
      </w:pPr>
      <w:r>
        <w:rPr>
          <w:rFonts w:hint="eastAsia" w:eastAsia="宋体"/>
          <w:b w:val="0"/>
          <w:bCs w:val="0"/>
          <w:color w:val="auto"/>
          <w:sz w:val="22"/>
          <w:szCs w:val="22"/>
          <w:highlight w:val="none"/>
        </w:rPr>
        <w:t>评标工作遵循公平、公正、民主、科学的原则和诚实、信誉、效率的服务原则。本着科学、严谨的态度，认真进行评标。择优选定服务供应商，确保服务质量，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156" w:beforeLines="50" w:after="50" w:line="460" w:lineRule="atLeast"/>
        <w:jc w:val="center"/>
        <w:rPr>
          <w:rFonts w:ascii="宋体" w:hAnsi="宋体" w:cs="宋体"/>
          <w:color w:val="auto"/>
          <w:sz w:val="22"/>
          <w:szCs w:val="22"/>
          <w:highlight w:val="none"/>
        </w:rPr>
      </w:pPr>
      <w:r>
        <w:rPr>
          <w:rFonts w:hint="eastAsia" w:ascii="宋体" w:hAnsi="宋体" w:cs="宋体"/>
          <w:color w:val="auto"/>
          <w:sz w:val="22"/>
          <w:szCs w:val="22"/>
          <w:highlight w:val="none"/>
        </w:rPr>
        <w:t>二、评标组织</w:t>
      </w:r>
    </w:p>
    <w:p>
      <w:pPr>
        <w:pStyle w:val="15"/>
        <w:adjustRightInd w:val="0"/>
        <w:snapToGrid w:val="0"/>
        <w:spacing w:before="100" w:after="50" w:line="460" w:lineRule="atLeast"/>
        <w:rPr>
          <w:rFonts w:eastAsia="宋体"/>
          <w:b w:val="0"/>
          <w:bCs w:val="0"/>
          <w:color w:val="auto"/>
          <w:sz w:val="22"/>
          <w:szCs w:val="22"/>
          <w:highlight w:val="none"/>
        </w:rPr>
      </w:pPr>
      <w:r>
        <w:rPr>
          <w:rFonts w:hint="eastAsia" w:eastAsia="宋体"/>
          <w:b w:val="0"/>
          <w:bCs w:val="0"/>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pPr>
        <w:pStyle w:val="63"/>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460" w:lineRule="atLeast"/>
        <w:textAlignment w:val="auto"/>
        <w:rPr>
          <w:rFonts w:ascii="宋体" w:hAnsi="宋体" w:cs="宋体"/>
          <w:b w:val="0"/>
          <w:bCs w:val="0"/>
          <w:color w:val="auto"/>
          <w:kern w:val="2"/>
          <w:sz w:val="22"/>
          <w:szCs w:val="22"/>
          <w:highlight w:val="none"/>
        </w:rPr>
      </w:pPr>
      <w:r>
        <w:rPr>
          <w:rFonts w:hint="eastAsia" w:ascii="宋体" w:hAnsi="宋体" w:cs="宋体"/>
          <w:b w:val="0"/>
          <w:bCs w:val="0"/>
          <w:color w:val="auto"/>
          <w:kern w:val="2"/>
          <w:sz w:val="22"/>
          <w:szCs w:val="22"/>
          <w:highlight w:val="none"/>
        </w:rPr>
        <w:t>三、评标程序</w:t>
      </w:r>
    </w:p>
    <w:p>
      <w:pPr>
        <w:adjustRightInd w:val="0"/>
        <w:snapToGrid w:val="0"/>
        <w:spacing w:before="100" w:after="50"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pPr>
        <w:pStyle w:val="9"/>
        <w:adjustRightInd w:val="0"/>
        <w:snapToGrid w:val="0"/>
        <w:spacing w:before="156" w:beforeLines="50" w:after="50" w:line="460" w:lineRule="atLeast"/>
        <w:ind w:firstLine="440"/>
        <w:rPr>
          <w:rFonts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2、由评标委员会根据评审报告推荐综合得分第一名的供应商为中标人。如果第一名得分相同，以报价低的优先；报价也相同，以抽签随机决定。</w:t>
      </w:r>
    </w:p>
    <w:p>
      <w:pPr>
        <w:pStyle w:val="9"/>
        <w:adjustRightInd w:val="0"/>
        <w:snapToGrid w:val="0"/>
        <w:spacing w:before="156" w:beforeLines="50" w:after="50" w:line="460" w:lineRule="atLeast"/>
        <w:ind w:firstLine="440"/>
        <w:rPr>
          <w:rFonts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 xml:space="preserve">3、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pPr>
        <w:pStyle w:val="9"/>
        <w:adjustRightInd w:val="0"/>
        <w:snapToGrid w:val="0"/>
        <w:spacing w:before="156" w:beforeLines="50" w:after="50" w:line="460" w:lineRule="atLeast"/>
        <w:ind w:firstLine="440"/>
        <w:rPr>
          <w:rFonts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4、如果无候选供应商，或者侯选供应商因前款规定的同样原因不能签订合同的，本次采购失败，重新组织采购。</w:t>
      </w:r>
    </w:p>
    <w:p>
      <w:pPr>
        <w:pStyle w:val="9"/>
        <w:adjustRightInd w:val="0"/>
        <w:snapToGrid w:val="0"/>
        <w:spacing w:before="156" w:beforeLines="50" w:after="50" w:line="460" w:lineRule="atLeast"/>
        <w:ind w:firstLine="440"/>
        <w:rPr>
          <w:rFonts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5、其它参见本采购文件第三部分：“供应商须知” 中的相关内容。</w:t>
      </w:r>
    </w:p>
    <w:bookmarkEnd w:id="119"/>
    <w:p>
      <w:pPr>
        <w:spacing w:line="400" w:lineRule="exact"/>
        <w:rPr>
          <w:rFonts w:ascii="宋体" w:hAnsi="宋体" w:cs="宋体"/>
          <w:color w:val="auto"/>
          <w:highlight w:val="none"/>
        </w:rPr>
      </w:pPr>
    </w:p>
    <w:p>
      <w:pPr>
        <w:adjustRightInd w:val="0"/>
        <w:spacing w:before="100" w:after="50" w:line="460" w:lineRule="atLeas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四、评分细则</w:t>
      </w:r>
    </w:p>
    <w:p>
      <w:pPr>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一、商务报价评分30分</w:t>
      </w:r>
    </w:p>
    <w:p>
      <w:pPr>
        <w:widowControl/>
        <w:autoSpaceDE w:val="0"/>
        <w:autoSpaceDN w:val="0"/>
        <w:ind w:firstLine="442" w:firstLineChars="200"/>
        <w:textAlignment w:val="bottom"/>
        <w:rPr>
          <w:rFonts w:ascii="宋体" w:hAnsi="宋体" w:cs="仿宋"/>
          <w:b/>
          <w:color w:val="auto"/>
          <w:sz w:val="22"/>
          <w:szCs w:val="22"/>
          <w:highlight w:val="none"/>
          <w:u w:val="single"/>
        </w:rPr>
      </w:pPr>
      <w:r>
        <w:rPr>
          <w:rFonts w:hint="eastAsia" w:ascii="宋体" w:hAnsi="宋体" w:cs="仿宋"/>
          <w:b/>
          <w:color w:val="auto"/>
          <w:sz w:val="22"/>
          <w:szCs w:val="22"/>
          <w:highlight w:val="none"/>
          <w:u w:val="single"/>
        </w:rPr>
        <w:t>1、以供应商有效投标价中的最低价为评标基准价，得满分30分。商务报价评分结算公式为:投标报价得分=</w:t>
      </w:r>
      <w:bookmarkStart w:id="230" w:name="OLE_LINK1"/>
      <w:r>
        <w:rPr>
          <w:rFonts w:hint="eastAsia" w:ascii="宋体" w:hAnsi="宋体" w:cs="仿宋"/>
          <w:b/>
          <w:color w:val="auto"/>
          <w:sz w:val="22"/>
          <w:szCs w:val="22"/>
          <w:highlight w:val="none"/>
          <w:u w:val="single"/>
        </w:rPr>
        <w:t>(评标基准价／投标报价)×30%×100</w:t>
      </w:r>
      <w:bookmarkEnd w:id="230"/>
      <w:r>
        <w:rPr>
          <w:rFonts w:hint="eastAsia" w:ascii="宋体" w:hAnsi="宋体" w:cs="仿宋"/>
          <w:b/>
          <w:color w:val="auto"/>
          <w:sz w:val="22"/>
          <w:szCs w:val="22"/>
          <w:highlight w:val="none"/>
          <w:u w:val="single"/>
        </w:rPr>
        <w:t>。</w:t>
      </w:r>
    </w:p>
    <w:p>
      <w:pPr>
        <w:pStyle w:val="3"/>
        <w:ind w:firstLine="567" w:firstLineChars="0"/>
        <w:rPr>
          <w:rFonts w:ascii="宋体" w:hAnsi="宋体" w:cs="仿宋"/>
          <w:b/>
          <w:bCs/>
          <w:color w:val="auto"/>
          <w:sz w:val="22"/>
          <w:szCs w:val="22"/>
          <w:highlight w:val="none"/>
        </w:rPr>
      </w:pPr>
      <w:r>
        <w:rPr>
          <w:rFonts w:hint="eastAsia" w:ascii="宋体" w:hAnsi="宋体" w:cs="仿宋"/>
          <w:b/>
          <w:bCs/>
          <w:color w:val="auto"/>
          <w:sz w:val="22"/>
          <w:szCs w:val="22"/>
          <w:highlight w:val="none"/>
        </w:rPr>
        <w:t>注：符合招标文件规定条件的小、微企业（或监狱企业、残疾人企业），给予评标价格折扣（10%）。</w:t>
      </w:r>
    </w:p>
    <w:p>
      <w:pPr>
        <w:autoSpaceDE w:val="0"/>
        <w:autoSpaceDN w:val="0"/>
        <w:ind w:firstLine="442" w:firstLineChars="200"/>
        <w:rPr>
          <w:rFonts w:ascii="宋体" w:hAnsi="宋体" w:cs="仿宋"/>
          <w:color w:val="auto"/>
          <w:sz w:val="22"/>
          <w:szCs w:val="22"/>
          <w:highlight w:val="none"/>
        </w:rPr>
      </w:pPr>
      <w:r>
        <w:rPr>
          <w:rFonts w:hint="eastAsia" w:ascii="宋体" w:hAnsi="宋体" w:cs="仿宋"/>
          <w:b/>
          <w:color w:val="auto"/>
          <w:sz w:val="22"/>
          <w:szCs w:val="22"/>
          <w:highlight w:val="none"/>
          <w:u w:val="single"/>
        </w:rPr>
        <w:t>2、本项目采购预算见采购公告。</w:t>
      </w:r>
      <w:r>
        <w:rPr>
          <w:rFonts w:hint="eastAsia" w:ascii="宋体" w:hAnsi="宋体" w:cs="仿宋"/>
          <w:color w:val="auto"/>
          <w:sz w:val="22"/>
          <w:szCs w:val="22"/>
          <w:highlight w:val="none"/>
        </w:rPr>
        <w:t>如果所有供应商的报价均超出采购最高限价且采购人确认不能支付的情况，本次采购做流（废）标处理。如果仅仅某个（些）供应商的商务报价超出采购最高限价则该供应商按无效投标处理。</w:t>
      </w:r>
    </w:p>
    <w:p>
      <w:pPr>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二、技术、服务、资信业绩综合评分70分</w:t>
      </w:r>
    </w:p>
    <w:p>
      <w:pPr>
        <w:pStyle w:val="14"/>
        <w:rPr>
          <w:rFonts w:hAnsi="宋体"/>
          <w:color w:val="auto"/>
          <w:sz w:val="22"/>
          <w:szCs w:val="22"/>
          <w:highlight w:val="none"/>
        </w:rPr>
      </w:pPr>
    </w:p>
    <w:tbl>
      <w:tblPr>
        <w:tblStyle w:val="27"/>
        <w:tblW w:w="9417" w:type="dxa"/>
        <w:jc w:val="center"/>
        <w:tblLayout w:type="fixed"/>
        <w:tblCellMar>
          <w:top w:w="0" w:type="dxa"/>
          <w:left w:w="0" w:type="dxa"/>
          <w:bottom w:w="0" w:type="dxa"/>
          <w:right w:w="0" w:type="dxa"/>
        </w:tblCellMar>
      </w:tblPr>
      <w:tblGrid>
        <w:gridCol w:w="518"/>
        <w:gridCol w:w="1310"/>
        <w:gridCol w:w="937"/>
        <w:gridCol w:w="6652"/>
      </w:tblGrid>
      <w:tr>
        <w:tblPrEx>
          <w:tblCellMar>
            <w:top w:w="0" w:type="dxa"/>
            <w:left w:w="0" w:type="dxa"/>
            <w:bottom w:w="0" w:type="dxa"/>
            <w:right w:w="0" w:type="dxa"/>
          </w:tblCellMar>
        </w:tblPrEx>
        <w:trPr>
          <w:trHeight w:val="461" w:hRule="atLeast"/>
          <w:jc w:val="center"/>
        </w:trPr>
        <w:tc>
          <w:tcPr>
            <w:tcW w:w="518"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宋体" w:hAnsi="宋体"/>
                <w:b/>
                <w:bCs/>
                <w:color w:val="auto"/>
                <w:kern w:val="0"/>
                <w:highlight w:val="none"/>
              </w:rPr>
            </w:pPr>
            <w:r>
              <w:rPr>
                <w:rFonts w:hint="eastAsia" w:ascii="宋体" w:hAnsi="宋体"/>
                <w:b/>
                <w:bCs/>
                <w:color w:val="auto"/>
                <w:kern w:val="0"/>
                <w:highlight w:val="none"/>
              </w:rPr>
              <w:t>序号</w:t>
            </w:r>
          </w:p>
        </w:tc>
        <w:tc>
          <w:tcPr>
            <w:tcW w:w="1310" w:type="dxa"/>
            <w:tcBorders>
              <w:top w:val="single" w:color="auto" w:sz="8" w:space="0"/>
              <w:left w:val="nil"/>
              <w:bottom w:val="single" w:color="auto" w:sz="8" w:space="0"/>
              <w:right w:val="single" w:color="auto" w:sz="8" w:space="0"/>
            </w:tcBorders>
            <w:vAlign w:val="center"/>
          </w:tcPr>
          <w:p>
            <w:pPr>
              <w:widowControl/>
              <w:spacing w:line="300" w:lineRule="exact"/>
              <w:jc w:val="center"/>
              <w:rPr>
                <w:rFonts w:ascii="宋体" w:hAnsi="宋体"/>
                <w:b/>
                <w:bCs/>
                <w:color w:val="auto"/>
                <w:kern w:val="0"/>
                <w:highlight w:val="none"/>
              </w:rPr>
            </w:pPr>
            <w:r>
              <w:rPr>
                <w:rFonts w:hint="eastAsia" w:ascii="宋体" w:hAnsi="宋体"/>
                <w:b/>
                <w:bCs/>
                <w:color w:val="auto"/>
                <w:kern w:val="0"/>
                <w:highlight w:val="none"/>
              </w:rPr>
              <w:t>评审项目</w:t>
            </w:r>
          </w:p>
        </w:tc>
        <w:tc>
          <w:tcPr>
            <w:tcW w:w="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b/>
                <w:bCs/>
                <w:color w:val="auto"/>
                <w:kern w:val="0"/>
                <w:highlight w:val="none"/>
              </w:rPr>
            </w:pPr>
            <w:r>
              <w:rPr>
                <w:rFonts w:hint="eastAsia" w:ascii="宋体" w:hAnsi="宋体"/>
                <w:b/>
                <w:bCs/>
                <w:color w:val="auto"/>
                <w:kern w:val="0"/>
                <w:highlight w:val="none"/>
              </w:rPr>
              <w:t>标准分</w:t>
            </w:r>
          </w:p>
        </w:tc>
        <w:tc>
          <w:tcPr>
            <w:tcW w:w="66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b/>
                <w:bCs/>
                <w:color w:val="auto"/>
                <w:kern w:val="0"/>
                <w:highlight w:val="none"/>
              </w:rPr>
            </w:pPr>
            <w:r>
              <w:rPr>
                <w:rFonts w:hint="eastAsia" w:ascii="宋体" w:hAnsi="宋体"/>
                <w:b/>
                <w:bCs/>
                <w:color w:val="auto"/>
                <w:kern w:val="0"/>
                <w:highlight w:val="none"/>
              </w:rPr>
              <w:t>评分标准</w:t>
            </w:r>
          </w:p>
        </w:tc>
      </w:tr>
      <w:tr>
        <w:tblPrEx>
          <w:tblCellMar>
            <w:top w:w="0" w:type="dxa"/>
            <w:left w:w="0" w:type="dxa"/>
            <w:bottom w:w="0" w:type="dxa"/>
            <w:right w:w="0" w:type="dxa"/>
          </w:tblCellMar>
        </w:tblPrEx>
        <w:trPr>
          <w:trHeight w:val="983" w:hRule="atLeast"/>
          <w:jc w:val="center"/>
        </w:trPr>
        <w:tc>
          <w:tcPr>
            <w:tcW w:w="518" w:type="dxa"/>
            <w:tcBorders>
              <w:top w:val="single" w:color="auto" w:sz="4" w:space="0"/>
              <w:left w:val="single" w:color="auto" w:sz="8" w:space="0"/>
              <w:bottom w:val="single" w:color="auto" w:sz="8" w:space="0"/>
              <w:right w:val="single" w:color="auto" w:sz="8" w:space="0"/>
            </w:tcBorders>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1</w:t>
            </w:r>
          </w:p>
        </w:tc>
        <w:tc>
          <w:tcPr>
            <w:tcW w:w="1310" w:type="dxa"/>
            <w:tcBorders>
              <w:top w:val="single" w:color="auto" w:sz="4" w:space="0"/>
              <w:left w:val="nil"/>
              <w:bottom w:val="single" w:color="auto" w:sz="8" w:space="0"/>
              <w:right w:val="single" w:color="auto" w:sz="8" w:space="0"/>
            </w:tcBorders>
            <w:vAlign w:val="center"/>
          </w:tcPr>
          <w:p>
            <w:pPr>
              <w:widowControl/>
              <w:spacing w:line="300" w:lineRule="exact"/>
              <w:ind w:firstLine="210" w:firstLineChars="100"/>
              <w:jc w:val="center"/>
              <w:rPr>
                <w:rFonts w:ascii="宋体" w:hAnsi="宋体"/>
                <w:color w:val="auto"/>
                <w:kern w:val="0"/>
                <w:highlight w:val="none"/>
              </w:rPr>
            </w:pPr>
            <w:r>
              <w:rPr>
                <w:rFonts w:ascii="宋体" w:hAnsi="宋体"/>
                <w:color w:val="auto"/>
                <w:kern w:val="0"/>
                <w:highlight w:val="none"/>
              </w:rPr>
              <w:t>认证</w:t>
            </w:r>
            <w:r>
              <w:rPr>
                <w:rFonts w:hint="eastAsia" w:ascii="宋体" w:hAnsi="宋体"/>
                <w:color w:val="auto"/>
                <w:kern w:val="0"/>
                <w:highlight w:val="none"/>
              </w:rPr>
              <w:t>情况（3分）</w:t>
            </w:r>
          </w:p>
        </w:tc>
        <w:tc>
          <w:tcPr>
            <w:tcW w:w="93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0-3分</w:t>
            </w:r>
          </w:p>
        </w:tc>
        <w:tc>
          <w:tcPr>
            <w:tcW w:w="665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14"/>
              <w:snapToGrid w:val="0"/>
              <w:rPr>
                <w:color w:val="auto"/>
                <w:highlight w:val="none"/>
              </w:rPr>
            </w:pPr>
            <w:r>
              <w:rPr>
                <w:rFonts w:hint="eastAsia"/>
                <w:color w:val="auto"/>
                <w:highlight w:val="none"/>
              </w:rPr>
              <w:t>投标供应商认证证书：</w:t>
            </w:r>
            <w:r>
              <w:rPr>
                <w:rFonts w:hint="eastAsia"/>
                <w:color w:val="auto"/>
                <w:highlight w:val="none"/>
                <w:lang w:val="zh-CN"/>
              </w:rPr>
              <w:t>质量管理体系认（GB/T19001/ISO9001）、环境管理体系认证(GB/T24001/ISO14001)、职业健康安全管理体系认证（GB/T</w:t>
            </w:r>
            <w:r>
              <w:rPr>
                <w:rFonts w:hint="eastAsia"/>
                <w:color w:val="auto"/>
                <w:highlight w:val="none"/>
              </w:rPr>
              <w:t>45</w:t>
            </w:r>
            <w:r>
              <w:rPr>
                <w:rFonts w:hint="eastAsia"/>
                <w:color w:val="auto"/>
                <w:highlight w:val="none"/>
                <w:lang w:val="zh-CN"/>
              </w:rPr>
              <w:t>001/</w:t>
            </w:r>
            <w:r>
              <w:rPr>
                <w:rFonts w:hint="eastAsia"/>
                <w:color w:val="auto"/>
                <w:highlight w:val="none"/>
              </w:rPr>
              <w:t>ISO45</w:t>
            </w:r>
            <w:r>
              <w:rPr>
                <w:rFonts w:hint="eastAsia"/>
                <w:color w:val="auto"/>
                <w:highlight w:val="none"/>
                <w:lang w:val="zh-CN"/>
              </w:rPr>
              <w:t>001）</w:t>
            </w:r>
            <w:r>
              <w:rPr>
                <w:rFonts w:hint="eastAsia"/>
                <w:color w:val="auto"/>
                <w:highlight w:val="none"/>
              </w:rPr>
              <w:t>：每提供</w:t>
            </w:r>
            <w:r>
              <w:rPr>
                <w:rFonts w:hint="eastAsia"/>
                <w:color w:val="auto"/>
                <w:highlight w:val="none"/>
                <w:lang w:val="zh-CN"/>
              </w:rPr>
              <w:t>一项</w:t>
            </w:r>
            <w:r>
              <w:rPr>
                <w:rFonts w:hint="eastAsia"/>
                <w:color w:val="auto"/>
                <w:highlight w:val="none"/>
              </w:rPr>
              <w:t>得1</w:t>
            </w:r>
            <w:r>
              <w:rPr>
                <w:rFonts w:hint="eastAsia"/>
                <w:color w:val="auto"/>
                <w:highlight w:val="none"/>
                <w:lang w:val="zh-CN"/>
              </w:rPr>
              <w:t>分，</w:t>
            </w:r>
            <w:r>
              <w:rPr>
                <w:rFonts w:hint="eastAsia"/>
                <w:color w:val="auto"/>
                <w:highlight w:val="none"/>
              </w:rPr>
              <w:t>最高得3分</w:t>
            </w:r>
            <w:r>
              <w:rPr>
                <w:rFonts w:hint="eastAsia"/>
                <w:color w:val="auto"/>
                <w:highlight w:val="none"/>
                <w:lang w:val="zh-CN"/>
              </w:rPr>
              <w:t>。</w:t>
            </w:r>
          </w:p>
        </w:tc>
      </w:tr>
      <w:tr>
        <w:tblPrEx>
          <w:tblCellMar>
            <w:top w:w="0" w:type="dxa"/>
            <w:left w:w="0" w:type="dxa"/>
            <w:bottom w:w="0" w:type="dxa"/>
            <w:right w:w="0" w:type="dxa"/>
          </w:tblCellMar>
        </w:tblPrEx>
        <w:trPr>
          <w:trHeight w:val="90" w:hRule="atLeast"/>
          <w:jc w:val="center"/>
        </w:trPr>
        <w:tc>
          <w:tcPr>
            <w:tcW w:w="518"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2</w:t>
            </w:r>
          </w:p>
        </w:tc>
        <w:tc>
          <w:tcPr>
            <w:tcW w:w="1310" w:type="dxa"/>
            <w:tcBorders>
              <w:top w:val="nil"/>
              <w:left w:val="nil"/>
              <w:bottom w:val="single" w:color="auto" w:sz="8" w:space="0"/>
              <w:right w:val="single" w:color="auto" w:sz="8" w:space="0"/>
            </w:tcBorders>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优惠承诺（1分）</w:t>
            </w:r>
          </w:p>
        </w:tc>
        <w:tc>
          <w:tcPr>
            <w:tcW w:w="9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0-1分</w:t>
            </w:r>
          </w:p>
        </w:tc>
        <w:tc>
          <w:tcPr>
            <w:tcW w:w="665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4"/>
              <w:snapToGrid w:val="0"/>
              <w:rPr>
                <w:rFonts w:hAnsi="宋体"/>
                <w:color w:val="auto"/>
                <w:highlight w:val="none"/>
              </w:rPr>
            </w:pPr>
            <w:r>
              <w:rPr>
                <w:rFonts w:hint="eastAsia" w:hAnsi="宋体" w:cs="微软雅黑"/>
                <w:color w:val="auto"/>
                <w:highlight w:val="none"/>
              </w:rPr>
              <w:t>满足招标文件质保期基础上每增加1年得0.5分，最高得1分。</w:t>
            </w:r>
          </w:p>
        </w:tc>
      </w:tr>
      <w:tr>
        <w:tblPrEx>
          <w:tblCellMar>
            <w:top w:w="0" w:type="dxa"/>
            <w:left w:w="0" w:type="dxa"/>
            <w:bottom w:w="0" w:type="dxa"/>
            <w:right w:w="0" w:type="dxa"/>
          </w:tblCellMar>
        </w:tblPrEx>
        <w:trPr>
          <w:trHeight w:val="90" w:hRule="atLeast"/>
          <w:jc w:val="center"/>
        </w:trPr>
        <w:tc>
          <w:tcPr>
            <w:tcW w:w="518" w:type="dxa"/>
            <w:tcBorders>
              <w:top w:val="nil"/>
              <w:left w:val="single" w:color="auto" w:sz="8" w:space="0"/>
              <w:bottom w:val="single" w:color="auto" w:sz="4" w:space="0"/>
              <w:right w:val="single" w:color="auto" w:sz="8" w:space="0"/>
            </w:tcBorders>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3</w:t>
            </w:r>
          </w:p>
        </w:tc>
        <w:tc>
          <w:tcPr>
            <w:tcW w:w="1310" w:type="dxa"/>
            <w:tcBorders>
              <w:top w:val="nil"/>
              <w:left w:val="nil"/>
              <w:bottom w:val="single" w:color="auto" w:sz="4" w:space="0"/>
              <w:right w:val="single" w:color="auto" w:sz="8" w:space="0"/>
            </w:tcBorders>
            <w:vAlign w:val="center"/>
          </w:tcPr>
          <w:p>
            <w:pPr>
              <w:widowControl/>
              <w:jc w:val="center"/>
              <w:rPr>
                <w:rFonts w:ascii="宋体" w:hAnsi="宋体"/>
                <w:color w:val="auto"/>
                <w:kern w:val="0"/>
                <w:highlight w:val="none"/>
              </w:rPr>
            </w:pPr>
            <w:r>
              <w:rPr>
                <w:rFonts w:ascii="宋体" w:hAnsi="宋体"/>
                <w:color w:val="auto"/>
                <w:kern w:val="0"/>
                <w:highlight w:val="none"/>
              </w:rPr>
              <w:t>团队实力</w:t>
            </w:r>
            <w:r>
              <w:rPr>
                <w:rFonts w:hint="eastAsia" w:ascii="宋体" w:hAnsi="宋体"/>
                <w:color w:val="auto"/>
                <w:kern w:val="0"/>
                <w:highlight w:val="none"/>
              </w:rPr>
              <w:t>（6分）</w:t>
            </w:r>
          </w:p>
          <w:p>
            <w:pPr>
              <w:widowControl/>
              <w:jc w:val="center"/>
              <w:rPr>
                <w:rFonts w:ascii="宋体" w:hAnsi="宋体"/>
                <w:color w:val="auto"/>
                <w:kern w:val="0"/>
                <w:highlight w:val="none"/>
              </w:rPr>
            </w:pPr>
          </w:p>
        </w:tc>
        <w:tc>
          <w:tcPr>
            <w:tcW w:w="937"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0-6分</w:t>
            </w:r>
          </w:p>
        </w:tc>
        <w:tc>
          <w:tcPr>
            <w:tcW w:w="6652" w:type="dxa"/>
            <w:tcBorders>
              <w:top w:val="nil"/>
              <w:left w:val="nil"/>
              <w:bottom w:val="single" w:color="auto" w:sz="4" w:space="0"/>
              <w:right w:val="single" w:color="auto" w:sz="8" w:space="0"/>
            </w:tcBorders>
            <w:tcMar>
              <w:top w:w="0" w:type="dxa"/>
              <w:left w:w="108" w:type="dxa"/>
              <w:bottom w:w="0" w:type="dxa"/>
              <w:right w:w="108" w:type="dxa"/>
            </w:tcMar>
            <w:vAlign w:val="center"/>
          </w:tcPr>
          <w:p>
            <w:pPr>
              <w:numPr>
                <w:ilvl w:val="0"/>
                <w:numId w:val="18"/>
              </w:numPr>
              <w:rPr>
                <w:rFonts w:ascii="宋体" w:hAnsi="宋体" w:cs="微软雅黑"/>
                <w:color w:val="auto"/>
                <w:highlight w:val="none"/>
                <w:lang w:val="zh-CN"/>
              </w:rPr>
            </w:pPr>
            <w:r>
              <w:rPr>
                <w:rFonts w:hint="eastAsia" w:ascii="宋体" w:hAnsi="宋体" w:cs="微软雅黑"/>
                <w:color w:val="auto"/>
                <w:highlight w:val="none"/>
                <w:lang w:val="zh-CN"/>
              </w:rPr>
              <w:t xml:space="preserve"> 项目负责人同时具有</w:t>
            </w:r>
            <w:r>
              <w:rPr>
                <w:rFonts w:hint="eastAsia" w:ascii="宋体" w:hAnsi="宋体" w:cs="微软雅黑"/>
                <w:color w:val="auto"/>
                <w:highlight w:val="none"/>
              </w:rPr>
              <w:t>智能化</w:t>
            </w:r>
            <w:r>
              <w:rPr>
                <w:rFonts w:hint="eastAsia" w:ascii="宋体" w:hAnsi="宋体" w:cs="微软雅黑"/>
                <w:color w:val="auto"/>
                <w:highlight w:val="none"/>
                <w:lang w:val="zh-CN"/>
              </w:rPr>
              <w:t>系</w:t>
            </w:r>
            <w:r>
              <w:rPr>
                <w:rFonts w:hint="eastAsia" w:ascii="宋体" w:hAnsi="宋体" w:eastAsia="宋体" w:cs="微软雅黑"/>
                <w:color w:val="auto"/>
                <w:highlight w:val="none"/>
                <w:lang w:val="zh-CN"/>
              </w:rPr>
              <w:t>统集成项目经理（高级）</w:t>
            </w:r>
            <w:r>
              <w:rPr>
                <w:rFonts w:hint="eastAsia" w:ascii="宋体" w:hAnsi="宋体" w:eastAsia="宋体" w:cs="微软雅黑"/>
                <w:color w:val="auto"/>
                <w:highlight w:val="none"/>
                <w:lang w:val="zh-CN" w:eastAsia="zh-CN"/>
              </w:rPr>
              <w:t>、ＩＴ服务项目经理、网络工程师、</w:t>
            </w:r>
            <w:r>
              <w:rPr>
                <w:rFonts w:hint="eastAsia" w:ascii="宋体" w:hAnsi="宋体" w:eastAsia="宋体" w:cs="微软雅黑"/>
                <w:color w:val="auto"/>
                <w:highlight w:val="none"/>
                <w:lang w:val="zh-CN"/>
              </w:rPr>
              <w:t>PMP证书</w:t>
            </w:r>
            <w:r>
              <w:rPr>
                <w:rFonts w:hint="eastAsia" w:ascii="宋体" w:hAnsi="宋体" w:cs="微软雅黑"/>
                <w:color w:val="auto"/>
                <w:highlight w:val="none"/>
                <w:lang w:val="zh-CN"/>
              </w:rPr>
              <w:t>得</w:t>
            </w:r>
            <w:r>
              <w:rPr>
                <w:rFonts w:hint="eastAsia" w:ascii="宋体" w:hAnsi="宋体" w:cs="微软雅黑"/>
                <w:color w:val="auto"/>
                <w:highlight w:val="none"/>
              </w:rPr>
              <w:t>2</w:t>
            </w:r>
            <w:r>
              <w:rPr>
                <w:rFonts w:hint="eastAsia" w:ascii="宋体" w:hAnsi="宋体" w:cs="微软雅黑"/>
                <w:color w:val="auto"/>
                <w:highlight w:val="none"/>
                <w:lang w:val="zh-CN"/>
              </w:rPr>
              <w:t>分，每缺一项扣</w:t>
            </w:r>
            <w:r>
              <w:rPr>
                <w:rFonts w:hint="eastAsia" w:ascii="宋体" w:hAnsi="宋体" w:cs="微软雅黑"/>
                <w:color w:val="auto"/>
                <w:highlight w:val="none"/>
                <w:lang w:val="en-US" w:eastAsia="zh-CN"/>
              </w:rPr>
              <w:t>0.5分，扣完为止</w:t>
            </w:r>
            <w:r>
              <w:rPr>
                <w:rFonts w:hint="eastAsia" w:ascii="宋体" w:hAnsi="宋体" w:cs="微软雅黑"/>
                <w:color w:val="auto"/>
                <w:highlight w:val="none"/>
                <w:lang w:val="zh-CN"/>
              </w:rPr>
              <w:t>；</w:t>
            </w:r>
          </w:p>
          <w:p>
            <w:pPr>
              <w:numPr>
                <w:ilvl w:val="0"/>
                <w:numId w:val="18"/>
              </w:numPr>
              <w:rPr>
                <w:rFonts w:ascii="宋体" w:hAnsi="宋体" w:cs="微软雅黑"/>
                <w:color w:val="auto"/>
                <w:highlight w:val="none"/>
                <w:lang w:val="zh-CN"/>
              </w:rPr>
            </w:pPr>
            <w:r>
              <w:rPr>
                <w:rFonts w:hint="eastAsia" w:ascii="宋体" w:hAnsi="宋体" w:cs="微软雅黑"/>
                <w:color w:val="auto"/>
                <w:highlight w:val="none"/>
                <w:lang w:val="zh-CN"/>
              </w:rPr>
              <w:t>技术负责人具有</w:t>
            </w:r>
            <w:r>
              <w:rPr>
                <w:rFonts w:hint="eastAsia" w:ascii="宋体" w:hAnsi="宋体" w:cs="微软雅黑"/>
                <w:color w:val="auto"/>
                <w:highlight w:val="none"/>
              </w:rPr>
              <w:t>系统架构设计师</w:t>
            </w:r>
            <w:r>
              <w:rPr>
                <w:rFonts w:hint="eastAsia" w:ascii="宋体" w:hAnsi="宋体" w:cs="微软雅黑"/>
                <w:color w:val="auto"/>
                <w:highlight w:val="none"/>
                <w:lang w:eastAsia="zh-CN"/>
              </w:rPr>
              <w:t>、传输与接入技术通信工程师</w:t>
            </w:r>
            <w:r>
              <w:rPr>
                <w:rFonts w:hint="eastAsia" w:ascii="宋体" w:hAnsi="宋体" w:cs="微软雅黑"/>
                <w:color w:val="auto"/>
                <w:highlight w:val="none"/>
                <w:lang w:val="zh-CN"/>
              </w:rPr>
              <w:t>得</w:t>
            </w:r>
            <w:r>
              <w:rPr>
                <w:rFonts w:hint="eastAsia" w:ascii="宋体" w:hAnsi="宋体" w:cs="微软雅黑"/>
                <w:color w:val="auto"/>
                <w:highlight w:val="none"/>
              </w:rPr>
              <w:t>2</w:t>
            </w:r>
            <w:r>
              <w:rPr>
                <w:rFonts w:hint="eastAsia" w:ascii="宋体" w:hAnsi="宋体" w:cs="微软雅黑"/>
                <w:color w:val="auto"/>
                <w:highlight w:val="none"/>
                <w:lang w:val="zh-CN"/>
              </w:rPr>
              <w:t>分；</w:t>
            </w:r>
          </w:p>
          <w:p>
            <w:pPr>
              <w:numPr>
                <w:ilvl w:val="0"/>
                <w:numId w:val="18"/>
              </w:numPr>
              <w:rPr>
                <w:rFonts w:ascii="宋体" w:hAnsi="宋体" w:cs="微软雅黑"/>
                <w:color w:val="auto"/>
                <w:highlight w:val="none"/>
                <w:lang w:val="zh-CN"/>
              </w:rPr>
            </w:pPr>
            <w:r>
              <w:rPr>
                <w:rFonts w:hint="eastAsia" w:ascii="宋体" w:hAnsi="宋体" w:cs="微软雅黑"/>
                <w:color w:val="auto"/>
                <w:highlight w:val="none"/>
                <w:lang w:val="zh-CN"/>
              </w:rPr>
              <w:t>技术人员</w:t>
            </w:r>
            <w:r>
              <w:rPr>
                <w:rFonts w:hint="eastAsia" w:ascii="宋体" w:hAnsi="宋体" w:cs="微软雅黑"/>
                <w:color w:val="auto"/>
                <w:highlight w:val="none"/>
                <w:lang w:val="en-US" w:eastAsia="zh-CN"/>
              </w:rPr>
              <w:t>具有</w:t>
            </w:r>
            <w:r>
              <w:rPr>
                <w:rFonts w:hint="eastAsia" w:ascii="宋体" w:hAnsi="宋体" w:cs="微软雅黑"/>
                <w:color w:val="auto"/>
                <w:highlight w:val="none"/>
              </w:rPr>
              <w:t>网络</w:t>
            </w:r>
            <w:r>
              <w:rPr>
                <w:rFonts w:hint="eastAsia" w:ascii="宋体" w:hAnsi="宋体" w:cs="微软雅黑"/>
                <w:color w:val="auto"/>
                <w:highlight w:val="none"/>
                <w:lang w:val="zh-CN"/>
              </w:rPr>
              <w:t>工程师证书</w:t>
            </w:r>
            <w:r>
              <w:rPr>
                <w:rFonts w:hint="eastAsia" w:ascii="宋体" w:hAnsi="宋体" w:cs="微软雅黑"/>
                <w:color w:val="auto"/>
                <w:highlight w:val="none"/>
              </w:rPr>
              <w:t>、</w:t>
            </w:r>
            <w:r>
              <w:rPr>
                <w:rFonts w:hint="eastAsia" w:ascii="宋体" w:hAnsi="宋体" w:cs="微软雅黑"/>
                <w:color w:val="auto"/>
                <w:highlight w:val="none"/>
                <w:lang w:eastAsia="zh-CN"/>
              </w:rPr>
              <w:t>数据库系统工程师、ＩＴ服务工程师</w:t>
            </w:r>
            <w:r>
              <w:rPr>
                <w:rFonts w:hint="eastAsia" w:ascii="宋体" w:hAnsi="宋体" w:cs="微软雅黑"/>
                <w:color w:val="auto"/>
                <w:highlight w:val="none"/>
                <w:lang w:val="zh-CN"/>
              </w:rPr>
              <w:t>认证证书、</w:t>
            </w:r>
            <w:r>
              <w:rPr>
                <w:rFonts w:hint="eastAsia" w:ascii="宋体" w:hAnsi="宋体" w:cs="微软雅黑"/>
                <w:color w:val="auto"/>
                <w:highlight w:val="none"/>
              </w:rPr>
              <w:t>PMP</w:t>
            </w:r>
            <w:r>
              <w:rPr>
                <w:rFonts w:hint="eastAsia" w:ascii="宋体" w:hAnsi="宋体" w:cs="微软雅黑"/>
                <w:color w:val="auto"/>
                <w:highlight w:val="none"/>
                <w:lang w:val="zh-CN"/>
              </w:rPr>
              <w:t>证书，每一项得</w:t>
            </w:r>
            <w:r>
              <w:rPr>
                <w:rFonts w:hint="eastAsia" w:ascii="宋体" w:hAnsi="宋体" w:cs="微软雅黑"/>
                <w:color w:val="auto"/>
                <w:highlight w:val="none"/>
                <w:lang w:val="en-US" w:eastAsia="zh-CN"/>
              </w:rPr>
              <w:t>0.5分，最高得2分</w:t>
            </w:r>
            <w:r>
              <w:rPr>
                <w:rFonts w:hint="eastAsia" w:ascii="宋体" w:hAnsi="宋体" w:cs="微软雅黑"/>
                <w:color w:val="auto"/>
                <w:highlight w:val="none"/>
                <w:lang w:val="zh-CN"/>
              </w:rPr>
              <w:t>。</w:t>
            </w:r>
          </w:p>
          <w:p>
            <w:pPr>
              <w:widowControl/>
              <w:spacing w:line="300" w:lineRule="exact"/>
              <w:rPr>
                <w:rFonts w:ascii="宋体" w:hAnsi="宋体"/>
                <w:color w:val="auto"/>
                <w:kern w:val="0"/>
                <w:highlight w:val="none"/>
              </w:rPr>
            </w:pPr>
            <w:r>
              <w:rPr>
                <w:rFonts w:hint="eastAsia" w:ascii="宋体" w:hAnsi="宋体" w:cs="微软雅黑"/>
                <w:color w:val="auto"/>
                <w:highlight w:val="none"/>
              </w:rPr>
              <w:t>（以上同时提供所在投标单位投标截止时间前近三个月社保证明文件</w:t>
            </w:r>
            <w:r>
              <w:rPr>
                <w:rFonts w:hint="eastAsia" w:ascii="宋体" w:hAnsi="宋体" w:cs="微软雅黑"/>
                <w:color w:val="auto"/>
                <w:highlight w:val="none"/>
                <w:lang w:val="zh-CN"/>
              </w:rPr>
              <w:t>及资质证书复印件并加盖公章</w:t>
            </w:r>
            <w:r>
              <w:rPr>
                <w:rFonts w:hint="eastAsia" w:ascii="宋体" w:hAnsi="宋体" w:cs="微软雅黑"/>
                <w:color w:val="auto"/>
                <w:highlight w:val="none"/>
              </w:rPr>
              <w:t>，否则不予给分）</w:t>
            </w:r>
          </w:p>
        </w:tc>
      </w:tr>
      <w:tr>
        <w:tblPrEx>
          <w:tblCellMar>
            <w:top w:w="0" w:type="dxa"/>
            <w:left w:w="0" w:type="dxa"/>
            <w:bottom w:w="0" w:type="dxa"/>
            <w:right w:w="0" w:type="dxa"/>
          </w:tblCellMar>
        </w:tblPrEx>
        <w:trPr>
          <w:trHeight w:val="952" w:hRule="atLeast"/>
          <w:jc w:val="center"/>
        </w:trPr>
        <w:tc>
          <w:tcPr>
            <w:tcW w:w="518" w:type="dxa"/>
            <w:tcBorders>
              <w:top w:val="single" w:color="auto" w:sz="4" w:space="0"/>
              <w:left w:val="single" w:color="auto" w:sz="4" w:space="0"/>
              <w:bottom w:val="single" w:color="auto" w:sz="4" w:space="0"/>
              <w:right w:val="single" w:color="auto" w:sz="8" w:space="0"/>
            </w:tcBorders>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4</w:t>
            </w:r>
          </w:p>
        </w:tc>
        <w:tc>
          <w:tcPr>
            <w:tcW w:w="1310" w:type="dxa"/>
            <w:tcBorders>
              <w:top w:val="single" w:color="auto" w:sz="4" w:space="0"/>
              <w:left w:val="single" w:color="auto" w:sz="8" w:space="0"/>
              <w:bottom w:val="single" w:color="auto" w:sz="4" w:space="0"/>
              <w:right w:val="single" w:color="auto" w:sz="8" w:space="0"/>
            </w:tcBorders>
            <w:vAlign w:val="center"/>
          </w:tcPr>
          <w:p>
            <w:pPr>
              <w:widowControl/>
              <w:jc w:val="center"/>
              <w:rPr>
                <w:rFonts w:ascii="宋体" w:hAnsi="宋体"/>
                <w:color w:val="auto"/>
                <w:kern w:val="0"/>
                <w:highlight w:val="none"/>
              </w:rPr>
            </w:pPr>
            <w:r>
              <w:rPr>
                <w:rFonts w:hint="eastAsia" w:ascii="宋体" w:hAnsi="宋体"/>
                <w:color w:val="auto"/>
                <w:kern w:val="0"/>
                <w:highlight w:val="none"/>
              </w:rPr>
              <w:t>企业业绩（3分）</w:t>
            </w:r>
          </w:p>
        </w:tc>
        <w:tc>
          <w:tcPr>
            <w:tcW w:w="93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3分</w:t>
            </w:r>
          </w:p>
        </w:tc>
        <w:tc>
          <w:tcPr>
            <w:tcW w:w="6652"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pStyle w:val="69"/>
              <w:kinsoku w:val="0"/>
              <w:overflowPunct w:val="0"/>
              <w:spacing w:before="31"/>
              <w:rPr>
                <w:rFonts w:cs="微软雅黑"/>
                <w:color w:val="auto"/>
                <w:kern w:val="2"/>
                <w:sz w:val="21"/>
                <w:szCs w:val="21"/>
                <w:highlight w:val="none"/>
              </w:rPr>
            </w:pPr>
            <w:r>
              <w:rPr>
                <w:rFonts w:cs="微软雅黑"/>
                <w:color w:val="auto"/>
                <w:kern w:val="2"/>
                <w:sz w:val="21"/>
                <w:szCs w:val="21"/>
                <w:highlight w:val="none"/>
              </w:rPr>
              <w:t>201</w:t>
            </w:r>
            <w:r>
              <w:rPr>
                <w:rFonts w:hint="eastAsia" w:cs="微软雅黑"/>
                <w:color w:val="auto"/>
                <w:kern w:val="2"/>
                <w:sz w:val="21"/>
                <w:szCs w:val="21"/>
                <w:highlight w:val="none"/>
                <w:lang w:val="en-US"/>
              </w:rPr>
              <w:t>9</w:t>
            </w:r>
            <w:r>
              <w:rPr>
                <w:rFonts w:hint="eastAsia" w:cs="微软雅黑"/>
                <w:color w:val="auto"/>
                <w:kern w:val="2"/>
                <w:sz w:val="21"/>
                <w:szCs w:val="21"/>
                <w:highlight w:val="none"/>
              </w:rPr>
              <w:t>年</w:t>
            </w:r>
            <w:r>
              <w:rPr>
                <w:rFonts w:cs="微软雅黑"/>
                <w:color w:val="auto"/>
                <w:kern w:val="2"/>
                <w:sz w:val="21"/>
                <w:szCs w:val="21"/>
                <w:highlight w:val="none"/>
              </w:rPr>
              <w:t xml:space="preserve"> 1 </w:t>
            </w:r>
            <w:r>
              <w:rPr>
                <w:rFonts w:hint="eastAsia" w:cs="微软雅黑"/>
                <w:color w:val="auto"/>
                <w:kern w:val="2"/>
                <w:sz w:val="21"/>
                <w:szCs w:val="21"/>
                <w:highlight w:val="none"/>
              </w:rPr>
              <w:t>月</w:t>
            </w:r>
            <w:r>
              <w:rPr>
                <w:rFonts w:cs="微软雅黑"/>
                <w:color w:val="auto"/>
                <w:kern w:val="2"/>
                <w:sz w:val="21"/>
                <w:szCs w:val="21"/>
                <w:highlight w:val="none"/>
              </w:rPr>
              <w:t xml:space="preserve"> 1 </w:t>
            </w:r>
            <w:r>
              <w:rPr>
                <w:rFonts w:hint="eastAsia" w:cs="微软雅黑"/>
                <w:color w:val="auto"/>
                <w:kern w:val="2"/>
                <w:sz w:val="21"/>
                <w:szCs w:val="21"/>
                <w:highlight w:val="none"/>
              </w:rPr>
              <w:t>日以来，投标人具有信息化集成业绩</w:t>
            </w:r>
            <w:r>
              <w:rPr>
                <w:rFonts w:hint="eastAsia" w:cs="微软雅黑"/>
                <w:color w:val="auto"/>
                <w:kern w:val="2"/>
                <w:sz w:val="21"/>
                <w:szCs w:val="21"/>
                <w:highlight w:val="none"/>
                <w:lang w:val="en-US"/>
              </w:rPr>
              <w:t>，</w:t>
            </w:r>
            <w:r>
              <w:rPr>
                <w:rFonts w:hint="eastAsia" w:cs="微软雅黑"/>
                <w:color w:val="auto"/>
                <w:kern w:val="2"/>
                <w:sz w:val="21"/>
                <w:szCs w:val="21"/>
                <w:highlight w:val="none"/>
              </w:rPr>
              <w:t>每提供一个得1分；本项最高得</w:t>
            </w:r>
            <w:r>
              <w:rPr>
                <w:rFonts w:cs="微软雅黑"/>
                <w:color w:val="auto"/>
                <w:kern w:val="2"/>
                <w:sz w:val="21"/>
                <w:szCs w:val="21"/>
                <w:highlight w:val="none"/>
              </w:rPr>
              <w:t xml:space="preserve"> </w:t>
            </w:r>
            <w:r>
              <w:rPr>
                <w:rFonts w:hint="eastAsia" w:cs="微软雅黑"/>
                <w:color w:val="auto"/>
                <w:kern w:val="2"/>
                <w:sz w:val="21"/>
                <w:szCs w:val="21"/>
                <w:highlight w:val="none"/>
                <w:lang w:val="en-US"/>
              </w:rPr>
              <w:t>3</w:t>
            </w:r>
            <w:r>
              <w:rPr>
                <w:rFonts w:cs="微软雅黑"/>
                <w:color w:val="auto"/>
                <w:kern w:val="2"/>
                <w:sz w:val="21"/>
                <w:szCs w:val="21"/>
                <w:highlight w:val="none"/>
              </w:rPr>
              <w:t xml:space="preserve"> </w:t>
            </w:r>
            <w:r>
              <w:rPr>
                <w:rFonts w:hint="eastAsia" w:cs="微软雅黑"/>
                <w:color w:val="auto"/>
                <w:kern w:val="2"/>
                <w:sz w:val="21"/>
                <w:szCs w:val="21"/>
                <w:highlight w:val="none"/>
              </w:rPr>
              <w:t>分。</w:t>
            </w:r>
          </w:p>
          <w:p>
            <w:pPr>
              <w:widowControl/>
              <w:spacing w:line="300" w:lineRule="exact"/>
              <w:rPr>
                <w:rFonts w:ascii="宋体" w:cs="宋体"/>
                <w:bCs/>
                <w:color w:val="auto"/>
                <w:sz w:val="22"/>
                <w:szCs w:val="22"/>
                <w:highlight w:val="none"/>
              </w:rPr>
            </w:pPr>
            <w:r>
              <w:rPr>
                <w:rFonts w:hint="eastAsia" w:ascii="宋体" w:hAnsi="宋体" w:cs="微软雅黑"/>
                <w:color w:val="auto"/>
                <w:highlight w:val="none"/>
              </w:rPr>
              <w:t>（投标文件中提供业绩合同扫描件）。</w:t>
            </w:r>
          </w:p>
        </w:tc>
      </w:tr>
      <w:tr>
        <w:tblPrEx>
          <w:tblCellMar>
            <w:top w:w="0" w:type="dxa"/>
            <w:left w:w="0" w:type="dxa"/>
            <w:bottom w:w="0" w:type="dxa"/>
            <w:right w:w="0" w:type="dxa"/>
          </w:tblCellMar>
        </w:tblPrEx>
        <w:trPr>
          <w:trHeight w:val="90" w:hRule="atLeast"/>
          <w:jc w:val="center"/>
        </w:trPr>
        <w:tc>
          <w:tcPr>
            <w:tcW w:w="518" w:type="dxa"/>
            <w:vMerge w:val="restart"/>
            <w:tcBorders>
              <w:top w:val="single" w:color="auto" w:sz="4" w:space="0"/>
              <w:left w:val="single" w:color="auto" w:sz="8" w:space="0"/>
              <w:bottom w:val="single" w:color="auto" w:sz="8" w:space="0"/>
              <w:right w:val="single" w:color="auto" w:sz="8" w:space="0"/>
            </w:tcBorders>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5</w:t>
            </w:r>
          </w:p>
          <w:p>
            <w:pPr>
              <w:widowControl/>
              <w:spacing w:line="300" w:lineRule="exact"/>
              <w:jc w:val="center"/>
              <w:rPr>
                <w:rFonts w:ascii="宋体" w:hAnsi="宋体"/>
                <w:color w:val="auto"/>
                <w:kern w:val="0"/>
                <w:highlight w:val="none"/>
              </w:rPr>
            </w:pPr>
          </w:p>
        </w:tc>
        <w:tc>
          <w:tcPr>
            <w:tcW w:w="1310" w:type="dxa"/>
            <w:vMerge w:val="restart"/>
            <w:tcBorders>
              <w:top w:val="single" w:color="auto" w:sz="4" w:space="0"/>
              <w:left w:val="nil"/>
              <w:bottom w:val="single" w:color="auto" w:sz="8" w:space="0"/>
              <w:right w:val="single" w:color="auto" w:sz="8" w:space="0"/>
            </w:tcBorders>
            <w:vAlign w:val="center"/>
          </w:tcPr>
          <w:p>
            <w:pPr>
              <w:widowControl/>
              <w:jc w:val="center"/>
              <w:rPr>
                <w:rFonts w:ascii="宋体" w:hAnsi="宋体"/>
                <w:color w:val="auto"/>
                <w:kern w:val="0"/>
                <w:highlight w:val="none"/>
              </w:rPr>
            </w:pPr>
            <w:r>
              <w:rPr>
                <w:rFonts w:hint="eastAsia" w:ascii="宋体" w:hAnsi="宋体"/>
                <w:color w:val="auto"/>
                <w:kern w:val="0"/>
                <w:highlight w:val="none"/>
              </w:rPr>
              <w:t>所投产品厂家证书及荣誉（6分）</w:t>
            </w:r>
          </w:p>
        </w:tc>
        <w:tc>
          <w:tcPr>
            <w:tcW w:w="93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2分</w:t>
            </w:r>
          </w:p>
        </w:tc>
        <w:tc>
          <w:tcPr>
            <w:tcW w:w="665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宋体" w:cs="宋体"/>
                <w:bCs/>
                <w:color w:val="auto"/>
                <w:sz w:val="22"/>
                <w:szCs w:val="22"/>
                <w:highlight w:val="none"/>
              </w:rPr>
            </w:pPr>
            <w:r>
              <w:rPr>
                <w:rFonts w:hint="eastAsia" w:ascii="宋体" w:hAnsi="宋体" w:cs="微软雅黑"/>
                <w:color w:val="auto"/>
                <w:highlight w:val="none"/>
              </w:rPr>
              <w:t>所投核心产品生产厂商具有CMMI5软件能力成熟度模型集成的得2分,具有CMMI3软件能力成熟度模型集成及以上的得1分,否则不得分。(须提供有效复印件)</w:t>
            </w:r>
          </w:p>
        </w:tc>
      </w:tr>
      <w:tr>
        <w:tblPrEx>
          <w:tblCellMar>
            <w:top w:w="0" w:type="dxa"/>
            <w:left w:w="0" w:type="dxa"/>
            <w:bottom w:w="0" w:type="dxa"/>
            <w:right w:w="0" w:type="dxa"/>
          </w:tblCellMar>
        </w:tblPrEx>
        <w:trPr>
          <w:trHeight w:val="90" w:hRule="atLeast"/>
          <w:jc w:val="center"/>
        </w:trPr>
        <w:tc>
          <w:tcPr>
            <w:tcW w:w="518" w:type="dxa"/>
            <w:vMerge w:val="continue"/>
            <w:tcBorders>
              <w:left w:val="single" w:color="auto" w:sz="8" w:space="0"/>
              <w:right w:val="single" w:color="auto" w:sz="8" w:space="0"/>
            </w:tcBorders>
            <w:vAlign w:val="center"/>
          </w:tcPr>
          <w:p>
            <w:pPr>
              <w:widowControl/>
              <w:spacing w:line="300" w:lineRule="exact"/>
              <w:jc w:val="center"/>
              <w:rPr>
                <w:rFonts w:ascii="宋体" w:hAnsi="宋体"/>
                <w:color w:val="auto"/>
                <w:kern w:val="0"/>
                <w:highlight w:val="none"/>
              </w:rPr>
            </w:pPr>
          </w:p>
        </w:tc>
        <w:tc>
          <w:tcPr>
            <w:tcW w:w="1310" w:type="dxa"/>
            <w:vMerge w:val="continue"/>
            <w:tcBorders>
              <w:left w:val="nil"/>
              <w:right w:val="single" w:color="auto" w:sz="8" w:space="0"/>
            </w:tcBorders>
            <w:vAlign w:val="center"/>
          </w:tcPr>
          <w:p>
            <w:pPr>
              <w:widowControl/>
              <w:jc w:val="center"/>
              <w:rPr>
                <w:rFonts w:ascii="宋体" w:hAnsi="宋体"/>
                <w:color w:val="auto"/>
                <w:kern w:val="0"/>
                <w:highlight w:val="none"/>
              </w:rPr>
            </w:pPr>
          </w:p>
        </w:tc>
        <w:tc>
          <w:tcPr>
            <w:tcW w:w="9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2分</w:t>
            </w:r>
          </w:p>
        </w:tc>
        <w:tc>
          <w:tcPr>
            <w:tcW w:w="66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宋体" w:hAnsi="宋体" w:cs="微软雅黑"/>
                <w:color w:val="auto"/>
                <w:highlight w:val="none"/>
              </w:rPr>
            </w:pPr>
            <w:r>
              <w:rPr>
                <w:rFonts w:hint="eastAsia" w:ascii="宋体" w:hAnsi="宋体" w:cs="微软雅黑"/>
                <w:color w:val="auto"/>
                <w:highlight w:val="none"/>
              </w:rPr>
              <w:t>所投核心产品生产厂商具有国家保密局颁发的涉密信息系统集成资质甲级(安防监控) (须提供有效复印件)得2分,乙级得1分,否则0分。</w:t>
            </w:r>
          </w:p>
        </w:tc>
      </w:tr>
      <w:tr>
        <w:tblPrEx>
          <w:tblCellMar>
            <w:top w:w="0" w:type="dxa"/>
            <w:left w:w="0" w:type="dxa"/>
            <w:bottom w:w="0" w:type="dxa"/>
            <w:right w:w="0" w:type="dxa"/>
          </w:tblCellMar>
        </w:tblPrEx>
        <w:trPr>
          <w:trHeight w:val="90"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宋体" w:hAnsi="宋体"/>
                <w:color w:val="auto"/>
                <w:kern w:val="0"/>
                <w:highlight w:val="none"/>
              </w:rPr>
            </w:pPr>
          </w:p>
        </w:tc>
        <w:tc>
          <w:tcPr>
            <w:tcW w:w="1310" w:type="dxa"/>
            <w:vMerge w:val="continue"/>
            <w:tcBorders>
              <w:top w:val="single" w:color="auto" w:sz="8" w:space="0"/>
              <w:left w:val="nil"/>
              <w:bottom w:val="single" w:color="auto" w:sz="8" w:space="0"/>
              <w:right w:val="single" w:color="auto" w:sz="8" w:space="0"/>
            </w:tcBorders>
            <w:vAlign w:val="center"/>
          </w:tcPr>
          <w:p>
            <w:pPr>
              <w:widowControl/>
              <w:jc w:val="center"/>
              <w:rPr>
                <w:rFonts w:ascii="宋体" w:hAnsi="宋体"/>
                <w:color w:val="auto"/>
                <w:kern w:val="0"/>
                <w:highlight w:val="none"/>
              </w:rPr>
            </w:pPr>
          </w:p>
        </w:tc>
        <w:tc>
          <w:tcPr>
            <w:tcW w:w="9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2分</w:t>
            </w:r>
          </w:p>
        </w:tc>
        <w:tc>
          <w:tcPr>
            <w:tcW w:w="6652" w:type="dxa"/>
            <w:tcBorders>
              <w:top w:val="nil"/>
              <w:left w:val="nil"/>
              <w:bottom w:val="single" w:color="auto" w:sz="8" w:space="0"/>
              <w:right w:val="single" w:color="auto" w:sz="8" w:space="0"/>
            </w:tcBorders>
            <w:tcMar>
              <w:top w:w="0" w:type="dxa"/>
              <w:left w:w="108" w:type="dxa"/>
              <w:bottom w:w="0" w:type="dxa"/>
              <w:right w:w="108" w:type="dxa"/>
            </w:tcMar>
            <w:vAlign w:val="center"/>
          </w:tcPr>
          <w:p>
            <w:pPr>
              <w:autoSpaceDE w:val="0"/>
              <w:autoSpaceDN w:val="0"/>
              <w:snapToGrid w:val="0"/>
              <w:jc w:val="left"/>
              <w:rPr>
                <w:rFonts w:ascii="宋体" w:cs="宋体"/>
                <w:bCs/>
                <w:color w:val="auto"/>
                <w:sz w:val="22"/>
                <w:szCs w:val="22"/>
                <w:highlight w:val="none"/>
              </w:rPr>
            </w:pPr>
            <w:r>
              <w:rPr>
                <w:rFonts w:hint="eastAsia" w:ascii="宋体" w:hAnsi="宋体" w:cs="微软雅黑"/>
                <w:color w:val="auto"/>
                <w:highlight w:val="none"/>
              </w:rPr>
              <w:t>所投核心产品生产厂商荣获“国家认定企业技术中心”的得2分,否则不得分。(须提供有效复印件并加盖厂商公章)</w:t>
            </w:r>
          </w:p>
        </w:tc>
      </w:tr>
      <w:tr>
        <w:tblPrEx>
          <w:tblCellMar>
            <w:top w:w="0" w:type="dxa"/>
            <w:left w:w="0" w:type="dxa"/>
            <w:bottom w:w="0" w:type="dxa"/>
            <w:right w:w="0" w:type="dxa"/>
          </w:tblCellMar>
        </w:tblPrEx>
        <w:trPr>
          <w:trHeight w:val="90" w:hRule="atLeast"/>
          <w:jc w:val="center"/>
        </w:trPr>
        <w:tc>
          <w:tcPr>
            <w:tcW w:w="518"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6</w:t>
            </w:r>
          </w:p>
        </w:tc>
        <w:tc>
          <w:tcPr>
            <w:tcW w:w="131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olor w:val="auto"/>
                <w:kern w:val="0"/>
                <w:highlight w:val="none"/>
              </w:rPr>
            </w:pPr>
            <w:r>
              <w:rPr>
                <w:rFonts w:hint="eastAsia" w:ascii="宋体" w:hAnsi="宋体"/>
                <w:color w:val="auto"/>
                <w:kern w:val="0"/>
                <w:highlight w:val="none"/>
              </w:rPr>
              <w:t>项目整体技术方案（10分）</w:t>
            </w:r>
          </w:p>
        </w:tc>
        <w:tc>
          <w:tcPr>
            <w:tcW w:w="9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0-10分</w:t>
            </w:r>
          </w:p>
        </w:tc>
        <w:tc>
          <w:tcPr>
            <w:tcW w:w="66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utoSpaceDE w:val="0"/>
              <w:autoSpaceDN w:val="0"/>
              <w:snapToGrid w:val="0"/>
              <w:jc w:val="left"/>
              <w:rPr>
                <w:color w:val="auto"/>
                <w:highlight w:val="none"/>
              </w:rPr>
            </w:pPr>
            <w:r>
              <w:rPr>
                <w:rFonts w:hint="eastAsia"/>
                <w:color w:val="auto"/>
                <w:highlight w:val="none"/>
              </w:rPr>
              <w:t>投标人提供整体项目技术方案的合理性进行评价：</w:t>
            </w:r>
          </w:p>
          <w:p>
            <w:pPr>
              <w:autoSpaceDE w:val="0"/>
              <w:autoSpaceDN w:val="0"/>
              <w:snapToGrid w:val="0"/>
              <w:jc w:val="left"/>
              <w:rPr>
                <w:color w:val="auto"/>
                <w:highlight w:val="none"/>
              </w:rPr>
            </w:pPr>
            <w:r>
              <w:rPr>
                <w:rFonts w:hint="eastAsia"/>
                <w:color w:val="auto"/>
                <w:highlight w:val="none"/>
              </w:rPr>
              <w:t>（1）方案切合项目实际，能够准确把握采购人信息化现状，能够充分理解本项目关于系统对接和软件系统的建设要求，设计方案内容很详细，理解很清晰，针对性很强得6-10分；</w:t>
            </w:r>
          </w:p>
          <w:p>
            <w:pPr>
              <w:autoSpaceDE w:val="0"/>
              <w:autoSpaceDN w:val="0"/>
              <w:snapToGrid w:val="0"/>
              <w:jc w:val="left"/>
              <w:rPr>
                <w:color w:val="auto"/>
                <w:highlight w:val="none"/>
              </w:rPr>
            </w:pPr>
            <w:r>
              <w:rPr>
                <w:rFonts w:hint="eastAsia"/>
                <w:color w:val="auto"/>
                <w:highlight w:val="none"/>
              </w:rPr>
              <w:t>（2）方案切合项目实际，较准确把握采购人信息化现状，较理解本项目关于系统对接和软件系统的建设要求，设计方案内容较详细，理解较为清晰，针对性较强得3-6分；</w:t>
            </w:r>
          </w:p>
          <w:p>
            <w:pPr>
              <w:autoSpaceDE w:val="0"/>
              <w:autoSpaceDN w:val="0"/>
              <w:snapToGrid w:val="0"/>
              <w:jc w:val="left"/>
              <w:rPr>
                <w:rFonts w:ascii="宋体" w:hAnsi="宋体"/>
                <w:color w:val="auto"/>
                <w:highlight w:val="none"/>
              </w:rPr>
            </w:pPr>
            <w:r>
              <w:rPr>
                <w:rFonts w:hint="eastAsia"/>
                <w:color w:val="auto"/>
                <w:highlight w:val="none"/>
              </w:rPr>
              <w:t>（3）方案切合项目实际，理解本项目关于系统对接和软件系统的建设要求，设计方案内容一般，得0-3分；</w:t>
            </w:r>
          </w:p>
        </w:tc>
      </w:tr>
      <w:tr>
        <w:tblPrEx>
          <w:tblCellMar>
            <w:top w:w="0" w:type="dxa"/>
            <w:left w:w="0" w:type="dxa"/>
            <w:bottom w:w="0" w:type="dxa"/>
            <w:right w:w="0" w:type="dxa"/>
          </w:tblCellMar>
        </w:tblPrEx>
        <w:trPr>
          <w:trHeight w:val="90" w:hRule="atLeast"/>
          <w:jc w:val="center"/>
        </w:trPr>
        <w:tc>
          <w:tcPr>
            <w:tcW w:w="518"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7</w:t>
            </w:r>
          </w:p>
        </w:tc>
        <w:tc>
          <w:tcPr>
            <w:tcW w:w="131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olor w:val="auto"/>
                <w:kern w:val="0"/>
                <w:highlight w:val="none"/>
              </w:rPr>
            </w:pPr>
            <w:r>
              <w:rPr>
                <w:rFonts w:hint="eastAsia" w:ascii="宋体" w:hAnsi="宋体"/>
                <w:color w:val="auto"/>
                <w:kern w:val="0"/>
                <w:highlight w:val="none"/>
              </w:rPr>
              <w:t>产品性能及技术指标（30分）</w:t>
            </w:r>
          </w:p>
        </w:tc>
        <w:tc>
          <w:tcPr>
            <w:tcW w:w="9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0-30分</w:t>
            </w:r>
          </w:p>
        </w:tc>
        <w:tc>
          <w:tcPr>
            <w:tcW w:w="66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utoSpaceDE w:val="0"/>
              <w:autoSpaceDN w:val="0"/>
              <w:snapToGrid w:val="0"/>
              <w:jc w:val="left"/>
              <w:rPr>
                <w:rFonts w:ascii="宋体" w:hAnsi="宋体"/>
                <w:color w:val="auto"/>
                <w:highlight w:val="none"/>
              </w:rPr>
            </w:pPr>
            <w:r>
              <w:rPr>
                <w:rFonts w:hint="eastAsia" w:ascii="宋体" w:hAnsi="宋体" w:cs="微软雅黑"/>
                <w:color w:val="auto"/>
                <w:highlight w:val="none"/>
              </w:rPr>
              <w:t>根据投标书中描述对产品功能和技术参数等内容进行综合判断，对一般技术参数属负偏离的每项扣0.5分，对打</w:t>
            </w:r>
            <w:r>
              <w:rPr>
                <w:rFonts w:hint="eastAsia"/>
                <w:color w:val="auto"/>
                <w:highlight w:val="none"/>
              </w:rPr>
              <w:t>★</w:t>
            </w:r>
            <w:r>
              <w:rPr>
                <w:rFonts w:hint="eastAsia" w:ascii="宋体" w:hAnsi="宋体" w:cs="微软雅黑"/>
                <w:color w:val="auto"/>
                <w:highlight w:val="none"/>
              </w:rPr>
              <w:t>重点技术参数负偏离的每项扣1分，扣完为止。（</w:t>
            </w:r>
            <w:r>
              <w:rPr>
                <w:rFonts w:hint="eastAsia" w:ascii="宋体" w:hAnsi="宋体" w:cs="微软雅黑"/>
                <w:b/>
                <w:bCs/>
                <w:color w:val="auto"/>
                <w:highlight w:val="none"/>
              </w:rPr>
              <w:t>技术参数中要求</w:t>
            </w:r>
            <w:r>
              <w:rPr>
                <w:b/>
                <w:bCs/>
                <w:color w:val="auto"/>
                <w:highlight w:val="none"/>
              </w:rPr>
              <w:t>提供检测报告</w:t>
            </w:r>
            <w:r>
              <w:rPr>
                <w:rFonts w:hint="eastAsia"/>
                <w:b/>
                <w:bCs/>
                <w:color w:val="auto"/>
                <w:highlight w:val="none"/>
              </w:rPr>
              <w:t>的，投标人</w:t>
            </w:r>
            <w:r>
              <w:rPr>
                <w:rFonts w:hint="eastAsia" w:ascii="宋体" w:hAnsi="宋体" w:cs="微软雅黑"/>
                <w:b/>
                <w:bCs/>
                <w:color w:val="auto"/>
                <w:highlight w:val="none"/>
              </w:rPr>
              <w:t>应提供检测报告复印件并加盖原厂公章予以佐证，且需用显著标识进行标注，否则此项不得分。</w:t>
            </w:r>
            <w:r>
              <w:rPr>
                <w:rFonts w:hint="eastAsia" w:ascii="宋体" w:hAnsi="宋体" w:cs="微软雅黑"/>
                <w:color w:val="auto"/>
                <w:highlight w:val="none"/>
              </w:rPr>
              <w:t>）</w:t>
            </w:r>
          </w:p>
        </w:tc>
      </w:tr>
      <w:tr>
        <w:tblPrEx>
          <w:tblCellMar>
            <w:top w:w="0" w:type="dxa"/>
            <w:left w:w="0" w:type="dxa"/>
            <w:bottom w:w="0" w:type="dxa"/>
            <w:right w:w="0" w:type="dxa"/>
          </w:tblCellMar>
        </w:tblPrEx>
        <w:trPr>
          <w:trHeight w:val="90" w:hRule="atLeast"/>
          <w:jc w:val="center"/>
        </w:trPr>
        <w:tc>
          <w:tcPr>
            <w:tcW w:w="518"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8</w:t>
            </w:r>
          </w:p>
        </w:tc>
        <w:tc>
          <w:tcPr>
            <w:tcW w:w="131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olor w:val="auto"/>
                <w:kern w:val="0"/>
                <w:highlight w:val="none"/>
              </w:rPr>
            </w:pPr>
            <w:r>
              <w:rPr>
                <w:rFonts w:hint="eastAsia" w:ascii="宋体" w:hAnsi="宋体"/>
                <w:color w:val="auto"/>
                <w:kern w:val="0"/>
                <w:highlight w:val="none"/>
              </w:rPr>
              <w:t>项目的安装、调试、验收标准、方案（5分）</w:t>
            </w:r>
          </w:p>
        </w:tc>
        <w:tc>
          <w:tcPr>
            <w:tcW w:w="9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0-5分</w:t>
            </w:r>
          </w:p>
        </w:tc>
        <w:tc>
          <w:tcPr>
            <w:tcW w:w="66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
              <w:rPr>
                <w:rFonts w:ascii="宋体" w:hAnsi="宋体"/>
                <w:color w:val="auto"/>
                <w:highlight w:val="none"/>
              </w:rPr>
            </w:pPr>
            <w:r>
              <w:rPr>
                <w:rFonts w:hint="eastAsia" w:ascii="宋体" w:hAnsi="宋体" w:cs="Arial"/>
                <w:color w:val="auto"/>
                <w:highlight w:val="none"/>
              </w:rPr>
              <w:t>根据所投产品的供货、安装、调试、验收标准及方案（方案应具体、详细、可行，有利于项目实施；安装、测试及验收标准应科学、合理）等综合比较。得0-5分</w:t>
            </w:r>
          </w:p>
        </w:tc>
      </w:tr>
      <w:tr>
        <w:tblPrEx>
          <w:tblCellMar>
            <w:top w:w="0" w:type="dxa"/>
            <w:left w:w="0" w:type="dxa"/>
            <w:bottom w:w="0" w:type="dxa"/>
            <w:right w:w="0" w:type="dxa"/>
          </w:tblCellMar>
        </w:tblPrEx>
        <w:trPr>
          <w:trHeight w:val="90" w:hRule="atLeast"/>
          <w:jc w:val="center"/>
        </w:trPr>
        <w:tc>
          <w:tcPr>
            <w:tcW w:w="518"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9</w:t>
            </w:r>
          </w:p>
        </w:tc>
        <w:tc>
          <w:tcPr>
            <w:tcW w:w="131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olor w:val="auto"/>
                <w:kern w:val="0"/>
                <w:highlight w:val="none"/>
              </w:rPr>
            </w:pPr>
            <w:r>
              <w:rPr>
                <w:rFonts w:hint="eastAsia" w:ascii="宋体" w:hAnsi="宋体"/>
                <w:color w:val="auto"/>
                <w:kern w:val="0"/>
                <w:highlight w:val="none"/>
              </w:rPr>
              <w:t>售后服务方案</w:t>
            </w:r>
          </w:p>
          <w:p>
            <w:pPr>
              <w:widowControl/>
              <w:jc w:val="center"/>
              <w:rPr>
                <w:rFonts w:ascii="宋体" w:hAnsi="宋体"/>
                <w:color w:val="auto"/>
                <w:kern w:val="0"/>
                <w:highlight w:val="none"/>
              </w:rPr>
            </w:pPr>
            <w:r>
              <w:rPr>
                <w:rFonts w:hint="eastAsia" w:ascii="宋体" w:hAnsi="宋体"/>
                <w:color w:val="auto"/>
                <w:kern w:val="0"/>
                <w:highlight w:val="none"/>
              </w:rPr>
              <w:t>（5分）</w:t>
            </w:r>
          </w:p>
        </w:tc>
        <w:tc>
          <w:tcPr>
            <w:tcW w:w="9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0-5分</w:t>
            </w:r>
          </w:p>
        </w:tc>
        <w:tc>
          <w:tcPr>
            <w:tcW w:w="66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utoSpaceDE w:val="0"/>
              <w:autoSpaceDN w:val="0"/>
              <w:snapToGrid w:val="0"/>
              <w:jc w:val="left"/>
              <w:rPr>
                <w:rFonts w:ascii="宋体" w:hAnsi="宋体" w:cs="微软雅黑"/>
                <w:color w:val="auto"/>
                <w:highlight w:val="none"/>
              </w:rPr>
            </w:pPr>
            <w:r>
              <w:rPr>
                <w:rFonts w:hint="eastAsia" w:ascii="宋体" w:hAnsi="宋体" w:cs="微软雅黑"/>
                <w:color w:val="auto"/>
                <w:highlight w:val="none"/>
              </w:rPr>
              <w:t>投标人提出的该项目售后服务方案情况合理性进行评价：</w:t>
            </w:r>
          </w:p>
          <w:p>
            <w:pPr>
              <w:autoSpaceDE w:val="0"/>
              <w:autoSpaceDN w:val="0"/>
              <w:snapToGrid w:val="0"/>
              <w:jc w:val="left"/>
              <w:rPr>
                <w:rFonts w:ascii="宋体" w:hAnsi="宋体" w:cs="微软雅黑"/>
                <w:color w:val="auto"/>
                <w:highlight w:val="none"/>
              </w:rPr>
            </w:pPr>
            <w:r>
              <w:rPr>
                <w:rFonts w:hint="eastAsia" w:ascii="宋体" w:hAnsi="宋体" w:cs="微软雅黑"/>
                <w:color w:val="auto"/>
                <w:highlight w:val="none"/>
              </w:rPr>
              <w:t>针对该项目的售后服务方案完善性，保障措施科学合理性，服务响应及时性，得0-5分；</w:t>
            </w:r>
          </w:p>
          <w:p>
            <w:pPr>
              <w:autoSpaceDE w:val="0"/>
              <w:autoSpaceDN w:val="0"/>
              <w:snapToGrid w:val="0"/>
              <w:jc w:val="left"/>
              <w:rPr>
                <w:rFonts w:ascii="宋体" w:hAnsi="宋体"/>
                <w:color w:val="auto"/>
                <w:highlight w:val="none"/>
              </w:rPr>
            </w:pPr>
          </w:p>
        </w:tc>
      </w:tr>
      <w:tr>
        <w:tblPrEx>
          <w:tblCellMar>
            <w:top w:w="0" w:type="dxa"/>
            <w:left w:w="0" w:type="dxa"/>
            <w:bottom w:w="0" w:type="dxa"/>
            <w:right w:w="0" w:type="dxa"/>
          </w:tblCellMar>
        </w:tblPrEx>
        <w:trPr>
          <w:trHeight w:val="90" w:hRule="atLeast"/>
          <w:jc w:val="center"/>
        </w:trPr>
        <w:tc>
          <w:tcPr>
            <w:tcW w:w="518"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10</w:t>
            </w:r>
          </w:p>
        </w:tc>
        <w:tc>
          <w:tcPr>
            <w:tcW w:w="131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olor w:val="auto"/>
                <w:kern w:val="0"/>
                <w:highlight w:val="none"/>
              </w:rPr>
            </w:pPr>
            <w:r>
              <w:rPr>
                <w:rFonts w:hint="eastAsia" w:ascii="宋体" w:hAnsi="宋体"/>
                <w:color w:val="auto"/>
                <w:kern w:val="0"/>
                <w:highlight w:val="none"/>
              </w:rPr>
              <w:t>节能环保（1分）</w:t>
            </w:r>
          </w:p>
        </w:tc>
        <w:tc>
          <w:tcPr>
            <w:tcW w:w="9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olor w:val="auto"/>
                <w:kern w:val="0"/>
                <w:highlight w:val="none"/>
              </w:rPr>
            </w:pPr>
            <w:r>
              <w:rPr>
                <w:rFonts w:hint="eastAsia" w:ascii="宋体" w:hAnsi="宋体"/>
                <w:color w:val="auto"/>
                <w:kern w:val="0"/>
                <w:highlight w:val="none"/>
              </w:rPr>
              <w:t>0-1分</w:t>
            </w:r>
          </w:p>
        </w:tc>
        <w:tc>
          <w:tcPr>
            <w:tcW w:w="66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utoSpaceDE w:val="0"/>
              <w:autoSpaceDN w:val="0"/>
              <w:snapToGrid w:val="0"/>
              <w:jc w:val="left"/>
              <w:rPr>
                <w:rFonts w:ascii="宋体" w:hAnsi="宋体"/>
                <w:color w:val="auto"/>
                <w:highlight w:val="none"/>
              </w:rPr>
            </w:pPr>
            <w:r>
              <w:rPr>
                <w:rFonts w:hint="eastAsia" w:ascii="宋体" w:hAnsi="宋体"/>
                <w:color w:val="auto"/>
                <w:highlight w:val="none"/>
              </w:rPr>
              <w:t>所投产品具有国家认可的认证机构出具的有效的节能产品得0.5分，具有环境标志产品认证证书得0.5分。</w:t>
            </w:r>
          </w:p>
        </w:tc>
      </w:tr>
    </w:tbl>
    <w:p>
      <w:pPr>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三、说明</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1、每个供应商最终得分=技术资信部分分值（所有评标委员会成员打分的算术平均值）+商务报价部分分值。</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2、评标委员会推荐得分最高的供应商为中标供应商，如果得分相同则以抽签决定，并编写评标报告。</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3、所有分值计算保留小数点后二位，小数点后三位四舍五入。</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参见本招标文件第三部分：“供应商须知” 中的相关内容，未尽事宜按有关法律规定处理。</w:t>
      </w:r>
    </w:p>
    <w:p>
      <w:pPr>
        <w:widowControl/>
        <w:autoSpaceDE w:val="0"/>
        <w:autoSpaceDN w:val="0"/>
        <w:adjustRightInd w:val="0"/>
        <w:spacing w:line="460" w:lineRule="atLeast"/>
        <w:ind w:firstLine="420" w:firstLineChars="200"/>
        <w:textAlignment w:val="bottom"/>
        <w:rPr>
          <w:rFonts w:ascii="宋体" w:hAnsi="宋体" w:cs="宋体"/>
          <w:color w:val="auto"/>
          <w:sz w:val="22"/>
          <w:szCs w:val="22"/>
          <w:highlight w:val="none"/>
        </w:rPr>
      </w:pPr>
      <w:r>
        <w:rPr>
          <w:rFonts w:hint="eastAsia" w:ascii="宋体" w:hAnsi="宋体" w:cs="宋体"/>
          <w:color w:val="auto"/>
          <w:highlight w:val="none"/>
        </w:rPr>
        <w:t>四</w:t>
      </w:r>
      <w:r>
        <w:rPr>
          <w:rFonts w:hint="eastAsia" w:ascii="宋体" w:hAnsi="宋体" w:cs="宋体"/>
          <w:color w:val="auto"/>
          <w:sz w:val="22"/>
          <w:szCs w:val="22"/>
          <w:highlight w:val="none"/>
        </w:rPr>
        <w:t>、注意事项</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为确保评标工作的顺利进行，防止因泄密或其它意外而造成不良后果及影响，凡参加评标工作的人员都必须认真执行下面规定：</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 在评标工作期间，所有分发的投标文件、资料等仅限于在评标场所中使用，不得带往其它地方。</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2． 评标人员及工作人员不得在公共场合谈论有关评标内容。</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3． 评标人员及工作人员不得以书信、电讯、口述等方式将有关评标内容（如资料、投标文件、报价、评标方式、评标委员会的决定、评标人员名单等）披露给未参加评标的任何无关人员，包括上级领导、同级和下级人员，任何与评标无关的人员（包括亲朋好友和同事）不得进入评标场所。</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4． 任何需要向投标人进行询标的问题必须经评标委员会成员签字并由主询标人提出。在询标期间，对于涉及本规定保密范畴的所有内容，主询标人不得向投标人透露。</w:t>
      </w:r>
    </w:p>
    <w:p>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5． 任何评标人员和工作人员不得对外公布评标的一切内容。</w:t>
      </w:r>
    </w:p>
    <w:p>
      <w:pPr>
        <w:rPr>
          <w:b/>
          <w:bCs/>
          <w:color w:val="auto"/>
          <w:highlight w:val="none"/>
        </w:rPr>
      </w:pPr>
    </w:p>
    <w:sectPr>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 w:name="???|CS?o¡À?">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rFonts w:hint="eastAsia" w:cs="宋体"/>
      </w:rPr>
      <w:t>温州市华明招标代理有限公司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5719" w:y="18"/>
      <w:rPr>
        <w:rStyle w:val="31"/>
        <w:rFonts w:ascii="宋体"/>
      </w:rPr>
    </w:pPr>
    <w:r>
      <w:rPr>
        <w:rStyle w:val="31"/>
        <w:rFonts w:ascii="宋体" w:cs="宋体"/>
      </w:rPr>
      <w:fldChar w:fldCharType="begin"/>
    </w:r>
    <w:r>
      <w:rPr>
        <w:rStyle w:val="31"/>
        <w:rFonts w:ascii="宋体" w:cs="宋体"/>
      </w:rPr>
      <w:instrText xml:space="preserve">PAGE  </w:instrText>
    </w:r>
    <w:r>
      <w:rPr>
        <w:rStyle w:val="31"/>
        <w:rFonts w:ascii="宋体" w:cs="宋体"/>
      </w:rPr>
      <w:fldChar w:fldCharType="separate"/>
    </w:r>
    <w:r>
      <w:rPr>
        <w:rStyle w:val="31"/>
        <w:rFonts w:ascii="宋体" w:cs="宋体"/>
      </w:rPr>
      <w:t>215</w:t>
    </w:r>
    <w:r>
      <w:rPr>
        <w:rStyle w:val="31"/>
        <w:rFonts w:ascii="宋体" w:cs="宋体"/>
      </w:rPr>
      <w:fldChar w:fldCharType="end"/>
    </w:r>
  </w:p>
  <w:p>
    <w:pPr>
      <w:pStyle w:val="17"/>
      <w:jc w:val="right"/>
      <w:rPr>
        <w:rFonts w:ascii="宋体"/>
      </w:rPr>
    </w:pPr>
    <w:r>
      <w:rPr>
        <w:rFonts w:hint="eastAsia" w:ascii="宋体" w:cs="宋体"/>
      </w:rPr>
      <w:t>温州市华明招标代理有限公司</w:t>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8</w:t>
    </w:r>
    <w:r>
      <w:rPr>
        <w:rStyle w:val="31"/>
      </w:rPr>
      <w:fldChar w:fldCharType="end"/>
    </w:r>
  </w:p>
  <w:p>
    <w:pPr>
      <w:pStyle w:val="17"/>
      <w:tabs>
        <w:tab w:val="clear" w:pos="4153"/>
        <w:tab w:val="clear" w:pos="8306"/>
      </w:tabs>
    </w:pPr>
  </w:p>
  <w:p>
    <w:pPr>
      <w:pStyle w:val="17"/>
      <w:tabs>
        <w:tab w:val="clear" w:pos="4153"/>
        <w:tab w:val="clear" w:pos="8306"/>
      </w:tabs>
    </w:pPr>
  </w:p>
  <w:p>
    <w:pPr>
      <w:pStyle w:val="17"/>
      <w:tabs>
        <w:tab w:val="clear" w:pos="4153"/>
        <w:tab w:val="clear" w:pos="8306"/>
      </w:tabs>
      <w:ind w:right="270"/>
      <w:jc w:val="right"/>
    </w:pPr>
    <w:r>
      <w:rPr>
        <w:rFonts w:hint="eastAsia" w:cs="宋体"/>
      </w:rPr>
      <w:t>温州市华明招标代理有限公司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5719" w:y="18"/>
      <w:rPr>
        <w:rStyle w:val="31"/>
        <w:rFonts w:ascii="宋体"/>
      </w:rPr>
    </w:pPr>
    <w:r>
      <w:rPr>
        <w:rFonts w:ascii="宋体"/>
      </w:rPr>
      <w:fldChar w:fldCharType="begin"/>
    </w:r>
    <w:r>
      <w:rPr>
        <w:rStyle w:val="31"/>
        <w:rFonts w:ascii="宋体"/>
      </w:rPr>
      <w:instrText xml:space="preserve">PAGE  </w:instrText>
    </w:r>
    <w:r>
      <w:rPr>
        <w:rFonts w:ascii="宋体"/>
      </w:rPr>
      <w:fldChar w:fldCharType="separate"/>
    </w:r>
    <w:r>
      <w:rPr>
        <w:rStyle w:val="31"/>
        <w:rFonts w:ascii="宋体"/>
      </w:rPr>
      <w:t>56</w:t>
    </w:r>
    <w:r>
      <w:rPr>
        <w:rFonts w:ascii="宋体"/>
      </w:rPr>
      <w:fldChar w:fldCharType="end"/>
    </w:r>
  </w:p>
  <w:p>
    <w:pPr>
      <w:pStyle w:val="17"/>
      <w:jc w:val="right"/>
      <w:rPr>
        <w:rFonts w:ascii="宋体"/>
      </w:rPr>
    </w:pPr>
    <w:r>
      <w:rPr>
        <w:rFonts w:hint="eastAsia" w:ascii="宋体"/>
      </w:rPr>
      <w:t>温州市华明招标代理有限公司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5719" w:y="18"/>
      <w:rPr>
        <w:rStyle w:val="31"/>
        <w:rFonts w:ascii="宋体"/>
      </w:rPr>
    </w:pPr>
    <w:r>
      <w:rPr>
        <w:rStyle w:val="31"/>
        <w:rFonts w:ascii="宋体" w:cs="宋体"/>
      </w:rPr>
      <w:fldChar w:fldCharType="begin"/>
    </w:r>
    <w:r>
      <w:rPr>
        <w:rStyle w:val="31"/>
        <w:rFonts w:ascii="宋体" w:cs="宋体"/>
      </w:rPr>
      <w:instrText xml:space="preserve">PAGE  </w:instrText>
    </w:r>
    <w:r>
      <w:rPr>
        <w:rStyle w:val="31"/>
        <w:rFonts w:ascii="宋体" w:cs="宋体"/>
      </w:rPr>
      <w:fldChar w:fldCharType="separate"/>
    </w:r>
    <w:r>
      <w:rPr>
        <w:rStyle w:val="31"/>
        <w:rFonts w:ascii="宋体" w:cs="宋体"/>
      </w:rPr>
      <w:t>219</w:t>
    </w:r>
    <w:r>
      <w:rPr>
        <w:rStyle w:val="31"/>
        <w:rFonts w:ascii="宋体" w:cs="宋体"/>
      </w:rPr>
      <w:fldChar w:fldCharType="end"/>
    </w:r>
  </w:p>
  <w:p>
    <w:pPr>
      <w:pStyle w:val="17"/>
      <w:jc w:val="right"/>
      <w:rPr>
        <w:rFonts w:ascii="宋体"/>
      </w:rPr>
    </w:pPr>
    <w:r>
      <w:rPr>
        <w:rFonts w:hint="eastAsia" w:ascii="宋体" w:cs="宋体"/>
      </w:rPr>
      <w:t>温州市华明招标代理有限公司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cs="宋体"/>
      </w:rPr>
      <w:t>政府采购文件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cs="宋体"/>
      </w:rPr>
      <w:t>政府采购文件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b/>
      </w:rPr>
    </w:pPr>
    <w:r>
      <w:rPr>
        <w:rFonts w:hint="eastAsia" w:ascii="宋体"/>
        <w:b/>
      </w:rPr>
      <w:t>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b/>
      </w:rPr>
    </w:pPr>
    <w:r>
      <w:rPr>
        <w:rFonts w:hint="eastAsia" w:ascii="宋体"/>
        <w:b/>
      </w:rPr>
      <w:t>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b/>
        <w:bCs/>
      </w:rPr>
    </w:pPr>
    <w:r>
      <w:rPr>
        <w:rFonts w:hint="eastAsia" w:ascii="宋体" w:cs="宋体"/>
        <w:b/>
        <w:bCs/>
      </w:rPr>
      <w:t>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680"/>
        </w:tabs>
        <w:ind w:left="680" w:hanging="680"/>
      </w:pPr>
      <w:rPr>
        <w:rFonts w:hint="default" w:ascii="宋体" w:hAnsi="宋体" w:eastAsia="宋体" w:cs="宋体"/>
        <w:b w:val="0"/>
        <w:i w:val="0"/>
        <w:color w:val="auto"/>
        <w:sz w:val="21"/>
      </w:rPr>
    </w:lvl>
    <w:lvl w:ilvl="1" w:tentative="0">
      <w:start w:val="1"/>
      <w:numFmt w:val="decimal"/>
      <w:lvlText w:val="%2"/>
      <w:lvlJc w:val="left"/>
      <w:pPr>
        <w:tabs>
          <w:tab w:val="left" w:pos="680"/>
        </w:tabs>
        <w:ind w:left="680" w:hanging="680"/>
      </w:pPr>
      <w:rPr>
        <w:rFonts w:hint="default" w:ascii="宋体" w:hAnsi="宋体" w:eastAsia="宋体" w:cs="宋体"/>
        <w:b w:val="0"/>
        <w:i w:val="0"/>
        <w:sz w:val="21"/>
      </w:rPr>
    </w:lvl>
    <w:lvl w:ilvl="2" w:tentative="0">
      <w:start w:val="1"/>
      <w:numFmt w:val="decimal"/>
      <w:lvlText w:val="%1.%2.%3"/>
      <w:lvlJc w:val="left"/>
      <w:pPr>
        <w:tabs>
          <w:tab w:val="left" w:pos="720"/>
        </w:tabs>
        <w:ind w:left="420" w:hanging="420"/>
      </w:pPr>
      <w:rPr>
        <w:rFonts w:hint="default" w:ascii="宋体" w:hAnsi="宋体" w:eastAsia="宋体" w:cs="宋体"/>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multilevel"/>
    <w:tmpl w:val="00000003"/>
    <w:lvl w:ilvl="0" w:tentative="0">
      <w:start w:val="1"/>
      <w:numFmt w:val="chineseCountingThousand"/>
      <w:lvlText w:val="第%1章"/>
      <w:lvlJc w:val="left"/>
      <w:pPr>
        <w:tabs>
          <w:tab w:val="left" w:pos="-426"/>
        </w:tabs>
        <w:ind w:left="-851" w:firstLine="0"/>
      </w:pPr>
      <w:rPr>
        <w:rFonts w:hint="eastAsia"/>
      </w:rPr>
    </w:lvl>
    <w:lvl w:ilvl="1" w:tentative="0">
      <w:start w:val="1"/>
      <w:numFmt w:val="decimal"/>
      <w:isLgl/>
      <w:lvlText w:val="%1.%2"/>
      <w:lvlJc w:val="left"/>
      <w:pPr>
        <w:tabs>
          <w:tab w:val="left" w:pos="425"/>
        </w:tabs>
        <w:ind w:left="0" w:firstLine="0"/>
      </w:pPr>
      <w:rPr>
        <w:rFonts w:hint="eastAsia"/>
        <w:lang w:val="en-US"/>
      </w:rPr>
    </w:lvl>
    <w:lvl w:ilvl="2" w:tentative="0">
      <w:start w:val="1"/>
      <w:numFmt w:val="decimal"/>
      <w:isLgl/>
      <w:lvlText w:val="%1.%2.%3"/>
      <w:lvlJc w:val="left"/>
      <w:pPr>
        <w:tabs>
          <w:tab w:val="left" w:pos="0"/>
        </w:tabs>
        <w:ind w:left="0" w:firstLine="0"/>
      </w:pPr>
      <w:rPr>
        <w:rFonts w:hint="eastAsia"/>
      </w:rPr>
    </w:lvl>
    <w:lvl w:ilvl="3" w:tentative="0">
      <w:start w:val="1"/>
      <w:numFmt w:val="decimal"/>
      <w:isLgl/>
      <w:lvlText w:val="%1.%2.%3.%4"/>
      <w:lvlJc w:val="left"/>
      <w:pPr>
        <w:tabs>
          <w:tab w:val="left" w:pos="568"/>
        </w:tabs>
        <w:ind w:left="284" w:firstLine="284"/>
      </w:pPr>
      <w:rPr>
        <w:rFonts w:hint="eastAsia"/>
        <w:lang w:val="en-US"/>
      </w:rPr>
    </w:lvl>
    <w:lvl w:ilvl="4" w:tentative="0">
      <w:start w:val="1"/>
      <w:numFmt w:val="decimal"/>
      <w:pStyle w:val="8"/>
      <w:isLgl/>
      <w:lvlText w:val="%1.%2.%3.%4.%5"/>
      <w:lvlJc w:val="left"/>
      <w:pPr>
        <w:tabs>
          <w:tab w:val="left" w:pos="0"/>
        </w:tabs>
        <w:ind w:left="-426" w:firstLine="426"/>
      </w:pPr>
      <w:rPr>
        <w:rFonts w:hint="eastAsia"/>
        <w:lang w:val="en-US"/>
      </w:rPr>
    </w:lvl>
    <w:lvl w:ilvl="5" w:tentative="0">
      <w:start w:val="1"/>
      <w:numFmt w:val="decimal"/>
      <w:isLgl/>
      <w:lvlText w:val="%1.%2.%3.%4.%5.%6"/>
      <w:lvlJc w:val="left"/>
      <w:pPr>
        <w:tabs>
          <w:tab w:val="left" w:pos="1305"/>
        </w:tabs>
        <w:ind w:left="738" w:firstLine="114"/>
      </w:pPr>
      <w:rPr>
        <w:b w:val="0"/>
        <w:bCs w:val="0"/>
        <w:i w:val="0"/>
        <w:iCs w:val="0"/>
        <w:caps w:val="0"/>
        <w:smallCaps w:val="0"/>
        <w:vanish w:val="0"/>
        <w:color w:val="000000"/>
        <w:spacing w:val="0"/>
        <w:position w:val="0"/>
        <w:u w:val="none"/>
        <w:vertAlign w:val="baseline"/>
        <w14:shadow w14:blurRad="0" w14:dist="0" w14:dir="0" w14:sx="100000" w14:sy="100000" w14:kx="0" w14:ky="0" w14:algn="none">
          <w14:srgbClr w14:val="808080"/>
        </w14:shadow>
      </w:rPr>
    </w:lvl>
    <w:lvl w:ilvl="6" w:tentative="0">
      <w:start w:val="1"/>
      <w:numFmt w:val="lowerRoman"/>
      <w:lvlText w:val="(%7)"/>
      <w:lvlJc w:val="left"/>
      <w:pPr>
        <w:tabs>
          <w:tab w:val="left" w:pos="4677"/>
        </w:tabs>
        <w:ind w:left="4251" w:firstLine="0"/>
      </w:pPr>
      <w:rPr>
        <w:rFonts w:hint="eastAsia"/>
      </w:rPr>
    </w:lvl>
    <w:lvl w:ilvl="7" w:tentative="0">
      <w:start w:val="1"/>
      <w:numFmt w:val="lowerLetter"/>
      <w:lvlText w:val="(%8)"/>
      <w:lvlJc w:val="left"/>
      <w:pPr>
        <w:tabs>
          <w:tab w:val="left" w:pos="5527"/>
        </w:tabs>
        <w:ind w:left="5102" w:firstLine="0"/>
      </w:pPr>
      <w:rPr>
        <w:rFonts w:hint="eastAsia"/>
      </w:rPr>
    </w:lvl>
    <w:lvl w:ilvl="8" w:tentative="0">
      <w:start w:val="1"/>
      <w:numFmt w:val="lowerRoman"/>
      <w:lvlText w:val="(%9)"/>
      <w:lvlJc w:val="left"/>
      <w:pPr>
        <w:tabs>
          <w:tab w:val="left" w:pos="6377"/>
        </w:tabs>
        <w:ind w:left="5952" w:firstLine="0"/>
      </w:pPr>
      <w:rPr>
        <w:rFonts w:hint="eastAsia"/>
      </w:rPr>
    </w:lvl>
  </w:abstractNum>
  <w:abstractNum w:abstractNumId="3">
    <w:nsid w:val="00000004"/>
    <w:multiLevelType w:val="multilevel"/>
    <w:tmpl w:val="00000004"/>
    <w:lvl w:ilvl="0" w:tentative="0">
      <w:start w:val="1"/>
      <w:numFmt w:val="decimal"/>
      <w:lvlText w:val="%1."/>
      <w:lvlJc w:val="left"/>
      <w:pPr>
        <w:tabs>
          <w:tab w:val="left" w:pos="680"/>
        </w:tabs>
        <w:ind w:left="680" w:hanging="680"/>
      </w:pPr>
      <w:rPr>
        <w:rFonts w:hint="default" w:ascii="宋体" w:hAnsi="宋体" w:eastAsia="宋体" w:cs="宋体"/>
        <w:b w:val="0"/>
        <w:i w:val="0"/>
        <w:color w:val="auto"/>
        <w:sz w:val="21"/>
      </w:rPr>
    </w:lvl>
    <w:lvl w:ilvl="1" w:tentative="0">
      <w:start w:val="1"/>
      <w:numFmt w:val="decimal"/>
      <w:lvlText w:val="%2"/>
      <w:lvlJc w:val="left"/>
      <w:pPr>
        <w:tabs>
          <w:tab w:val="left" w:pos="680"/>
        </w:tabs>
        <w:ind w:left="680" w:hanging="680"/>
      </w:pPr>
      <w:rPr>
        <w:rFonts w:hint="default" w:ascii="宋体" w:hAnsi="宋体" w:eastAsia="宋体" w:cs="宋体"/>
        <w:b w:val="0"/>
        <w:i w:val="0"/>
        <w:sz w:val="21"/>
      </w:rPr>
    </w:lvl>
    <w:lvl w:ilvl="2" w:tentative="0">
      <w:start w:val="1"/>
      <w:numFmt w:val="decimal"/>
      <w:lvlText w:val="%1.%2.%3"/>
      <w:lvlJc w:val="left"/>
      <w:pPr>
        <w:tabs>
          <w:tab w:val="left" w:pos="720"/>
        </w:tabs>
        <w:ind w:left="420" w:hanging="420"/>
      </w:pPr>
      <w:rPr>
        <w:rFonts w:hint="default" w:ascii="宋体" w:hAnsi="宋体" w:eastAsia="宋体" w:cs="宋体"/>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4">
    <w:nsid w:val="00000005"/>
    <w:multiLevelType w:val="singleLevel"/>
    <w:tmpl w:val="00000005"/>
    <w:lvl w:ilvl="0" w:tentative="0">
      <w:start w:val="3"/>
      <w:numFmt w:val="decimal"/>
      <w:lvlText w:val="%1."/>
      <w:lvlJc w:val="left"/>
      <w:pPr>
        <w:tabs>
          <w:tab w:val="left" w:pos="312"/>
        </w:tabs>
      </w:pPr>
    </w:lvl>
  </w:abstractNum>
  <w:abstractNum w:abstractNumId="5">
    <w:nsid w:val="00000006"/>
    <w:multiLevelType w:val="multilevel"/>
    <w:tmpl w:val="00000006"/>
    <w:lvl w:ilvl="0" w:tentative="0">
      <w:start w:val="1"/>
      <w:numFmt w:val="decimal"/>
      <w:lvlText w:val="%1."/>
      <w:lvlJc w:val="left"/>
      <w:pPr>
        <w:tabs>
          <w:tab w:val="left" w:pos="680"/>
        </w:tabs>
        <w:ind w:left="680" w:hanging="680"/>
      </w:pPr>
      <w:rPr>
        <w:rFonts w:hint="default" w:ascii="宋体" w:hAnsi="宋体" w:eastAsia="宋体" w:cs="宋体"/>
        <w:b w:val="0"/>
        <w:i w:val="0"/>
        <w:color w:val="auto"/>
        <w:sz w:val="21"/>
      </w:rPr>
    </w:lvl>
    <w:lvl w:ilvl="1" w:tentative="0">
      <w:start w:val="1"/>
      <w:numFmt w:val="decimal"/>
      <w:lvlText w:val="%2"/>
      <w:lvlJc w:val="left"/>
      <w:pPr>
        <w:tabs>
          <w:tab w:val="left" w:pos="680"/>
        </w:tabs>
        <w:ind w:left="680" w:hanging="680"/>
      </w:pPr>
      <w:rPr>
        <w:rFonts w:hint="default" w:ascii="宋体" w:hAnsi="宋体" w:eastAsia="宋体" w:cs="宋体"/>
        <w:b w:val="0"/>
        <w:i w:val="0"/>
        <w:sz w:val="21"/>
      </w:rPr>
    </w:lvl>
    <w:lvl w:ilvl="2" w:tentative="0">
      <w:start w:val="1"/>
      <w:numFmt w:val="decimal"/>
      <w:lvlText w:val="%1.%2.%3"/>
      <w:lvlJc w:val="left"/>
      <w:pPr>
        <w:tabs>
          <w:tab w:val="left" w:pos="720"/>
        </w:tabs>
        <w:ind w:left="420" w:hanging="420"/>
      </w:pPr>
      <w:rPr>
        <w:rFonts w:hint="default" w:ascii="宋体" w:hAnsi="宋体" w:eastAsia="宋体" w:cs="宋体"/>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6">
    <w:nsid w:val="00000007"/>
    <w:multiLevelType w:val="multilevel"/>
    <w:tmpl w:val="00000007"/>
    <w:lvl w:ilvl="0" w:tentative="0">
      <w:start w:val="1"/>
      <w:numFmt w:val="bullet"/>
      <w:lvlText w:val=""/>
      <w:lvlJc w:val="left"/>
      <w:pPr>
        <w:tabs>
          <w:tab w:val="left" w:pos="1200"/>
        </w:tabs>
        <w:ind w:left="1200" w:hanging="420"/>
      </w:pPr>
      <w:rPr>
        <w:rFonts w:hint="default" w:ascii="Wingdings" w:hAnsi="Wingdings"/>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7">
    <w:nsid w:val="00000008"/>
    <w:multiLevelType w:val="multilevel"/>
    <w:tmpl w:val="00000008"/>
    <w:lvl w:ilvl="0" w:tentative="0">
      <w:start w:val="1"/>
      <w:numFmt w:val="decimalEnclosedCircleChinese"/>
      <w:lvlText w:val="%1　"/>
      <w:lvlJc w:val="left"/>
      <w:pPr>
        <w:ind w:left="420" w:hanging="420"/>
      </w:pPr>
    </w:lvl>
    <w:lvl w:ilvl="1" w:tentative="0">
      <w:start w:val="1"/>
      <w:numFmt w:val="decimal"/>
      <w:lvlText w:val="%2."/>
      <w:lvlJc w:val="left"/>
      <w:pPr>
        <w:tabs>
          <w:tab w:val="left" w:pos="1440"/>
        </w:tabs>
        <w:ind w:left="1440" w:hanging="360"/>
      </w:pPr>
    </w:lvl>
    <w:lvl w:ilvl="2" w:tentative="0">
      <w:start w:val="1"/>
      <w:numFmt w:val="decimalEnclosedCircleChinese"/>
      <w:lvlText w:val="%3　"/>
      <w:lvlJc w:val="left"/>
      <w:pPr>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09"/>
    <w:multiLevelType w:val="multilevel"/>
    <w:tmpl w:val="00000009"/>
    <w:lvl w:ilvl="0" w:tentative="0">
      <w:start w:val="1"/>
      <w:numFmt w:val="decimal"/>
      <w:lvlText w:val="（%1）"/>
      <w:lvlJc w:val="left"/>
      <w:pPr>
        <w:ind w:left="860" w:hanging="4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9">
    <w:nsid w:val="0000000A"/>
    <w:multiLevelType w:val="multilevel"/>
    <w:tmpl w:val="0000000A"/>
    <w:lvl w:ilvl="0" w:tentative="0">
      <w:start w:val="1"/>
      <w:numFmt w:val="japaneseCounting"/>
      <w:lvlText w:val="（%1）"/>
      <w:lvlJc w:val="left"/>
      <w:pPr>
        <w:ind w:left="765" w:hanging="765"/>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B"/>
    <w:multiLevelType w:val="multilevel"/>
    <w:tmpl w:val="0000000B"/>
    <w:lvl w:ilvl="0" w:tentative="0">
      <w:start w:val="1"/>
      <w:numFmt w:val="decimal"/>
      <w:lvlText w:val="%1."/>
      <w:lvlJc w:val="left"/>
      <w:pPr>
        <w:tabs>
          <w:tab w:val="left" w:pos="680"/>
        </w:tabs>
        <w:ind w:left="680" w:hanging="680"/>
      </w:pPr>
      <w:rPr>
        <w:rFonts w:hint="default" w:ascii="Arial" w:hAnsi="Arial" w:eastAsia="宋体"/>
        <w:b w:val="0"/>
        <w:i w:val="0"/>
        <w:sz w:val="21"/>
      </w:rPr>
    </w:lvl>
    <w:lvl w:ilvl="1" w:tentative="0">
      <w:start w:val="1"/>
      <w:numFmt w:val="decimal"/>
      <w:lvlText w:val="%1.%2"/>
      <w:lvlJc w:val="left"/>
      <w:pPr>
        <w:tabs>
          <w:tab w:val="left" w:pos="964"/>
        </w:tabs>
        <w:ind w:left="964"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b w:val="0"/>
      </w:rPr>
    </w:lvl>
    <w:lvl w:ilvl="3" w:tentative="0">
      <w:start w:val="1"/>
      <w:numFmt w:val="decimal"/>
      <w:lvlText w:val="%1.%2.%3.%4"/>
      <w:lvlJc w:val="left"/>
      <w:pPr>
        <w:tabs>
          <w:tab w:val="left" w:pos="420"/>
        </w:tabs>
        <w:ind w:left="420" w:hanging="420"/>
      </w:pPr>
      <w:rPr>
        <w:rFonts w:hint="default" w:ascii="Arial" w:hAnsi="Arial" w:cs="Arial"/>
        <w:b w:val="0"/>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1">
    <w:nsid w:val="0000000C"/>
    <w:multiLevelType w:val="multilevel"/>
    <w:tmpl w:val="0000000C"/>
    <w:lvl w:ilvl="0" w:tentative="0">
      <w:start w:val="1"/>
      <w:numFmt w:val="decimal"/>
      <w:lvlText w:val="%1."/>
      <w:lvlJc w:val="left"/>
      <w:pPr>
        <w:tabs>
          <w:tab w:val="left" w:pos="680"/>
        </w:tabs>
        <w:ind w:left="680" w:hanging="680"/>
      </w:pPr>
      <w:rPr>
        <w:rFonts w:hint="default" w:ascii="宋体" w:hAnsi="宋体" w:eastAsia="宋体" w:cs="宋体"/>
        <w:b w:val="0"/>
        <w:i w:val="0"/>
        <w:color w:val="auto"/>
        <w:sz w:val="21"/>
      </w:rPr>
    </w:lvl>
    <w:lvl w:ilvl="1" w:tentative="0">
      <w:start w:val="1"/>
      <w:numFmt w:val="decimal"/>
      <w:lvlText w:val="%2"/>
      <w:lvlJc w:val="left"/>
      <w:pPr>
        <w:tabs>
          <w:tab w:val="left" w:pos="680"/>
        </w:tabs>
        <w:ind w:left="680" w:hanging="680"/>
      </w:pPr>
      <w:rPr>
        <w:rFonts w:hint="default" w:ascii="宋体" w:hAnsi="宋体" w:eastAsia="宋体" w:cs="宋体"/>
        <w:b w:val="0"/>
        <w:i w:val="0"/>
        <w:sz w:val="21"/>
      </w:rPr>
    </w:lvl>
    <w:lvl w:ilvl="2" w:tentative="0">
      <w:start w:val="1"/>
      <w:numFmt w:val="decimal"/>
      <w:lvlText w:val="%1.%2.%3"/>
      <w:lvlJc w:val="left"/>
      <w:pPr>
        <w:tabs>
          <w:tab w:val="left" w:pos="720"/>
        </w:tabs>
        <w:ind w:left="420" w:hanging="420"/>
      </w:pPr>
      <w:rPr>
        <w:rFonts w:hint="default" w:ascii="宋体" w:hAnsi="宋体" w:eastAsia="宋体" w:cs="宋体"/>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2">
    <w:nsid w:val="0000000D"/>
    <w:multiLevelType w:val="singleLevel"/>
    <w:tmpl w:val="0000000D"/>
    <w:lvl w:ilvl="0" w:tentative="0">
      <w:start w:val="1"/>
      <w:numFmt w:val="decimal"/>
      <w:lvlText w:val="%1."/>
      <w:lvlJc w:val="left"/>
      <w:pPr>
        <w:ind w:left="425" w:hanging="425"/>
      </w:pPr>
      <w:rPr>
        <w:rFonts w:hint="default"/>
      </w:rPr>
    </w:lvl>
  </w:abstractNum>
  <w:abstractNum w:abstractNumId="13">
    <w:nsid w:val="0000000E"/>
    <w:multiLevelType w:val="multilevel"/>
    <w:tmpl w:val="0000000E"/>
    <w:lvl w:ilvl="0" w:tentative="0">
      <w:start w:val="1"/>
      <w:numFmt w:val="decimal"/>
      <w:lvlText w:val="%1."/>
      <w:lvlJc w:val="left"/>
      <w:pPr>
        <w:tabs>
          <w:tab w:val="left" w:pos="680"/>
        </w:tabs>
        <w:ind w:left="680" w:hanging="680"/>
      </w:pPr>
      <w:rPr>
        <w:rFonts w:hint="default" w:ascii="宋体" w:hAnsi="宋体" w:eastAsia="宋体" w:cs="宋体"/>
        <w:b w:val="0"/>
        <w:i w:val="0"/>
        <w:color w:val="auto"/>
        <w:sz w:val="21"/>
      </w:rPr>
    </w:lvl>
    <w:lvl w:ilvl="1" w:tentative="0">
      <w:start w:val="1"/>
      <w:numFmt w:val="decimal"/>
      <w:lvlText w:val="%2"/>
      <w:lvlJc w:val="left"/>
      <w:pPr>
        <w:tabs>
          <w:tab w:val="left" w:pos="680"/>
        </w:tabs>
        <w:ind w:left="680" w:hanging="680"/>
      </w:pPr>
      <w:rPr>
        <w:rFonts w:hint="default" w:ascii="宋体" w:hAnsi="宋体" w:eastAsia="宋体" w:cs="宋体"/>
        <w:b w:val="0"/>
        <w:i w:val="0"/>
        <w:sz w:val="21"/>
      </w:rPr>
    </w:lvl>
    <w:lvl w:ilvl="2" w:tentative="0">
      <w:start w:val="1"/>
      <w:numFmt w:val="decimal"/>
      <w:lvlText w:val="%1.%2.%3"/>
      <w:lvlJc w:val="left"/>
      <w:pPr>
        <w:tabs>
          <w:tab w:val="left" w:pos="720"/>
        </w:tabs>
        <w:ind w:left="420" w:hanging="420"/>
      </w:pPr>
      <w:rPr>
        <w:rFonts w:hint="default" w:ascii="宋体" w:hAnsi="宋体" w:eastAsia="宋体" w:cs="宋体"/>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4">
    <w:nsid w:val="0000000F"/>
    <w:multiLevelType w:val="multilevel"/>
    <w:tmpl w:val="0000000F"/>
    <w:lvl w:ilvl="0" w:tentative="0">
      <w:start w:val="1"/>
      <w:numFmt w:val="decimal"/>
      <w:lvlText w:val="%1."/>
      <w:lvlJc w:val="left"/>
      <w:pPr>
        <w:tabs>
          <w:tab w:val="left" w:pos="680"/>
        </w:tabs>
        <w:ind w:left="680" w:hanging="680"/>
      </w:pPr>
      <w:rPr>
        <w:rFonts w:hint="default" w:ascii="宋体" w:hAnsi="宋体" w:eastAsia="宋体" w:cs="宋体"/>
        <w:b w:val="0"/>
        <w:i w:val="0"/>
        <w:color w:val="auto"/>
        <w:sz w:val="21"/>
      </w:rPr>
    </w:lvl>
    <w:lvl w:ilvl="1" w:tentative="0">
      <w:start w:val="1"/>
      <w:numFmt w:val="decimal"/>
      <w:lvlText w:val="%2"/>
      <w:lvlJc w:val="left"/>
      <w:pPr>
        <w:tabs>
          <w:tab w:val="left" w:pos="680"/>
        </w:tabs>
        <w:ind w:left="680" w:hanging="680"/>
      </w:pPr>
      <w:rPr>
        <w:rFonts w:hint="default" w:ascii="宋体" w:hAnsi="宋体" w:eastAsia="宋体" w:cs="宋体"/>
        <w:b w:val="0"/>
        <w:i w:val="0"/>
        <w:sz w:val="21"/>
      </w:rPr>
    </w:lvl>
    <w:lvl w:ilvl="2" w:tentative="0">
      <w:start w:val="1"/>
      <w:numFmt w:val="decimal"/>
      <w:lvlText w:val="%1.%2.%3"/>
      <w:lvlJc w:val="left"/>
      <w:pPr>
        <w:tabs>
          <w:tab w:val="left" w:pos="720"/>
        </w:tabs>
        <w:ind w:left="420" w:hanging="420"/>
      </w:pPr>
      <w:rPr>
        <w:rFonts w:hint="default" w:ascii="宋体" w:hAnsi="宋体" w:eastAsia="宋体" w:cs="宋体"/>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5">
    <w:nsid w:val="00000010"/>
    <w:multiLevelType w:val="multilevel"/>
    <w:tmpl w:val="00000010"/>
    <w:lvl w:ilvl="0" w:tentative="0">
      <w:start w:val="1"/>
      <w:numFmt w:val="decimal"/>
      <w:lvlText w:val="%1."/>
      <w:lvlJc w:val="left"/>
      <w:pPr>
        <w:tabs>
          <w:tab w:val="left" w:pos="680"/>
        </w:tabs>
        <w:ind w:left="680" w:hanging="680"/>
      </w:pPr>
      <w:rPr>
        <w:rFonts w:hint="default" w:ascii="宋体" w:hAnsi="宋体" w:eastAsia="宋体" w:cs="宋体"/>
        <w:b w:val="0"/>
        <w:i w:val="0"/>
        <w:color w:val="auto"/>
        <w:sz w:val="21"/>
      </w:rPr>
    </w:lvl>
    <w:lvl w:ilvl="1" w:tentative="0">
      <w:start w:val="1"/>
      <w:numFmt w:val="decimal"/>
      <w:lvlText w:val="%2"/>
      <w:lvlJc w:val="left"/>
      <w:pPr>
        <w:tabs>
          <w:tab w:val="left" w:pos="680"/>
        </w:tabs>
        <w:ind w:left="680" w:hanging="680"/>
      </w:pPr>
      <w:rPr>
        <w:rFonts w:hint="default" w:ascii="宋体" w:hAnsi="宋体" w:eastAsia="宋体" w:cs="宋体"/>
        <w:b w:val="0"/>
        <w:i w:val="0"/>
        <w:sz w:val="21"/>
      </w:rPr>
    </w:lvl>
    <w:lvl w:ilvl="2" w:tentative="0">
      <w:start w:val="1"/>
      <w:numFmt w:val="decimal"/>
      <w:lvlText w:val="%1.%2.%3"/>
      <w:lvlJc w:val="left"/>
      <w:pPr>
        <w:tabs>
          <w:tab w:val="left" w:pos="720"/>
        </w:tabs>
        <w:ind w:left="420" w:hanging="420"/>
      </w:pPr>
      <w:rPr>
        <w:rFonts w:hint="default" w:ascii="宋体" w:hAnsi="宋体" w:eastAsia="宋体" w:cs="宋体"/>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6">
    <w:nsid w:val="00000011"/>
    <w:multiLevelType w:val="multilevel"/>
    <w:tmpl w:val="00000011"/>
    <w:lvl w:ilvl="0" w:tentative="0">
      <w:start w:val="1"/>
      <w:numFmt w:val="decimal"/>
      <w:lvlText w:val="%1."/>
      <w:lvlJc w:val="left"/>
      <w:pPr>
        <w:tabs>
          <w:tab w:val="left" w:pos="1200"/>
        </w:tabs>
        <w:ind w:left="1200" w:hanging="420"/>
      </w:pPr>
      <w:rPr>
        <w:rFonts w:hint="eastAsia"/>
      </w:rPr>
    </w:lvl>
    <w:lvl w:ilvl="1" w:tentative="0">
      <w:start w:val="1"/>
      <w:numFmt w:val="bullet"/>
      <w:lvlText w:val=""/>
      <w:lvlJc w:val="left"/>
      <w:pPr>
        <w:tabs>
          <w:tab w:val="left" w:pos="1620"/>
        </w:tabs>
        <w:ind w:left="1620" w:hanging="420"/>
      </w:pPr>
      <w:rPr>
        <w:rFonts w:hint="default" w:ascii="???|CS?o¡À?" w:hAnsi="???|CS?o¡À?"/>
      </w:rPr>
    </w:lvl>
    <w:lvl w:ilvl="2" w:tentative="0">
      <w:start w:val="1"/>
      <w:numFmt w:val="bullet"/>
      <w:lvlText w:val=""/>
      <w:lvlJc w:val="left"/>
      <w:pPr>
        <w:tabs>
          <w:tab w:val="left" w:pos="2040"/>
        </w:tabs>
        <w:ind w:left="2040" w:hanging="420"/>
      </w:pPr>
      <w:rPr>
        <w:rFonts w:hint="default" w:ascii="???|CS?o¡À?" w:hAnsi="???|CS?o¡À?"/>
      </w:rPr>
    </w:lvl>
    <w:lvl w:ilvl="3" w:tentative="0">
      <w:start w:val="1"/>
      <w:numFmt w:val="bullet"/>
      <w:lvlText w:val=""/>
      <w:lvlJc w:val="left"/>
      <w:pPr>
        <w:tabs>
          <w:tab w:val="left" w:pos="2460"/>
        </w:tabs>
        <w:ind w:left="2460" w:hanging="420"/>
      </w:pPr>
      <w:rPr>
        <w:rFonts w:hint="default" w:ascii="???|CS?o¡À?" w:hAnsi="???|CS?o¡À?"/>
      </w:rPr>
    </w:lvl>
    <w:lvl w:ilvl="4" w:tentative="0">
      <w:start w:val="1"/>
      <w:numFmt w:val="bullet"/>
      <w:lvlText w:val=""/>
      <w:lvlJc w:val="left"/>
      <w:pPr>
        <w:tabs>
          <w:tab w:val="left" w:pos="2880"/>
        </w:tabs>
        <w:ind w:left="2880" w:hanging="420"/>
      </w:pPr>
      <w:rPr>
        <w:rFonts w:hint="default" w:ascii="???|CS?o¡À?" w:hAnsi="???|CS?o¡À?"/>
      </w:rPr>
    </w:lvl>
    <w:lvl w:ilvl="5" w:tentative="0">
      <w:start w:val="1"/>
      <w:numFmt w:val="bullet"/>
      <w:lvlText w:val=""/>
      <w:lvlJc w:val="left"/>
      <w:pPr>
        <w:tabs>
          <w:tab w:val="left" w:pos="3300"/>
        </w:tabs>
        <w:ind w:left="3300" w:hanging="420"/>
      </w:pPr>
      <w:rPr>
        <w:rFonts w:hint="default" w:ascii="???|CS?o¡À?" w:hAnsi="???|CS?o¡À?"/>
      </w:rPr>
    </w:lvl>
    <w:lvl w:ilvl="6" w:tentative="0">
      <w:start w:val="1"/>
      <w:numFmt w:val="bullet"/>
      <w:lvlText w:val=""/>
      <w:lvlJc w:val="left"/>
      <w:pPr>
        <w:tabs>
          <w:tab w:val="left" w:pos="3720"/>
        </w:tabs>
        <w:ind w:left="3720" w:hanging="420"/>
      </w:pPr>
      <w:rPr>
        <w:rFonts w:hint="default" w:ascii="???|CS?o¡À?" w:hAnsi="???|CS?o¡À?"/>
      </w:rPr>
    </w:lvl>
    <w:lvl w:ilvl="7" w:tentative="0">
      <w:start w:val="1"/>
      <w:numFmt w:val="bullet"/>
      <w:lvlText w:val=""/>
      <w:lvlJc w:val="left"/>
      <w:pPr>
        <w:tabs>
          <w:tab w:val="left" w:pos="4140"/>
        </w:tabs>
        <w:ind w:left="4140" w:hanging="420"/>
      </w:pPr>
      <w:rPr>
        <w:rFonts w:hint="default" w:ascii="???|CS?o¡À?" w:hAnsi="???|CS?o¡À?"/>
      </w:rPr>
    </w:lvl>
    <w:lvl w:ilvl="8" w:tentative="0">
      <w:start w:val="1"/>
      <w:numFmt w:val="bullet"/>
      <w:lvlText w:val=""/>
      <w:lvlJc w:val="left"/>
      <w:pPr>
        <w:tabs>
          <w:tab w:val="left" w:pos="4560"/>
        </w:tabs>
        <w:ind w:left="4560" w:hanging="420"/>
      </w:pPr>
      <w:rPr>
        <w:rFonts w:hint="default" w:ascii="???|CS?o¡À?" w:hAnsi="???|CS?o¡À?"/>
      </w:rPr>
    </w:lvl>
  </w:abstractNum>
  <w:abstractNum w:abstractNumId="17">
    <w:nsid w:val="17C221E5"/>
    <w:multiLevelType w:val="singleLevel"/>
    <w:tmpl w:val="17C221E5"/>
    <w:lvl w:ilvl="0" w:tentative="0">
      <w:start w:val="3"/>
      <w:numFmt w:val="chineseCounting"/>
      <w:suff w:val="nothing"/>
      <w:lvlText w:val="%1、"/>
      <w:lvlJc w:val="left"/>
      <w:rPr>
        <w:rFonts w:hint="eastAsia"/>
      </w:rPr>
    </w:lvl>
  </w:abstractNum>
  <w:num w:numId="1">
    <w:abstractNumId w:val="2"/>
  </w:num>
  <w:num w:numId="2">
    <w:abstractNumId w:val="4"/>
  </w:num>
  <w:num w:numId="3">
    <w:abstractNumId w:val="9"/>
  </w:num>
  <w:num w:numId="4">
    <w:abstractNumId w:val="12"/>
  </w:num>
  <w:num w:numId="5">
    <w:abstractNumId w:val="10"/>
  </w:num>
  <w:num w:numId="6">
    <w:abstractNumId w:val="17"/>
  </w:num>
  <w:num w:numId="7">
    <w:abstractNumId w:val="13"/>
  </w:num>
  <w:num w:numId="8">
    <w:abstractNumId w:val="5"/>
  </w:num>
  <w:num w:numId="9">
    <w:abstractNumId w:val="15"/>
  </w:num>
  <w:num w:numId="10">
    <w:abstractNumId w:val="3"/>
  </w:num>
  <w:num w:numId="11">
    <w:abstractNumId w:val="11"/>
  </w:num>
  <w:num w:numId="12">
    <w:abstractNumId w:val="6"/>
  </w:num>
  <w:num w:numId="13">
    <w:abstractNumId w:val="0"/>
  </w:num>
  <w:num w:numId="14">
    <w:abstractNumId w:val="14"/>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MTcyNTBjMjQ0MGVkM2MwNmUxNGI0MmExOGM2YmQifQ=="/>
  </w:docVars>
  <w:rsids>
    <w:rsidRoot w:val="00C71C05"/>
    <w:rsid w:val="000A2584"/>
    <w:rsid w:val="001110A1"/>
    <w:rsid w:val="004D1E2E"/>
    <w:rsid w:val="00510494"/>
    <w:rsid w:val="00860B96"/>
    <w:rsid w:val="0098411C"/>
    <w:rsid w:val="00C51EF1"/>
    <w:rsid w:val="00C71C05"/>
    <w:rsid w:val="00FF1DBE"/>
    <w:rsid w:val="038A570F"/>
    <w:rsid w:val="079F4490"/>
    <w:rsid w:val="0A702964"/>
    <w:rsid w:val="0D397C2F"/>
    <w:rsid w:val="0EB86F32"/>
    <w:rsid w:val="1130598B"/>
    <w:rsid w:val="175C41E4"/>
    <w:rsid w:val="1FE31DD5"/>
    <w:rsid w:val="21BA095E"/>
    <w:rsid w:val="29AC7AF7"/>
    <w:rsid w:val="354F5132"/>
    <w:rsid w:val="3BAC7C11"/>
    <w:rsid w:val="45E37D73"/>
    <w:rsid w:val="480F755D"/>
    <w:rsid w:val="4C76602D"/>
    <w:rsid w:val="51A00558"/>
    <w:rsid w:val="5DCE08F4"/>
    <w:rsid w:val="66DF6DBA"/>
    <w:rsid w:val="69941FF3"/>
    <w:rsid w:val="6E3F124B"/>
    <w:rsid w:val="73B22462"/>
    <w:rsid w:val="75353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96"/>
    <w:qFormat/>
    <w:uiPriority w:val="9"/>
    <w:pPr>
      <w:keepNext/>
      <w:keepLines/>
      <w:spacing w:before="260" w:after="260" w:line="416" w:lineRule="auto"/>
      <w:outlineLvl w:val="1"/>
    </w:pPr>
    <w:rPr>
      <w:rFonts w:ascii="Arial" w:hAnsi="Arial" w:eastAsia="黑体" w:cs="Arial"/>
      <w:b/>
      <w:bCs/>
      <w:sz w:val="32"/>
      <w:szCs w:val="32"/>
    </w:rPr>
  </w:style>
  <w:style w:type="paragraph" w:styleId="6">
    <w:name w:val="heading 3"/>
    <w:basedOn w:val="5"/>
    <w:next w:val="1"/>
    <w:link w:val="39"/>
    <w:qFormat/>
    <w:uiPriority w:val="9"/>
    <w:pPr>
      <w:outlineLvl w:val="2"/>
    </w:pPr>
    <w:rPr>
      <w:rFonts w:ascii="Calibri" w:hAnsi="Calibri"/>
    </w:rPr>
  </w:style>
  <w:style w:type="paragraph" w:styleId="7">
    <w:name w:val="heading 4"/>
    <w:basedOn w:val="1"/>
    <w:next w:val="1"/>
    <w:qFormat/>
    <w:uiPriority w:val="0"/>
    <w:pPr>
      <w:tabs>
        <w:tab w:val="left" w:pos="-426"/>
        <w:tab w:val="left" w:pos="0"/>
      </w:tabs>
      <w:outlineLvl w:val="3"/>
    </w:pPr>
    <w:rPr>
      <w:sz w:val="30"/>
    </w:rPr>
  </w:style>
  <w:style w:type="paragraph" w:styleId="8">
    <w:name w:val="heading 5"/>
    <w:basedOn w:val="1"/>
    <w:next w:val="1"/>
    <w:qFormat/>
    <w:uiPriority w:val="0"/>
    <w:pPr>
      <w:keepNext/>
      <w:keepLines/>
      <w:numPr>
        <w:ilvl w:val="4"/>
        <w:numId w:val="1"/>
      </w:numPr>
      <w:tabs>
        <w:tab w:val="left" w:pos="-426"/>
      </w:tabs>
      <w:spacing w:before="240" w:after="240" w:line="360" w:lineRule="auto"/>
      <w:ind w:firstLine="0"/>
      <w:outlineLvl w:val="4"/>
    </w:pPr>
    <w:rPr>
      <w:b/>
      <w:sz w:val="3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5"/>
    <w:qFormat/>
    <w:uiPriority w:val="99"/>
  </w:style>
  <w:style w:type="paragraph" w:styleId="3">
    <w:name w:val="Body Text First Indent"/>
    <w:basedOn w:val="2"/>
    <w:next w:val="1"/>
    <w:link w:val="36"/>
    <w:qFormat/>
    <w:uiPriority w:val="99"/>
    <w:pPr>
      <w:ind w:firstLine="420" w:firstLineChars="100"/>
    </w:pPr>
  </w:style>
  <w:style w:type="paragraph" w:styleId="9">
    <w:name w:val="Normal Indent"/>
    <w:basedOn w:val="1"/>
    <w:link w:val="40"/>
    <w:qFormat/>
    <w:uiPriority w:val="99"/>
    <w:pPr>
      <w:ind w:firstLine="420" w:firstLineChars="200"/>
    </w:pPr>
    <w:rPr>
      <w:rFonts w:ascii="仿宋_GB2312" w:hAnsi="宋体" w:eastAsia="仿宋_GB2312" w:cs="仿宋_GB2312"/>
      <w:b/>
      <w:bCs/>
      <w:color w:val="000000"/>
      <w:kern w:val="0"/>
    </w:rPr>
  </w:style>
  <w:style w:type="paragraph" w:styleId="10">
    <w:name w:val="caption"/>
    <w:basedOn w:val="1"/>
    <w:next w:val="1"/>
    <w:qFormat/>
    <w:uiPriority w:val="0"/>
    <w:rPr>
      <w:rFonts w:ascii="Arial" w:hAnsi="Arial" w:eastAsia="黑体" w:cs="Arial"/>
      <w:color w:val="000000"/>
      <w:kern w:val="1"/>
      <w:sz w:val="20"/>
      <w:szCs w:val="20"/>
    </w:rPr>
  </w:style>
  <w:style w:type="paragraph" w:styleId="11">
    <w:name w:val="annotation text"/>
    <w:basedOn w:val="1"/>
    <w:link w:val="41"/>
    <w:qFormat/>
    <w:uiPriority w:val="0"/>
    <w:pPr>
      <w:jc w:val="left"/>
    </w:pPr>
  </w:style>
  <w:style w:type="paragraph" w:styleId="12">
    <w:name w:val="Body Text Indent"/>
    <w:basedOn w:val="1"/>
    <w:link w:val="42"/>
    <w:qFormat/>
    <w:uiPriority w:val="0"/>
    <w:pPr>
      <w:ind w:left="480" w:hanging="480" w:hangingChars="200"/>
    </w:pPr>
    <w:rPr>
      <w:sz w:val="24"/>
      <w:szCs w:val="24"/>
    </w:rPr>
  </w:style>
  <w:style w:type="paragraph" w:styleId="13">
    <w:name w:val="toc 3"/>
    <w:basedOn w:val="1"/>
    <w:next w:val="1"/>
    <w:qFormat/>
    <w:uiPriority w:val="99"/>
    <w:pPr>
      <w:tabs>
        <w:tab w:val="right" w:leader="dot" w:pos="8777"/>
      </w:tabs>
      <w:spacing w:line="500" w:lineRule="atLeast"/>
      <w:ind w:left="540" w:leftChars="257"/>
    </w:pPr>
  </w:style>
  <w:style w:type="paragraph" w:styleId="14">
    <w:name w:val="Plain Text"/>
    <w:basedOn w:val="1"/>
    <w:next w:val="1"/>
    <w:link w:val="43"/>
    <w:qFormat/>
    <w:uiPriority w:val="0"/>
    <w:pPr>
      <w:widowControl/>
      <w:overflowPunct w:val="0"/>
      <w:autoSpaceDE w:val="0"/>
      <w:autoSpaceDN w:val="0"/>
      <w:adjustRightInd w:val="0"/>
      <w:jc w:val="left"/>
      <w:textAlignment w:val="baseline"/>
    </w:pPr>
    <w:rPr>
      <w:rFonts w:ascii="宋体" w:hAnsi="Courier New" w:cs="宋体"/>
      <w:kern w:val="0"/>
    </w:rPr>
  </w:style>
  <w:style w:type="paragraph" w:styleId="15">
    <w:name w:val="Body Text Indent 2"/>
    <w:basedOn w:val="1"/>
    <w:link w:val="44"/>
    <w:qFormat/>
    <w:uiPriority w:val="99"/>
    <w:pPr>
      <w:widowControl/>
      <w:spacing w:line="480" w:lineRule="atLeast"/>
      <w:ind w:firstLine="480"/>
    </w:pPr>
    <w:rPr>
      <w:rFonts w:ascii="宋体" w:hAnsi="宋体" w:eastAsia="仿宋_GB2312" w:cs="宋体"/>
      <w:b/>
      <w:bCs/>
      <w:color w:val="000000"/>
      <w:kern w:val="0"/>
      <w:sz w:val="24"/>
      <w:szCs w:val="24"/>
    </w:rPr>
  </w:style>
  <w:style w:type="paragraph" w:styleId="16">
    <w:name w:val="Balloon Text"/>
    <w:basedOn w:val="1"/>
    <w:link w:val="45"/>
    <w:qFormat/>
    <w:uiPriority w:val="99"/>
    <w:rPr>
      <w:sz w:val="18"/>
      <w:szCs w:val="18"/>
    </w:rPr>
  </w:style>
  <w:style w:type="paragraph" w:styleId="17">
    <w:name w:val="footer"/>
    <w:basedOn w:val="1"/>
    <w:link w:val="46"/>
    <w:qFormat/>
    <w:uiPriority w:val="99"/>
    <w:pPr>
      <w:tabs>
        <w:tab w:val="center" w:pos="4153"/>
        <w:tab w:val="right" w:pos="8306"/>
      </w:tabs>
      <w:snapToGrid w:val="0"/>
      <w:jc w:val="left"/>
    </w:pPr>
    <w:rPr>
      <w:sz w:val="18"/>
      <w:szCs w:val="18"/>
    </w:rPr>
  </w:style>
  <w:style w:type="paragraph" w:styleId="18">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8777"/>
      </w:tabs>
      <w:spacing w:line="500" w:lineRule="exact"/>
      <w:jc w:val="left"/>
    </w:pPr>
  </w:style>
  <w:style w:type="paragraph" w:styleId="20">
    <w:name w:val="toc 4"/>
    <w:basedOn w:val="1"/>
    <w:next w:val="1"/>
    <w:qFormat/>
    <w:uiPriority w:val="39"/>
    <w:pPr>
      <w:ind w:left="420"/>
      <w:jc w:val="left"/>
    </w:pPr>
    <w:rPr>
      <w:rFonts w:ascii="Calibri" w:hAnsi="Calibri" w:cs="Calibri"/>
      <w:sz w:val="20"/>
      <w:szCs w:val="20"/>
    </w:rPr>
  </w:style>
  <w:style w:type="paragraph" w:styleId="21">
    <w:name w:val="Subtitle"/>
    <w:basedOn w:val="1"/>
    <w:next w:val="1"/>
    <w:link w:val="48"/>
    <w:qFormat/>
    <w:uiPriority w:val="99"/>
    <w:pPr>
      <w:spacing w:before="240" w:after="60" w:line="312" w:lineRule="auto"/>
      <w:jc w:val="center"/>
      <w:outlineLvl w:val="1"/>
    </w:pPr>
    <w:rPr>
      <w:rFonts w:ascii="Cambria" w:hAnsi="Cambria" w:cs="Cambria"/>
      <w:b/>
      <w:bCs/>
      <w:kern w:val="28"/>
      <w:sz w:val="32"/>
      <w:szCs w:val="32"/>
    </w:rPr>
  </w:style>
  <w:style w:type="paragraph" w:styleId="22">
    <w:name w:val="toc 6"/>
    <w:basedOn w:val="1"/>
    <w:next w:val="1"/>
    <w:qFormat/>
    <w:uiPriority w:val="0"/>
    <w:pPr>
      <w:ind w:left="1050"/>
      <w:jc w:val="left"/>
    </w:pPr>
    <w:rPr>
      <w:rFonts w:ascii="Century Gothic" w:hAnsi="Century Gothic"/>
      <w:sz w:val="18"/>
      <w:szCs w:val="18"/>
    </w:rPr>
  </w:style>
  <w:style w:type="paragraph" w:styleId="23">
    <w:name w:val="toc 2"/>
    <w:basedOn w:val="1"/>
    <w:next w:val="1"/>
    <w:qFormat/>
    <w:uiPriority w:val="99"/>
    <w:pPr>
      <w:tabs>
        <w:tab w:val="right" w:leader="dot" w:pos="8777"/>
      </w:tabs>
      <w:spacing w:line="500" w:lineRule="atLeast"/>
      <w:ind w:left="420" w:leftChars="200" w:firstLine="120" w:firstLineChars="50"/>
    </w:pPr>
  </w:style>
  <w:style w:type="paragraph" w:styleId="24">
    <w:name w:val="Normal (Web)"/>
    <w:basedOn w:val="1"/>
    <w:link w:val="49"/>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50"/>
    <w:qFormat/>
    <w:uiPriority w:val="0"/>
    <w:pPr>
      <w:spacing w:before="240" w:after="60"/>
      <w:jc w:val="center"/>
      <w:outlineLvl w:val="0"/>
    </w:pPr>
    <w:rPr>
      <w:rFonts w:ascii="Cambria" w:hAnsi="Cambria" w:cs="Cambria"/>
      <w:b/>
      <w:bCs/>
      <w:sz w:val="32"/>
      <w:szCs w:val="32"/>
    </w:rPr>
  </w:style>
  <w:style w:type="paragraph" w:styleId="26">
    <w:name w:val="annotation subject"/>
    <w:basedOn w:val="11"/>
    <w:next w:val="11"/>
    <w:link w:val="51"/>
    <w:qFormat/>
    <w:uiPriority w:val="99"/>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Emphasis"/>
    <w:basedOn w:val="29"/>
    <w:qFormat/>
    <w:uiPriority w:val="99"/>
    <w:rPr>
      <w:i/>
      <w:iCs/>
    </w:rPr>
  </w:style>
  <w:style w:type="character" w:styleId="33">
    <w:name w:val="Hyperlink"/>
    <w:basedOn w:val="29"/>
    <w:qFormat/>
    <w:uiPriority w:val="99"/>
    <w:rPr>
      <w:color w:val="0000FF"/>
      <w:u w:val="single"/>
    </w:rPr>
  </w:style>
  <w:style w:type="character" w:styleId="34">
    <w:name w:val="annotation reference"/>
    <w:basedOn w:val="29"/>
    <w:qFormat/>
    <w:uiPriority w:val="0"/>
    <w:rPr>
      <w:sz w:val="21"/>
      <w:szCs w:val="21"/>
    </w:rPr>
  </w:style>
  <w:style w:type="character" w:customStyle="1" w:styleId="35">
    <w:name w:val="正文文本 字符"/>
    <w:basedOn w:val="29"/>
    <w:link w:val="2"/>
    <w:qFormat/>
    <w:uiPriority w:val="99"/>
    <w:rPr>
      <w:sz w:val="21"/>
      <w:szCs w:val="21"/>
    </w:rPr>
  </w:style>
  <w:style w:type="character" w:customStyle="1" w:styleId="36">
    <w:name w:val="正文首行缩进 字符"/>
    <w:basedOn w:val="35"/>
    <w:link w:val="3"/>
    <w:qFormat/>
    <w:uiPriority w:val="99"/>
    <w:rPr>
      <w:sz w:val="21"/>
      <w:szCs w:val="21"/>
    </w:rPr>
  </w:style>
  <w:style w:type="character" w:customStyle="1" w:styleId="37">
    <w:name w:val="标题 1 字符"/>
    <w:basedOn w:val="29"/>
    <w:link w:val="4"/>
    <w:qFormat/>
    <w:uiPriority w:val="9"/>
    <w:rPr>
      <w:b/>
      <w:bCs/>
      <w:kern w:val="44"/>
      <w:sz w:val="44"/>
      <w:szCs w:val="44"/>
    </w:rPr>
  </w:style>
  <w:style w:type="character" w:customStyle="1" w:styleId="38">
    <w:name w:val="标题 2 Char"/>
    <w:basedOn w:val="29"/>
    <w:qFormat/>
    <w:uiPriority w:val="9"/>
    <w:rPr>
      <w:rFonts w:ascii="Arial" w:hAnsi="Arial" w:eastAsia="黑体" w:cs="Arial"/>
      <w:b/>
      <w:bCs/>
      <w:kern w:val="2"/>
      <w:sz w:val="32"/>
      <w:szCs w:val="32"/>
    </w:rPr>
  </w:style>
  <w:style w:type="character" w:customStyle="1" w:styleId="39">
    <w:name w:val="标题 3 字符"/>
    <w:basedOn w:val="29"/>
    <w:link w:val="6"/>
    <w:qFormat/>
    <w:uiPriority w:val="9"/>
    <w:rPr>
      <w:rFonts w:ascii="Calibri" w:hAnsi="Calibri"/>
      <w:b/>
      <w:bCs/>
      <w:sz w:val="32"/>
      <w:szCs w:val="32"/>
    </w:rPr>
  </w:style>
  <w:style w:type="character" w:customStyle="1" w:styleId="40">
    <w:name w:val="正文缩进 字符"/>
    <w:link w:val="9"/>
    <w:qFormat/>
    <w:uiPriority w:val="99"/>
    <w:rPr>
      <w:rFonts w:ascii="仿宋_GB2312" w:hAnsi="宋体" w:eastAsia="仿宋_GB2312" w:cs="仿宋_GB2312"/>
      <w:b/>
      <w:bCs/>
      <w:color w:val="000000"/>
      <w:sz w:val="21"/>
      <w:szCs w:val="21"/>
      <w:lang w:val="en-US" w:eastAsia="zh-CN"/>
    </w:rPr>
  </w:style>
  <w:style w:type="character" w:customStyle="1" w:styleId="41">
    <w:name w:val="批注文字 字符"/>
    <w:basedOn w:val="29"/>
    <w:link w:val="11"/>
    <w:qFormat/>
    <w:uiPriority w:val="0"/>
    <w:rPr>
      <w:kern w:val="2"/>
      <w:sz w:val="24"/>
      <w:szCs w:val="24"/>
    </w:rPr>
  </w:style>
  <w:style w:type="character" w:customStyle="1" w:styleId="42">
    <w:name w:val="正文文本缩进 字符"/>
    <w:basedOn w:val="29"/>
    <w:link w:val="12"/>
    <w:qFormat/>
    <w:uiPriority w:val="0"/>
    <w:rPr>
      <w:sz w:val="21"/>
      <w:szCs w:val="21"/>
    </w:rPr>
  </w:style>
  <w:style w:type="character" w:customStyle="1" w:styleId="43">
    <w:name w:val="纯文本 字符"/>
    <w:basedOn w:val="29"/>
    <w:link w:val="14"/>
    <w:qFormat/>
    <w:uiPriority w:val="0"/>
    <w:rPr>
      <w:rFonts w:ascii="宋体" w:hAnsi="Courier New" w:eastAsia="宋体" w:cs="宋体"/>
      <w:sz w:val="21"/>
      <w:szCs w:val="21"/>
      <w:lang w:val="en-US" w:eastAsia="zh-CN"/>
    </w:rPr>
  </w:style>
  <w:style w:type="character" w:customStyle="1" w:styleId="44">
    <w:name w:val="正文文本缩进 2 字符"/>
    <w:basedOn w:val="29"/>
    <w:link w:val="15"/>
    <w:qFormat/>
    <w:uiPriority w:val="99"/>
    <w:rPr>
      <w:rFonts w:ascii="宋体" w:hAnsi="宋体" w:eastAsia="仿宋_GB2312" w:cs="宋体"/>
      <w:b/>
      <w:bCs/>
      <w:color w:val="000000"/>
      <w:sz w:val="24"/>
      <w:szCs w:val="24"/>
    </w:rPr>
  </w:style>
  <w:style w:type="character" w:customStyle="1" w:styleId="45">
    <w:name w:val="批注框文本 字符"/>
    <w:basedOn w:val="29"/>
    <w:link w:val="16"/>
    <w:qFormat/>
    <w:uiPriority w:val="99"/>
    <w:rPr>
      <w:sz w:val="2"/>
      <w:szCs w:val="2"/>
    </w:rPr>
  </w:style>
  <w:style w:type="character" w:customStyle="1" w:styleId="46">
    <w:name w:val="页脚 字符"/>
    <w:basedOn w:val="29"/>
    <w:link w:val="17"/>
    <w:qFormat/>
    <w:uiPriority w:val="99"/>
    <w:rPr>
      <w:kern w:val="2"/>
      <w:sz w:val="18"/>
      <w:szCs w:val="18"/>
    </w:rPr>
  </w:style>
  <w:style w:type="character" w:customStyle="1" w:styleId="47">
    <w:name w:val="页眉 字符"/>
    <w:basedOn w:val="29"/>
    <w:link w:val="18"/>
    <w:qFormat/>
    <w:uiPriority w:val="99"/>
    <w:rPr>
      <w:kern w:val="2"/>
      <w:sz w:val="18"/>
      <w:szCs w:val="18"/>
    </w:rPr>
  </w:style>
  <w:style w:type="character" w:customStyle="1" w:styleId="48">
    <w:name w:val="副标题 字符"/>
    <w:basedOn w:val="29"/>
    <w:link w:val="21"/>
    <w:qFormat/>
    <w:uiPriority w:val="99"/>
    <w:rPr>
      <w:rFonts w:ascii="Cambria" w:hAnsi="Cambria" w:cs="Cambria"/>
      <w:b/>
      <w:bCs/>
      <w:kern w:val="28"/>
      <w:sz w:val="32"/>
      <w:szCs w:val="32"/>
    </w:rPr>
  </w:style>
  <w:style w:type="character" w:customStyle="1" w:styleId="49">
    <w:name w:val="普通(网站) 字符"/>
    <w:link w:val="24"/>
    <w:qFormat/>
    <w:uiPriority w:val="0"/>
    <w:rPr>
      <w:rFonts w:ascii="宋体" w:hAnsi="宋体" w:cs="宋体"/>
      <w:kern w:val="0"/>
      <w:sz w:val="24"/>
      <w:szCs w:val="24"/>
    </w:rPr>
  </w:style>
  <w:style w:type="character" w:customStyle="1" w:styleId="50">
    <w:name w:val="标题 字符1"/>
    <w:basedOn w:val="29"/>
    <w:link w:val="25"/>
    <w:qFormat/>
    <w:uiPriority w:val="0"/>
    <w:rPr>
      <w:rFonts w:ascii="Cambria" w:hAnsi="Cambria" w:cs="Cambria"/>
      <w:b/>
      <w:bCs/>
      <w:kern w:val="2"/>
      <w:sz w:val="32"/>
      <w:szCs w:val="32"/>
    </w:rPr>
  </w:style>
  <w:style w:type="character" w:customStyle="1" w:styleId="51">
    <w:name w:val="批注主题 字符"/>
    <w:basedOn w:val="41"/>
    <w:link w:val="26"/>
    <w:qFormat/>
    <w:uiPriority w:val="99"/>
    <w:rPr>
      <w:b/>
      <w:bCs/>
      <w:kern w:val="2"/>
      <w:sz w:val="24"/>
      <w:szCs w:val="24"/>
    </w:rPr>
  </w:style>
  <w:style w:type="paragraph" w:customStyle="1" w:styleId="52">
    <w:name w:val="UserStyle_0"/>
    <w:basedOn w:val="53"/>
    <w:next w:val="54"/>
    <w:qFormat/>
    <w:uiPriority w:val="0"/>
    <w:pPr>
      <w:spacing w:line="420" w:lineRule="atLeast"/>
      <w:jc w:val="left"/>
      <w:textAlignment w:val="baseline"/>
    </w:pPr>
    <w:rPr>
      <w:rFonts w:ascii="Times New Roman" w:hAnsi="Times New Roman"/>
      <w:kern w:val="0"/>
      <w:szCs w:val="24"/>
    </w:rPr>
  </w:style>
  <w:style w:type="paragraph" w:customStyle="1" w:styleId="53">
    <w:name w:val="PlainText"/>
    <w:basedOn w:val="1"/>
    <w:next w:val="1"/>
    <w:qFormat/>
    <w:uiPriority w:val="99"/>
    <w:rPr>
      <w:rFonts w:ascii="宋体" w:hAnsi="Courier New"/>
    </w:rPr>
  </w:style>
  <w:style w:type="paragraph" w:customStyle="1" w:styleId="54">
    <w:name w:val="BodyText"/>
    <w:basedOn w:val="1"/>
    <w:next w:val="55"/>
    <w:qFormat/>
    <w:uiPriority w:val="0"/>
    <w:pPr>
      <w:textAlignment w:val="baseline"/>
    </w:pPr>
    <w:rPr>
      <w:kern w:val="0"/>
      <w:sz w:val="20"/>
      <w:szCs w:val="20"/>
    </w:rPr>
  </w:style>
  <w:style w:type="paragraph" w:customStyle="1" w:styleId="55">
    <w:name w:val="BodyText1I"/>
    <w:basedOn w:val="54"/>
    <w:next w:val="56"/>
    <w:qFormat/>
    <w:uiPriority w:val="0"/>
    <w:pPr>
      <w:spacing w:line="312" w:lineRule="auto"/>
      <w:ind w:firstLine="420"/>
    </w:pPr>
    <w:rPr>
      <w:szCs w:val="24"/>
    </w:rPr>
  </w:style>
  <w:style w:type="paragraph" w:customStyle="1" w:styleId="56">
    <w:name w:val="TOC6"/>
    <w:basedOn w:val="1"/>
    <w:next w:val="1"/>
    <w:qFormat/>
    <w:uiPriority w:val="0"/>
    <w:pPr>
      <w:ind w:left="1050"/>
      <w:jc w:val="left"/>
      <w:textAlignment w:val="baseline"/>
    </w:pPr>
    <w:rPr>
      <w:rFonts w:ascii="Century Gothic" w:hAnsi="Century Gothic"/>
      <w:sz w:val="18"/>
      <w:szCs w:val="18"/>
    </w:rPr>
  </w:style>
  <w:style w:type="character" w:customStyle="1" w:styleId="57">
    <w:name w:val="Char Char5"/>
    <w:qFormat/>
    <w:uiPriority w:val="99"/>
    <w:rPr>
      <w:rFonts w:ascii="Arial" w:hAnsi="Arial" w:eastAsia="宋体" w:cs="Arial"/>
      <w:b/>
      <w:bCs/>
      <w:color w:val="000000"/>
      <w:sz w:val="32"/>
      <w:szCs w:val="32"/>
      <w:lang w:val="en-US" w:eastAsia="zh-CN"/>
    </w:rPr>
  </w:style>
  <w:style w:type="paragraph" w:customStyle="1" w:styleId="58">
    <w:name w:val="p16"/>
    <w:basedOn w:val="1"/>
    <w:qFormat/>
    <w:uiPriority w:val="99"/>
    <w:pPr>
      <w:widowControl/>
    </w:pPr>
    <w:rPr>
      <w:rFonts w:ascii="Calibri" w:hAnsi="Calibri" w:cs="Calibri"/>
      <w:kern w:val="0"/>
    </w:rPr>
  </w:style>
  <w:style w:type="paragraph" w:styleId="59">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Char Char Char Char Char Char"/>
    <w:basedOn w:val="1"/>
    <w:qFormat/>
    <w:uiPriority w:val="99"/>
    <w:rPr>
      <w:rFonts w:ascii="仿宋_GB2312" w:eastAsia="仿宋_GB2312" w:cs="仿宋_GB2312"/>
      <w:b/>
      <w:bCs/>
      <w:sz w:val="32"/>
      <w:szCs w:val="32"/>
    </w:rPr>
  </w:style>
  <w:style w:type="paragraph" w:customStyle="1" w:styleId="61">
    <w:name w:val="p15"/>
    <w:basedOn w:val="1"/>
    <w:qFormat/>
    <w:uiPriority w:val="99"/>
    <w:pPr>
      <w:widowControl/>
      <w:ind w:firstLine="420"/>
    </w:pPr>
    <w:rPr>
      <w:rFonts w:ascii="Calibri" w:hAnsi="Calibri" w:cs="Calibri"/>
      <w:kern w:val="0"/>
    </w:rPr>
  </w:style>
  <w:style w:type="paragraph" w:customStyle="1" w:styleId="62">
    <w:name w:val="Char Char"/>
    <w:basedOn w:val="1"/>
    <w:qFormat/>
    <w:uiPriority w:val="99"/>
    <w:pPr>
      <w:spacing w:line="360" w:lineRule="auto"/>
    </w:pPr>
    <w:rPr>
      <w:rFonts w:ascii="Tahoma" w:hAnsi="Tahoma" w:cs="Tahoma"/>
      <w:sz w:val="24"/>
      <w:szCs w:val="24"/>
    </w:rPr>
  </w:style>
  <w:style w:type="paragraph" w:customStyle="1" w:styleId="63">
    <w:name w:val="xl7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8"/>
      <w:szCs w:val="28"/>
    </w:rPr>
  </w:style>
  <w:style w:type="paragraph" w:customStyle="1" w:styleId="64">
    <w:name w:val="[Normal]"/>
    <w:qFormat/>
    <w:uiPriority w:val="99"/>
    <w:rPr>
      <w:rFonts w:ascii="宋体" w:hAnsi="宋体" w:eastAsia="宋体" w:cs="宋体"/>
      <w:sz w:val="24"/>
      <w:szCs w:val="24"/>
      <w:lang w:val="zh-CN" w:eastAsia="zh-CN" w:bidi="ar-SA"/>
    </w:rPr>
  </w:style>
  <w:style w:type="paragraph" w:styleId="65">
    <w:name w:val="List Paragraph"/>
    <w:basedOn w:val="1"/>
    <w:link w:val="66"/>
    <w:qFormat/>
    <w:uiPriority w:val="34"/>
    <w:pPr>
      <w:ind w:firstLine="420" w:firstLineChars="200"/>
    </w:pPr>
  </w:style>
  <w:style w:type="character" w:customStyle="1" w:styleId="66">
    <w:name w:val="列出段落 字符"/>
    <w:link w:val="65"/>
    <w:qFormat/>
    <w:uiPriority w:val="34"/>
    <w:rPr>
      <w:kern w:val="2"/>
      <w:sz w:val="21"/>
      <w:szCs w:val="21"/>
    </w:rPr>
  </w:style>
  <w:style w:type="paragraph" w:customStyle="1" w:styleId="67">
    <w:name w:val="纯文本2"/>
    <w:basedOn w:val="1"/>
    <w:qFormat/>
    <w:uiPriority w:val="99"/>
    <w:pPr>
      <w:adjustRightInd w:val="0"/>
      <w:snapToGrid w:val="0"/>
      <w:spacing w:line="288" w:lineRule="auto"/>
      <w:ind w:firstLine="200" w:firstLineChars="200"/>
    </w:pPr>
    <w:rPr>
      <w:rFonts w:ascii="宋体" w:hAnsi="Courier New" w:cs="宋体"/>
    </w:rPr>
  </w:style>
  <w:style w:type="paragraph" w:customStyle="1" w:styleId="68">
    <w:name w:val="正文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Table Paragraph"/>
    <w:basedOn w:val="1"/>
    <w:qFormat/>
    <w:uiPriority w:val="99"/>
    <w:pPr>
      <w:widowControl/>
      <w:autoSpaceDE w:val="0"/>
      <w:autoSpaceDN w:val="0"/>
      <w:spacing w:line="360" w:lineRule="auto"/>
      <w:jc w:val="left"/>
    </w:pPr>
    <w:rPr>
      <w:rFonts w:ascii="宋体" w:hAnsi="宋体" w:cs="宋体"/>
      <w:kern w:val="0"/>
      <w:sz w:val="22"/>
      <w:szCs w:val="22"/>
      <w:lang w:val="zh-CN"/>
    </w:rPr>
  </w:style>
  <w:style w:type="character" w:customStyle="1" w:styleId="70">
    <w:name w:val="纯文本 Char2"/>
    <w:qFormat/>
    <w:uiPriority w:val="0"/>
    <w:rPr>
      <w:rFonts w:ascii="宋体" w:hAnsi="Courier New" w:eastAsia="仿宋_GB2312" w:cs="宋体"/>
      <w:b/>
      <w:bCs/>
      <w:color w:val="000000"/>
      <w:sz w:val="21"/>
      <w:szCs w:val="21"/>
      <w:lang w:val="en-US" w:eastAsia="zh-CN"/>
    </w:rPr>
  </w:style>
  <w:style w:type="character" w:customStyle="1" w:styleId="71">
    <w:name w:val="NormalCharacter"/>
    <w:qFormat/>
    <w:uiPriority w:val="99"/>
    <w:rPr>
      <w:rFonts w:ascii="Times New Roman" w:hAnsi="Times New Roman" w:eastAsia="宋体" w:cs="Times New Roman"/>
      <w:kern w:val="2"/>
      <w:sz w:val="21"/>
      <w:szCs w:val="21"/>
      <w:lang w:val="en-US" w:eastAsia="zh-CN" w:bidi="ar-SA"/>
    </w:rPr>
  </w:style>
  <w:style w:type="paragraph" w:customStyle="1" w:styleId="72">
    <w:name w:val="列出段落3"/>
    <w:basedOn w:val="1"/>
    <w:qFormat/>
    <w:uiPriority w:val="99"/>
    <w:pPr>
      <w:spacing w:line="360" w:lineRule="auto"/>
      <w:ind w:firstLine="420" w:firstLineChars="200"/>
    </w:pPr>
    <w:rPr>
      <w:rFonts w:ascii="Calibri" w:hAnsi="Calibri" w:cs="Calibri"/>
      <w:sz w:val="24"/>
      <w:szCs w:val="24"/>
    </w:rPr>
  </w:style>
  <w:style w:type="character" w:customStyle="1" w:styleId="73">
    <w:name w:val="纯文本 Char1"/>
    <w:qFormat/>
    <w:uiPriority w:val="99"/>
    <w:rPr>
      <w:rFonts w:ascii="宋体" w:hAnsi="Courier New" w:eastAsia="仿宋_GB2312" w:cs="宋体"/>
      <w:b/>
      <w:bCs/>
      <w:color w:val="000000"/>
    </w:rPr>
  </w:style>
  <w:style w:type="character" w:customStyle="1" w:styleId="74">
    <w:name w:val="skancount"/>
    <w:basedOn w:val="29"/>
    <w:qFormat/>
    <w:uiPriority w:val="99"/>
  </w:style>
  <w:style w:type="character" w:customStyle="1" w:styleId="75">
    <w:name w:val="bookmark-item"/>
    <w:basedOn w:val="29"/>
    <w:qFormat/>
    <w:uiPriority w:val="0"/>
  </w:style>
  <w:style w:type="paragraph" w:customStyle="1" w:styleId="76">
    <w:name w:val="_Style 3"/>
    <w:basedOn w:val="1"/>
    <w:qFormat/>
    <w:uiPriority w:val="99"/>
    <w:pPr>
      <w:ind w:firstLine="420" w:firstLineChars="200"/>
    </w:pPr>
  </w:style>
  <w:style w:type="paragraph" w:customStyle="1" w:styleId="77">
    <w:name w:val="章正文"/>
    <w:basedOn w:val="1"/>
    <w:qFormat/>
    <w:uiPriority w:val="99"/>
    <w:pPr>
      <w:spacing w:beforeLines="50" w:after="120" w:line="300" w:lineRule="auto"/>
      <w:ind w:firstLine="480"/>
    </w:pPr>
    <w:rPr>
      <w:rFonts w:ascii="Helvetica" w:hAnsi="Helvetica" w:cs="Helvetica"/>
      <w:kern w:val="0"/>
      <w:sz w:val="24"/>
      <w:szCs w:val="24"/>
    </w:rPr>
  </w:style>
  <w:style w:type="paragraph" w:customStyle="1" w:styleId="78">
    <w:name w:val="Proposals body"/>
    <w:basedOn w:val="1"/>
    <w:next w:val="1"/>
    <w:qFormat/>
    <w:uiPriority w:val="0"/>
    <w:pPr>
      <w:widowControl/>
      <w:spacing w:line="360" w:lineRule="auto"/>
      <w:jc w:val="left"/>
    </w:pPr>
    <w:rPr>
      <w:rFonts w:ascii="宋体" w:cs="宋体"/>
      <w:color w:val="000000"/>
      <w:kern w:val="0"/>
      <w:sz w:val="24"/>
      <w:szCs w:val="24"/>
    </w:rPr>
  </w:style>
  <w:style w:type="paragraph" w:customStyle="1" w:styleId="79">
    <w:name w:val="列出段落1"/>
    <w:basedOn w:val="1"/>
    <w:qFormat/>
    <w:uiPriority w:val="0"/>
    <w:pPr>
      <w:ind w:firstLine="420" w:firstLineChars="200"/>
    </w:pPr>
    <w:rPr>
      <w:szCs w:val="24"/>
    </w:rPr>
  </w:style>
  <w:style w:type="character" w:customStyle="1" w:styleId="80">
    <w:name w:val="font01"/>
    <w:basedOn w:val="29"/>
    <w:qFormat/>
    <w:uiPriority w:val="0"/>
    <w:rPr>
      <w:rFonts w:hint="eastAsia" w:ascii="宋体" w:hAnsi="宋体" w:eastAsia="宋体" w:cs="宋体"/>
      <w:color w:val="000000"/>
      <w:sz w:val="18"/>
      <w:szCs w:val="18"/>
      <w:u w:val="none"/>
    </w:rPr>
  </w:style>
  <w:style w:type="character" w:customStyle="1" w:styleId="81">
    <w:name w:val="font41"/>
    <w:basedOn w:val="29"/>
    <w:qFormat/>
    <w:uiPriority w:val="0"/>
    <w:rPr>
      <w:rFonts w:hint="default" w:ascii="Times New Roman" w:hAnsi="Times New Roman" w:cs="Times New Roman"/>
      <w:color w:val="000000"/>
      <w:sz w:val="18"/>
      <w:szCs w:val="18"/>
      <w:u w:val="none"/>
    </w:rPr>
  </w:style>
  <w:style w:type="character" w:customStyle="1" w:styleId="82">
    <w:name w:val="font31"/>
    <w:basedOn w:val="29"/>
    <w:qFormat/>
    <w:uiPriority w:val="0"/>
    <w:rPr>
      <w:rFonts w:hint="default" w:ascii="Times New Roman" w:hAnsi="Times New Roman" w:cs="Times New Roman"/>
      <w:color w:val="000000"/>
      <w:sz w:val="18"/>
      <w:szCs w:val="18"/>
      <w:u w:val="none"/>
    </w:rPr>
  </w:style>
  <w:style w:type="character" w:customStyle="1" w:styleId="83">
    <w:name w:val="标题 字符"/>
    <w:qFormat/>
    <w:uiPriority w:val="0"/>
    <w:rPr>
      <w:rFonts w:ascii="Arial" w:hAnsi="Arial" w:cs="Arial"/>
      <w:b/>
      <w:bCs/>
      <w:color w:val="000000"/>
      <w:sz w:val="32"/>
      <w:szCs w:val="32"/>
    </w:rPr>
  </w:style>
  <w:style w:type="paragraph" w:customStyle="1" w:styleId="84">
    <w:name w:val="AnnotationText"/>
    <w:basedOn w:val="1"/>
    <w:qFormat/>
    <w:uiPriority w:val="0"/>
    <w:pPr>
      <w:jc w:val="left"/>
      <w:textAlignment w:val="baseline"/>
    </w:pPr>
  </w:style>
  <w:style w:type="paragraph" w:customStyle="1" w:styleId="85">
    <w:name w:val="Plain Text1"/>
    <w:basedOn w:val="1"/>
    <w:qFormat/>
    <w:uiPriority w:val="0"/>
    <w:rPr>
      <w:rFonts w:ascii="宋体" w:hAnsi="Courier New"/>
      <w:szCs w:val="20"/>
    </w:rPr>
  </w:style>
  <w:style w:type="paragraph" w:customStyle="1" w:styleId="86">
    <w:name w:val="表格文字"/>
    <w:basedOn w:val="14"/>
    <w:next w:val="2"/>
    <w:qFormat/>
    <w:uiPriority w:val="99"/>
    <w:pPr>
      <w:spacing w:line="420" w:lineRule="atLeast"/>
    </w:pPr>
    <w:rPr>
      <w:rFonts w:ascii="Times New Roman" w:hAnsi="Times New Roman"/>
      <w:szCs w:val="24"/>
    </w:rPr>
  </w:style>
  <w:style w:type="paragraph" w:customStyle="1" w:styleId="87">
    <w:name w:val="表格"/>
    <w:basedOn w:val="1"/>
    <w:qFormat/>
    <w:uiPriority w:val="0"/>
    <w:rPr>
      <w:rFonts w:ascii="微软雅黑" w:hAnsi="微软雅黑" w:eastAsia="微软雅黑" w:cs="宋体"/>
      <w:bCs/>
      <w:color w:val="000000"/>
      <w:szCs w:val="22"/>
    </w:rPr>
  </w:style>
  <w:style w:type="paragraph" w:customStyle="1" w:styleId="88">
    <w:name w:val="列表段落1"/>
    <w:basedOn w:val="1"/>
    <w:qFormat/>
    <w:uiPriority w:val="34"/>
    <w:pPr>
      <w:ind w:firstLine="420" w:firstLineChars="200"/>
    </w:pPr>
    <w:rPr>
      <w:rFonts w:ascii="Calibri" w:hAnsi="Calibri"/>
      <w:szCs w:val="22"/>
    </w:rPr>
  </w:style>
  <w:style w:type="character" w:customStyle="1" w:styleId="89">
    <w:name w:val="font21"/>
    <w:basedOn w:val="29"/>
    <w:qFormat/>
    <w:uiPriority w:val="0"/>
    <w:rPr>
      <w:rFonts w:hint="eastAsia" w:ascii="宋体" w:hAnsi="宋体" w:eastAsia="宋体" w:cs="宋体"/>
      <w:color w:val="000000"/>
      <w:sz w:val="22"/>
      <w:szCs w:val="22"/>
      <w:u w:val="none"/>
    </w:rPr>
  </w:style>
  <w:style w:type="paragraph" w:customStyle="1" w:styleId="90">
    <w:name w:val="正文一"/>
    <w:basedOn w:val="1"/>
    <w:link w:val="91"/>
    <w:qFormat/>
    <w:uiPriority w:val="0"/>
    <w:pPr>
      <w:widowControl/>
      <w:spacing w:before="120" w:after="120" w:line="360" w:lineRule="auto"/>
      <w:ind w:firstLine="200" w:firstLineChars="200"/>
      <w:jc w:val="left"/>
    </w:pPr>
    <w:rPr>
      <w:rFonts w:cs="宋体"/>
      <w:kern w:val="0"/>
    </w:rPr>
  </w:style>
  <w:style w:type="character" w:customStyle="1" w:styleId="91">
    <w:name w:val="正文一 Char"/>
    <w:link w:val="90"/>
    <w:qFormat/>
    <w:uiPriority w:val="0"/>
    <w:rPr>
      <w:rFonts w:cs="宋体"/>
      <w:sz w:val="21"/>
      <w:szCs w:val="21"/>
    </w:rPr>
  </w:style>
  <w:style w:type="paragraph" w:customStyle="1" w:styleId="92">
    <w:name w:val="_Style 1"/>
    <w:basedOn w:val="1"/>
    <w:qFormat/>
    <w:uiPriority w:val="0"/>
    <w:pPr>
      <w:ind w:firstLine="420" w:firstLineChars="200"/>
    </w:pPr>
  </w:style>
  <w:style w:type="paragraph" w:customStyle="1" w:styleId="93">
    <w:name w:val="纯文本 New New"/>
    <w:basedOn w:val="1"/>
    <w:qFormat/>
    <w:uiPriority w:val="0"/>
    <w:pPr>
      <w:widowControl/>
      <w:overflowPunct w:val="0"/>
      <w:autoSpaceDE w:val="0"/>
      <w:autoSpaceDN w:val="0"/>
      <w:adjustRightInd w:val="0"/>
      <w:jc w:val="left"/>
      <w:textAlignment w:val="baseline"/>
    </w:pPr>
    <w:rPr>
      <w:rFonts w:ascii="宋体" w:hAnsi="Courier New"/>
      <w:szCs w:val="20"/>
    </w:rPr>
  </w:style>
  <w:style w:type="character" w:customStyle="1" w:styleId="94">
    <w:name w:val="font112"/>
    <w:basedOn w:val="29"/>
    <w:qFormat/>
    <w:uiPriority w:val="0"/>
    <w:rPr>
      <w:rFonts w:hint="eastAsia" w:ascii="宋体" w:hAnsi="宋体" w:eastAsia="宋体" w:cs="宋体"/>
      <w:b/>
      <w:bCs/>
      <w:color w:val="000000"/>
      <w:sz w:val="18"/>
      <w:szCs w:val="18"/>
      <w:u w:val="none"/>
    </w:rPr>
  </w:style>
  <w:style w:type="character" w:customStyle="1" w:styleId="95">
    <w:name w:val="font91"/>
    <w:basedOn w:val="29"/>
    <w:qFormat/>
    <w:uiPriority w:val="0"/>
    <w:rPr>
      <w:rFonts w:hint="eastAsia" w:ascii="宋体" w:hAnsi="宋体" w:eastAsia="宋体" w:cs="宋体"/>
      <w:color w:val="000000"/>
      <w:sz w:val="18"/>
      <w:szCs w:val="18"/>
      <w:u w:val="none"/>
    </w:rPr>
  </w:style>
  <w:style w:type="character" w:customStyle="1" w:styleId="96">
    <w:name w:val="标题 2 字符"/>
    <w:link w:val="5"/>
    <w:qFormat/>
    <w:uiPriority w:val="0"/>
    <w:rPr>
      <w:rFonts w:ascii="仿宋_GB2312" w:hAnsi="仿宋" w:eastAsia="仿宋_GB2312"/>
      <w:b/>
      <w:bCs/>
      <w:sz w:val="32"/>
      <w:szCs w:val="32"/>
      <w:lang w:val="zh-CN"/>
    </w:rPr>
  </w:style>
  <w:style w:type="paragraph" w:customStyle="1" w:styleId="97">
    <w:name w:val="正文2"/>
    <w:basedOn w:val="1"/>
    <w:qFormat/>
    <w:uiPriority w:val="0"/>
    <w:pPr>
      <w:spacing w:before="156" w:line="360" w:lineRule="auto"/>
      <w:ind w:firstLine="510" w:firstLineChars="200"/>
    </w:pPr>
    <w:rPr>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header6.xml" Type="http://schemas.openxmlformats.org/officeDocument/2006/relationships/header"/><Relationship Id="rId14" Target="footer6.xml" Type="http://schemas.openxmlformats.org/officeDocument/2006/relationships/footer"/><Relationship Id="rId15" Target="theme/theme1.xml" Type="http://schemas.openxmlformats.org/officeDocument/2006/relationships/theme"/><Relationship Id="rId16" Target="../customXml/item1.xml" Type="http://schemas.openxmlformats.org/officeDocument/2006/relationships/customXml"/><Relationship Id="rId17" Target="numbering.xml" Type="http://schemas.openxmlformats.org/officeDocument/2006/relationships/numbering"/><Relationship Id="rId18"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tuxin</Company>
  <Pages>218</Pages>
  <Words>137021</Words>
  <Characters>160209</Characters>
  <Lines>1223</Lines>
  <Paragraphs>344</Paragraphs>
  <TotalTime>40</TotalTime>
  <ScaleCrop>false</ScaleCrop>
  <LinksUpToDate>false</LinksUpToDate>
  <CharactersWithSpaces>163828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2022-06-14T09:54:00Z</dcterms:created>
  <dc:creator>雨林木风</dc:creator>
  <cp:lastModifiedBy>DELL</cp:lastModifiedBy>
  <cp:lastPrinted>2021-11-09T00:45:00Z</cp:lastPrinted>
  <dcterms:modified xsi:type="dcterms:W3CDTF">2022-06-27T03:09:11Z</dcterms:modified>
  <cp:revision>3</cp:revision>
  <dc:title>投标须知前附表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3547C541EA054A719418A3435BB7394B</vt:lpwstr>
  </property>
  <property fmtid="{D5CDD505-2E9C-101B-9397-08002B2CF9AE}" pid="4" name="commondata">
    <vt:lpwstr>eyJoZGlkIjoiZTEyMTcyNTBjMjQ0MGVkM2MwNmUxNGI0MmExOGM2YmQifQ==</vt:lpwstr>
  </property>
</Properties>
</file>