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b/>
          <w:bCs/>
          <w:sz w:val="44"/>
          <w:szCs w:val="44"/>
        </w:rPr>
      </w:pPr>
      <w:bookmarkStart w:id="0" w:name="_Toc27168"/>
      <w:r>
        <w:rPr>
          <w:rFonts w:hint="eastAsia" w:ascii="宋体" w:hAnsi="宋体"/>
          <w:b/>
          <w:bCs/>
          <w:sz w:val="44"/>
          <w:szCs w:val="44"/>
        </w:rPr>
        <w:t>第二部分    采购内容及要求</w:t>
      </w:r>
      <w:bookmarkEnd w:id="0"/>
    </w:p>
    <w:p>
      <w:pPr>
        <w:spacing w:line="380" w:lineRule="exact"/>
        <w:ind w:firstLine="325" w:firstLineChars="147"/>
        <w:rPr>
          <w:rFonts w:hint="eastAsia" w:ascii="宋体" w:hAnsi="宋体"/>
          <w:b/>
          <w:color w:val="000000"/>
          <w:sz w:val="22"/>
        </w:rPr>
      </w:pPr>
      <w:r>
        <w:rPr>
          <w:rFonts w:hint="eastAsia" w:ascii="宋体" w:hAnsi="宋体"/>
          <w:b/>
          <w:color w:val="000000"/>
          <w:sz w:val="22"/>
        </w:rPr>
        <w:t>一、总体要求</w:t>
      </w:r>
    </w:p>
    <w:p>
      <w:pPr>
        <w:snapToGrid w:val="0"/>
        <w:spacing w:line="380" w:lineRule="exact"/>
        <w:ind w:left="659" w:leftChars="156" w:right="-82" w:hanging="331" w:hangingChars="150"/>
        <w:rPr>
          <w:rFonts w:hint="eastAsia" w:ascii="宋体" w:hAnsi="宋体"/>
          <w:b/>
          <w:color w:val="000000"/>
          <w:sz w:val="22"/>
        </w:rPr>
      </w:pPr>
      <w:r>
        <w:rPr>
          <w:rFonts w:hint="eastAsia" w:ascii="宋体" w:hAnsi="宋体"/>
          <w:b/>
          <w:color w:val="000000"/>
          <w:sz w:val="22"/>
        </w:rPr>
        <w:t>1、供应商须对所投标段所有货物进行投标报价，否则按无效投标处理。</w:t>
      </w:r>
    </w:p>
    <w:p>
      <w:pPr>
        <w:snapToGrid w:val="0"/>
        <w:spacing w:line="380" w:lineRule="exact"/>
        <w:ind w:left="658" w:leftChars="156" w:right="-82" w:hanging="330" w:hangingChars="150"/>
        <w:rPr>
          <w:rFonts w:hint="eastAsia" w:ascii="宋体" w:hAnsi="宋体"/>
          <w:color w:val="000000"/>
          <w:sz w:val="22"/>
        </w:rPr>
      </w:pPr>
      <w:r>
        <w:rPr>
          <w:rFonts w:hint="eastAsia" w:ascii="宋体" w:hAnsi="宋体"/>
          <w:color w:val="000000"/>
          <w:sz w:val="22"/>
        </w:rPr>
        <w:t>2、无论投标过程中的作法和结果如何，供应商自行承担投标活动中所发生的全部费用。</w:t>
      </w:r>
    </w:p>
    <w:p>
      <w:pPr>
        <w:snapToGrid w:val="0"/>
        <w:spacing w:line="380" w:lineRule="exact"/>
        <w:ind w:left="658" w:leftChars="156" w:right="-82" w:hanging="330" w:hangingChars="150"/>
        <w:rPr>
          <w:rFonts w:hint="eastAsia" w:ascii="宋体" w:hAnsi="宋体"/>
          <w:color w:val="000000"/>
          <w:sz w:val="22"/>
        </w:rPr>
      </w:pPr>
      <w:r>
        <w:rPr>
          <w:rFonts w:hint="eastAsia" w:ascii="宋体" w:hAnsi="宋体"/>
          <w:color w:val="000000"/>
          <w:sz w:val="22"/>
        </w:rPr>
        <w:t>3、本技术规范要求提出的是最低限度的基本技术要求，并未对所有技术细节作出规定，供应商应提供符合本技术要求和国家标准、行业标准的优质产品。</w:t>
      </w:r>
    </w:p>
    <w:p>
      <w:pPr>
        <w:snapToGrid w:val="0"/>
        <w:spacing w:line="380" w:lineRule="exact"/>
        <w:ind w:left="658" w:leftChars="156" w:right="-82" w:hanging="330" w:hangingChars="150"/>
        <w:rPr>
          <w:rFonts w:hint="eastAsia" w:ascii="宋体" w:hAnsi="宋体"/>
          <w:color w:val="000000"/>
          <w:sz w:val="22"/>
        </w:rPr>
      </w:pPr>
      <w:r>
        <w:rPr>
          <w:rFonts w:hint="eastAsia" w:ascii="宋体" w:hAnsi="宋体"/>
          <w:color w:val="000000"/>
          <w:sz w:val="22"/>
        </w:rPr>
        <w:t>4、供应商产品与本技术要求不一致时，供应商应在投标文件中予以说明，并由评标委员会鉴定供应商产品能否达到要求。如供应商没有在投标文件中提出异议，则视为供应商提供的产品完全按照本招标文件要求，并在合同验收时按招标文件要求验收。</w:t>
      </w:r>
    </w:p>
    <w:p>
      <w:pPr>
        <w:snapToGrid w:val="0"/>
        <w:spacing w:line="380" w:lineRule="exact"/>
        <w:ind w:left="658" w:leftChars="156" w:right="-82" w:hanging="330" w:hangingChars="150"/>
        <w:rPr>
          <w:rFonts w:hint="eastAsia" w:ascii="宋体" w:hAnsi="宋体"/>
          <w:color w:val="000000"/>
          <w:sz w:val="22"/>
        </w:rPr>
      </w:pPr>
      <w:r>
        <w:rPr>
          <w:rFonts w:hint="eastAsia" w:ascii="宋体" w:hAnsi="宋体"/>
          <w:color w:val="000000"/>
          <w:sz w:val="22"/>
        </w:rPr>
        <w:t>5、供应商应对所提供的货物材料性能、质量负责，并提供相应的指导安装、服务、质保及技术培训。采购的货物所涉及的产品标准、规范，验收标准等，应符合国家有关条例及标准的规定。</w:t>
      </w:r>
    </w:p>
    <w:p>
      <w:pPr>
        <w:snapToGrid w:val="0"/>
        <w:spacing w:line="380" w:lineRule="exact"/>
        <w:ind w:left="658" w:leftChars="156" w:right="-82" w:hanging="330" w:hangingChars="150"/>
        <w:rPr>
          <w:rFonts w:hint="eastAsia" w:ascii="宋体" w:hAnsi="宋体"/>
          <w:color w:val="000000"/>
          <w:sz w:val="22"/>
        </w:rPr>
      </w:pPr>
      <w:r>
        <w:rPr>
          <w:rFonts w:hint="eastAsia" w:ascii="宋体" w:hAnsi="宋体"/>
          <w:color w:val="000000"/>
          <w:sz w:val="22"/>
        </w:rPr>
        <w:t>6、采购人有权选择供应商的供货范围，并根据最终实际需要调整采购数量。招标文件涉及的材料品牌型号均为参考，欢迎同档次的产品参与本次投标。</w:t>
      </w:r>
    </w:p>
    <w:p>
      <w:pPr>
        <w:snapToGrid w:val="0"/>
        <w:spacing w:line="380" w:lineRule="exact"/>
        <w:ind w:left="658" w:leftChars="156" w:right="-82" w:hanging="330" w:hangingChars="150"/>
        <w:rPr>
          <w:rFonts w:hint="eastAsia" w:ascii="宋体" w:hAnsi="宋体"/>
          <w:color w:val="000000"/>
          <w:sz w:val="22"/>
        </w:rPr>
      </w:pPr>
      <w:r>
        <w:rPr>
          <w:rFonts w:hint="eastAsia" w:ascii="宋体" w:hAnsi="宋体"/>
          <w:color w:val="000000"/>
          <w:sz w:val="22"/>
        </w:rPr>
        <w:t>7、供应商如果报名后不来参与投标报价，需在投标文件递交截止时间前3天给予书面告知及其理由，以便于本项目后续工作开展。</w:t>
      </w:r>
    </w:p>
    <w:p>
      <w:pPr>
        <w:snapToGrid w:val="0"/>
        <w:spacing w:line="380" w:lineRule="exact"/>
        <w:ind w:left="659" w:leftChars="156" w:right="-82" w:hanging="331" w:hangingChars="150"/>
        <w:rPr>
          <w:rFonts w:hint="eastAsia" w:ascii="宋体" w:hAnsi="宋体"/>
          <w:b/>
          <w:color w:val="000000"/>
          <w:sz w:val="22"/>
        </w:rPr>
      </w:pPr>
      <w:r>
        <w:rPr>
          <w:rFonts w:hint="eastAsia" w:ascii="宋体" w:hAnsi="宋体"/>
          <w:b/>
          <w:color w:val="000000"/>
          <w:sz w:val="22"/>
        </w:rPr>
        <w:t>8、</w:t>
      </w:r>
      <w:r>
        <w:rPr>
          <w:rFonts w:hint="eastAsia" w:ascii="宋体" w:hAnsi="宋体"/>
          <w:color w:val="000000"/>
          <w:sz w:val="22"/>
        </w:rPr>
        <w:t>供应商应在投标前到采购人处现场考察了解，以满足采购人实际需求。中标供应商须在供货前与采购人确认样式、材质、规格、色彩，须满足采购人要求（包括采购人提出样式材质合理变更的），且必须保证不高于中标价格供货。供应商自行承担报价风险。</w:t>
      </w:r>
    </w:p>
    <w:p>
      <w:pPr>
        <w:snapToGrid w:val="0"/>
        <w:spacing w:line="380" w:lineRule="exact"/>
        <w:ind w:left="659" w:leftChars="156" w:right="-82" w:hanging="331" w:hangingChars="150"/>
        <w:rPr>
          <w:rFonts w:hint="eastAsia" w:ascii="宋体" w:hAnsi="宋体"/>
          <w:b/>
          <w:color w:val="000000"/>
          <w:sz w:val="22"/>
        </w:rPr>
      </w:pPr>
      <w:r>
        <w:rPr>
          <w:rFonts w:hint="eastAsia" w:ascii="宋体" w:hAnsi="宋体"/>
          <w:b/>
          <w:color w:val="000000"/>
          <w:sz w:val="22"/>
        </w:rPr>
        <w:t>二、招标内容及技术要求：</w:t>
      </w:r>
    </w:p>
    <w:p>
      <w:pPr>
        <w:snapToGrid w:val="0"/>
        <w:spacing w:line="380" w:lineRule="exact"/>
        <w:ind w:right="-82"/>
        <w:rPr>
          <w:rFonts w:hint="eastAsia" w:ascii="宋体" w:hAnsi="宋体"/>
          <w:b/>
          <w:color w:val="000000"/>
          <w:sz w:val="22"/>
        </w:rPr>
      </w:pPr>
      <w:r>
        <w:rPr>
          <w:rFonts w:hint="eastAsia" w:ascii="宋体" w:hAnsi="宋体"/>
          <w:b/>
          <w:color w:val="000000"/>
          <w:szCs w:val="21"/>
        </w:rPr>
        <w:t xml:space="preserve">  </w:t>
      </w:r>
      <w:r>
        <w:rPr>
          <w:rFonts w:hint="eastAsia" w:ascii="宋体" w:hAnsi="宋体"/>
          <w:b/>
          <w:color w:val="000000"/>
          <w:sz w:val="22"/>
        </w:rPr>
        <w:t xml:space="preserve"> 本次采购的内容主要包含以下货物交货和运输、技术服务和联络、配合安装调试、试运和验收、售后服务等工作。</w:t>
      </w:r>
    </w:p>
    <w:tbl>
      <w:tblPr>
        <w:tblStyle w:val="4"/>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237"/>
        <w:gridCol w:w="92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noWrap w:val="0"/>
            <w:vAlign w:val="center"/>
          </w:tcPr>
          <w:p>
            <w:pPr>
              <w:jc w:val="center"/>
              <w:rPr>
                <w:rFonts w:ascii="宋体" w:hAnsi="宋体"/>
                <w:sz w:val="22"/>
              </w:rPr>
            </w:pPr>
            <w:r>
              <w:rPr>
                <w:rFonts w:hint="eastAsia" w:ascii="宋体" w:hAnsi="宋体"/>
                <w:sz w:val="22"/>
              </w:rPr>
              <w:t>名称</w:t>
            </w:r>
          </w:p>
        </w:tc>
        <w:tc>
          <w:tcPr>
            <w:tcW w:w="6237" w:type="dxa"/>
            <w:noWrap w:val="0"/>
            <w:vAlign w:val="center"/>
          </w:tcPr>
          <w:p>
            <w:pPr>
              <w:jc w:val="center"/>
              <w:rPr>
                <w:rFonts w:ascii="宋体" w:hAnsi="宋体"/>
                <w:sz w:val="22"/>
              </w:rPr>
            </w:pPr>
            <w:r>
              <w:rPr>
                <w:rFonts w:hint="eastAsia" w:ascii="宋体" w:hAnsi="宋体"/>
                <w:sz w:val="22"/>
              </w:rPr>
              <w:t>技术参数</w:t>
            </w:r>
          </w:p>
        </w:tc>
        <w:tc>
          <w:tcPr>
            <w:tcW w:w="924" w:type="dxa"/>
            <w:noWrap w:val="0"/>
            <w:vAlign w:val="center"/>
          </w:tcPr>
          <w:p>
            <w:pPr>
              <w:jc w:val="center"/>
              <w:rPr>
                <w:rFonts w:ascii="宋体" w:hAnsi="宋体"/>
                <w:sz w:val="22"/>
              </w:rPr>
            </w:pPr>
            <w:r>
              <w:rPr>
                <w:rFonts w:hint="eastAsia" w:ascii="宋体" w:hAnsi="宋体"/>
                <w:sz w:val="22"/>
              </w:rPr>
              <w:t>数量</w:t>
            </w:r>
          </w:p>
        </w:tc>
        <w:tc>
          <w:tcPr>
            <w:tcW w:w="944" w:type="dxa"/>
            <w:noWrap w:val="0"/>
            <w:vAlign w:val="center"/>
          </w:tcPr>
          <w:p>
            <w:pPr>
              <w:widowControl/>
              <w:jc w:val="center"/>
              <w:rPr>
                <w:rFonts w:ascii="宋体" w:hAnsi="宋体"/>
                <w:sz w:val="22"/>
              </w:rPr>
            </w:pPr>
            <w:r>
              <w:rPr>
                <w:rFonts w:hint="eastAsia" w:ascii="宋体" w:hAnsi="宋体"/>
                <w:sz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noWrap w:val="0"/>
            <w:vAlign w:val="center"/>
          </w:tcPr>
          <w:p>
            <w:pPr>
              <w:jc w:val="left"/>
              <w:rPr>
                <w:rFonts w:ascii="宋体" w:hAnsi="宋体"/>
                <w:sz w:val="22"/>
              </w:rPr>
            </w:pPr>
            <w:r>
              <w:rPr>
                <w:rFonts w:hint="eastAsia" w:ascii="宋体" w:hAnsi="宋体"/>
                <w:sz w:val="22"/>
              </w:rPr>
              <w:t>传菜设备</w:t>
            </w:r>
          </w:p>
        </w:tc>
        <w:tc>
          <w:tcPr>
            <w:tcW w:w="6237" w:type="dxa"/>
            <w:noWrap w:val="0"/>
            <w:vAlign w:val="center"/>
          </w:tcPr>
          <w:p>
            <w:pPr>
              <w:autoSpaceDE w:val="0"/>
              <w:autoSpaceDN w:val="0"/>
              <w:adjustRightInd w:val="0"/>
              <w:spacing w:line="460" w:lineRule="exact"/>
              <w:jc w:val="left"/>
              <w:rPr>
                <w:rFonts w:ascii="宋体" w:hAnsi="宋体"/>
                <w:kern w:val="0"/>
                <w:sz w:val="22"/>
                <w:lang w:val="zh-CN"/>
              </w:rPr>
            </w:pPr>
            <w:r>
              <w:rPr>
                <w:rFonts w:hint="eastAsia" w:ascii="宋体" w:hAnsi="宋体"/>
                <w:sz w:val="22"/>
              </w:rPr>
              <w:t>无机房杂物电梯、载重量</w:t>
            </w:r>
            <w:r>
              <w:rPr>
                <w:rFonts w:ascii="宋体" w:hAnsi="宋体"/>
                <w:sz w:val="22"/>
              </w:rPr>
              <w:t xml:space="preserve"> 200KG</w:t>
            </w:r>
            <w:r>
              <w:rPr>
                <w:rFonts w:hint="eastAsia" w:ascii="宋体" w:hAnsi="宋体"/>
                <w:sz w:val="22"/>
              </w:rPr>
              <w:t>、额定速度</w:t>
            </w:r>
            <w:r>
              <w:rPr>
                <w:rFonts w:ascii="宋体" w:hAnsi="宋体"/>
                <w:sz w:val="22"/>
              </w:rPr>
              <w:t>0.4M/S</w:t>
            </w:r>
            <w:r>
              <w:rPr>
                <w:rFonts w:hint="eastAsia" w:ascii="宋体" w:hAnsi="宋体"/>
                <w:sz w:val="22"/>
              </w:rPr>
              <w:t>、轿厢：3</w:t>
            </w:r>
            <w:r>
              <w:rPr>
                <w:rFonts w:ascii="宋体" w:hAnsi="宋体"/>
                <w:sz w:val="22"/>
              </w:rPr>
              <w:t>04</w:t>
            </w:r>
            <w:r>
              <w:rPr>
                <w:rFonts w:hint="eastAsia" w:ascii="宋体" w:hAnsi="宋体"/>
                <w:sz w:val="22"/>
              </w:rPr>
              <w:t>发纹不锈钢、</w:t>
            </w:r>
            <w:r>
              <w:rPr>
                <w:rFonts w:hint="eastAsia" w:ascii="宋体" w:hAnsi="宋体"/>
                <w:sz w:val="22"/>
                <w:lang w:val="zh-CN"/>
              </w:rPr>
              <w:t>厅门、轿厢门：</w:t>
            </w:r>
            <w:r>
              <w:rPr>
                <w:rFonts w:hint="eastAsia" w:ascii="宋体" w:hAnsi="宋体"/>
                <w:sz w:val="22"/>
              </w:rPr>
              <w:t>3</w:t>
            </w:r>
            <w:r>
              <w:rPr>
                <w:rFonts w:ascii="宋体" w:hAnsi="宋体"/>
                <w:sz w:val="22"/>
              </w:rPr>
              <w:t>04</w:t>
            </w:r>
            <w:r>
              <w:rPr>
                <w:rFonts w:hint="eastAsia" w:ascii="宋体" w:hAnsi="宋体"/>
                <w:sz w:val="22"/>
              </w:rPr>
              <w:t>发纹不锈钢、机电一体化门锁：</w:t>
            </w:r>
            <w:r>
              <w:rPr>
                <w:rFonts w:hint="eastAsia" w:ascii="宋体" w:hAnsi="宋体"/>
                <w:kern w:val="0"/>
                <w:sz w:val="22"/>
              </w:rPr>
              <w:t>NJHD-18</w:t>
            </w:r>
            <w:r>
              <w:rPr>
                <w:rFonts w:hint="eastAsia" w:ascii="宋体" w:hAnsi="宋体"/>
                <w:sz w:val="22"/>
              </w:rPr>
              <w:t>、</w:t>
            </w:r>
            <w:r>
              <w:rPr>
                <w:rFonts w:hint="eastAsia" w:ascii="宋体" w:hAnsi="宋体"/>
                <w:sz w:val="22"/>
                <w:lang w:val="zh-CN"/>
              </w:rPr>
              <w:t>曳引机：2</w:t>
            </w:r>
            <w:r>
              <w:rPr>
                <w:rFonts w:ascii="宋体" w:hAnsi="宋体"/>
                <w:sz w:val="22"/>
                <w:lang w:val="zh-CN"/>
              </w:rPr>
              <w:t>00</w:t>
            </w:r>
            <w:r>
              <w:rPr>
                <w:rFonts w:hint="eastAsia" w:ascii="宋体" w:hAnsi="宋体"/>
                <w:sz w:val="22"/>
                <w:lang w:val="zh-CN"/>
              </w:rPr>
              <w:t>kg、电机：</w:t>
            </w:r>
            <w:r>
              <w:rPr>
                <w:rFonts w:hint="eastAsia" w:ascii="宋体" w:hAnsi="宋体"/>
                <w:sz w:val="22"/>
              </w:rPr>
              <w:t>1.5KW、</w:t>
            </w:r>
            <w:r>
              <w:rPr>
                <w:rFonts w:hint="eastAsia" w:ascii="宋体" w:hAnsi="宋体"/>
                <w:sz w:val="22"/>
                <w:lang w:val="zh-CN"/>
              </w:rPr>
              <w:t>控制柜：</w:t>
            </w:r>
            <w:r>
              <w:rPr>
                <w:rFonts w:hint="eastAsia" w:ascii="宋体" w:hAnsi="宋体"/>
                <w:kern w:val="0"/>
                <w:sz w:val="22"/>
              </w:rPr>
              <w:t>450X150X350(长X宽X高)</w:t>
            </w:r>
            <w:r>
              <w:rPr>
                <w:rFonts w:hint="eastAsia" w:ascii="宋体" w:hAnsi="宋体"/>
                <w:sz w:val="22"/>
              </w:rPr>
              <w:t>、厅外召梯盒：数码显示(全不锈钢)、服务楼层</w:t>
            </w:r>
            <w:r>
              <w:rPr>
                <w:rFonts w:ascii="宋体" w:hAnsi="宋体"/>
                <w:sz w:val="22"/>
              </w:rPr>
              <w:t xml:space="preserve"> (1F-6F)</w:t>
            </w:r>
            <w:r>
              <w:rPr>
                <w:rFonts w:hint="eastAsia" w:ascii="宋体" w:hAnsi="宋体"/>
                <w:color w:val="auto"/>
                <w:sz w:val="22"/>
              </w:rPr>
              <w:t>（1</w:t>
            </w:r>
            <w:r>
              <w:rPr>
                <w:rFonts w:ascii="宋体" w:hAnsi="宋体"/>
                <w:color w:val="auto"/>
                <w:sz w:val="22"/>
              </w:rPr>
              <w:t xml:space="preserve">F-5F) </w:t>
            </w:r>
            <w:r>
              <w:rPr>
                <w:rFonts w:hint="eastAsia" w:ascii="宋体" w:hAnsi="宋体"/>
                <w:color w:val="auto"/>
                <w:sz w:val="22"/>
              </w:rPr>
              <w:t>基站、地</w:t>
            </w:r>
            <w:r>
              <w:rPr>
                <w:rFonts w:hint="eastAsia" w:ascii="宋体" w:hAnsi="宋体"/>
                <w:sz w:val="22"/>
              </w:rPr>
              <w:t>上一层、梯门宽度详见施工图、梯门净高根据施工图、</w:t>
            </w:r>
            <w:r>
              <w:rPr>
                <w:rFonts w:ascii="宋体" w:hAnsi="宋体"/>
                <w:sz w:val="22"/>
              </w:rPr>
              <w:t xml:space="preserve"> </w:t>
            </w:r>
            <w:r>
              <w:rPr>
                <w:rFonts w:hint="eastAsia" w:ascii="宋体" w:hAnsi="宋体"/>
                <w:sz w:val="22"/>
              </w:rPr>
              <w:t>装饰预留重量、根据现场</w:t>
            </w:r>
            <w:r>
              <w:rPr>
                <w:rFonts w:ascii="宋体" w:hAnsi="宋体"/>
                <w:sz w:val="22"/>
              </w:rPr>
              <w:t xml:space="preserve"> </w:t>
            </w:r>
            <w:r>
              <w:rPr>
                <w:rFonts w:hint="eastAsia" w:ascii="宋体" w:hAnsi="宋体"/>
                <w:sz w:val="22"/>
              </w:rPr>
              <w:t>轿厢净高根据施工图、</w:t>
            </w:r>
            <w:r>
              <w:rPr>
                <w:rFonts w:ascii="宋体" w:hAnsi="宋体"/>
                <w:sz w:val="22"/>
              </w:rPr>
              <w:t xml:space="preserve"> </w:t>
            </w:r>
            <w:r>
              <w:rPr>
                <w:rFonts w:hint="eastAsia" w:ascii="宋体" w:hAnsi="宋体"/>
                <w:sz w:val="22"/>
              </w:rPr>
              <w:t>轿厢长宽根据根据施工图、</w:t>
            </w:r>
            <w:r>
              <w:rPr>
                <w:rFonts w:ascii="宋体" w:hAnsi="宋体"/>
                <w:sz w:val="22"/>
              </w:rPr>
              <w:t xml:space="preserve"> </w:t>
            </w:r>
            <w:r>
              <w:rPr>
                <w:rFonts w:hint="eastAsia" w:ascii="宋体" w:hAnsi="宋体"/>
                <w:sz w:val="22"/>
              </w:rPr>
              <w:t>层高根据根据施工图、</w:t>
            </w:r>
            <w:r>
              <w:rPr>
                <w:rFonts w:ascii="宋体" w:hAnsi="宋体"/>
                <w:sz w:val="22"/>
              </w:rPr>
              <w:t xml:space="preserve"> </w:t>
            </w:r>
            <w:r>
              <w:rPr>
                <w:rFonts w:hint="eastAsia" w:ascii="宋体" w:hAnsi="宋体"/>
                <w:sz w:val="22"/>
              </w:rPr>
              <w:t>提升高度根据现场</w:t>
            </w:r>
            <w:r>
              <w:rPr>
                <w:rFonts w:ascii="宋体" w:hAnsi="宋体"/>
                <w:sz w:val="22"/>
              </w:rPr>
              <w:t xml:space="preserve"> </w:t>
            </w:r>
            <w:r>
              <w:rPr>
                <w:rFonts w:hint="eastAsia" w:ascii="宋体" w:hAnsi="宋体"/>
                <w:sz w:val="22"/>
              </w:rPr>
              <w:t>井道净尺寸根据施工图、门洞尺寸根据根据施工图、基坑深度根据根据施工图、1、</w:t>
            </w:r>
            <w:r>
              <w:rPr>
                <w:rFonts w:hint="eastAsia" w:ascii="宋体" w:hAnsi="宋体"/>
                <w:kern w:val="0"/>
                <w:sz w:val="22"/>
                <w:lang w:val="zh-CN"/>
              </w:rPr>
              <w:t>集微机控制、模块化系统及先进的自检程序为一体的全电脑控制的电梯；控制技术先进、设计新颖独特、结构紧凑、做工精良；操作简便、安全可靠、噪音低、易于维修保养；占用空间小、无需很强的土建承载能力</w:t>
            </w:r>
            <w:r>
              <w:rPr>
                <w:rFonts w:hint="eastAsia" w:ascii="宋体" w:hAnsi="宋体"/>
                <w:sz w:val="22"/>
                <w:lang w:val="zh-CN"/>
              </w:rPr>
              <w:t>。2、电梯标注功能：</w:t>
            </w:r>
            <w:r>
              <w:rPr>
                <w:rFonts w:hint="eastAsia" w:ascii="宋体" w:hAnsi="宋体"/>
                <w:kern w:val="0"/>
                <w:sz w:val="22"/>
                <w:lang w:val="zh-CN"/>
              </w:rPr>
              <w:t>电锁功能基站呼梯盒配备电锁用于启动和关闭电梯的控制电路。</w:t>
            </w:r>
            <w:r>
              <w:rPr>
                <w:rFonts w:hint="eastAsia" w:ascii="宋体" w:hAnsi="宋体"/>
                <w:sz w:val="22"/>
                <w:lang w:val="zh-CN"/>
              </w:rPr>
              <w:t>3、</w:t>
            </w:r>
            <w:r>
              <w:rPr>
                <w:rFonts w:hint="eastAsia" w:ascii="宋体" w:hAnsi="宋体"/>
                <w:kern w:val="0"/>
                <w:sz w:val="22"/>
                <w:lang w:val="zh-CN"/>
              </w:rPr>
              <w:t>自动平层功能：当因某种原因，诸如停电或操作不当造成轿厢未停靠在任何一层站的平层位置时，用电锁重新开启电梯，本电梯能自动下行至临层站平层，并显示停靠的楼层，以便电梯正常运行。4、电气门联锁功能 ：各层门均有电气门联锁开关，当任何一层厅门打开时，电梯停止运行，保证人员使用安全。5、层门机械锁功能 ：每层厅门均装有机械门锁，当轿厢不在本层站停靠时，层门不能开启。如遇特殊情况，可用本厂随梯配带的专用钥匙开启层门。此钥匙专供电梯管理人员使用。6、开关门提示功能 ：电梯运行到站后，数码显示所在层站，开启层门呼梯盒上的“占用”按钮亮，表示层门开启，按下呼梯盒上的“占用”按钮则蜂鸣提示用后请关好层门，所有层门均关闭好后“占用”按钮灯灭，电梯可正常运行。7、轿厢位置运行方向显示功能 ：每层厅外呼梯盒上均有电梯上下运行方向指示箭头。箭头亮时表示电梯正按箭头所指方向运行，箭头灭时，则电梯已停止运行，轿厢位置由数码显示所在楼层。8、故障显示自诊断功能 ：当电梯出现故障时，厅外数码显示会以代码形式不断闪烁，从而诊断故障及原因。代码的意义在随机文件的使用说明书中有介绍。9、呼梯应答功能 ：按下呼梯按钮，被选楼层按钮指示灯亮，到站后撤消记忆，指示灯灭。1</w:t>
            </w:r>
            <w:r>
              <w:rPr>
                <w:rFonts w:ascii="宋体" w:hAnsi="宋体"/>
                <w:kern w:val="0"/>
                <w:sz w:val="22"/>
                <w:lang w:val="zh-CN"/>
              </w:rPr>
              <w:t>0</w:t>
            </w:r>
            <w:r>
              <w:rPr>
                <w:rFonts w:hint="eastAsia" w:ascii="宋体" w:hAnsi="宋体"/>
                <w:kern w:val="0"/>
                <w:sz w:val="22"/>
                <w:lang w:val="zh-CN"/>
              </w:rPr>
              <w:t>、遇故障自动停机功能 ：当轿厢与对重遇到障碍时，电梯主机运行时间大于全行程正常运行10秒前电梯主机自动停止运行。1</w:t>
            </w:r>
            <w:r>
              <w:rPr>
                <w:rFonts w:ascii="宋体" w:hAnsi="宋体"/>
                <w:kern w:val="0"/>
                <w:sz w:val="22"/>
                <w:lang w:val="zh-CN"/>
              </w:rPr>
              <w:t>1</w:t>
            </w:r>
            <w:r>
              <w:rPr>
                <w:rFonts w:hint="eastAsia" w:ascii="宋体" w:hAnsi="宋体"/>
                <w:kern w:val="0"/>
                <w:sz w:val="22"/>
                <w:lang w:val="zh-CN"/>
              </w:rPr>
              <w:t>、接触器粘连保护功能 ：</w:t>
            </w:r>
          </w:p>
          <w:p>
            <w:pPr>
              <w:autoSpaceDE w:val="0"/>
              <w:autoSpaceDN w:val="0"/>
              <w:adjustRightInd w:val="0"/>
              <w:spacing w:line="460" w:lineRule="exact"/>
              <w:jc w:val="left"/>
              <w:rPr>
                <w:rFonts w:ascii="宋体" w:hAnsi="宋体"/>
                <w:kern w:val="0"/>
                <w:sz w:val="22"/>
                <w:lang w:val="zh-CN"/>
              </w:rPr>
            </w:pPr>
            <w:r>
              <w:rPr>
                <w:rFonts w:hint="eastAsia" w:ascii="宋体" w:hAnsi="宋体"/>
                <w:kern w:val="0"/>
                <w:sz w:val="22"/>
                <w:lang w:val="zh-CN"/>
              </w:rPr>
              <w:t>如接触器线圈失电后接点未能断开时，电梯不能再次启动，以保障安全。1</w:t>
            </w:r>
            <w:r>
              <w:rPr>
                <w:rFonts w:ascii="宋体" w:hAnsi="宋体"/>
                <w:kern w:val="0"/>
                <w:sz w:val="22"/>
                <w:lang w:val="zh-CN"/>
              </w:rPr>
              <w:t>2</w:t>
            </w:r>
            <w:r>
              <w:rPr>
                <w:rFonts w:hint="eastAsia" w:ascii="宋体" w:hAnsi="宋体"/>
                <w:kern w:val="0"/>
                <w:sz w:val="22"/>
                <w:lang w:val="zh-CN"/>
              </w:rPr>
              <w:t>、蜂鸣提示功能 ：具有到站蜂鸣提示功能。1</w:t>
            </w:r>
            <w:r>
              <w:rPr>
                <w:rFonts w:ascii="宋体" w:hAnsi="宋体"/>
                <w:kern w:val="0"/>
                <w:sz w:val="22"/>
                <w:lang w:val="zh-CN"/>
              </w:rPr>
              <w:t>3</w:t>
            </w:r>
            <w:r>
              <w:rPr>
                <w:rFonts w:hint="eastAsia" w:ascii="宋体" w:hAnsi="宋体"/>
                <w:kern w:val="0"/>
                <w:sz w:val="22"/>
                <w:lang w:val="zh-CN"/>
              </w:rPr>
              <w:t>、缺相、错相保护功能 ：控制系统装有断、错相保护继电器可防止由于电源相序的变化或缺相而导致的电梯异常运行。1</w:t>
            </w:r>
            <w:r>
              <w:rPr>
                <w:rFonts w:ascii="宋体" w:hAnsi="宋体"/>
                <w:kern w:val="0"/>
                <w:sz w:val="22"/>
                <w:lang w:val="zh-CN"/>
              </w:rPr>
              <w:t>4</w:t>
            </w:r>
            <w:r>
              <w:rPr>
                <w:rFonts w:hint="eastAsia" w:ascii="宋体" w:hAnsi="宋体"/>
                <w:kern w:val="0"/>
                <w:sz w:val="22"/>
                <w:lang w:val="zh-CN"/>
              </w:rPr>
              <w:t>、电机过载保护功能 ：控制系统装有热过载保护继电器，如果轿厢被卡堵，其它保护措施失灵，导致电机过载时，可自动切断电机电源，保护电动机。1</w:t>
            </w:r>
            <w:r>
              <w:rPr>
                <w:rFonts w:ascii="宋体" w:hAnsi="宋体"/>
                <w:kern w:val="0"/>
                <w:sz w:val="22"/>
                <w:lang w:val="zh-CN"/>
              </w:rPr>
              <w:t>5</w:t>
            </w:r>
            <w:r>
              <w:rPr>
                <w:rFonts w:hint="eastAsia" w:ascii="宋体" w:hAnsi="宋体"/>
                <w:kern w:val="0"/>
                <w:sz w:val="22"/>
                <w:lang w:val="zh-CN"/>
              </w:rPr>
              <w:t>、极限限位保护功能：在井道的最上端和最下端装有极限开关和限位开关，可防止轿厢冲顶或墩底 。1</w:t>
            </w:r>
            <w:r>
              <w:rPr>
                <w:rFonts w:ascii="宋体" w:hAnsi="宋体"/>
                <w:kern w:val="0"/>
                <w:sz w:val="22"/>
                <w:lang w:val="zh-CN"/>
              </w:rPr>
              <w:t>6</w:t>
            </w:r>
            <w:r>
              <w:rPr>
                <w:rFonts w:hint="eastAsia" w:ascii="宋体" w:hAnsi="宋体"/>
                <w:kern w:val="0"/>
                <w:sz w:val="22"/>
                <w:lang w:val="zh-CN"/>
              </w:rPr>
              <w:t>、接触器机械互锁功能 ：接触器机械互锁保护，特别保证上、下行运行可靠。1</w:t>
            </w:r>
            <w:r>
              <w:rPr>
                <w:rFonts w:ascii="宋体" w:hAnsi="宋体"/>
                <w:kern w:val="0"/>
                <w:sz w:val="22"/>
                <w:lang w:val="zh-CN"/>
              </w:rPr>
              <w:t>7</w:t>
            </w:r>
            <w:r>
              <w:rPr>
                <w:rFonts w:hint="eastAsia" w:ascii="宋体" w:hAnsi="宋体"/>
                <w:kern w:val="0"/>
                <w:sz w:val="22"/>
                <w:lang w:val="zh-CN"/>
              </w:rPr>
              <w:t>、故障重新启动功能 ：</w:t>
            </w:r>
          </w:p>
          <w:p>
            <w:pPr>
              <w:widowControl/>
              <w:jc w:val="left"/>
              <w:rPr>
                <w:rFonts w:ascii="宋体" w:hAnsi="宋体"/>
                <w:sz w:val="22"/>
              </w:rPr>
            </w:pPr>
            <w:r>
              <w:rPr>
                <w:rFonts w:hint="eastAsia" w:ascii="宋体" w:hAnsi="宋体"/>
                <w:kern w:val="0"/>
                <w:sz w:val="22"/>
                <w:lang w:val="zh-CN"/>
              </w:rPr>
              <w:t>只有在排除故障后，并且将控制柜内运行/检修开关拨到运行位置，重新送电，电梯才能正常运行，防止误操作，保证安全可靠。1</w:t>
            </w:r>
            <w:r>
              <w:rPr>
                <w:rFonts w:ascii="宋体" w:hAnsi="宋体"/>
                <w:kern w:val="0"/>
                <w:sz w:val="22"/>
                <w:lang w:val="zh-CN"/>
              </w:rPr>
              <w:t>8</w:t>
            </w:r>
            <w:r>
              <w:rPr>
                <w:rFonts w:hint="eastAsia" w:ascii="宋体" w:hAnsi="宋体"/>
                <w:kern w:val="0"/>
                <w:sz w:val="22"/>
                <w:lang w:val="zh-CN"/>
              </w:rPr>
              <w:t>、厅门止动装置 ：在厅门上装有可防止电梯在正常运行中由于厅门的非正常开启而导致电梯非正常停止运行的装置，使电梯运行更加安全可靠。</w:t>
            </w:r>
          </w:p>
        </w:tc>
        <w:tc>
          <w:tcPr>
            <w:tcW w:w="924" w:type="dxa"/>
            <w:noWrap w:val="0"/>
            <w:vAlign w:val="center"/>
          </w:tcPr>
          <w:p>
            <w:pPr>
              <w:jc w:val="left"/>
              <w:rPr>
                <w:rFonts w:ascii="宋体" w:hAnsi="宋体"/>
                <w:sz w:val="22"/>
              </w:rPr>
            </w:pPr>
            <w:r>
              <w:rPr>
                <w:rFonts w:ascii="宋体" w:hAnsi="宋体"/>
                <w:sz w:val="22"/>
              </w:rPr>
              <w:t>2</w:t>
            </w:r>
          </w:p>
        </w:tc>
        <w:tc>
          <w:tcPr>
            <w:tcW w:w="944" w:type="dxa"/>
            <w:noWrap w:val="0"/>
            <w:vAlign w:val="center"/>
          </w:tcPr>
          <w:p>
            <w:pPr>
              <w:widowControl/>
              <w:jc w:val="left"/>
              <w:rPr>
                <w:rFonts w:ascii="宋体" w:hAnsi="宋体"/>
                <w:sz w:val="22"/>
              </w:rPr>
            </w:pPr>
            <w:r>
              <w:rPr>
                <w:rFonts w:hint="eastAsia" w:ascii="宋体" w:hAnsi="宋体"/>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noWrap w:val="0"/>
            <w:vAlign w:val="center"/>
          </w:tcPr>
          <w:p>
            <w:pPr>
              <w:jc w:val="center"/>
              <w:rPr>
                <w:rFonts w:ascii="宋体" w:hAnsi="宋体"/>
                <w:sz w:val="22"/>
              </w:rPr>
            </w:pPr>
            <w:r>
              <w:rPr>
                <w:rFonts w:hint="eastAsia" w:ascii="宋体" w:hAnsi="宋体"/>
                <w:sz w:val="22"/>
              </w:rPr>
              <w:t>钢结构及装饰</w:t>
            </w:r>
          </w:p>
        </w:tc>
        <w:tc>
          <w:tcPr>
            <w:tcW w:w="6237" w:type="dxa"/>
            <w:noWrap w:val="0"/>
            <w:vAlign w:val="center"/>
          </w:tcPr>
          <w:p>
            <w:pPr>
              <w:jc w:val="left"/>
              <w:rPr>
                <w:rFonts w:ascii="宋体" w:hAnsi="宋体"/>
                <w:sz w:val="22"/>
              </w:rPr>
            </w:pPr>
            <w:r>
              <w:rPr>
                <w:rFonts w:hint="eastAsia" w:ascii="宋体" w:hAnsi="宋体"/>
                <w:color w:val="000000"/>
                <w:kern w:val="0"/>
                <w:sz w:val="22"/>
              </w:rPr>
              <w:t>主体钢结构、电梯主机25＃承重槽钢、化学螺栓及埋板安装、立柱与立柱连接、钢架金属防锈漆面漆、顶部盖顶及防水、6+6夹胶钢化玻璃、驳接系统（250系列）、纯铝板、3</w:t>
            </w:r>
            <w:r>
              <w:rPr>
                <w:rFonts w:ascii="宋体" w:hAnsi="宋体"/>
                <w:color w:val="000000"/>
                <w:kern w:val="0"/>
                <w:sz w:val="22"/>
              </w:rPr>
              <w:t>04</w:t>
            </w:r>
            <w:r>
              <w:rPr>
                <w:rFonts w:hint="eastAsia" w:ascii="宋体" w:hAnsi="宋体"/>
                <w:color w:val="000000"/>
                <w:kern w:val="0"/>
                <w:sz w:val="22"/>
              </w:rPr>
              <w:t>不锈钢铝板支撑龙骨、井道土方、基坑垫层、外架模板、基坑壁、防水、整体施工详见施工图</w:t>
            </w:r>
          </w:p>
        </w:tc>
        <w:tc>
          <w:tcPr>
            <w:tcW w:w="924" w:type="dxa"/>
            <w:noWrap w:val="0"/>
            <w:vAlign w:val="center"/>
          </w:tcPr>
          <w:p>
            <w:pPr>
              <w:jc w:val="center"/>
              <w:rPr>
                <w:rFonts w:ascii="宋体" w:hAnsi="宋体"/>
                <w:sz w:val="22"/>
              </w:rPr>
            </w:pPr>
            <w:r>
              <w:rPr>
                <w:rFonts w:hint="eastAsia" w:ascii="宋体" w:hAnsi="宋体"/>
                <w:sz w:val="22"/>
              </w:rPr>
              <w:t>2</w:t>
            </w:r>
          </w:p>
        </w:tc>
        <w:tc>
          <w:tcPr>
            <w:tcW w:w="944" w:type="dxa"/>
            <w:noWrap w:val="0"/>
            <w:vAlign w:val="center"/>
          </w:tcPr>
          <w:p>
            <w:pPr>
              <w:widowControl/>
              <w:jc w:val="center"/>
              <w:rPr>
                <w:rFonts w:ascii="宋体" w:hAnsi="宋体"/>
                <w:sz w:val="22"/>
              </w:rPr>
            </w:pPr>
            <w:r>
              <w:rPr>
                <w:rFonts w:hint="eastAsia" w:ascii="宋体" w:hAnsi="宋体"/>
                <w:sz w:val="22"/>
              </w:rPr>
              <w:t>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 w:hRule="atLeast"/>
          <w:jc w:val="center"/>
        </w:trPr>
        <w:tc>
          <w:tcPr>
            <w:tcW w:w="9234" w:type="dxa"/>
            <w:gridSpan w:val="4"/>
            <w:tcBorders>
              <w:left w:val="single" w:color="auto" w:sz="4" w:space="0"/>
              <w:bottom w:val="single" w:color="auto" w:sz="4" w:space="0"/>
              <w:right w:val="single" w:color="auto" w:sz="4" w:space="0"/>
            </w:tcBorders>
            <w:noWrap w:val="0"/>
            <w:vAlign w:val="center"/>
          </w:tcPr>
          <w:p>
            <w:pPr>
              <w:rPr>
                <w:rFonts w:ascii="宋体" w:hAnsi="宋体"/>
                <w:sz w:val="22"/>
              </w:rPr>
            </w:pPr>
            <w:r>
              <w:rPr>
                <w:rFonts w:ascii="宋体" w:hAnsi="宋体" w:cs="Arial"/>
                <w:color w:val="333333"/>
                <w:sz w:val="22"/>
                <w:shd w:val="clear" w:color="auto" w:fill="FFFFFF"/>
              </w:rPr>
              <w:t>▲1</w:t>
            </w:r>
            <w:r>
              <w:rPr>
                <w:rFonts w:hint="eastAsia" w:ascii="宋体" w:hAnsi="宋体" w:cs="Arial"/>
                <w:color w:val="333333"/>
                <w:sz w:val="22"/>
                <w:shd w:val="clear" w:color="auto" w:fill="FFFFFF"/>
              </w:rPr>
              <w:t>、</w:t>
            </w:r>
            <w:r>
              <w:rPr>
                <w:rFonts w:ascii="宋体" w:hAnsi="宋体"/>
                <w:color w:val="000000"/>
                <w:kern w:val="0"/>
                <w:sz w:val="22"/>
              </w:rPr>
              <w:t>标三角为招标的实质性要求和条件，投标人必须满足相关参数，不满足做废标处理</w:t>
            </w:r>
            <w:r>
              <w:rPr>
                <w:rFonts w:hint="eastAsia" w:ascii="宋体" w:hAnsi="宋体"/>
                <w:color w:val="000000"/>
                <w:kern w:val="0"/>
                <w:sz w:val="22"/>
              </w:rPr>
              <w:t>。</w:t>
            </w:r>
            <w:r>
              <w:rPr>
                <w:rFonts w:hint="eastAsia" w:ascii="宋体" w:hAnsi="宋体"/>
                <w:sz w:val="22"/>
              </w:rPr>
              <w:t>本次采购为交钥匙工程报价必须包括设备费、材料费、安装调试费、税金、运输（含卸货）及运输保险费、水电费、土建修补费用、质保期内维修保护费、特殊工具费、售后服务费、培训费、验收费、等各项全部费用。保养期内定期派人对电梯进行巡检，例保，做好原始记录。电梯从安装合格之日起，一年内实行免费维修、保养。</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jc w:val="center"/>
        </w:trPr>
        <w:tc>
          <w:tcPr>
            <w:tcW w:w="9234" w:type="dxa"/>
            <w:gridSpan w:val="4"/>
            <w:tcBorders>
              <w:top w:val="single" w:color="auto" w:sz="4" w:space="0"/>
            </w:tcBorders>
            <w:noWrap w:val="0"/>
            <w:vAlign w:val="center"/>
          </w:tcPr>
          <w:p>
            <w:pPr>
              <w:jc w:val="center"/>
              <w:rPr>
                <w:rFonts w:ascii="宋体" w:hAnsi="宋体"/>
                <w:sz w:val="22"/>
                <w:highlight w:val="none"/>
              </w:rPr>
            </w:pPr>
          </w:p>
        </w:tc>
      </w:tr>
    </w:tbl>
    <w:p>
      <w:pPr>
        <w:snapToGrid w:val="0"/>
        <w:spacing w:line="380" w:lineRule="exact"/>
        <w:ind w:right="-82"/>
        <w:rPr>
          <w:rFonts w:hint="eastAsia" w:ascii="宋体" w:hAnsi="宋体" w:cs="仿宋"/>
          <w:b/>
          <w:color w:val="000000"/>
          <w:kern w:val="1"/>
          <w:sz w:val="22"/>
          <w:highlight w:val="none"/>
        </w:rPr>
      </w:pPr>
      <w:r>
        <w:rPr>
          <w:rFonts w:hint="eastAsia" w:ascii="宋体" w:hAnsi="宋体" w:cs="仿宋"/>
          <w:b/>
          <w:color w:val="000000"/>
          <w:kern w:val="1"/>
          <w:sz w:val="22"/>
          <w:highlight w:val="none"/>
        </w:rPr>
        <w:t>三、其他要求：</w:t>
      </w:r>
    </w:p>
    <w:p>
      <w:pPr>
        <w:tabs>
          <w:tab w:val="left" w:pos="540"/>
          <w:tab w:val="left" w:pos="992"/>
        </w:tabs>
        <w:spacing w:line="440" w:lineRule="exact"/>
        <w:rPr>
          <w:rFonts w:hint="eastAsia" w:ascii="宋体" w:hAnsi="宋体"/>
          <w:bCs/>
          <w:color w:val="000000"/>
          <w:sz w:val="22"/>
          <w:highlight w:val="none"/>
          <w:u w:val="single"/>
        </w:rPr>
      </w:pPr>
      <w:r>
        <w:rPr>
          <w:rFonts w:hint="eastAsia" w:ascii="宋体" w:hAnsi="宋体" w:cs="仿宋"/>
          <w:color w:val="000000"/>
          <w:kern w:val="1"/>
          <w:sz w:val="22"/>
          <w:highlight w:val="none"/>
        </w:rPr>
        <w:t>1.</w:t>
      </w:r>
      <w:r>
        <w:rPr>
          <w:rFonts w:ascii="宋体" w:hAnsi="宋体" w:cs="仿宋"/>
          <w:color w:val="000000"/>
          <w:kern w:val="1"/>
          <w:sz w:val="22"/>
          <w:highlight w:val="none"/>
        </w:rPr>
        <w:t xml:space="preserve"> </w:t>
      </w:r>
      <w:r>
        <w:rPr>
          <w:rFonts w:hint="eastAsia" w:ascii="宋体" w:hAnsi="宋体"/>
          <w:bCs/>
          <w:color w:val="000000"/>
          <w:sz w:val="22"/>
          <w:highlight w:val="none"/>
        </w:rPr>
        <w:t>▲</w:t>
      </w:r>
      <w:r>
        <w:rPr>
          <w:rFonts w:hint="eastAsia" w:ascii="宋体" w:hAnsi="宋体"/>
          <w:bCs/>
          <w:color w:val="000000"/>
          <w:sz w:val="22"/>
          <w:highlight w:val="none"/>
          <w:u w:val="single"/>
        </w:rPr>
        <w:t>本合同项下货物质量保证期为自货物通过最终验收，向买方移交之日起2年（若货物实际质保期超过2年的以实际质保期为准），在保修期内所产生的相关费用由卖方承担，合同内的所有产品要求卖方提供上门服务（招标文件另有规定除外）。</w:t>
      </w:r>
    </w:p>
    <w:p>
      <w:pPr>
        <w:widowControl/>
        <w:spacing w:line="360" w:lineRule="auto"/>
        <w:rPr>
          <w:rFonts w:ascii="宋体" w:hAnsi="宋体"/>
          <w:color w:val="000000"/>
          <w:sz w:val="22"/>
          <w:highlight w:val="none"/>
          <w:u w:val="single"/>
        </w:rPr>
      </w:pPr>
      <w:r>
        <w:rPr>
          <w:rFonts w:hint="eastAsia" w:ascii="宋体" w:hAnsi="宋体"/>
          <w:color w:val="000000"/>
          <w:sz w:val="22"/>
          <w:highlight w:val="none"/>
        </w:rPr>
        <w:t>2. ▲</w:t>
      </w:r>
      <w:r>
        <w:rPr>
          <w:rFonts w:hint="eastAsia" w:ascii="宋体" w:hAnsi="宋体"/>
          <w:color w:val="000000"/>
          <w:sz w:val="22"/>
          <w:highlight w:val="none"/>
          <w:u w:val="single"/>
        </w:rPr>
        <w:t>交货时间：合同签订后</w:t>
      </w:r>
      <w:r>
        <w:rPr>
          <w:rFonts w:ascii="宋体" w:hAnsi="宋体"/>
          <w:color w:val="FF0000"/>
          <w:sz w:val="22"/>
          <w:highlight w:val="none"/>
          <w:u w:val="single"/>
        </w:rPr>
        <w:t>60</w:t>
      </w:r>
      <w:r>
        <w:rPr>
          <w:rFonts w:hint="eastAsia" w:ascii="宋体" w:hAnsi="宋体"/>
          <w:color w:val="000000"/>
          <w:sz w:val="22"/>
          <w:highlight w:val="none"/>
          <w:u w:val="single"/>
        </w:rPr>
        <w:t>日历天内交货并通过采购人验收。</w:t>
      </w:r>
    </w:p>
    <w:p>
      <w:pPr>
        <w:widowControl/>
        <w:spacing w:line="360" w:lineRule="auto"/>
        <w:rPr>
          <w:rFonts w:hint="eastAsia" w:ascii="宋体" w:hAnsi="宋体"/>
          <w:color w:val="000000"/>
          <w:sz w:val="22"/>
          <w:u w:val="single"/>
          <w:lang w:val="zh-CN"/>
        </w:rPr>
      </w:pPr>
      <w:r>
        <w:rPr>
          <w:rFonts w:ascii="宋体" w:hAnsi="宋体"/>
          <w:color w:val="000000"/>
          <w:sz w:val="22"/>
        </w:rPr>
        <w:t>3</w:t>
      </w:r>
      <w:r>
        <w:rPr>
          <w:rFonts w:hint="eastAsia" w:ascii="宋体" w:hAnsi="宋体"/>
          <w:color w:val="000000"/>
          <w:sz w:val="22"/>
        </w:rPr>
        <w:t>.</w:t>
      </w:r>
      <w:r>
        <w:rPr>
          <w:rFonts w:hint="eastAsia" w:ascii="宋体" w:hAnsi="宋体"/>
          <w:color w:val="000000"/>
          <w:sz w:val="22"/>
          <w:lang w:val="zh-CN"/>
        </w:rPr>
        <w:t xml:space="preserve"> </w:t>
      </w:r>
      <w:r>
        <w:rPr>
          <w:rFonts w:hint="eastAsia" w:ascii="宋体" w:hAnsi="宋体"/>
          <w:color w:val="000000"/>
          <w:sz w:val="22"/>
        </w:rPr>
        <w:t>▲</w:t>
      </w:r>
      <w:r>
        <w:rPr>
          <w:rFonts w:hint="eastAsia" w:ascii="宋体" w:hAnsi="宋体"/>
          <w:color w:val="000000"/>
          <w:sz w:val="22"/>
          <w:u w:val="single"/>
          <w:lang w:val="zh-CN"/>
        </w:rPr>
        <w:t>采购人有权根据实际情况局部细微修改技术参数，投标价格不予调整。合同签订时中标人须和采购人再次确认技术参数。</w:t>
      </w:r>
    </w:p>
    <w:p>
      <w:pPr>
        <w:widowControl/>
        <w:spacing w:line="360" w:lineRule="auto"/>
        <w:rPr>
          <w:rFonts w:ascii="宋体" w:hAnsi="宋体"/>
          <w:color w:val="000000"/>
          <w:sz w:val="22"/>
          <w:u w:val="single"/>
        </w:rPr>
      </w:pPr>
      <w:r>
        <w:rPr>
          <w:rFonts w:hint="eastAsia" w:ascii="宋体" w:hAnsi="宋体"/>
          <w:color w:val="000000"/>
          <w:sz w:val="22"/>
          <w:lang w:val="zh-CN"/>
        </w:rPr>
        <w:t>4.</w:t>
      </w:r>
      <w:r>
        <w:rPr>
          <w:rFonts w:hint="eastAsia" w:ascii="宋体" w:hAnsi="宋体"/>
          <w:color w:val="000000"/>
          <w:sz w:val="22"/>
          <w:u w:val="single"/>
        </w:rPr>
        <w:t xml:space="preserve"> 合同签订后，5个工作日内中标供应商须提供一份电子文件给招标代理公司。</w:t>
      </w:r>
    </w:p>
    <w:p>
      <w:pPr>
        <w:widowControl/>
        <w:spacing w:line="360" w:lineRule="auto"/>
        <w:rPr>
          <w:rFonts w:ascii="宋体" w:hAnsi="宋体"/>
          <w:color w:val="000000"/>
          <w:sz w:val="22"/>
          <w:u w:val="single"/>
        </w:rPr>
      </w:pPr>
      <w:r>
        <w:rPr>
          <w:rFonts w:hint="eastAsia" w:ascii="宋体" w:hAnsi="宋体"/>
          <w:color w:val="000000"/>
          <w:sz w:val="22"/>
        </w:rPr>
        <w:t>5</w:t>
      </w:r>
      <w:r>
        <w:rPr>
          <w:rFonts w:ascii="宋体" w:hAnsi="宋体"/>
          <w:color w:val="000000"/>
          <w:sz w:val="22"/>
        </w:rPr>
        <w:t>.</w:t>
      </w:r>
      <w:r>
        <w:rPr>
          <w:rFonts w:hint="eastAsia" w:ascii="宋体" w:hAnsi="宋体"/>
          <w:color w:val="000000"/>
          <w:sz w:val="22"/>
          <w:u w:val="single"/>
        </w:rPr>
        <w:t>供应商需自主勘察现场，各供应商应根据现场情况，充分考虑施工的实际工程量，供应商投标报价应包含所有费用（包括但不限于有安装、调试及所需要的配件、材料等。），采购人不再增加其他任何费用。</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1D3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libri Light" w:hAnsi="Calibri Light" w:cs="Calibri Light"/>
      <w:b/>
      <w:bCs/>
      <w:sz w:val="30"/>
      <w:szCs w:val="30"/>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cs="Arial"/>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86150</dc:creator>
  <cp:lastModifiedBy>86150</cp:lastModifiedBy>
  <dcterms:modified xsi:type="dcterms:W3CDTF">2019-07-22T09:15:40Z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