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44"/>
        </w:rPr>
      </w:pPr>
    </w:p>
    <w:p>
      <w:pPr>
        <w:spacing w:beforeLines="50" w:line="360" w:lineRule="auto"/>
        <w:jc w:val="center"/>
        <w:rPr>
          <w:b/>
          <w:sz w:val="56"/>
          <w:szCs w:val="56"/>
        </w:rPr>
      </w:pPr>
      <w:bookmarkStart w:id="0" w:name="_Toc1264"/>
      <w:r>
        <w:rPr>
          <w:rFonts w:hint="eastAsia"/>
          <w:b/>
          <w:sz w:val="56"/>
          <w:szCs w:val="56"/>
        </w:rPr>
        <w:t>瑞安市妇幼保健院</w:t>
      </w:r>
      <w:r>
        <w:rPr>
          <w:b/>
          <w:sz w:val="56"/>
          <w:szCs w:val="56"/>
        </w:rPr>
        <w:t>血透</w:t>
      </w:r>
      <w:r>
        <w:rPr>
          <w:rFonts w:hint="eastAsia"/>
          <w:b/>
          <w:sz w:val="56"/>
          <w:szCs w:val="56"/>
        </w:rPr>
        <w:t>分析系统及</w:t>
      </w:r>
      <w:bookmarkEnd w:id="0"/>
    </w:p>
    <w:p>
      <w:pPr>
        <w:spacing w:beforeLines="50" w:line="360" w:lineRule="auto"/>
        <w:jc w:val="center"/>
        <w:rPr>
          <w:b/>
          <w:sz w:val="72"/>
          <w:szCs w:val="72"/>
        </w:rPr>
      </w:pPr>
      <w:bookmarkStart w:id="1" w:name="_Toc29530"/>
      <w:r>
        <w:rPr>
          <w:rFonts w:hint="eastAsia"/>
          <w:b/>
          <w:sz w:val="56"/>
          <w:szCs w:val="56"/>
        </w:rPr>
        <w:t>设备采购项目</w:t>
      </w:r>
      <w:bookmarkEnd w:id="1"/>
      <w:r>
        <w:rPr>
          <w:rFonts w:hint="eastAsia"/>
          <w:b/>
          <w:sz w:val="56"/>
          <w:szCs w:val="56"/>
        </w:rPr>
        <w:t>（重）</w:t>
      </w:r>
    </w:p>
    <w:p>
      <w:pPr>
        <w:spacing w:beforeLines="50" w:line="360" w:lineRule="auto"/>
        <w:jc w:val="center"/>
        <w:rPr>
          <w:b/>
          <w:szCs w:val="21"/>
        </w:rPr>
      </w:pPr>
    </w:p>
    <w:p>
      <w:pPr>
        <w:spacing w:beforeLines="50" w:line="360" w:lineRule="auto"/>
        <w:jc w:val="center"/>
        <w:rPr>
          <w:b/>
          <w:szCs w:val="21"/>
        </w:rPr>
      </w:pPr>
    </w:p>
    <w:p>
      <w:pPr>
        <w:spacing w:beforeLines="50" w:line="360" w:lineRule="auto"/>
        <w:jc w:val="center"/>
        <w:rPr>
          <w:sz w:val="72"/>
          <w:szCs w:val="72"/>
        </w:rPr>
      </w:pPr>
      <w:bookmarkStart w:id="2" w:name="_Toc8103"/>
      <w:r>
        <w:rPr>
          <w:sz w:val="72"/>
          <w:szCs w:val="72"/>
        </w:rPr>
        <w:t>公开招标采购文件</w:t>
      </w:r>
      <w:bookmarkEnd w:id="2"/>
    </w:p>
    <w:p>
      <w:pPr>
        <w:pStyle w:val="10"/>
        <w:snapToGrid w:val="0"/>
        <w:spacing w:before="120" w:after="120" w:line="360" w:lineRule="auto"/>
        <w:ind w:firstLine="1343" w:firstLineChars="446"/>
        <w:rPr>
          <w:rFonts w:ascii="Times New Roman" w:hAnsi="Times New Roman"/>
          <w:b/>
          <w:bCs/>
          <w:sz w:val="30"/>
          <w:szCs w:val="30"/>
        </w:rPr>
      </w:pPr>
    </w:p>
    <w:p>
      <w:pPr>
        <w:pStyle w:val="10"/>
        <w:snapToGrid w:val="0"/>
        <w:spacing w:before="120" w:after="120" w:line="360" w:lineRule="auto"/>
        <w:ind w:firstLine="1343" w:firstLineChars="446"/>
        <w:rPr>
          <w:rFonts w:ascii="Times New Roman" w:hAnsi="Times New Roman"/>
          <w:b/>
          <w:bCs/>
          <w:sz w:val="30"/>
          <w:szCs w:val="30"/>
        </w:rPr>
      </w:pPr>
    </w:p>
    <w:p>
      <w:pPr>
        <w:pStyle w:val="10"/>
        <w:snapToGrid w:val="0"/>
        <w:spacing w:before="120" w:after="120" w:line="360" w:lineRule="auto"/>
        <w:rPr>
          <w:rFonts w:ascii="Times New Roman" w:hAnsi="Times New Roman"/>
          <w:b/>
          <w:bCs/>
          <w:sz w:val="32"/>
          <w:szCs w:val="32"/>
        </w:rPr>
      </w:pPr>
      <w:bookmarkStart w:id="3" w:name="_Toc22928"/>
      <w:r>
        <w:rPr>
          <w:rFonts w:ascii="Times New Roman" w:hAnsi="Times New Roman"/>
          <w:b/>
          <w:bCs/>
          <w:sz w:val="32"/>
          <w:szCs w:val="32"/>
        </w:rPr>
        <w:t>项目编号：</w:t>
      </w:r>
      <w:r>
        <w:rPr>
          <w:rFonts w:hint="eastAsia" w:ascii="Times New Roman" w:hAnsi="Times New Roman"/>
          <w:b/>
          <w:bCs/>
          <w:sz w:val="32"/>
          <w:szCs w:val="32"/>
        </w:rPr>
        <w:t>zjzs202208020</w:t>
      </w:r>
      <w:bookmarkEnd w:id="3"/>
      <w:r>
        <w:rPr>
          <w:rFonts w:hint="eastAsia" w:ascii="Times New Roman" w:hAnsi="Times New Roman"/>
          <w:b/>
          <w:bCs/>
          <w:sz w:val="32"/>
          <w:szCs w:val="32"/>
        </w:rPr>
        <w:t>-</w:t>
      </w:r>
    </w:p>
    <w:p>
      <w:pPr>
        <w:pStyle w:val="10"/>
        <w:snapToGrid w:val="0"/>
        <w:spacing w:before="120" w:after="120" w:line="360" w:lineRule="auto"/>
        <w:rPr>
          <w:rFonts w:ascii="Times New Roman" w:hAnsi="Times New Roman"/>
          <w:b/>
          <w:bCs/>
          <w:sz w:val="32"/>
          <w:szCs w:val="32"/>
        </w:rPr>
      </w:pPr>
      <w:r>
        <w:rPr>
          <w:rFonts w:ascii="Times New Roman" w:hAnsi="Times New Roman"/>
          <w:b/>
          <w:bCs/>
          <w:sz w:val="32"/>
          <w:szCs w:val="32"/>
        </w:rPr>
        <w:t>项目名称：</w:t>
      </w:r>
      <w:r>
        <w:rPr>
          <w:rFonts w:hint="eastAsia" w:ascii="Times New Roman" w:hAnsi="Times New Roman"/>
          <w:b/>
          <w:bCs/>
          <w:sz w:val="32"/>
          <w:szCs w:val="32"/>
        </w:rPr>
        <w:t>瑞安市妇幼保健院血透分析系统及设备采购项目（重）</w:t>
      </w:r>
    </w:p>
    <w:p>
      <w:pPr>
        <w:pStyle w:val="10"/>
        <w:snapToGrid w:val="0"/>
        <w:spacing w:before="120" w:after="120" w:line="360" w:lineRule="auto"/>
        <w:rPr>
          <w:rFonts w:ascii="Times New Roman" w:hAnsi="Times New Roman"/>
          <w:b/>
          <w:sz w:val="32"/>
          <w:szCs w:val="32"/>
        </w:rPr>
      </w:pPr>
    </w:p>
    <w:p>
      <w:pPr>
        <w:pStyle w:val="10"/>
        <w:snapToGrid w:val="0"/>
        <w:spacing w:before="120" w:after="120" w:line="360" w:lineRule="auto"/>
        <w:rPr>
          <w:rFonts w:ascii="Times New Roman" w:hAnsi="Times New Roman"/>
          <w:b/>
          <w:sz w:val="32"/>
          <w:szCs w:val="32"/>
        </w:rPr>
      </w:pPr>
    </w:p>
    <w:p>
      <w:pPr>
        <w:pStyle w:val="10"/>
        <w:snapToGrid w:val="0"/>
        <w:spacing w:before="120" w:after="120" w:line="360" w:lineRule="auto"/>
        <w:rPr>
          <w:rFonts w:ascii="Times New Roman" w:hAnsi="Times New Roman"/>
          <w:b/>
          <w:sz w:val="32"/>
          <w:szCs w:val="32"/>
        </w:rPr>
      </w:pPr>
    </w:p>
    <w:p>
      <w:pPr>
        <w:pStyle w:val="10"/>
        <w:snapToGrid w:val="0"/>
        <w:spacing w:before="120" w:after="120" w:line="360" w:lineRule="auto"/>
        <w:rPr>
          <w:rFonts w:ascii="Times New Roman" w:hAnsi="Times New Roman"/>
          <w:b/>
          <w:bCs/>
          <w:w w:val="95"/>
          <w:sz w:val="32"/>
          <w:szCs w:val="32"/>
        </w:rPr>
      </w:pPr>
    </w:p>
    <w:p>
      <w:pPr>
        <w:pStyle w:val="10"/>
        <w:snapToGrid w:val="0"/>
        <w:spacing w:before="120" w:after="120" w:line="360" w:lineRule="auto"/>
        <w:jc w:val="center"/>
        <w:rPr>
          <w:rFonts w:ascii="Times New Roman" w:hAnsi="Times New Roman"/>
          <w:b/>
          <w:bCs/>
          <w:w w:val="95"/>
          <w:sz w:val="32"/>
          <w:szCs w:val="32"/>
        </w:rPr>
      </w:pPr>
      <w:r>
        <w:rPr>
          <w:rFonts w:hint="eastAsia" w:ascii="Times New Roman" w:hAnsi="Times New Roman"/>
          <w:b/>
          <w:bCs/>
          <w:sz w:val="32"/>
          <w:szCs w:val="32"/>
        </w:rPr>
        <w:t>瑞安市妇幼保健院</w:t>
      </w:r>
    </w:p>
    <w:p>
      <w:pPr>
        <w:pStyle w:val="10"/>
        <w:snapToGrid w:val="0"/>
        <w:spacing w:before="120" w:after="120" w:line="360" w:lineRule="auto"/>
        <w:jc w:val="center"/>
        <w:rPr>
          <w:rFonts w:ascii="Times New Roman" w:hAnsi="Times New Roman"/>
          <w:b/>
          <w:bCs/>
          <w:w w:val="95"/>
          <w:sz w:val="32"/>
          <w:szCs w:val="32"/>
        </w:rPr>
      </w:pPr>
      <w:bookmarkStart w:id="4" w:name="_Toc16150"/>
      <w:r>
        <w:rPr>
          <w:rFonts w:hint="eastAsia" w:ascii="Times New Roman" w:hAnsi="Times New Roman"/>
          <w:b/>
          <w:bCs/>
          <w:sz w:val="32"/>
          <w:szCs w:val="32"/>
        </w:rPr>
        <w:t>浙江信诚项目管理有限公司</w:t>
      </w:r>
      <w:bookmarkEnd w:id="4"/>
    </w:p>
    <w:p>
      <w:pPr>
        <w:snapToGrid w:val="0"/>
        <w:spacing w:beforeLines="50" w:line="360" w:lineRule="auto"/>
        <w:jc w:val="center"/>
        <w:rPr>
          <w:b/>
          <w:bCs/>
          <w:w w:val="95"/>
          <w:sz w:val="32"/>
          <w:szCs w:val="32"/>
        </w:rPr>
      </w:pPr>
    </w:p>
    <w:p>
      <w:pPr>
        <w:snapToGrid w:val="0"/>
        <w:spacing w:beforeLines="50" w:line="360" w:lineRule="auto"/>
        <w:jc w:val="center"/>
        <w:rPr>
          <w:b/>
          <w:bCs/>
          <w:w w:val="95"/>
          <w:sz w:val="30"/>
          <w:szCs w:val="30"/>
        </w:rPr>
        <w:sectPr>
          <w:headerReference r:id="rId3" w:type="default"/>
          <w:footerReference r:id="rId4" w:type="default"/>
          <w:footerReference r:id="rId5" w:type="even"/>
          <w:pgSz w:w="11906" w:h="16838"/>
          <w:pgMar w:top="1418" w:right="1418" w:bottom="1418" w:left="1418" w:header="851" w:footer="851" w:gutter="0"/>
          <w:cols w:space="720" w:num="1"/>
          <w:docGrid w:linePitch="312" w:charSpace="0"/>
        </w:sectPr>
      </w:pPr>
      <w:r>
        <w:rPr>
          <w:b/>
          <w:bCs/>
          <w:w w:val="95"/>
          <w:sz w:val="32"/>
          <w:szCs w:val="32"/>
        </w:rPr>
        <w:t>2022年</w:t>
      </w:r>
      <w:r>
        <w:rPr>
          <w:rFonts w:hint="eastAsia"/>
          <w:b/>
          <w:bCs/>
          <w:w w:val="95"/>
          <w:sz w:val="32"/>
          <w:szCs w:val="32"/>
        </w:rPr>
        <w:t>11</w:t>
      </w:r>
      <w:r>
        <w:rPr>
          <w:b/>
          <w:bCs/>
          <w:w w:val="95"/>
          <w:sz w:val="32"/>
          <w:szCs w:val="32"/>
        </w:rPr>
        <w:t>月</w:t>
      </w:r>
    </w:p>
    <w:p>
      <w:pPr>
        <w:rPr>
          <w:b/>
          <w:bCs/>
        </w:rPr>
      </w:pPr>
    </w:p>
    <w:sdt>
      <w:sdtPr>
        <w:rPr>
          <w:rFonts w:ascii="宋体" w:hAnsi="宋体"/>
        </w:rPr>
        <w:id w:val="147482647"/>
      </w:sdtPr>
      <w:sdtEndPr>
        <w:rPr>
          <w:rFonts w:ascii="宋体" w:hAnsi="宋体"/>
        </w:rPr>
      </w:sdtEndPr>
      <w:sdtContent>
        <w:p>
          <w:pPr>
            <w:jc w:val="center"/>
            <w:rPr>
              <w:sz w:val="40"/>
              <w:szCs w:val="44"/>
            </w:rPr>
          </w:pPr>
          <w:bookmarkStart w:id="5" w:name="_Toc109497167"/>
          <w:r>
            <w:rPr>
              <w:rFonts w:ascii="宋体" w:hAnsi="宋体"/>
              <w:sz w:val="32"/>
              <w:szCs w:val="40"/>
            </w:rPr>
            <w:t>目</w:t>
          </w:r>
          <w:r>
            <w:rPr>
              <w:rFonts w:hint="eastAsia" w:ascii="宋体" w:hAnsi="宋体"/>
              <w:sz w:val="32"/>
              <w:szCs w:val="40"/>
            </w:rPr>
            <w:t xml:space="preserve">   </w:t>
          </w:r>
          <w:r>
            <w:rPr>
              <w:rFonts w:ascii="宋体" w:hAnsi="宋体"/>
              <w:sz w:val="32"/>
              <w:szCs w:val="40"/>
            </w:rPr>
            <w:t>录</w:t>
          </w:r>
          <w:r>
            <w:rPr>
              <w:sz w:val="44"/>
              <w:szCs w:val="44"/>
            </w:rPr>
            <w:fldChar w:fldCharType="begin"/>
          </w:r>
          <w:r>
            <w:rPr>
              <w:sz w:val="44"/>
              <w:szCs w:val="44"/>
            </w:rPr>
            <w:instrText xml:space="preserve">TOC \o "1-1" \h \u </w:instrText>
          </w:r>
          <w:r>
            <w:rPr>
              <w:sz w:val="44"/>
              <w:szCs w:val="44"/>
            </w:rPr>
            <w:fldChar w:fldCharType="separate"/>
          </w:r>
        </w:p>
        <w:p>
          <w:pPr>
            <w:pStyle w:val="15"/>
            <w:tabs>
              <w:tab w:val="right" w:leader="dot" w:pos="8306"/>
            </w:tabs>
            <w:spacing w:line="600" w:lineRule="auto"/>
            <w:rPr>
              <w:sz w:val="28"/>
              <w:szCs w:val="36"/>
            </w:rPr>
          </w:pPr>
          <w:r>
            <w:fldChar w:fldCharType="begin"/>
          </w:r>
          <w:r>
            <w:instrText xml:space="preserve"> HYPERLINK \l "_Toc31717" </w:instrText>
          </w:r>
          <w:r>
            <w:fldChar w:fldCharType="separate"/>
          </w:r>
          <w:r>
            <w:rPr>
              <w:bCs/>
              <w:sz w:val="28"/>
              <w:szCs w:val="40"/>
            </w:rPr>
            <w:t>第一章  招标公告</w:t>
          </w:r>
          <w:r>
            <w:rPr>
              <w:sz w:val="28"/>
              <w:szCs w:val="36"/>
            </w:rPr>
            <w:tab/>
          </w:r>
          <w:r>
            <w:rPr>
              <w:sz w:val="28"/>
              <w:szCs w:val="36"/>
            </w:rPr>
            <w:fldChar w:fldCharType="begin"/>
          </w:r>
          <w:r>
            <w:rPr>
              <w:sz w:val="28"/>
              <w:szCs w:val="36"/>
            </w:rPr>
            <w:instrText xml:space="preserve"> PAGEREF _Toc31717 \h </w:instrText>
          </w:r>
          <w:r>
            <w:rPr>
              <w:sz w:val="28"/>
              <w:szCs w:val="36"/>
            </w:rPr>
            <w:fldChar w:fldCharType="separate"/>
          </w:r>
          <w:r>
            <w:rPr>
              <w:sz w:val="28"/>
              <w:szCs w:val="36"/>
            </w:rPr>
            <w:t>- 1 -</w:t>
          </w:r>
          <w:r>
            <w:rPr>
              <w:sz w:val="28"/>
              <w:szCs w:val="36"/>
            </w:rPr>
            <w:fldChar w:fldCharType="end"/>
          </w:r>
          <w:r>
            <w:rPr>
              <w:sz w:val="28"/>
              <w:szCs w:val="36"/>
            </w:rPr>
            <w:fldChar w:fldCharType="end"/>
          </w:r>
        </w:p>
        <w:p>
          <w:pPr>
            <w:pStyle w:val="15"/>
            <w:tabs>
              <w:tab w:val="right" w:leader="dot" w:pos="8306"/>
            </w:tabs>
            <w:spacing w:line="600" w:lineRule="auto"/>
            <w:rPr>
              <w:sz w:val="28"/>
              <w:szCs w:val="36"/>
            </w:rPr>
          </w:pPr>
          <w:r>
            <w:fldChar w:fldCharType="begin"/>
          </w:r>
          <w:r>
            <w:instrText xml:space="preserve"> HYPERLINK \l "_Toc19630" </w:instrText>
          </w:r>
          <w:r>
            <w:fldChar w:fldCharType="separate"/>
          </w:r>
          <w:r>
            <w:rPr>
              <w:rFonts w:hint="eastAsia"/>
              <w:bCs/>
              <w:sz w:val="28"/>
              <w:szCs w:val="40"/>
            </w:rPr>
            <w:t>供应商</w:t>
          </w:r>
          <w:r>
            <w:rPr>
              <w:bCs/>
              <w:sz w:val="28"/>
              <w:szCs w:val="40"/>
            </w:rPr>
            <w:t>须知</w:t>
          </w:r>
          <w:r>
            <w:rPr>
              <w:sz w:val="28"/>
              <w:szCs w:val="40"/>
            </w:rPr>
            <w:t>前附表</w:t>
          </w:r>
          <w:r>
            <w:rPr>
              <w:sz w:val="28"/>
              <w:szCs w:val="36"/>
            </w:rPr>
            <w:tab/>
          </w:r>
          <w:r>
            <w:rPr>
              <w:sz w:val="28"/>
              <w:szCs w:val="36"/>
            </w:rPr>
            <w:fldChar w:fldCharType="begin"/>
          </w:r>
          <w:r>
            <w:rPr>
              <w:sz w:val="28"/>
              <w:szCs w:val="36"/>
            </w:rPr>
            <w:instrText xml:space="preserve"> PAGEREF _Toc19630 \h </w:instrText>
          </w:r>
          <w:r>
            <w:rPr>
              <w:sz w:val="28"/>
              <w:szCs w:val="36"/>
            </w:rPr>
            <w:fldChar w:fldCharType="separate"/>
          </w:r>
          <w:r>
            <w:rPr>
              <w:sz w:val="28"/>
              <w:szCs w:val="36"/>
            </w:rPr>
            <w:t>- 5 -</w:t>
          </w:r>
          <w:r>
            <w:rPr>
              <w:sz w:val="28"/>
              <w:szCs w:val="36"/>
            </w:rPr>
            <w:fldChar w:fldCharType="end"/>
          </w:r>
          <w:r>
            <w:rPr>
              <w:sz w:val="28"/>
              <w:szCs w:val="36"/>
            </w:rPr>
            <w:fldChar w:fldCharType="end"/>
          </w:r>
        </w:p>
        <w:p>
          <w:pPr>
            <w:pStyle w:val="15"/>
            <w:tabs>
              <w:tab w:val="right" w:leader="dot" w:pos="8306"/>
            </w:tabs>
            <w:spacing w:line="600" w:lineRule="auto"/>
            <w:rPr>
              <w:sz w:val="28"/>
              <w:szCs w:val="36"/>
            </w:rPr>
          </w:pPr>
          <w:r>
            <w:fldChar w:fldCharType="begin"/>
          </w:r>
          <w:r>
            <w:instrText xml:space="preserve"> HYPERLINK \l "_Toc24533" </w:instrText>
          </w:r>
          <w:r>
            <w:fldChar w:fldCharType="separate"/>
          </w:r>
          <w:r>
            <w:rPr>
              <w:bCs/>
              <w:sz w:val="28"/>
              <w:szCs w:val="48"/>
            </w:rPr>
            <w:t>第二章  采购内容及需求</w:t>
          </w:r>
          <w:r>
            <w:rPr>
              <w:sz w:val="28"/>
              <w:szCs w:val="36"/>
            </w:rPr>
            <w:tab/>
          </w:r>
          <w:r>
            <w:rPr>
              <w:sz w:val="28"/>
              <w:szCs w:val="36"/>
            </w:rPr>
            <w:fldChar w:fldCharType="begin"/>
          </w:r>
          <w:r>
            <w:rPr>
              <w:sz w:val="28"/>
              <w:szCs w:val="36"/>
            </w:rPr>
            <w:instrText xml:space="preserve"> PAGEREF _Toc24533 \h </w:instrText>
          </w:r>
          <w:r>
            <w:rPr>
              <w:sz w:val="28"/>
              <w:szCs w:val="36"/>
            </w:rPr>
            <w:fldChar w:fldCharType="separate"/>
          </w:r>
          <w:r>
            <w:rPr>
              <w:sz w:val="28"/>
              <w:szCs w:val="36"/>
            </w:rPr>
            <w:t>- 10 -</w:t>
          </w:r>
          <w:r>
            <w:rPr>
              <w:sz w:val="28"/>
              <w:szCs w:val="36"/>
            </w:rPr>
            <w:fldChar w:fldCharType="end"/>
          </w:r>
          <w:r>
            <w:rPr>
              <w:sz w:val="28"/>
              <w:szCs w:val="36"/>
            </w:rPr>
            <w:fldChar w:fldCharType="end"/>
          </w:r>
        </w:p>
        <w:p>
          <w:pPr>
            <w:pStyle w:val="15"/>
            <w:tabs>
              <w:tab w:val="right" w:leader="dot" w:pos="8306"/>
            </w:tabs>
            <w:spacing w:line="600" w:lineRule="auto"/>
            <w:rPr>
              <w:sz w:val="28"/>
              <w:szCs w:val="36"/>
            </w:rPr>
          </w:pPr>
          <w:r>
            <w:fldChar w:fldCharType="begin"/>
          </w:r>
          <w:r>
            <w:instrText xml:space="preserve"> HYPERLINK \l "_Toc8272" </w:instrText>
          </w:r>
          <w:r>
            <w:fldChar w:fldCharType="separate"/>
          </w:r>
          <w:r>
            <w:rPr>
              <w:sz w:val="28"/>
              <w:szCs w:val="36"/>
            </w:rPr>
            <w:t xml:space="preserve">第三章  </w:t>
          </w:r>
          <w:r>
            <w:rPr>
              <w:rFonts w:hint="eastAsia"/>
              <w:sz w:val="28"/>
              <w:szCs w:val="36"/>
            </w:rPr>
            <w:t>供应商</w:t>
          </w:r>
          <w:r>
            <w:rPr>
              <w:sz w:val="28"/>
              <w:szCs w:val="36"/>
            </w:rPr>
            <w:t>须知</w:t>
          </w:r>
          <w:r>
            <w:rPr>
              <w:sz w:val="28"/>
              <w:szCs w:val="36"/>
            </w:rPr>
            <w:tab/>
          </w:r>
          <w:r>
            <w:rPr>
              <w:sz w:val="28"/>
              <w:szCs w:val="36"/>
            </w:rPr>
            <w:fldChar w:fldCharType="begin"/>
          </w:r>
          <w:r>
            <w:rPr>
              <w:sz w:val="28"/>
              <w:szCs w:val="36"/>
            </w:rPr>
            <w:instrText xml:space="preserve"> PAGEREF _Toc8272 \h </w:instrText>
          </w:r>
          <w:r>
            <w:rPr>
              <w:sz w:val="28"/>
              <w:szCs w:val="36"/>
            </w:rPr>
            <w:fldChar w:fldCharType="separate"/>
          </w:r>
          <w:r>
            <w:rPr>
              <w:sz w:val="28"/>
              <w:szCs w:val="36"/>
            </w:rPr>
            <w:t>- 22 -</w:t>
          </w:r>
          <w:r>
            <w:rPr>
              <w:sz w:val="28"/>
              <w:szCs w:val="36"/>
            </w:rPr>
            <w:fldChar w:fldCharType="end"/>
          </w:r>
          <w:r>
            <w:rPr>
              <w:sz w:val="28"/>
              <w:szCs w:val="36"/>
            </w:rPr>
            <w:fldChar w:fldCharType="end"/>
          </w:r>
        </w:p>
        <w:p>
          <w:pPr>
            <w:pStyle w:val="15"/>
            <w:tabs>
              <w:tab w:val="right" w:leader="dot" w:pos="8306"/>
            </w:tabs>
            <w:spacing w:line="600" w:lineRule="auto"/>
            <w:rPr>
              <w:sz w:val="28"/>
              <w:szCs w:val="36"/>
            </w:rPr>
          </w:pPr>
          <w:r>
            <w:fldChar w:fldCharType="begin"/>
          </w:r>
          <w:r>
            <w:instrText xml:space="preserve"> HYPERLINK \l "_Toc4541" </w:instrText>
          </w:r>
          <w:r>
            <w:fldChar w:fldCharType="separate"/>
          </w:r>
          <w:r>
            <w:rPr>
              <w:sz w:val="28"/>
              <w:szCs w:val="36"/>
            </w:rPr>
            <w:t>第四章  评标办法</w:t>
          </w:r>
          <w:r>
            <w:rPr>
              <w:sz w:val="28"/>
              <w:szCs w:val="36"/>
            </w:rPr>
            <w:tab/>
          </w:r>
          <w:r>
            <w:rPr>
              <w:sz w:val="28"/>
              <w:szCs w:val="36"/>
            </w:rPr>
            <w:fldChar w:fldCharType="begin"/>
          </w:r>
          <w:r>
            <w:rPr>
              <w:sz w:val="28"/>
              <w:szCs w:val="36"/>
            </w:rPr>
            <w:instrText xml:space="preserve"> PAGEREF _Toc4541 \h </w:instrText>
          </w:r>
          <w:r>
            <w:rPr>
              <w:sz w:val="28"/>
              <w:szCs w:val="36"/>
            </w:rPr>
            <w:fldChar w:fldCharType="separate"/>
          </w:r>
          <w:r>
            <w:rPr>
              <w:sz w:val="28"/>
              <w:szCs w:val="36"/>
            </w:rPr>
            <w:t>- 35 -</w:t>
          </w:r>
          <w:r>
            <w:rPr>
              <w:sz w:val="28"/>
              <w:szCs w:val="36"/>
            </w:rPr>
            <w:fldChar w:fldCharType="end"/>
          </w:r>
          <w:r>
            <w:rPr>
              <w:sz w:val="28"/>
              <w:szCs w:val="36"/>
            </w:rPr>
            <w:fldChar w:fldCharType="end"/>
          </w:r>
        </w:p>
        <w:p>
          <w:pPr>
            <w:pStyle w:val="15"/>
            <w:tabs>
              <w:tab w:val="right" w:leader="dot" w:pos="8306"/>
            </w:tabs>
            <w:spacing w:line="600" w:lineRule="auto"/>
            <w:rPr>
              <w:sz w:val="28"/>
              <w:szCs w:val="36"/>
            </w:rPr>
          </w:pPr>
          <w:r>
            <w:fldChar w:fldCharType="begin"/>
          </w:r>
          <w:r>
            <w:instrText xml:space="preserve"> HYPERLINK \l "_Toc714" </w:instrText>
          </w:r>
          <w:r>
            <w:fldChar w:fldCharType="separate"/>
          </w:r>
          <w:r>
            <w:rPr>
              <w:sz w:val="28"/>
              <w:szCs w:val="44"/>
            </w:rPr>
            <w:t>第五章  采购合同</w:t>
          </w:r>
          <w:r>
            <w:rPr>
              <w:sz w:val="28"/>
              <w:szCs w:val="36"/>
            </w:rPr>
            <w:tab/>
          </w:r>
          <w:r>
            <w:rPr>
              <w:sz w:val="28"/>
              <w:szCs w:val="36"/>
            </w:rPr>
            <w:fldChar w:fldCharType="begin"/>
          </w:r>
          <w:r>
            <w:rPr>
              <w:sz w:val="28"/>
              <w:szCs w:val="36"/>
            </w:rPr>
            <w:instrText xml:space="preserve"> PAGEREF _Toc714 \h </w:instrText>
          </w:r>
          <w:r>
            <w:rPr>
              <w:sz w:val="28"/>
              <w:szCs w:val="36"/>
            </w:rPr>
            <w:fldChar w:fldCharType="separate"/>
          </w:r>
          <w:r>
            <w:rPr>
              <w:sz w:val="28"/>
              <w:szCs w:val="36"/>
            </w:rPr>
            <w:t>- 40 -</w:t>
          </w:r>
          <w:r>
            <w:rPr>
              <w:sz w:val="28"/>
              <w:szCs w:val="36"/>
            </w:rPr>
            <w:fldChar w:fldCharType="end"/>
          </w:r>
          <w:r>
            <w:rPr>
              <w:sz w:val="28"/>
              <w:szCs w:val="36"/>
            </w:rPr>
            <w:fldChar w:fldCharType="end"/>
          </w:r>
        </w:p>
        <w:p>
          <w:pPr>
            <w:pStyle w:val="15"/>
            <w:tabs>
              <w:tab w:val="right" w:leader="dot" w:pos="8306"/>
            </w:tabs>
            <w:spacing w:line="600" w:lineRule="auto"/>
            <w:rPr>
              <w:sz w:val="28"/>
              <w:szCs w:val="36"/>
            </w:rPr>
          </w:pPr>
          <w:r>
            <w:fldChar w:fldCharType="begin"/>
          </w:r>
          <w:r>
            <w:instrText xml:space="preserve"> HYPERLINK \l "_Toc1495" </w:instrText>
          </w:r>
          <w:r>
            <w:fldChar w:fldCharType="separate"/>
          </w:r>
          <w:r>
            <w:rPr>
              <w:sz w:val="28"/>
              <w:szCs w:val="44"/>
            </w:rPr>
            <w:t>第六章  投标文件格式</w:t>
          </w:r>
          <w:r>
            <w:rPr>
              <w:sz w:val="28"/>
              <w:szCs w:val="36"/>
            </w:rPr>
            <w:tab/>
          </w:r>
          <w:r>
            <w:rPr>
              <w:sz w:val="28"/>
              <w:szCs w:val="36"/>
            </w:rPr>
            <w:fldChar w:fldCharType="begin"/>
          </w:r>
          <w:r>
            <w:rPr>
              <w:sz w:val="28"/>
              <w:szCs w:val="36"/>
            </w:rPr>
            <w:instrText xml:space="preserve"> PAGEREF _Toc1495 \h </w:instrText>
          </w:r>
          <w:r>
            <w:rPr>
              <w:sz w:val="28"/>
              <w:szCs w:val="36"/>
            </w:rPr>
            <w:fldChar w:fldCharType="separate"/>
          </w:r>
          <w:r>
            <w:rPr>
              <w:sz w:val="28"/>
              <w:szCs w:val="36"/>
            </w:rPr>
            <w:t>- 45 -</w:t>
          </w:r>
          <w:r>
            <w:rPr>
              <w:sz w:val="28"/>
              <w:szCs w:val="36"/>
            </w:rPr>
            <w:fldChar w:fldCharType="end"/>
          </w:r>
          <w:r>
            <w:rPr>
              <w:sz w:val="28"/>
              <w:szCs w:val="36"/>
            </w:rPr>
            <w:fldChar w:fldCharType="end"/>
          </w:r>
        </w:p>
        <w:p>
          <w:pPr>
            <w:pStyle w:val="15"/>
            <w:tabs>
              <w:tab w:val="right" w:leader="dot" w:pos="8306"/>
            </w:tabs>
            <w:rPr>
              <w:sz w:val="24"/>
              <w:szCs w:val="32"/>
            </w:rPr>
          </w:pPr>
        </w:p>
        <w:p>
          <w:pPr>
            <w:jc w:val="center"/>
          </w:pPr>
          <w:r>
            <w:rPr>
              <w:sz w:val="40"/>
              <w:szCs w:val="44"/>
            </w:rPr>
            <w:fldChar w:fldCharType="end"/>
          </w:r>
        </w:p>
      </w:sdtContent>
    </w:sdt>
    <w:p/>
    <w:p/>
    <w:p/>
    <w:p/>
    <w:p/>
    <w:p/>
    <w:p/>
    <w:p/>
    <w:p/>
    <w:p/>
    <w:p/>
    <w:p>
      <w:pPr>
        <w:pStyle w:val="10"/>
        <w:snapToGrid w:val="0"/>
        <w:spacing w:before="156" w:after="156" w:line="360" w:lineRule="auto"/>
        <w:jc w:val="center"/>
        <w:rPr>
          <w:rFonts w:ascii="Times New Roman" w:hAnsi="Times New Roman"/>
          <w:b/>
          <w:bCs/>
          <w:sz w:val="30"/>
          <w:szCs w:val="30"/>
        </w:rPr>
      </w:pPr>
    </w:p>
    <w:p>
      <w:pPr>
        <w:pStyle w:val="10"/>
        <w:snapToGrid w:val="0"/>
        <w:spacing w:before="156" w:after="156" w:line="360" w:lineRule="auto"/>
        <w:jc w:val="center"/>
        <w:rPr>
          <w:rFonts w:ascii="Times New Roman" w:hAnsi="Times New Roman"/>
          <w:b/>
          <w:bCs/>
          <w:sz w:val="30"/>
          <w:szCs w:val="30"/>
        </w:rPr>
      </w:pPr>
    </w:p>
    <w:p>
      <w:pPr>
        <w:pStyle w:val="10"/>
        <w:snapToGrid w:val="0"/>
        <w:spacing w:before="156" w:after="156" w:line="360" w:lineRule="auto"/>
        <w:jc w:val="center"/>
        <w:rPr>
          <w:rFonts w:ascii="Times New Roman" w:hAnsi="Times New Roman"/>
          <w:b/>
          <w:bCs/>
          <w:sz w:val="30"/>
          <w:szCs w:val="30"/>
        </w:rPr>
      </w:pPr>
    </w:p>
    <w:p>
      <w:pPr>
        <w:pStyle w:val="10"/>
        <w:snapToGrid w:val="0"/>
        <w:spacing w:before="156" w:after="156" w:line="360" w:lineRule="auto"/>
        <w:jc w:val="center"/>
        <w:rPr>
          <w:rFonts w:ascii="Times New Roman" w:hAnsi="Times New Roman"/>
          <w:b/>
          <w:bCs/>
          <w:sz w:val="30"/>
          <w:szCs w:val="30"/>
        </w:rPr>
      </w:pPr>
    </w:p>
    <w:p>
      <w:pPr>
        <w:pStyle w:val="10"/>
        <w:snapToGrid w:val="0"/>
        <w:spacing w:before="156" w:after="156" w:line="360" w:lineRule="auto"/>
        <w:jc w:val="center"/>
        <w:rPr>
          <w:rFonts w:ascii="Times New Roman" w:hAnsi="Times New Roman"/>
          <w:b/>
          <w:bCs/>
          <w:sz w:val="30"/>
          <w:szCs w:val="30"/>
        </w:rPr>
      </w:pPr>
    </w:p>
    <w:p>
      <w:pPr>
        <w:pStyle w:val="10"/>
        <w:snapToGrid w:val="0"/>
        <w:spacing w:before="156" w:after="156" w:line="360" w:lineRule="auto"/>
        <w:jc w:val="center"/>
        <w:rPr>
          <w:rFonts w:ascii="Times New Roman" w:hAnsi="Times New Roman"/>
          <w:b/>
          <w:bCs/>
          <w:sz w:val="30"/>
          <w:szCs w:val="30"/>
        </w:rPr>
      </w:pPr>
    </w:p>
    <w:p>
      <w:pPr>
        <w:pStyle w:val="10"/>
        <w:snapToGrid w:val="0"/>
        <w:spacing w:before="156" w:after="156" w:line="360" w:lineRule="auto"/>
        <w:jc w:val="center"/>
        <w:outlineLvl w:val="1"/>
        <w:rPr>
          <w:rFonts w:ascii="Times New Roman" w:hAnsi="Times New Roman"/>
          <w:b/>
          <w:bCs/>
          <w:sz w:val="30"/>
          <w:szCs w:val="30"/>
        </w:rPr>
        <w:sectPr>
          <w:footerReference r:id="rId6" w:type="default"/>
          <w:pgSz w:w="11906" w:h="16838"/>
          <w:pgMar w:top="930" w:right="1800" w:bottom="930" w:left="1800" w:header="851" w:footer="992" w:gutter="0"/>
          <w:pgNumType w:fmt="numberInDash" w:start="1"/>
          <w:cols w:space="425" w:num="1"/>
          <w:docGrid w:type="lines" w:linePitch="312" w:charSpace="0"/>
        </w:sectPr>
      </w:pPr>
    </w:p>
    <w:p>
      <w:pPr>
        <w:pStyle w:val="10"/>
        <w:snapToGrid w:val="0"/>
        <w:spacing w:before="156" w:after="156" w:line="360" w:lineRule="auto"/>
        <w:jc w:val="center"/>
        <w:outlineLvl w:val="0"/>
        <w:rPr>
          <w:rFonts w:ascii="Times New Roman" w:hAnsi="Times New Roman"/>
          <w:sz w:val="30"/>
          <w:szCs w:val="30"/>
        </w:rPr>
      </w:pPr>
      <w:bookmarkStart w:id="6" w:name="_Toc31717"/>
      <w:r>
        <w:rPr>
          <w:rFonts w:ascii="Times New Roman" w:hAnsi="Times New Roman"/>
          <w:b/>
          <w:bCs/>
          <w:sz w:val="30"/>
          <w:szCs w:val="30"/>
        </w:rPr>
        <w:t>第一章  招标公告</w:t>
      </w:r>
      <w:bookmarkEnd w:id="5"/>
      <w:bookmarkEnd w:id="6"/>
    </w:p>
    <w:p>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rFonts w:hint="eastAsia"/>
          <w:szCs w:val="21"/>
          <w:u w:val="single"/>
        </w:rPr>
        <w:t>瑞安市妇幼保健院血透分析系统及设备采购项目（重）</w:t>
      </w:r>
      <w:r>
        <w:rPr>
          <w:szCs w:val="21"/>
        </w:rPr>
        <w:t>的潜在投标人应在</w:t>
      </w:r>
      <w:r>
        <w:rPr>
          <w:szCs w:val="21"/>
          <w:u w:val="single"/>
        </w:rPr>
        <w:t>https://www.zcygov.cn</w:t>
      </w:r>
      <w:r>
        <w:rPr>
          <w:szCs w:val="21"/>
        </w:rPr>
        <w:t>获取（下载）招标文件，并于</w:t>
      </w:r>
      <w:r>
        <w:rPr>
          <w:szCs w:val="21"/>
          <w:u w:val="single"/>
        </w:rPr>
        <w:t>202</w:t>
      </w:r>
      <w:r>
        <w:rPr>
          <w:rFonts w:hint="eastAsia"/>
          <w:szCs w:val="21"/>
          <w:u w:val="single"/>
        </w:rPr>
        <w:t>2</w:t>
      </w:r>
      <w:r>
        <w:rPr>
          <w:bCs/>
          <w:szCs w:val="21"/>
          <w:u w:val="single"/>
        </w:rPr>
        <w:t>年</w:t>
      </w:r>
      <w:r>
        <w:rPr>
          <w:rFonts w:hint="eastAsia"/>
          <w:bCs/>
          <w:szCs w:val="21"/>
          <w:u w:val="single"/>
          <w:lang w:val="en-US" w:eastAsia="zh-CN"/>
        </w:rPr>
        <w:t>12</w:t>
      </w:r>
      <w:r>
        <w:rPr>
          <w:bCs/>
          <w:szCs w:val="21"/>
          <w:u w:val="single"/>
        </w:rPr>
        <w:t>月</w:t>
      </w:r>
      <w:r>
        <w:rPr>
          <w:rFonts w:hint="eastAsia"/>
          <w:bCs/>
          <w:szCs w:val="21"/>
          <w:u w:val="single"/>
          <w:lang w:val="en-US" w:eastAsia="zh-CN"/>
        </w:rPr>
        <w:t>19</w:t>
      </w:r>
      <w:r>
        <w:rPr>
          <w:bCs/>
          <w:szCs w:val="21"/>
          <w:u w:val="single"/>
        </w:rPr>
        <w:t>日</w:t>
      </w:r>
      <w:r>
        <w:rPr>
          <w:rFonts w:hint="eastAsia"/>
          <w:bCs/>
          <w:szCs w:val="21"/>
          <w:u w:val="single"/>
          <w:lang w:val="en-US" w:eastAsia="zh-CN"/>
        </w:rPr>
        <w:t>09:00</w:t>
      </w:r>
      <w:r>
        <w:rPr>
          <w:bCs/>
          <w:szCs w:val="21"/>
        </w:rPr>
        <w:t>（北京时间）前递交（上传）投标文件</w:t>
      </w:r>
      <w:r>
        <w:rPr>
          <w:szCs w:val="21"/>
        </w:rPr>
        <w:t>。</w:t>
      </w:r>
    </w:p>
    <w:p>
      <w:pPr>
        <w:pStyle w:val="4"/>
        <w:spacing w:beforeLines="50" w:after="0" w:line="360" w:lineRule="auto"/>
        <w:rPr>
          <w:rFonts w:ascii="Times New Roman" w:hAnsi="Times New Roman" w:eastAsia="宋体"/>
          <w:b w:val="0"/>
          <w:sz w:val="21"/>
          <w:szCs w:val="21"/>
        </w:rPr>
      </w:pPr>
      <w:bookmarkStart w:id="7" w:name="_Toc35393790"/>
      <w:bookmarkStart w:id="8" w:name="_Toc28359002"/>
      <w:bookmarkStart w:id="9" w:name="_Toc4872"/>
      <w:bookmarkStart w:id="10" w:name="_Toc28359079"/>
      <w:bookmarkStart w:id="11" w:name="_Toc61022639"/>
      <w:bookmarkStart w:id="12" w:name="_Toc109497168"/>
      <w:bookmarkStart w:id="13" w:name="_Toc35393621"/>
      <w:bookmarkStart w:id="14" w:name="_Hlk24379207"/>
      <w:bookmarkStart w:id="15" w:name="_Toc28359080"/>
      <w:bookmarkStart w:id="16" w:name="_Toc35393622"/>
      <w:bookmarkStart w:id="17" w:name="_Toc28359003"/>
      <w:bookmarkStart w:id="18" w:name="_Toc35393791"/>
      <w:r>
        <w:rPr>
          <w:rFonts w:ascii="Times New Roman" w:hAnsi="Times New Roman" w:eastAsia="宋体"/>
          <w:b w:val="0"/>
          <w:sz w:val="21"/>
          <w:szCs w:val="21"/>
        </w:rPr>
        <w:t>一、项目基本情况</w:t>
      </w:r>
      <w:bookmarkEnd w:id="7"/>
      <w:bookmarkEnd w:id="8"/>
      <w:bookmarkEnd w:id="9"/>
      <w:bookmarkEnd w:id="10"/>
      <w:bookmarkEnd w:id="11"/>
      <w:bookmarkEnd w:id="12"/>
      <w:bookmarkEnd w:id="13"/>
    </w:p>
    <w:bookmarkEnd w:id="14"/>
    <w:p>
      <w:pPr>
        <w:spacing w:line="360" w:lineRule="auto"/>
        <w:ind w:firstLine="420" w:firstLineChars="200"/>
        <w:rPr>
          <w:color w:val="FF0000"/>
          <w:szCs w:val="21"/>
        </w:rPr>
      </w:pPr>
      <w:r>
        <w:rPr>
          <w:szCs w:val="21"/>
        </w:rPr>
        <w:t>项目编号：</w:t>
      </w:r>
      <w:r>
        <w:rPr>
          <w:rFonts w:hint="eastAsia"/>
          <w:szCs w:val="21"/>
        </w:rPr>
        <w:t>zjzs202208020-</w:t>
      </w:r>
    </w:p>
    <w:p>
      <w:pPr>
        <w:spacing w:line="360" w:lineRule="auto"/>
        <w:ind w:firstLine="420" w:firstLineChars="200"/>
        <w:rPr>
          <w:szCs w:val="21"/>
        </w:rPr>
      </w:pPr>
      <w:r>
        <w:rPr>
          <w:szCs w:val="21"/>
        </w:rPr>
        <w:t>项目名称：</w:t>
      </w:r>
      <w:r>
        <w:rPr>
          <w:rFonts w:hint="eastAsia"/>
          <w:szCs w:val="21"/>
        </w:rPr>
        <w:t>瑞安市妇幼保健院血透分析系统及设备采购项目（重）</w:t>
      </w:r>
    </w:p>
    <w:p>
      <w:pPr>
        <w:spacing w:line="360" w:lineRule="auto"/>
        <w:ind w:firstLine="420" w:firstLineChars="200"/>
        <w:rPr>
          <w:szCs w:val="21"/>
        </w:rPr>
      </w:pPr>
      <w:r>
        <w:rPr>
          <w:szCs w:val="21"/>
        </w:rPr>
        <w:t>采购方式：公开招标</w:t>
      </w:r>
    </w:p>
    <w:p>
      <w:pPr>
        <w:spacing w:line="360" w:lineRule="auto"/>
        <w:ind w:firstLine="420" w:firstLineChars="200"/>
        <w:rPr>
          <w:szCs w:val="21"/>
        </w:rPr>
      </w:pPr>
      <w:r>
        <w:rPr>
          <w:szCs w:val="21"/>
        </w:rPr>
        <w:t>预算金额（元）：</w:t>
      </w:r>
      <w:r>
        <w:rPr>
          <w:rFonts w:hint="eastAsia"/>
          <w:szCs w:val="21"/>
        </w:rPr>
        <w:t>6870000.00</w:t>
      </w:r>
    </w:p>
    <w:p>
      <w:pPr>
        <w:spacing w:line="360" w:lineRule="auto"/>
        <w:ind w:firstLine="420" w:firstLineChars="200"/>
        <w:rPr>
          <w:szCs w:val="21"/>
        </w:rPr>
      </w:pPr>
      <w:r>
        <w:rPr>
          <w:szCs w:val="21"/>
        </w:rPr>
        <w:t>最高限价（元）：</w:t>
      </w:r>
      <w:r>
        <w:rPr>
          <w:rFonts w:hint="eastAsia"/>
          <w:szCs w:val="21"/>
        </w:rPr>
        <w:t>6870000.00</w:t>
      </w:r>
    </w:p>
    <w:p>
      <w:pPr>
        <w:spacing w:line="360" w:lineRule="auto"/>
        <w:ind w:firstLine="420" w:firstLineChars="200"/>
        <w:rPr>
          <w:szCs w:val="21"/>
        </w:rPr>
      </w:pPr>
      <w:r>
        <w:rPr>
          <w:szCs w:val="21"/>
        </w:rPr>
        <w:t>采购需求：</w:t>
      </w:r>
    </w:p>
    <w:p>
      <w:pPr>
        <w:spacing w:line="360" w:lineRule="auto"/>
        <w:ind w:firstLine="420" w:firstLineChars="200"/>
        <w:rPr>
          <w:szCs w:val="21"/>
        </w:rPr>
      </w:pPr>
    </w:p>
    <w:p>
      <w:pPr>
        <w:spacing w:line="360" w:lineRule="auto"/>
        <w:ind w:firstLine="840" w:firstLineChars="400"/>
        <w:rPr>
          <w:szCs w:val="21"/>
        </w:rPr>
      </w:pPr>
      <w:r>
        <w:rPr>
          <w:szCs w:val="21"/>
        </w:rPr>
        <w:t>标项一：</w:t>
      </w:r>
    </w:p>
    <w:p>
      <w:pPr>
        <w:spacing w:line="360" w:lineRule="auto"/>
        <w:ind w:firstLine="840" w:firstLineChars="400"/>
        <w:rPr>
          <w:szCs w:val="21"/>
        </w:rPr>
      </w:pPr>
      <w:r>
        <w:rPr>
          <w:szCs w:val="21"/>
        </w:rPr>
        <w:t>标项名称：</w:t>
      </w:r>
      <w:r>
        <w:rPr>
          <w:rFonts w:hint="eastAsia"/>
          <w:szCs w:val="21"/>
        </w:rPr>
        <w:t>瑞安市妇幼保健院血透分析系统及设备采购项目（重）</w:t>
      </w:r>
    </w:p>
    <w:p>
      <w:pPr>
        <w:spacing w:line="360" w:lineRule="auto"/>
        <w:ind w:firstLine="840" w:firstLineChars="400"/>
        <w:rPr>
          <w:szCs w:val="21"/>
        </w:rPr>
      </w:pPr>
      <w:r>
        <w:rPr>
          <w:szCs w:val="21"/>
        </w:rPr>
        <w:t>数量：</w:t>
      </w:r>
      <w:r>
        <w:rPr>
          <w:rFonts w:hint="eastAsia"/>
          <w:szCs w:val="21"/>
        </w:rPr>
        <w:t>1</w:t>
      </w:r>
    </w:p>
    <w:p>
      <w:pPr>
        <w:spacing w:line="360" w:lineRule="auto"/>
        <w:ind w:firstLine="840" w:firstLineChars="400"/>
        <w:rPr>
          <w:szCs w:val="21"/>
        </w:rPr>
      </w:pPr>
      <w:r>
        <w:rPr>
          <w:szCs w:val="21"/>
        </w:rPr>
        <w:t>单位：</w:t>
      </w:r>
      <w:r>
        <w:rPr>
          <w:rFonts w:hint="eastAsia"/>
          <w:szCs w:val="21"/>
        </w:rPr>
        <w:t>项</w:t>
      </w:r>
    </w:p>
    <w:p>
      <w:pPr>
        <w:spacing w:line="360" w:lineRule="auto"/>
        <w:ind w:firstLine="840" w:firstLineChars="400"/>
        <w:rPr>
          <w:szCs w:val="21"/>
        </w:rPr>
      </w:pPr>
      <w:r>
        <w:rPr>
          <w:szCs w:val="21"/>
        </w:rPr>
        <w:t>预算金额（元）：</w:t>
      </w:r>
      <w:r>
        <w:rPr>
          <w:rFonts w:hint="eastAsia"/>
          <w:szCs w:val="21"/>
        </w:rPr>
        <w:t>6870000.00</w:t>
      </w:r>
    </w:p>
    <w:p>
      <w:pPr>
        <w:spacing w:line="360" w:lineRule="auto"/>
        <w:ind w:left="479" w:leftChars="228" w:firstLine="420" w:firstLineChars="200"/>
        <w:rPr>
          <w:szCs w:val="21"/>
        </w:rPr>
      </w:pPr>
      <w:r>
        <w:rPr>
          <w:szCs w:val="21"/>
        </w:rPr>
        <w:t>简要规格描述或项目基本概况介绍、用途：</w:t>
      </w:r>
      <w:r>
        <w:rPr>
          <w:rFonts w:hint="eastAsia"/>
          <w:szCs w:val="21"/>
        </w:rPr>
        <w:t>瑞安市妇幼保健院血透分析系统及设备采购项目，具体采购内容及详细技术要求见招标文件相关部分。</w:t>
      </w:r>
    </w:p>
    <w:p>
      <w:pPr>
        <w:spacing w:line="360" w:lineRule="auto"/>
        <w:ind w:firstLine="840" w:firstLineChars="400"/>
        <w:rPr>
          <w:szCs w:val="21"/>
          <w:u w:val="single"/>
        </w:rPr>
      </w:pPr>
      <w:r>
        <w:rPr>
          <w:szCs w:val="21"/>
        </w:rPr>
        <w:t>合同履行期限：详见招标文件</w:t>
      </w:r>
    </w:p>
    <w:p>
      <w:pPr>
        <w:spacing w:line="360" w:lineRule="auto"/>
        <w:ind w:firstLine="840" w:firstLineChars="400"/>
        <w:rPr>
          <w:szCs w:val="21"/>
        </w:rPr>
      </w:pPr>
      <w:r>
        <w:rPr>
          <w:szCs w:val="21"/>
        </w:rPr>
        <w:t>本项目</w:t>
      </w:r>
      <w:r>
        <w:rPr>
          <w:rFonts w:hint="eastAsia"/>
          <w:szCs w:val="21"/>
        </w:rPr>
        <w:t>（否）</w:t>
      </w:r>
      <w:r>
        <w:rPr>
          <w:szCs w:val="21"/>
        </w:rPr>
        <w:t>接受联合体投标。</w:t>
      </w:r>
    </w:p>
    <w:p>
      <w:pPr>
        <w:pStyle w:val="4"/>
        <w:spacing w:beforeLines="50" w:after="0" w:line="360" w:lineRule="auto"/>
        <w:rPr>
          <w:rFonts w:ascii="Times New Roman" w:hAnsi="Times New Roman" w:eastAsia="宋体"/>
          <w:b w:val="0"/>
          <w:sz w:val="21"/>
          <w:szCs w:val="21"/>
        </w:rPr>
      </w:pPr>
      <w:bookmarkStart w:id="19" w:name="_Toc109497169"/>
      <w:bookmarkStart w:id="20" w:name="_Toc20952"/>
      <w:r>
        <w:rPr>
          <w:rFonts w:ascii="Times New Roman" w:hAnsi="Times New Roman" w:eastAsia="宋体"/>
          <w:b w:val="0"/>
          <w:sz w:val="21"/>
          <w:szCs w:val="21"/>
        </w:rPr>
        <w:t>二、申请人的资格要求：</w:t>
      </w:r>
      <w:bookmarkEnd w:id="15"/>
      <w:bookmarkEnd w:id="16"/>
      <w:bookmarkEnd w:id="17"/>
      <w:bookmarkEnd w:id="18"/>
      <w:bookmarkEnd w:id="19"/>
      <w:bookmarkEnd w:id="20"/>
    </w:p>
    <w:p>
      <w:pPr>
        <w:spacing w:line="360" w:lineRule="auto"/>
        <w:ind w:firstLine="420" w:firstLineChars="200"/>
        <w:rPr>
          <w:szCs w:val="21"/>
        </w:rPr>
      </w:pPr>
      <w:r>
        <w:rPr>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szCs w:val="21"/>
        </w:rPr>
      </w:pPr>
      <w:r>
        <w:rPr>
          <w:szCs w:val="21"/>
        </w:rPr>
        <w:t>2.落实政府采购政策需满足的资格要求：</w:t>
      </w:r>
      <w:r>
        <w:rPr>
          <w:spacing w:val="-4"/>
          <w:szCs w:val="21"/>
        </w:rPr>
        <w:t>无</w:t>
      </w:r>
    </w:p>
    <w:p>
      <w:pPr>
        <w:spacing w:line="360" w:lineRule="auto"/>
        <w:ind w:firstLine="420" w:firstLineChars="200"/>
        <w:rPr>
          <w:i/>
          <w:iCs/>
          <w:szCs w:val="21"/>
          <w:u w:val="single"/>
        </w:rPr>
      </w:pPr>
      <w:r>
        <w:rPr>
          <w:szCs w:val="21"/>
        </w:rPr>
        <w:t>3.本项目的特定资格要求：无</w:t>
      </w:r>
    </w:p>
    <w:p>
      <w:pPr>
        <w:pStyle w:val="4"/>
        <w:spacing w:beforeLines="50" w:after="0" w:line="360" w:lineRule="auto"/>
        <w:rPr>
          <w:rFonts w:ascii="Times New Roman" w:hAnsi="Times New Roman" w:eastAsia="宋体"/>
          <w:b w:val="0"/>
          <w:sz w:val="21"/>
          <w:szCs w:val="21"/>
        </w:rPr>
      </w:pPr>
      <w:bookmarkStart w:id="21" w:name="_Toc17167"/>
      <w:bookmarkStart w:id="22" w:name="_Toc109497170"/>
      <w:r>
        <w:rPr>
          <w:rFonts w:ascii="Times New Roman" w:hAnsi="Times New Roman" w:eastAsia="宋体"/>
          <w:b w:val="0"/>
          <w:sz w:val="21"/>
          <w:szCs w:val="21"/>
        </w:rPr>
        <w:t>三、获取招标文件</w:t>
      </w:r>
      <w:bookmarkEnd w:id="21"/>
      <w:bookmarkEnd w:id="22"/>
    </w:p>
    <w:p>
      <w:pPr>
        <w:pStyle w:val="4"/>
        <w:spacing w:beforeLines="50" w:after="0" w:line="240" w:lineRule="auto"/>
        <w:ind w:firstLine="420" w:firstLineChars="200"/>
        <w:rPr>
          <w:rFonts w:ascii="宋体" w:hAnsi="宋体" w:eastAsia="宋体" w:cs="宋体"/>
          <w:b w:val="0"/>
          <w:bCs w:val="0"/>
          <w:sz w:val="21"/>
          <w:szCs w:val="21"/>
        </w:rPr>
      </w:pPr>
      <w:bookmarkStart w:id="23" w:name="_Toc26402"/>
      <w:bookmarkStart w:id="24" w:name="_Toc28359082"/>
      <w:bookmarkStart w:id="25" w:name="_Toc28359005"/>
      <w:bookmarkStart w:id="26" w:name="_Toc109497171"/>
      <w:bookmarkStart w:id="27" w:name="_Toc35393624"/>
      <w:bookmarkStart w:id="28" w:name="_Toc35393793"/>
      <w:r>
        <w:rPr>
          <w:rFonts w:hint="eastAsia" w:ascii="宋体" w:hAnsi="宋体" w:eastAsia="宋体" w:cs="宋体"/>
          <w:b w:val="0"/>
          <w:bCs w:val="0"/>
          <w:sz w:val="21"/>
          <w:szCs w:val="21"/>
        </w:rPr>
        <w:t>时间：/至2022年12月19日09:00，每天上午00：00至12：00，下午12：00至23：59（北京时间，线上获取法定节假日均可，线下获取文件法定节假日除外）</w:t>
      </w:r>
      <w:bookmarkEnd w:id="23"/>
    </w:p>
    <w:p>
      <w:pPr>
        <w:pStyle w:val="4"/>
        <w:spacing w:beforeLines="50" w:after="0" w:line="240" w:lineRule="auto"/>
        <w:ind w:firstLine="420" w:firstLineChars="200"/>
        <w:rPr>
          <w:rFonts w:ascii="宋体" w:hAnsi="宋体" w:eastAsia="宋体" w:cs="宋体"/>
          <w:b w:val="0"/>
          <w:bCs w:val="0"/>
          <w:sz w:val="21"/>
          <w:szCs w:val="21"/>
        </w:rPr>
      </w:pPr>
      <w:bookmarkStart w:id="29" w:name="_Toc20917"/>
      <w:r>
        <w:rPr>
          <w:rFonts w:hint="eastAsia" w:ascii="宋体" w:hAnsi="宋体" w:eastAsia="宋体" w:cs="宋体"/>
          <w:b w:val="0"/>
          <w:bCs w:val="0"/>
          <w:sz w:val="21"/>
          <w:szCs w:val="21"/>
        </w:rPr>
        <w:t>地点（网址）：政府采购云平台（www.zcygov.cn）</w:t>
      </w:r>
      <w:bookmarkEnd w:id="29"/>
    </w:p>
    <w:p>
      <w:pPr>
        <w:pStyle w:val="4"/>
        <w:spacing w:beforeLines="50" w:after="0" w:line="240" w:lineRule="auto"/>
        <w:ind w:firstLine="420" w:firstLineChars="200"/>
        <w:rPr>
          <w:rFonts w:ascii="宋体" w:hAnsi="宋体" w:eastAsia="宋体" w:cs="宋体"/>
          <w:b w:val="0"/>
          <w:bCs w:val="0"/>
          <w:sz w:val="21"/>
          <w:szCs w:val="21"/>
        </w:rPr>
      </w:pPr>
      <w:bookmarkStart w:id="30" w:name="_Toc5064"/>
      <w:r>
        <w:rPr>
          <w:rFonts w:hint="eastAsia" w:ascii="宋体" w:hAnsi="宋体" w:eastAsia="宋体" w:cs="宋体"/>
          <w:b w:val="0"/>
          <w:bCs w:val="0"/>
          <w:sz w:val="21"/>
          <w:szCs w:val="21"/>
        </w:rPr>
        <w:t>方式：在线获取</w:t>
      </w:r>
      <w:bookmarkEnd w:id="30"/>
    </w:p>
    <w:p>
      <w:pPr>
        <w:pStyle w:val="4"/>
        <w:spacing w:beforeLines="50" w:after="0" w:line="240" w:lineRule="auto"/>
        <w:ind w:firstLine="420" w:firstLineChars="200"/>
        <w:rPr>
          <w:rFonts w:ascii="宋体" w:hAnsi="宋体" w:eastAsia="宋体" w:cs="宋体"/>
          <w:b w:val="0"/>
          <w:bCs w:val="0"/>
          <w:sz w:val="21"/>
          <w:szCs w:val="21"/>
        </w:rPr>
      </w:pPr>
      <w:bookmarkStart w:id="31" w:name="_Toc30107"/>
      <w:r>
        <w:rPr>
          <w:rFonts w:hint="eastAsia" w:ascii="宋体" w:hAnsi="宋体" w:eastAsia="宋体" w:cs="宋体"/>
          <w:b w:val="0"/>
          <w:bCs w:val="0"/>
          <w:sz w:val="21"/>
          <w:szCs w:val="21"/>
        </w:rPr>
        <w:t>售价（元）：0</w:t>
      </w:r>
      <w:bookmarkEnd w:id="31"/>
    </w:p>
    <w:p>
      <w:pPr>
        <w:pStyle w:val="4"/>
        <w:spacing w:beforeLines="50" w:after="0" w:line="360" w:lineRule="auto"/>
        <w:rPr>
          <w:rFonts w:ascii="Times New Roman" w:hAnsi="Times New Roman" w:eastAsia="宋体"/>
          <w:b w:val="0"/>
          <w:sz w:val="21"/>
          <w:szCs w:val="21"/>
        </w:rPr>
      </w:pPr>
      <w:bookmarkStart w:id="32" w:name="_Toc4018"/>
      <w:r>
        <w:rPr>
          <w:rFonts w:ascii="Times New Roman" w:hAnsi="Times New Roman" w:eastAsia="宋体"/>
          <w:b w:val="0"/>
          <w:sz w:val="21"/>
          <w:szCs w:val="21"/>
        </w:rPr>
        <w:t>四、提交投标文件</w:t>
      </w:r>
      <w:bookmarkEnd w:id="24"/>
      <w:bookmarkEnd w:id="25"/>
      <w:r>
        <w:rPr>
          <w:rFonts w:ascii="Times New Roman" w:hAnsi="Times New Roman" w:eastAsia="宋体"/>
          <w:b w:val="0"/>
          <w:sz w:val="21"/>
          <w:szCs w:val="21"/>
        </w:rPr>
        <w:t>截止时间、开标时间和地点</w:t>
      </w:r>
      <w:bookmarkEnd w:id="26"/>
      <w:bookmarkEnd w:id="27"/>
      <w:bookmarkEnd w:id="28"/>
      <w:bookmarkEnd w:id="32"/>
    </w:p>
    <w:p>
      <w:pPr>
        <w:spacing w:line="360" w:lineRule="auto"/>
        <w:ind w:firstLine="420" w:firstLineChars="200"/>
        <w:rPr>
          <w:bCs/>
          <w:szCs w:val="21"/>
        </w:rPr>
      </w:pPr>
      <w:bookmarkStart w:id="33" w:name="_Toc28359007"/>
      <w:bookmarkStart w:id="34" w:name="_Toc28359084"/>
      <w:bookmarkStart w:id="35" w:name="_Toc35393625"/>
      <w:bookmarkStart w:id="36" w:name="_Toc35393794"/>
      <w:r>
        <w:rPr>
          <w:rFonts w:hint="eastAsia"/>
          <w:bCs/>
          <w:szCs w:val="21"/>
        </w:rPr>
        <w:t>提交投标文件截止时间：</w:t>
      </w:r>
      <w:r>
        <w:rPr>
          <w:rFonts w:hint="eastAsia" w:ascii="宋体" w:hAnsi="宋体" w:eastAsia="宋体" w:cs="宋体"/>
          <w:b w:val="0"/>
          <w:bCs w:val="0"/>
          <w:sz w:val="21"/>
          <w:szCs w:val="21"/>
        </w:rPr>
        <w:t>2022年12月19日09:00</w:t>
      </w:r>
      <w:r>
        <w:rPr>
          <w:rFonts w:hint="eastAsia"/>
          <w:bCs/>
          <w:szCs w:val="21"/>
        </w:rPr>
        <w:t>（北京时间）</w:t>
      </w:r>
    </w:p>
    <w:p>
      <w:pPr>
        <w:spacing w:line="360" w:lineRule="auto"/>
        <w:ind w:firstLine="420" w:firstLineChars="200"/>
        <w:rPr>
          <w:bCs/>
          <w:szCs w:val="21"/>
        </w:rPr>
      </w:pPr>
      <w:r>
        <w:rPr>
          <w:rFonts w:hint="eastAsia"/>
          <w:bCs/>
          <w:szCs w:val="21"/>
        </w:rPr>
        <w:t>投标地点（网址）：线上（政府采购云平台（www.zcygov.cn））</w:t>
      </w:r>
    </w:p>
    <w:p>
      <w:pPr>
        <w:spacing w:line="360" w:lineRule="auto"/>
        <w:ind w:firstLine="420" w:firstLineChars="200"/>
        <w:rPr>
          <w:rFonts w:ascii="宋体" w:hAnsi="宋体" w:cs="宋体"/>
          <w:szCs w:val="21"/>
        </w:rPr>
      </w:pPr>
      <w:r>
        <w:rPr>
          <w:rFonts w:hint="eastAsia"/>
          <w:bCs/>
          <w:szCs w:val="21"/>
        </w:rPr>
        <w:t>开标时间：</w:t>
      </w:r>
      <w:r>
        <w:rPr>
          <w:rFonts w:hint="eastAsia" w:ascii="宋体" w:hAnsi="宋体" w:eastAsia="宋体" w:cs="宋体"/>
          <w:b w:val="0"/>
          <w:bCs w:val="0"/>
          <w:sz w:val="21"/>
          <w:szCs w:val="21"/>
        </w:rPr>
        <w:t>2022年12月19日09:00</w:t>
      </w:r>
      <w:r>
        <w:rPr>
          <w:rFonts w:hint="eastAsia"/>
          <w:bCs/>
          <w:szCs w:val="21"/>
        </w:rPr>
        <w:t>（北京时间）</w:t>
      </w:r>
      <w:r>
        <w:rPr>
          <w:rFonts w:hint="eastAsia" w:ascii="宋体" w:hAnsi="宋体" w:cs="宋体"/>
          <w:szCs w:val="21"/>
        </w:rPr>
        <w:t xml:space="preserve">   </w:t>
      </w:r>
    </w:p>
    <w:p>
      <w:pPr>
        <w:spacing w:line="360" w:lineRule="auto"/>
        <w:ind w:firstLine="420" w:firstLineChars="200"/>
        <w:rPr>
          <w:bCs/>
          <w:szCs w:val="21"/>
        </w:rPr>
      </w:pPr>
      <w:r>
        <w:rPr>
          <w:rFonts w:hint="eastAsia"/>
          <w:bCs/>
          <w:szCs w:val="21"/>
        </w:rPr>
        <w:t>开标地点（网址）：线上（政府采购云平台（www.zcygov.cn））</w:t>
      </w:r>
    </w:p>
    <w:p>
      <w:pPr>
        <w:pStyle w:val="4"/>
        <w:spacing w:beforeLines="50" w:after="0" w:line="360" w:lineRule="auto"/>
        <w:rPr>
          <w:rFonts w:ascii="Times New Roman" w:hAnsi="Times New Roman" w:eastAsia="宋体"/>
          <w:b w:val="0"/>
          <w:sz w:val="21"/>
          <w:szCs w:val="21"/>
        </w:rPr>
      </w:pPr>
      <w:bookmarkStart w:id="37" w:name="_Toc109497172"/>
      <w:bookmarkStart w:id="38" w:name="_Toc7080"/>
      <w:r>
        <w:rPr>
          <w:rFonts w:ascii="Times New Roman" w:hAnsi="Times New Roman" w:eastAsia="宋体"/>
          <w:b w:val="0"/>
          <w:sz w:val="21"/>
          <w:szCs w:val="21"/>
        </w:rPr>
        <w:t>五、公告期限</w:t>
      </w:r>
      <w:bookmarkEnd w:id="33"/>
      <w:bookmarkEnd w:id="34"/>
      <w:bookmarkEnd w:id="35"/>
      <w:bookmarkEnd w:id="36"/>
      <w:bookmarkEnd w:id="37"/>
      <w:bookmarkEnd w:id="38"/>
    </w:p>
    <w:p>
      <w:pPr>
        <w:spacing w:line="360" w:lineRule="auto"/>
        <w:ind w:firstLine="420" w:firstLineChars="200"/>
        <w:rPr>
          <w:kern w:val="0"/>
          <w:szCs w:val="21"/>
        </w:rPr>
      </w:pPr>
      <w:r>
        <w:rPr>
          <w:kern w:val="0"/>
          <w:szCs w:val="21"/>
        </w:rPr>
        <w:t>自本公告发布之日起5个工作日。</w:t>
      </w:r>
    </w:p>
    <w:p>
      <w:pPr>
        <w:spacing w:line="360" w:lineRule="auto"/>
        <w:rPr>
          <w:szCs w:val="21"/>
        </w:rPr>
      </w:pPr>
      <w:bookmarkStart w:id="39" w:name="_Toc35393795"/>
      <w:bookmarkStart w:id="40" w:name="_Toc109497173"/>
      <w:bookmarkStart w:id="41" w:name="_Toc35393626"/>
      <w:r>
        <w:rPr>
          <w:szCs w:val="21"/>
        </w:rPr>
        <w:t>六、其他补充事宜</w:t>
      </w:r>
      <w:bookmarkEnd w:id="39"/>
      <w:bookmarkEnd w:id="40"/>
      <w:bookmarkEnd w:id="41"/>
    </w:p>
    <w:p>
      <w:pPr>
        <w:spacing w:line="360" w:lineRule="auto"/>
        <w:ind w:firstLine="420" w:firstLineChars="200"/>
        <w:rPr>
          <w:szCs w:val="21"/>
        </w:rPr>
      </w:pPr>
      <w:bookmarkStart w:id="42" w:name="_Toc109497174"/>
      <w:bookmarkStart w:id="43" w:name="_Toc35393627"/>
      <w:bookmarkStart w:id="44" w:name="_Toc28359008"/>
      <w:bookmarkStart w:id="45" w:name="_Toc28359085"/>
      <w:bookmarkStart w:id="46" w:name="_Toc35393796"/>
      <w:r>
        <w:rPr>
          <w:rFonts w:hint="eastAsia"/>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szCs w:val="21"/>
        </w:rPr>
      </w:pPr>
      <w:r>
        <w:rPr>
          <w:rFonts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szCs w:val="21"/>
        </w:rPr>
      </w:pPr>
      <w:r>
        <w:rPr>
          <w:rFonts w:hint="eastAsia"/>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szCs w:val="21"/>
        </w:rPr>
      </w:pPr>
      <w:r>
        <w:rPr>
          <w:rFonts w:hint="eastAsia"/>
          <w:szCs w:val="21"/>
        </w:rPr>
        <w:t>4.其他事项：</w:t>
      </w:r>
    </w:p>
    <w:p>
      <w:pPr>
        <w:spacing w:line="360" w:lineRule="auto"/>
        <w:ind w:firstLine="420" w:firstLineChars="200"/>
        <w:rPr>
          <w:szCs w:val="21"/>
        </w:rPr>
      </w:pPr>
      <w:r>
        <w:rPr>
          <w:rFonts w:hint="eastAsia"/>
          <w:szCs w:val="21"/>
        </w:rPr>
        <w:t>（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ind w:firstLine="420" w:firstLineChars="200"/>
        <w:rPr>
          <w:szCs w:val="21"/>
        </w:rPr>
      </w:pPr>
      <w:r>
        <w:rPr>
          <w:rFonts w:hint="eastAsia"/>
          <w:szCs w:val="21"/>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360" w:lineRule="auto"/>
        <w:ind w:firstLine="420" w:firstLineChars="200"/>
        <w:rPr>
          <w:szCs w:val="21"/>
        </w:rPr>
      </w:pPr>
      <w:r>
        <w:rPr>
          <w:rFonts w:hint="eastAsia"/>
          <w:szCs w:val="21"/>
        </w:rPr>
        <w:t>（3）单位负责人为同一人或者存在直接控股、管理关系的不同供应商，不得同时参加同一合同项下的投标。</w:t>
      </w:r>
    </w:p>
    <w:p>
      <w:pPr>
        <w:spacing w:line="360" w:lineRule="auto"/>
        <w:ind w:firstLine="420" w:firstLineChars="200"/>
        <w:rPr>
          <w:szCs w:val="21"/>
        </w:rPr>
      </w:pPr>
      <w:r>
        <w:rPr>
          <w:rFonts w:hint="eastAsia"/>
          <w:szCs w:val="21"/>
        </w:rPr>
        <w:t>（4）为项目提供整体设计、规范编制或者项目管理、监理、检测等服务的供应商，不得参加该项目的投标。</w:t>
      </w:r>
    </w:p>
    <w:p>
      <w:pPr>
        <w:spacing w:line="360" w:lineRule="auto"/>
        <w:ind w:firstLine="420" w:firstLineChars="200"/>
        <w:rPr>
          <w:szCs w:val="21"/>
        </w:rPr>
      </w:pPr>
      <w:r>
        <w:rPr>
          <w:rFonts w:hint="eastAsia"/>
          <w:szCs w:val="21"/>
        </w:rPr>
        <w:t>（5）本项目采购文件公告期限为本公告发布之日起5个工作日。</w:t>
      </w:r>
    </w:p>
    <w:p>
      <w:pPr>
        <w:spacing w:line="360" w:lineRule="auto"/>
        <w:ind w:firstLine="420" w:firstLineChars="200"/>
        <w:rPr>
          <w:szCs w:val="21"/>
        </w:rPr>
      </w:pPr>
      <w:r>
        <w:rPr>
          <w:rFonts w:hint="eastAsia"/>
          <w:szCs w:val="21"/>
        </w:rPr>
        <w:t>5、温州市政府采购信用融资意向银行选择表</w:t>
      </w:r>
    </w:p>
    <w:p>
      <w:pPr>
        <w:spacing w:line="360" w:lineRule="auto"/>
        <w:rPr>
          <w:szCs w:val="21"/>
        </w:rPr>
      </w:pPr>
      <w:r>
        <w:rPr>
          <w:rFonts w:hint="eastAsia"/>
          <w:szCs w:val="21"/>
        </w:rPr>
        <w:t>（温州市供应商填写）</w:t>
      </w:r>
    </w:p>
    <w:tbl>
      <w:tblPr>
        <w:tblStyle w:val="21"/>
        <w:tblW w:w="957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549"/>
        <w:gridCol w:w="1593"/>
        <w:gridCol w:w="2709"/>
        <w:gridCol w:w="8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tcBorders>
              <w:tl2br w:val="nil"/>
              <w:tr2bl w:val="nil"/>
            </w:tcBorders>
            <w:vAlign w:val="center"/>
          </w:tcPr>
          <w:p>
            <w:pPr>
              <w:jc w:val="center"/>
            </w:pPr>
            <w:r>
              <w:rPr>
                <w:rFonts w:hint="eastAsia"/>
              </w:rPr>
              <w:t>企业名称</w:t>
            </w:r>
          </w:p>
        </w:tc>
        <w:tc>
          <w:tcPr>
            <w:tcW w:w="7704" w:type="dxa"/>
            <w:gridSpan w:val="4"/>
            <w:tcBorders>
              <w:tl2br w:val="nil"/>
              <w:tr2bl w:val="nil"/>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tcBorders>
              <w:tl2br w:val="nil"/>
              <w:tr2bl w:val="nil"/>
            </w:tcBorders>
            <w:vAlign w:val="center"/>
          </w:tcPr>
          <w:p>
            <w:pPr>
              <w:jc w:val="center"/>
            </w:pPr>
            <w:r>
              <w:rPr>
                <w:rFonts w:hint="eastAsia"/>
              </w:rPr>
              <w:t>企业注册地</w:t>
            </w:r>
          </w:p>
        </w:tc>
        <w:tc>
          <w:tcPr>
            <w:tcW w:w="4142" w:type="dxa"/>
            <w:gridSpan w:val="2"/>
            <w:tcBorders>
              <w:tl2br w:val="nil"/>
              <w:tr2bl w:val="nil"/>
            </w:tcBorders>
            <w:vAlign w:val="center"/>
          </w:tcPr>
          <w:p>
            <w:pPr>
              <w:jc w:val="center"/>
            </w:pPr>
          </w:p>
        </w:tc>
        <w:tc>
          <w:tcPr>
            <w:tcW w:w="2709" w:type="dxa"/>
            <w:tcBorders>
              <w:tl2br w:val="nil"/>
              <w:tr2bl w:val="nil"/>
            </w:tcBorders>
            <w:vAlign w:val="center"/>
          </w:tcPr>
          <w:p>
            <w:pPr>
              <w:jc w:val="center"/>
            </w:pPr>
            <w:r>
              <w:rPr>
                <w:rFonts w:hint="eastAsia"/>
              </w:rPr>
              <w:t>是否有融资意向</w:t>
            </w:r>
          </w:p>
        </w:tc>
        <w:tc>
          <w:tcPr>
            <w:tcW w:w="853" w:type="dxa"/>
            <w:tcBorders>
              <w:tl2br w:val="nil"/>
              <w:tr2bl w:val="nil"/>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tcBorders>
              <w:tl2br w:val="nil"/>
              <w:tr2bl w:val="nil"/>
            </w:tcBorders>
            <w:vAlign w:val="center"/>
          </w:tcPr>
          <w:p>
            <w:pPr>
              <w:jc w:val="center"/>
            </w:pPr>
            <w:r>
              <w:rPr>
                <w:rFonts w:hint="eastAsia"/>
              </w:rPr>
              <w:t>融资联系人</w:t>
            </w:r>
          </w:p>
        </w:tc>
        <w:tc>
          <w:tcPr>
            <w:tcW w:w="2549" w:type="dxa"/>
            <w:tcBorders>
              <w:tl2br w:val="nil"/>
              <w:tr2bl w:val="nil"/>
            </w:tcBorders>
            <w:vAlign w:val="center"/>
          </w:tcPr>
          <w:p>
            <w:pPr>
              <w:jc w:val="center"/>
            </w:pPr>
          </w:p>
        </w:tc>
        <w:tc>
          <w:tcPr>
            <w:tcW w:w="1593" w:type="dxa"/>
            <w:tcBorders>
              <w:tl2br w:val="nil"/>
              <w:tr2bl w:val="nil"/>
            </w:tcBorders>
            <w:vAlign w:val="center"/>
          </w:tcPr>
          <w:p>
            <w:pPr>
              <w:jc w:val="center"/>
            </w:pPr>
            <w:r>
              <w:rPr>
                <w:rFonts w:hint="eastAsia"/>
              </w:rPr>
              <w:t>联系方式</w:t>
            </w:r>
          </w:p>
        </w:tc>
        <w:tc>
          <w:tcPr>
            <w:tcW w:w="3562" w:type="dxa"/>
            <w:gridSpan w:val="2"/>
            <w:tcBorders>
              <w:tl2br w:val="nil"/>
              <w:tr2bl w:val="nil"/>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017" w:type="dxa"/>
            <w:gridSpan w:val="3"/>
            <w:tcBorders>
              <w:tl2br w:val="nil"/>
              <w:tr2bl w:val="nil"/>
            </w:tcBorders>
            <w:vAlign w:val="center"/>
          </w:tcPr>
          <w:p>
            <w:r>
              <w:rPr>
                <w:rFonts w:hint="eastAsia"/>
              </w:rPr>
              <w:t>温州市政府采购信用融资合作银行</w:t>
            </w:r>
          </w:p>
        </w:tc>
        <w:tc>
          <w:tcPr>
            <w:tcW w:w="3562" w:type="dxa"/>
            <w:gridSpan w:val="2"/>
            <w:tcBorders>
              <w:tl2br w:val="nil"/>
              <w:tr2bl w:val="nil"/>
            </w:tcBorders>
            <w:vAlign w:val="center"/>
          </w:tcPr>
          <w:p>
            <w:r>
              <w:rPr>
                <w:rFonts w:hint="eastAsia"/>
              </w:rPr>
              <w:t>选择作为意向融资银行（可多选）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温州银行股份有限公司温州分行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温州银行股份有限公司鹿城分行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中国工商银行股份有限公司温州分行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17" w:type="dxa"/>
            <w:gridSpan w:val="3"/>
            <w:tcBorders>
              <w:tl2br w:val="nil"/>
              <w:tr2bl w:val="nil"/>
            </w:tcBorders>
            <w:vAlign w:val="center"/>
          </w:tcPr>
          <w:p>
            <w:r>
              <w:rPr>
                <w:rFonts w:hint="eastAsia"/>
              </w:rPr>
              <w:t>中国建设银行股份有限公司温州分行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中国邮政储蓄银行股份有限公司温州市分行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中国民生银行股份有限公司温州分行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宁波银行股份有限公司温州分行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杭州银行股份有限公司温州分行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招商银行股份有限公司温州分行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兴业银行股份有限公司温州分行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vAlign w:val="center"/>
          </w:tcPr>
          <w:p>
            <w:r>
              <w:rPr>
                <w:rFonts w:hint="eastAsia"/>
              </w:rPr>
              <w:t>交通银行股份有限公司温州分行</w:t>
            </w:r>
          </w:p>
        </w:tc>
        <w:tc>
          <w:tcPr>
            <w:tcW w:w="3562" w:type="dxa"/>
            <w:gridSpan w:val="2"/>
            <w:tcBorders>
              <w:tl2br w:val="nil"/>
              <w:tr2bl w:val="nil"/>
            </w:tcBorders>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017" w:type="dxa"/>
            <w:gridSpan w:val="3"/>
            <w:tcBorders>
              <w:tl2br w:val="nil"/>
              <w:tr2bl w:val="nil"/>
            </w:tcBorders>
            <w:vAlign w:val="center"/>
          </w:tcPr>
          <w:p>
            <w:r>
              <w:rPr>
                <w:rFonts w:hint="eastAsia"/>
              </w:rPr>
              <w:t>上海浦东发展银行股份有限公司温州分行</w:t>
            </w:r>
          </w:p>
        </w:tc>
        <w:tc>
          <w:tcPr>
            <w:tcW w:w="3562" w:type="dxa"/>
            <w:gridSpan w:val="2"/>
            <w:tcBorders>
              <w:tl2br w:val="nil"/>
              <w:tr2bl w:val="nil"/>
            </w:tcBorders>
            <w:vAlign w:val="center"/>
          </w:tcPr>
          <w:p/>
        </w:tc>
      </w:tr>
    </w:tbl>
    <w:p>
      <w:pPr>
        <w:spacing w:line="360" w:lineRule="auto"/>
        <w:rPr>
          <w:szCs w:val="21"/>
        </w:rPr>
      </w:pPr>
      <w:r>
        <w:rPr>
          <w:rFonts w:hint="eastAsia"/>
          <w:szCs w:val="21"/>
        </w:rPr>
        <w:t>注：1、本表填写对象为注册地在温州市域内的供应商。</w:t>
      </w:r>
    </w:p>
    <w:p>
      <w:pPr>
        <w:spacing w:line="360" w:lineRule="auto"/>
        <w:ind w:firstLine="420" w:firstLineChars="200"/>
        <w:rPr>
          <w:szCs w:val="21"/>
        </w:rPr>
      </w:pPr>
      <w:r>
        <w:rPr>
          <w:rFonts w:hint="eastAsia"/>
          <w:szCs w:val="21"/>
        </w:rPr>
        <w:t>财政部门根据企业自行选择，将本表及企业相关信息推送至相对应的融资意向银行经办人。供应商填表后发送至racgb@126.com</w:t>
      </w:r>
    </w:p>
    <w:p>
      <w:pPr>
        <w:spacing w:line="360" w:lineRule="auto"/>
        <w:rPr>
          <w:szCs w:val="21"/>
        </w:rPr>
      </w:pPr>
      <w:r>
        <w:rPr>
          <w:szCs w:val="21"/>
        </w:rPr>
        <w:t>七、对本次招标提出询问、质疑、投诉，请按以下方式联系</w:t>
      </w:r>
      <w:bookmarkEnd w:id="42"/>
      <w:bookmarkEnd w:id="43"/>
      <w:bookmarkEnd w:id="44"/>
      <w:bookmarkEnd w:id="45"/>
      <w:bookmarkEnd w:id="46"/>
    </w:p>
    <w:p>
      <w:pPr>
        <w:widowControl/>
        <w:spacing w:line="360" w:lineRule="auto"/>
        <w:ind w:firstLine="420" w:firstLineChars="200"/>
        <w:jc w:val="left"/>
        <w:rPr>
          <w:szCs w:val="21"/>
        </w:rPr>
      </w:pPr>
      <w:r>
        <w:rPr>
          <w:rFonts w:hint="eastAsia"/>
          <w:szCs w:val="21"/>
        </w:rPr>
        <w:t>1、</w:t>
      </w:r>
      <w:r>
        <w:rPr>
          <w:szCs w:val="21"/>
        </w:rPr>
        <w:t>采购人信息</w:t>
      </w:r>
    </w:p>
    <w:p>
      <w:pPr>
        <w:spacing w:line="360" w:lineRule="auto"/>
        <w:ind w:firstLine="630" w:firstLineChars="300"/>
        <w:rPr>
          <w:szCs w:val="21"/>
        </w:rPr>
      </w:pPr>
      <w:bookmarkStart w:id="47" w:name="_Toc28359009"/>
      <w:bookmarkStart w:id="48" w:name="_Toc28359086"/>
      <w:r>
        <w:rPr>
          <w:szCs w:val="21"/>
        </w:rPr>
        <w:t xml:space="preserve">名  </w:t>
      </w:r>
      <w:r>
        <w:rPr>
          <w:rFonts w:hint="eastAsia"/>
          <w:szCs w:val="21"/>
        </w:rPr>
        <w:t xml:space="preserve">    </w:t>
      </w:r>
      <w:r>
        <w:rPr>
          <w:szCs w:val="21"/>
        </w:rPr>
        <w:t>称：</w:t>
      </w:r>
      <w:r>
        <w:rPr>
          <w:rFonts w:hint="eastAsia"/>
          <w:szCs w:val="21"/>
        </w:rPr>
        <w:t>瑞安市妇幼保健院</w:t>
      </w:r>
    </w:p>
    <w:p>
      <w:pPr>
        <w:spacing w:line="360" w:lineRule="auto"/>
        <w:ind w:firstLine="630" w:firstLineChars="300"/>
        <w:rPr>
          <w:szCs w:val="21"/>
        </w:rPr>
      </w:pPr>
      <w:r>
        <w:rPr>
          <w:szCs w:val="21"/>
        </w:rPr>
        <w:t xml:space="preserve">地  </w:t>
      </w:r>
      <w:r>
        <w:rPr>
          <w:rFonts w:hint="eastAsia"/>
          <w:szCs w:val="21"/>
        </w:rPr>
        <w:t xml:space="preserve">    </w:t>
      </w:r>
      <w:r>
        <w:rPr>
          <w:szCs w:val="21"/>
        </w:rPr>
        <w:t>址：</w:t>
      </w:r>
      <w:r>
        <w:rPr>
          <w:rFonts w:hint="eastAsia"/>
          <w:szCs w:val="21"/>
        </w:rPr>
        <w:t>瑞安市万松东路521号</w:t>
      </w:r>
    </w:p>
    <w:p>
      <w:pPr>
        <w:spacing w:line="360" w:lineRule="auto"/>
        <w:ind w:firstLine="630" w:firstLineChars="300"/>
        <w:rPr>
          <w:szCs w:val="21"/>
        </w:rPr>
      </w:pPr>
      <w:r>
        <w:rPr>
          <w:szCs w:val="21"/>
        </w:rPr>
        <w:t>传</w:t>
      </w:r>
      <w:r>
        <w:rPr>
          <w:rFonts w:hint="eastAsia"/>
          <w:szCs w:val="21"/>
        </w:rPr>
        <w:t xml:space="preserve">      </w:t>
      </w:r>
      <w:r>
        <w:rPr>
          <w:szCs w:val="21"/>
        </w:rPr>
        <w:t xml:space="preserve">真：/    </w:t>
      </w:r>
      <w:r>
        <w:rPr>
          <w:rFonts w:hint="eastAsia"/>
          <w:szCs w:val="21"/>
        </w:rPr>
        <w:t xml:space="preserve">  </w:t>
      </w:r>
      <w:r>
        <w:rPr>
          <w:szCs w:val="21"/>
        </w:rPr>
        <w:t> </w:t>
      </w:r>
    </w:p>
    <w:p>
      <w:pPr>
        <w:spacing w:line="360" w:lineRule="auto"/>
        <w:ind w:firstLine="630" w:firstLineChars="300"/>
        <w:rPr>
          <w:szCs w:val="21"/>
        </w:rPr>
      </w:pPr>
      <w:r>
        <w:rPr>
          <w:szCs w:val="21"/>
        </w:rPr>
        <w:t>项目联系人（询问）：</w:t>
      </w:r>
      <w:r>
        <w:rPr>
          <w:rFonts w:hint="eastAsia"/>
          <w:szCs w:val="21"/>
        </w:rPr>
        <w:t>陈镇国</w:t>
      </w:r>
    </w:p>
    <w:p>
      <w:pPr>
        <w:spacing w:line="360" w:lineRule="auto"/>
        <w:ind w:firstLine="630" w:firstLineChars="300"/>
        <w:rPr>
          <w:szCs w:val="21"/>
        </w:rPr>
      </w:pPr>
      <w:r>
        <w:rPr>
          <w:szCs w:val="21"/>
        </w:rPr>
        <w:t>项目联系方式（询问）：</w:t>
      </w:r>
      <w:r>
        <w:rPr>
          <w:rFonts w:hint="eastAsia"/>
          <w:szCs w:val="21"/>
        </w:rPr>
        <w:t>0577-58815090</w:t>
      </w:r>
    </w:p>
    <w:p>
      <w:pPr>
        <w:spacing w:line="360" w:lineRule="auto"/>
        <w:ind w:firstLine="630" w:firstLineChars="300"/>
        <w:rPr>
          <w:szCs w:val="21"/>
        </w:rPr>
      </w:pPr>
      <w:r>
        <w:rPr>
          <w:szCs w:val="21"/>
        </w:rPr>
        <w:t>质疑联系人：</w:t>
      </w:r>
      <w:r>
        <w:rPr>
          <w:rFonts w:hint="eastAsia"/>
          <w:szCs w:val="21"/>
        </w:rPr>
        <w:t>陈孝祥</w:t>
      </w:r>
    </w:p>
    <w:p>
      <w:pPr>
        <w:spacing w:line="360" w:lineRule="auto"/>
        <w:ind w:firstLine="630" w:firstLineChars="300"/>
        <w:rPr>
          <w:szCs w:val="21"/>
        </w:rPr>
      </w:pPr>
      <w:r>
        <w:rPr>
          <w:szCs w:val="21"/>
        </w:rPr>
        <w:t>质疑联系方式：</w:t>
      </w:r>
      <w:r>
        <w:rPr>
          <w:rFonts w:hint="eastAsia"/>
          <w:szCs w:val="21"/>
        </w:rPr>
        <w:t>13705781902</w:t>
      </w:r>
    </w:p>
    <w:p>
      <w:pPr>
        <w:spacing w:line="360" w:lineRule="auto"/>
        <w:ind w:firstLine="420" w:firstLineChars="200"/>
        <w:jc w:val="left"/>
        <w:rPr>
          <w:szCs w:val="21"/>
        </w:rPr>
      </w:pPr>
      <w:r>
        <w:rPr>
          <w:rFonts w:hint="eastAsia"/>
          <w:szCs w:val="21"/>
        </w:rPr>
        <w:t>2、</w:t>
      </w:r>
      <w:r>
        <w:rPr>
          <w:szCs w:val="21"/>
        </w:rPr>
        <w:t>采购代理机构信息</w:t>
      </w:r>
      <w:bookmarkEnd w:id="47"/>
      <w:bookmarkEnd w:id="48"/>
    </w:p>
    <w:p>
      <w:pPr>
        <w:spacing w:line="360" w:lineRule="auto"/>
        <w:ind w:firstLine="630" w:firstLineChars="300"/>
        <w:rPr>
          <w:szCs w:val="21"/>
        </w:rPr>
      </w:pPr>
      <w:r>
        <w:rPr>
          <w:szCs w:val="21"/>
        </w:rPr>
        <w:t xml:space="preserve">名  </w:t>
      </w:r>
      <w:r>
        <w:rPr>
          <w:rFonts w:hint="eastAsia"/>
          <w:szCs w:val="21"/>
        </w:rPr>
        <w:t xml:space="preserve"> </w:t>
      </w:r>
      <w:r>
        <w:rPr>
          <w:szCs w:val="21"/>
        </w:rPr>
        <w:t>称：</w:t>
      </w:r>
      <w:r>
        <w:rPr>
          <w:rFonts w:hint="eastAsia"/>
          <w:szCs w:val="21"/>
        </w:rPr>
        <w:t>浙江信诚项目管理有限公司</w:t>
      </w:r>
    </w:p>
    <w:p>
      <w:pPr>
        <w:spacing w:line="360" w:lineRule="auto"/>
        <w:ind w:firstLine="630" w:firstLineChars="300"/>
        <w:rPr>
          <w:szCs w:val="21"/>
        </w:rPr>
      </w:pPr>
      <w:r>
        <w:rPr>
          <w:szCs w:val="21"/>
        </w:rPr>
        <w:t xml:space="preserve">地  </w:t>
      </w:r>
      <w:r>
        <w:rPr>
          <w:rFonts w:hint="eastAsia"/>
          <w:szCs w:val="21"/>
        </w:rPr>
        <w:t xml:space="preserve"> </w:t>
      </w:r>
      <w:r>
        <w:rPr>
          <w:szCs w:val="21"/>
        </w:rPr>
        <w:t>址：</w:t>
      </w:r>
      <w:r>
        <w:rPr>
          <w:rFonts w:hint="eastAsia"/>
          <w:szCs w:val="21"/>
        </w:rPr>
        <w:t>瑞安经济开发区朝阳路555号</w:t>
      </w:r>
    </w:p>
    <w:p>
      <w:pPr>
        <w:spacing w:line="360" w:lineRule="auto"/>
        <w:ind w:firstLine="630" w:firstLineChars="300"/>
      </w:pPr>
      <w:r>
        <w:t>传    真：</w:t>
      </w:r>
      <w:r>
        <w:rPr>
          <w:rFonts w:hint="eastAsia"/>
        </w:rPr>
        <w:t>0577-</w:t>
      </w:r>
      <w:r>
        <w:t>65921160</w:t>
      </w:r>
    </w:p>
    <w:p>
      <w:pPr>
        <w:spacing w:line="360" w:lineRule="auto"/>
        <w:ind w:firstLine="630" w:firstLineChars="300"/>
        <w:jc w:val="left"/>
        <w:rPr>
          <w:rFonts w:hint="eastAsia" w:eastAsia="宋体"/>
          <w:szCs w:val="21"/>
          <w:highlight w:val="none"/>
          <w:shd w:val="clear"/>
          <w:lang w:val="en-US" w:eastAsia="zh-CN"/>
        </w:rPr>
      </w:pPr>
      <w:bookmarkStart w:id="49" w:name="_Toc28359087"/>
      <w:bookmarkStart w:id="50" w:name="_Toc28359010"/>
      <w:r>
        <w:rPr>
          <w:szCs w:val="21"/>
        </w:rPr>
        <w:t>项目联系人（询问）：</w:t>
      </w:r>
      <w:r>
        <w:rPr>
          <w:rFonts w:hint="eastAsia"/>
          <w:spacing w:val="-4"/>
          <w:szCs w:val="21"/>
          <w:highlight w:val="none"/>
          <w:shd w:val="clear"/>
        </w:rPr>
        <w:t>赵</w:t>
      </w:r>
      <w:r>
        <w:rPr>
          <w:rFonts w:hint="eastAsia"/>
          <w:spacing w:val="-4"/>
          <w:szCs w:val="21"/>
          <w:highlight w:val="none"/>
          <w:shd w:val="clear"/>
          <w:lang w:val="en-US" w:eastAsia="zh-CN"/>
        </w:rPr>
        <w:t>女士</w:t>
      </w:r>
    </w:p>
    <w:p>
      <w:pPr>
        <w:spacing w:line="360" w:lineRule="auto"/>
        <w:ind w:firstLine="630" w:firstLineChars="300"/>
        <w:jc w:val="left"/>
        <w:rPr>
          <w:szCs w:val="21"/>
          <w:u w:val="single"/>
        </w:rPr>
      </w:pPr>
      <w:r>
        <w:rPr>
          <w:szCs w:val="21"/>
        </w:rPr>
        <w:t>项目联系方式（询问）：</w:t>
      </w:r>
      <w:r>
        <w:rPr>
          <w:rFonts w:hint="eastAsia"/>
          <w:spacing w:val="-4"/>
          <w:szCs w:val="21"/>
        </w:rPr>
        <w:t>17826851140</w:t>
      </w:r>
    </w:p>
    <w:p>
      <w:pPr>
        <w:spacing w:line="360" w:lineRule="auto"/>
        <w:ind w:firstLine="630" w:firstLineChars="300"/>
        <w:jc w:val="left"/>
        <w:rPr>
          <w:szCs w:val="21"/>
        </w:rPr>
      </w:pPr>
      <w:r>
        <w:rPr>
          <w:szCs w:val="21"/>
        </w:rPr>
        <w:t>质疑联系人：</w:t>
      </w:r>
      <w:r>
        <w:rPr>
          <w:rFonts w:hint="eastAsia"/>
          <w:szCs w:val="21"/>
        </w:rPr>
        <w:t>周剑辉</w:t>
      </w:r>
    </w:p>
    <w:p>
      <w:pPr>
        <w:spacing w:line="360" w:lineRule="auto"/>
        <w:ind w:firstLine="630" w:firstLineChars="300"/>
        <w:jc w:val="left"/>
        <w:rPr>
          <w:szCs w:val="21"/>
          <w:highlight w:val="yellow"/>
        </w:rPr>
      </w:pPr>
      <w:r>
        <w:rPr>
          <w:szCs w:val="21"/>
        </w:rPr>
        <w:t>质疑联系方式：</w:t>
      </w:r>
      <w:r>
        <w:rPr>
          <w:rFonts w:hint="eastAsia"/>
          <w:spacing w:val="-4"/>
          <w:szCs w:val="21"/>
        </w:rPr>
        <w:t>13587520018</w:t>
      </w:r>
    </w:p>
    <w:bookmarkEnd w:id="49"/>
    <w:bookmarkEnd w:id="50"/>
    <w:p>
      <w:pPr>
        <w:spacing w:line="360" w:lineRule="auto"/>
        <w:ind w:firstLine="420" w:firstLineChars="200"/>
        <w:rPr>
          <w:szCs w:val="21"/>
        </w:rPr>
      </w:pPr>
      <w:r>
        <w:rPr>
          <w:szCs w:val="21"/>
        </w:rPr>
        <w:t>3</w:t>
      </w:r>
      <w:r>
        <w:rPr>
          <w:rFonts w:hint="eastAsia"/>
          <w:szCs w:val="21"/>
        </w:rPr>
        <w:t>、</w:t>
      </w:r>
      <w:r>
        <w:rPr>
          <w:szCs w:val="21"/>
        </w:rPr>
        <w:t>同级政府采购监督管理部门</w:t>
      </w:r>
    </w:p>
    <w:p>
      <w:pPr>
        <w:spacing w:line="360" w:lineRule="auto"/>
        <w:ind w:firstLine="630" w:firstLineChars="300"/>
        <w:rPr>
          <w:szCs w:val="21"/>
        </w:rPr>
      </w:pPr>
      <w:r>
        <w:rPr>
          <w:rFonts w:hint="eastAsia"/>
          <w:szCs w:val="21"/>
        </w:rPr>
        <w:t>名    称：瑞安市财政局政府采购监管科</w:t>
      </w:r>
    </w:p>
    <w:p>
      <w:pPr>
        <w:spacing w:line="360" w:lineRule="auto"/>
        <w:ind w:firstLine="630" w:firstLineChars="300"/>
        <w:rPr>
          <w:szCs w:val="21"/>
        </w:rPr>
      </w:pPr>
      <w:r>
        <w:rPr>
          <w:rFonts w:hint="eastAsia"/>
          <w:szCs w:val="21"/>
        </w:rPr>
        <w:t>地    址：瑞安市财税大楼1505室  </w:t>
      </w:r>
    </w:p>
    <w:p>
      <w:pPr>
        <w:spacing w:line="360" w:lineRule="auto"/>
        <w:ind w:firstLine="630" w:firstLineChars="300"/>
        <w:rPr>
          <w:szCs w:val="21"/>
        </w:rPr>
      </w:pPr>
      <w:r>
        <w:rPr>
          <w:rFonts w:hint="eastAsia"/>
          <w:szCs w:val="21"/>
        </w:rPr>
        <w:t>传    真：0577-65827570</w:t>
      </w:r>
    </w:p>
    <w:p>
      <w:pPr>
        <w:spacing w:line="360" w:lineRule="auto"/>
        <w:ind w:firstLine="630" w:firstLineChars="300"/>
        <w:rPr>
          <w:szCs w:val="21"/>
        </w:rPr>
      </w:pPr>
      <w:r>
        <w:rPr>
          <w:rFonts w:hint="eastAsia"/>
          <w:szCs w:val="21"/>
        </w:rPr>
        <w:t>联系人 ：张先生 </w:t>
      </w:r>
    </w:p>
    <w:p>
      <w:pPr>
        <w:spacing w:line="360" w:lineRule="auto"/>
        <w:ind w:firstLine="630" w:firstLineChars="300"/>
        <w:rPr>
          <w:spacing w:val="-4"/>
          <w:szCs w:val="21"/>
        </w:rPr>
      </w:pPr>
      <w:r>
        <w:rPr>
          <w:rFonts w:hint="eastAsia"/>
          <w:szCs w:val="21"/>
        </w:rPr>
        <w:t>监督投诉电话：0577-65827567</w:t>
      </w:r>
    </w:p>
    <w:p>
      <w:pPr>
        <w:spacing w:line="360" w:lineRule="auto"/>
        <w:ind w:firstLine="404" w:firstLineChars="200"/>
        <w:rPr>
          <w:b/>
          <w:bCs/>
          <w:sz w:val="30"/>
          <w:szCs w:val="30"/>
        </w:rPr>
      </w:pPr>
      <w:r>
        <w:rPr>
          <w:spacing w:val="-4"/>
          <w:szCs w:val="21"/>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bookmarkStart w:id="51" w:name="_Toc109497176"/>
    </w:p>
    <w:p>
      <w:pPr>
        <w:snapToGrid w:val="0"/>
        <w:spacing w:beforeLines="50" w:afterLines="50" w:line="360" w:lineRule="auto"/>
        <w:ind w:left="238"/>
        <w:jc w:val="center"/>
        <w:outlineLvl w:val="0"/>
        <w:rPr>
          <w:b/>
          <w:sz w:val="28"/>
          <w:szCs w:val="28"/>
        </w:rPr>
      </w:pPr>
      <w:bookmarkStart w:id="52" w:name="_Toc19630"/>
      <w:r>
        <w:rPr>
          <w:rFonts w:hint="eastAsia"/>
          <w:b/>
          <w:bCs/>
          <w:sz w:val="30"/>
          <w:szCs w:val="30"/>
        </w:rPr>
        <w:t>供应商</w:t>
      </w:r>
      <w:r>
        <w:rPr>
          <w:b/>
          <w:bCs/>
          <w:sz w:val="30"/>
          <w:szCs w:val="30"/>
        </w:rPr>
        <w:t>须知</w:t>
      </w:r>
      <w:r>
        <w:rPr>
          <w:b/>
          <w:sz w:val="28"/>
          <w:szCs w:val="28"/>
        </w:rPr>
        <w:t>前附表</w:t>
      </w:r>
      <w:bookmarkEnd w:id="51"/>
      <w:bookmarkEnd w:id="52"/>
    </w:p>
    <w:tbl>
      <w:tblPr>
        <w:tblStyle w:val="21"/>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767" w:type="dxa"/>
            <w:vAlign w:val="center"/>
          </w:tcPr>
          <w:p>
            <w:pPr>
              <w:jc w:val="center"/>
              <w:rPr>
                <w:b/>
                <w:bCs/>
              </w:rPr>
            </w:pPr>
            <w:r>
              <w:rPr>
                <w:rFonts w:hint="eastAsia"/>
                <w:b/>
                <w:bCs/>
              </w:rPr>
              <w:t>序号</w:t>
            </w:r>
          </w:p>
        </w:tc>
        <w:tc>
          <w:tcPr>
            <w:tcW w:w="1830" w:type="dxa"/>
            <w:vAlign w:val="center"/>
          </w:tcPr>
          <w:p>
            <w:pPr>
              <w:jc w:val="center"/>
              <w:rPr>
                <w:b/>
                <w:bCs/>
              </w:rPr>
            </w:pPr>
            <w:r>
              <w:rPr>
                <w:b/>
                <w:bCs/>
              </w:rPr>
              <w:t>名称</w:t>
            </w:r>
          </w:p>
        </w:tc>
        <w:tc>
          <w:tcPr>
            <w:tcW w:w="6604" w:type="dxa"/>
            <w:vAlign w:val="center"/>
          </w:tcPr>
          <w:p>
            <w:pPr>
              <w:jc w:val="center"/>
              <w:rPr>
                <w:b/>
                <w:bCs/>
              </w:rPr>
            </w:pPr>
            <w:r>
              <w:rPr>
                <w:b/>
                <w:bCs/>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33" w:hRule="atLeast"/>
          <w:jc w:val="center"/>
        </w:trPr>
        <w:tc>
          <w:tcPr>
            <w:tcW w:w="767" w:type="dxa"/>
            <w:vAlign w:val="center"/>
          </w:tcPr>
          <w:p>
            <w:pPr>
              <w:jc w:val="center"/>
            </w:pPr>
            <w:r>
              <w:rPr>
                <w:rFonts w:hint="eastAsia"/>
              </w:rPr>
              <w:t>1</w:t>
            </w:r>
          </w:p>
        </w:tc>
        <w:tc>
          <w:tcPr>
            <w:tcW w:w="1830" w:type="dxa"/>
            <w:vAlign w:val="center"/>
          </w:tcPr>
          <w:p>
            <w:pPr>
              <w:jc w:val="center"/>
            </w:pPr>
            <w:r>
              <w:t>采购人</w:t>
            </w:r>
          </w:p>
        </w:tc>
        <w:tc>
          <w:tcPr>
            <w:tcW w:w="6604" w:type="dxa"/>
            <w:vAlign w:val="center"/>
          </w:tcPr>
          <w:p>
            <w:r>
              <w:t>采购人：</w:t>
            </w:r>
            <w:r>
              <w:rPr>
                <w:rFonts w:hint="eastAsia"/>
              </w:rPr>
              <w:t>瑞安市妇幼保健院</w:t>
            </w:r>
          </w:p>
          <w:p>
            <w:r>
              <w:t>采购人地址：</w:t>
            </w:r>
            <w:r>
              <w:rPr>
                <w:rFonts w:hint="eastAsia"/>
              </w:rPr>
              <w:t>瑞安市万松东路521号</w:t>
            </w:r>
          </w:p>
          <w:p>
            <w:r>
              <w:t>联系人：</w:t>
            </w:r>
            <w:r>
              <w:rPr>
                <w:rFonts w:hint="eastAsia"/>
              </w:rPr>
              <w:t>陈先生</w:t>
            </w:r>
          </w:p>
          <w:p>
            <w:pPr>
              <w:rPr>
                <w:color w:val="000000"/>
              </w:rPr>
            </w:pPr>
            <w:r>
              <w:t>联系电话：</w:t>
            </w:r>
            <w:r>
              <w:rPr>
                <w:rFonts w:hint="eastAsia"/>
              </w:rPr>
              <w:t>0577-58815090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7" w:hRule="atLeast"/>
          <w:jc w:val="center"/>
        </w:trPr>
        <w:tc>
          <w:tcPr>
            <w:tcW w:w="767" w:type="dxa"/>
            <w:vAlign w:val="center"/>
          </w:tcPr>
          <w:p>
            <w:pPr>
              <w:jc w:val="center"/>
            </w:pPr>
            <w:r>
              <w:rPr>
                <w:rFonts w:hint="eastAsia"/>
              </w:rPr>
              <w:t>2</w:t>
            </w:r>
          </w:p>
        </w:tc>
        <w:tc>
          <w:tcPr>
            <w:tcW w:w="1830" w:type="dxa"/>
            <w:vAlign w:val="center"/>
          </w:tcPr>
          <w:p>
            <w:pPr>
              <w:jc w:val="center"/>
            </w:pPr>
            <w:r>
              <w:t>采购代理机构</w:t>
            </w:r>
          </w:p>
        </w:tc>
        <w:tc>
          <w:tcPr>
            <w:tcW w:w="6604" w:type="dxa"/>
            <w:vAlign w:val="center"/>
          </w:tcPr>
          <w:p>
            <w:pPr>
              <w:pStyle w:val="34"/>
              <w:snapToGrid w:val="0"/>
              <w:spacing w:line="240" w:lineRule="auto"/>
              <w:ind w:firstLine="0" w:firstLineChars="0"/>
              <w:rPr>
                <w:rFonts w:ascii="Times New Roman" w:hAnsi="Times New Roman"/>
                <w:color w:val="000000"/>
              </w:rPr>
            </w:pPr>
            <w:r>
              <w:rPr>
                <w:rFonts w:ascii="Times New Roman" w:hAnsi="Times New Roman"/>
                <w:color w:val="000000"/>
              </w:rPr>
              <w:t>名称：</w:t>
            </w:r>
            <w:r>
              <w:rPr>
                <w:rFonts w:hint="eastAsia"/>
                <w:szCs w:val="21"/>
              </w:rPr>
              <w:t>浙江信诚项目管理有限公司</w:t>
            </w:r>
          </w:p>
          <w:p>
            <w:pPr>
              <w:pStyle w:val="34"/>
              <w:snapToGrid w:val="0"/>
              <w:spacing w:line="240" w:lineRule="auto"/>
              <w:ind w:firstLine="0" w:firstLineChars="0"/>
              <w:rPr>
                <w:rFonts w:ascii="Times New Roman" w:hAnsi="Times New Roman"/>
                <w:color w:val="000000"/>
                <w:highlight w:val="none"/>
              </w:rPr>
            </w:pPr>
            <w:r>
              <w:rPr>
                <w:rFonts w:ascii="Times New Roman" w:hAnsi="Times New Roman"/>
                <w:color w:val="000000"/>
              </w:rPr>
              <w:t>地址</w:t>
            </w:r>
            <w:r>
              <w:rPr>
                <w:rFonts w:ascii="Times New Roman" w:hAnsi="Times New Roman"/>
                <w:color w:val="000000"/>
                <w:highlight w:val="none"/>
              </w:rPr>
              <w:t>：</w:t>
            </w:r>
            <w:r>
              <w:rPr>
                <w:rFonts w:hint="eastAsia"/>
                <w:szCs w:val="21"/>
                <w:highlight w:val="none"/>
              </w:rPr>
              <w:t>瑞安经济开发区朝阳路555号</w:t>
            </w:r>
          </w:p>
          <w:p>
            <w:pPr>
              <w:pStyle w:val="34"/>
              <w:snapToGrid w:val="0"/>
              <w:spacing w:line="240" w:lineRule="auto"/>
              <w:ind w:firstLine="0" w:firstLineChars="0"/>
              <w:rPr>
                <w:rFonts w:hint="eastAsia" w:ascii="Times New Roman" w:hAnsi="Times New Roman" w:eastAsia="宋体"/>
                <w:color w:val="000000"/>
                <w:highlight w:val="none"/>
                <w:lang w:eastAsia="zh-CN"/>
              </w:rPr>
            </w:pPr>
            <w:r>
              <w:rPr>
                <w:rFonts w:ascii="Times New Roman" w:hAnsi="Times New Roman"/>
                <w:color w:val="000000"/>
                <w:highlight w:val="none"/>
              </w:rPr>
              <w:t>联系人：</w:t>
            </w:r>
            <w:r>
              <w:rPr>
                <w:rFonts w:hint="eastAsia"/>
                <w:spacing w:val="-4"/>
                <w:szCs w:val="21"/>
                <w:highlight w:val="none"/>
              </w:rPr>
              <w:t>赵</w:t>
            </w:r>
            <w:r>
              <w:rPr>
                <w:rFonts w:hint="eastAsia"/>
                <w:spacing w:val="-4"/>
                <w:szCs w:val="21"/>
                <w:highlight w:val="none"/>
                <w:lang w:val="en-US" w:eastAsia="zh-CN"/>
              </w:rPr>
              <w:t>女士</w:t>
            </w:r>
          </w:p>
          <w:p>
            <w:pPr>
              <w:pStyle w:val="34"/>
              <w:snapToGrid w:val="0"/>
              <w:spacing w:line="240" w:lineRule="auto"/>
              <w:ind w:firstLine="0" w:firstLineChars="0"/>
              <w:rPr>
                <w:rFonts w:ascii="Times New Roman" w:hAnsi="Times New Roman"/>
                <w:color w:val="000000"/>
              </w:rPr>
            </w:pPr>
            <w:r>
              <w:rPr>
                <w:rFonts w:ascii="Times New Roman" w:hAnsi="Times New Roman"/>
                <w:color w:val="000000"/>
                <w:highlight w:val="none"/>
              </w:rPr>
              <w:t>联系电话：</w:t>
            </w:r>
            <w:r>
              <w:rPr>
                <w:rFonts w:hint="eastAsia"/>
                <w:szCs w:val="21"/>
                <w:highlight w:val="none"/>
              </w:rPr>
              <w:t>1782</w:t>
            </w:r>
            <w:r>
              <w:rPr>
                <w:rFonts w:hint="eastAsia"/>
                <w:szCs w:val="21"/>
              </w:rPr>
              <w:t>6851140</w:t>
            </w:r>
          </w:p>
          <w:p>
            <w:pPr>
              <w:pStyle w:val="34"/>
              <w:snapToGrid w:val="0"/>
              <w:spacing w:line="240" w:lineRule="auto"/>
              <w:ind w:firstLine="0" w:firstLineChars="0"/>
              <w:rPr>
                <w:rFonts w:ascii="Times New Roman" w:hAnsi="Times New Roman"/>
                <w:color w:val="000000"/>
              </w:rPr>
            </w:pPr>
            <w:r>
              <w:rPr>
                <w:rFonts w:ascii="Times New Roman" w:hAnsi="Times New Roman"/>
                <w:color w:val="000000"/>
              </w:rPr>
              <w:t>邮编：3</w:t>
            </w:r>
            <w:r>
              <w:rPr>
                <w:rFonts w:hint="eastAsia" w:ascii="Times New Roman" w:hAnsi="Times New Roman"/>
                <w:color w:val="000000"/>
              </w:rPr>
              <w:t>25200</w:t>
            </w:r>
          </w:p>
          <w:p>
            <w:pPr>
              <w:pStyle w:val="34"/>
              <w:snapToGrid w:val="0"/>
              <w:spacing w:line="240" w:lineRule="auto"/>
              <w:ind w:firstLine="0" w:firstLineChars="0"/>
              <w:rPr>
                <w:rFonts w:ascii="Times New Roman" w:hAnsi="Times New Roman"/>
                <w:color w:val="000000"/>
              </w:rPr>
            </w:pPr>
            <w:r>
              <w:rPr>
                <w:rFonts w:hint="eastAsia" w:ascii="宋体" w:hAnsi="宋体" w:cs="宋体"/>
                <w:color w:val="000000"/>
                <w:kern w:val="0"/>
                <w:szCs w:val="21"/>
              </w:rPr>
              <w:t>Email：</w:t>
            </w:r>
            <w:r>
              <w:fldChar w:fldCharType="begin"/>
            </w:r>
            <w:r>
              <w:instrText xml:space="preserve"> HYPERLINK "mailto:815743236@qq.com" </w:instrText>
            </w:r>
            <w:r>
              <w:fldChar w:fldCharType="separate"/>
            </w:r>
            <w:r>
              <w:rPr>
                <w:rStyle w:val="24"/>
                <w:b/>
                <w:bCs/>
                <w:color w:val="auto"/>
                <w:sz w:val="21"/>
                <w:szCs w:val="21"/>
              </w:rPr>
              <w:t>627902545@qq.com</w:t>
            </w:r>
            <w:r>
              <w:rPr>
                <w:rStyle w:val="24"/>
                <w:b/>
                <w:bCs/>
                <w:color w:val="auto"/>
                <w:sz w:val="21"/>
                <w:szCs w:val="21"/>
              </w:rPr>
              <w:fldChar w:fldCharType="end"/>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767" w:type="dxa"/>
            <w:vAlign w:val="center"/>
          </w:tcPr>
          <w:p>
            <w:pPr>
              <w:jc w:val="center"/>
            </w:pPr>
            <w:r>
              <w:rPr>
                <w:rFonts w:hint="eastAsia"/>
              </w:rPr>
              <w:t>3</w:t>
            </w:r>
          </w:p>
        </w:tc>
        <w:tc>
          <w:tcPr>
            <w:tcW w:w="1830" w:type="dxa"/>
            <w:vAlign w:val="center"/>
          </w:tcPr>
          <w:p>
            <w:pPr>
              <w:jc w:val="center"/>
            </w:pPr>
            <w:r>
              <w:t>踏勘现场</w:t>
            </w:r>
          </w:p>
        </w:tc>
        <w:tc>
          <w:tcPr>
            <w:tcW w:w="6604" w:type="dxa"/>
            <w:vAlign w:val="center"/>
          </w:tcPr>
          <w:p>
            <w:r>
              <w:rPr>
                <w:rFonts w:hint="eastAsia"/>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67" w:type="dxa"/>
            <w:vAlign w:val="center"/>
          </w:tcPr>
          <w:p>
            <w:pPr>
              <w:jc w:val="center"/>
            </w:pPr>
            <w:r>
              <w:rPr>
                <w:rFonts w:hint="eastAsia"/>
              </w:rPr>
              <w:t>4</w:t>
            </w:r>
          </w:p>
        </w:tc>
        <w:tc>
          <w:tcPr>
            <w:tcW w:w="1830" w:type="dxa"/>
            <w:vAlign w:val="center"/>
          </w:tcPr>
          <w:p>
            <w:pPr>
              <w:jc w:val="center"/>
            </w:pPr>
            <w:r>
              <w:t>资金来源</w:t>
            </w:r>
          </w:p>
        </w:tc>
        <w:tc>
          <w:tcPr>
            <w:tcW w:w="6604" w:type="dxa"/>
            <w:vAlign w:val="center"/>
          </w:tcPr>
          <w:p>
            <w:r>
              <w:rPr>
                <w:rFonts w:hint="eastAsia"/>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5" w:hRule="atLeast"/>
          <w:jc w:val="center"/>
        </w:trPr>
        <w:tc>
          <w:tcPr>
            <w:tcW w:w="767" w:type="dxa"/>
            <w:vAlign w:val="center"/>
          </w:tcPr>
          <w:p>
            <w:pPr>
              <w:jc w:val="center"/>
            </w:pPr>
            <w:r>
              <w:rPr>
                <w:rFonts w:hint="eastAsia"/>
              </w:rPr>
              <w:t>5</w:t>
            </w:r>
          </w:p>
        </w:tc>
        <w:tc>
          <w:tcPr>
            <w:tcW w:w="1830" w:type="dxa"/>
            <w:vAlign w:val="center"/>
          </w:tcPr>
          <w:p>
            <w:pPr>
              <w:jc w:val="center"/>
            </w:pPr>
            <w:r>
              <w:t>环境标志产品</w:t>
            </w:r>
          </w:p>
          <w:p>
            <w:pPr>
              <w:jc w:val="center"/>
            </w:pPr>
            <w:r>
              <w:t>节能产品</w:t>
            </w:r>
          </w:p>
        </w:tc>
        <w:tc>
          <w:tcPr>
            <w:tcW w:w="6604" w:type="dxa"/>
            <w:vAlign w:val="center"/>
          </w:tcPr>
          <w:p>
            <w:pPr>
              <w:autoSpaceDE w:val="0"/>
              <w:autoSpaceDN w:val="0"/>
              <w:adjustRightInd w:val="0"/>
              <w:snapToGrid w:val="0"/>
              <w:ind w:right="105" w:rightChars="50"/>
              <w:rPr>
                <w:rFonts w:ascii="宋体" w:hAnsi="宋体" w:cs="宋体"/>
                <w:color w:val="000000"/>
                <w:kern w:val="0"/>
                <w:szCs w:val="21"/>
              </w:rPr>
            </w:pPr>
            <w:r>
              <w:rPr>
                <w:rFonts w:hint="eastAsia" w:ascii="宋体" w:hAnsi="宋体" w:cs="宋体"/>
                <w:color w:val="000000"/>
                <w:kern w:val="0"/>
                <w:szCs w:val="21"/>
              </w:rPr>
              <w:t>（1）严格执行《财政部 发展改革委 生态环境部 市场监管总局关于调整优化节能产品、环境标志产品政府采购执行机制的通知》（财库〔2019〕9号）。</w:t>
            </w:r>
          </w:p>
          <w:p>
            <w:pPr>
              <w:autoSpaceDE w:val="0"/>
              <w:autoSpaceDN w:val="0"/>
              <w:adjustRightInd w:val="0"/>
              <w:snapToGrid w:val="0"/>
              <w:ind w:right="105" w:rightChars="50"/>
              <w:rPr>
                <w:rFonts w:ascii="宋体" w:hAnsi="宋体" w:cs="宋体"/>
                <w:color w:val="000000"/>
                <w:kern w:val="0"/>
                <w:szCs w:val="21"/>
              </w:rPr>
            </w:pPr>
            <w:r>
              <w:rPr>
                <w:rFonts w:hint="eastAsia" w:ascii="宋体" w:hAnsi="宋体" w:cs="宋体"/>
                <w:color w:val="000000"/>
                <w:kern w:val="0"/>
                <w:szCs w:val="21"/>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ind w:right="105" w:rightChars="50"/>
              <w:rPr>
                <w:rFonts w:ascii="宋体" w:hAnsi="宋体" w:cs="宋体"/>
                <w:color w:val="000000"/>
                <w:kern w:val="0"/>
                <w:szCs w:val="21"/>
              </w:rPr>
            </w:pPr>
            <w:r>
              <w:rPr>
                <w:rFonts w:hint="eastAsia" w:ascii="宋体" w:hAnsi="宋体" w:cs="宋体"/>
                <w:color w:val="000000"/>
                <w:kern w:val="0"/>
                <w:szCs w:val="21"/>
              </w:rPr>
              <w:t>▲（3）采购人拟采购的产品属于政府强制采购的节能产品品目清单范围的，供应商未按采购文件要求提供国家确定的认证机构出具的、处于有效期之内的节能产品认证证书，投标无效。</w:t>
            </w:r>
          </w:p>
          <w:p>
            <w:pPr>
              <w:numPr>
                <w:ilvl w:val="0"/>
                <w:numId w:val="2"/>
              </w:numPr>
              <w:autoSpaceDE w:val="0"/>
              <w:autoSpaceDN w:val="0"/>
              <w:adjustRightInd w:val="0"/>
              <w:snapToGrid w:val="0"/>
              <w:ind w:right="105" w:rightChars="50"/>
              <w:rPr>
                <w:rFonts w:ascii="宋体" w:hAnsi="宋体" w:cs="宋体"/>
                <w:color w:val="000000"/>
                <w:kern w:val="0"/>
                <w:szCs w:val="21"/>
              </w:rPr>
            </w:pPr>
            <w:r>
              <w:rPr>
                <w:rFonts w:hint="eastAsia" w:ascii="宋体" w:hAnsi="宋体" w:cs="宋体"/>
                <w:color w:val="000000"/>
                <w:kern w:val="0"/>
                <w:szCs w:val="21"/>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ind w:right="105" w:rightChars="50"/>
              <w:rPr>
                <w:rFonts w:ascii="宋体" w:hAnsi="宋体" w:cs="宋体"/>
                <w:color w:val="000000"/>
                <w:kern w:val="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2"/>
                <w:sz w:val="13"/>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bCs/>
                <w:color w:val="000000"/>
                <w:szCs w:val="21"/>
              </w:rPr>
              <w:t xml:space="preserve">适用  </w:t>
            </w:r>
            <w:r>
              <w:rPr>
                <w:rFonts w:hint="eastAsia" w:ascii="宋体" w:hAnsi="宋体" w:cs="宋体"/>
                <w:color w:val="000000"/>
                <w:szCs w:val="21"/>
              </w:rPr>
              <w:t>□</w:t>
            </w:r>
            <w:r>
              <w:rPr>
                <w:rFonts w:hint="eastAsia" w:ascii="宋体" w:hAnsi="宋体" w:cs="宋体"/>
                <w:color w:val="000000"/>
                <w:kern w:val="0"/>
                <w:szCs w:val="21"/>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767" w:type="dxa"/>
            <w:vAlign w:val="center"/>
          </w:tcPr>
          <w:p>
            <w:pPr>
              <w:jc w:val="center"/>
            </w:pPr>
            <w:r>
              <w:rPr>
                <w:rFonts w:hint="eastAsia"/>
              </w:rPr>
              <w:t>6</w:t>
            </w:r>
          </w:p>
        </w:tc>
        <w:tc>
          <w:tcPr>
            <w:tcW w:w="1830" w:type="dxa"/>
            <w:vAlign w:val="center"/>
          </w:tcPr>
          <w:p>
            <w:pPr>
              <w:jc w:val="center"/>
            </w:pPr>
            <w:r>
              <w:t>投标产品主体</w:t>
            </w:r>
          </w:p>
        </w:tc>
        <w:tc>
          <w:tcPr>
            <w:tcW w:w="6604" w:type="dxa"/>
            <w:vAlign w:val="center"/>
          </w:tcPr>
          <w:p>
            <w:pPr>
              <w:autoSpaceDE w:val="0"/>
              <w:autoSpaceDN w:val="0"/>
              <w:adjustRightInd w:val="0"/>
              <w:snapToGrid w:val="0"/>
              <w:ind w:right="105" w:rightChars="50"/>
              <w:rPr>
                <w:rFonts w:ascii="宋体" w:hAnsi="宋体" w:cs="宋体"/>
                <w:color w:val="000000"/>
                <w:kern w:val="0"/>
                <w:szCs w:val="21"/>
              </w:rPr>
            </w:pPr>
            <w:r>
              <w:rPr>
                <w:rFonts w:hint="eastAsia" w:ascii="宋体" w:hAnsi="宋体" w:cs="宋体"/>
                <w:color w:val="000000"/>
                <w:kern w:val="0"/>
                <w:szCs w:val="21"/>
              </w:rPr>
              <w:t>核心产品为血透机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67" w:type="dxa"/>
            <w:vAlign w:val="center"/>
          </w:tcPr>
          <w:p>
            <w:pPr>
              <w:jc w:val="center"/>
            </w:pPr>
            <w:r>
              <w:rPr>
                <w:rFonts w:hint="eastAsia"/>
              </w:rPr>
              <w:t>7</w:t>
            </w:r>
          </w:p>
        </w:tc>
        <w:tc>
          <w:tcPr>
            <w:tcW w:w="1830" w:type="dxa"/>
            <w:vAlign w:val="center"/>
          </w:tcPr>
          <w:p>
            <w:pPr>
              <w:jc w:val="center"/>
            </w:pPr>
            <w:r>
              <w:t>投标保证金</w:t>
            </w:r>
          </w:p>
        </w:tc>
        <w:tc>
          <w:tcPr>
            <w:tcW w:w="6604" w:type="dxa"/>
            <w:vAlign w:val="center"/>
          </w:tcPr>
          <w:p>
            <w:pPr>
              <w:pStyle w:val="34"/>
              <w:snapToGrid w:val="0"/>
              <w:spacing w:line="240" w:lineRule="auto"/>
              <w:ind w:firstLine="0" w:firstLineChars="0"/>
              <w:rPr>
                <w:rFonts w:ascii="宋体" w:hAnsi="宋体" w:cs="宋体"/>
                <w:color w:val="000000"/>
              </w:rPr>
            </w:pPr>
            <w:r>
              <w:rPr>
                <w:rFonts w:hint="eastAsia" w:ascii="宋体" w:hAnsi="宋体" w:cs="宋体"/>
                <w:color w:val="000000"/>
                <w:szCs w:val="21"/>
              </w:rPr>
              <w:t>□</w:t>
            </w:r>
            <w:r>
              <w:rPr>
                <w:rFonts w:hint="eastAsia" w:ascii="宋体" w:hAnsi="宋体" w:cs="宋体"/>
                <w:bCs/>
                <w:color w:val="000000"/>
                <w:szCs w:val="21"/>
              </w:rPr>
              <w:t xml:space="preserve">适用  </w:t>
            </w: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kern w:val="0"/>
                <w:szCs w:val="21"/>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767" w:type="dxa"/>
            <w:vAlign w:val="center"/>
          </w:tcPr>
          <w:p>
            <w:pPr>
              <w:jc w:val="center"/>
            </w:pPr>
            <w:r>
              <w:rPr>
                <w:rFonts w:hint="eastAsia"/>
              </w:rPr>
              <w:t>8</w:t>
            </w:r>
          </w:p>
        </w:tc>
        <w:tc>
          <w:tcPr>
            <w:tcW w:w="1830" w:type="dxa"/>
            <w:vAlign w:val="center"/>
          </w:tcPr>
          <w:p>
            <w:pPr>
              <w:jc w:val="center"/>
            </w:pPr>
            <w:r>
              <w:t>投标文件有效期</w:t>
            </w:r>
          </w:p>
        </w:tc>
        <w:tc>
          <w:tcPr>
            <w:tcW w:w="6604" w:type="dxa"/>
            <w:vAlign w:val="center"/>
          </w:tcPr>
          <w:p>
            <w:pPr>
              <w:widowControl/>
              <w:snapToGrid w:val="0"/>
              <w:rPr>
                <w:color w:val="000000"/>
              </w:rPr>
            </w:pPr>
            <w:r>
              <w:rPr>
                <w:color w:val="000000"/>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67" w:type="dxa"/>
            <w:vAlign w:val="center"/>
          </w:tcPr>
          <w:p>
            <w:pPr>
              <w:jc w:val="center"/>
            </w:pPr>
            <w:r>
              <w:rPr>
                <w:rFonts w:hint="eastAsia"/>
              </w:rPr>
              <w:t>9</w:t>
            </w:r>
          </w:p>
        </w:tc>
        <w:tc>
          <w:tcPr>
            <w:tcW w:w="1830" w:type="dxa"/>
            <w:vAlign w:val="center"/>
          </w:tcPr>
          <w:p>
            <w:pPr>
              <w:jc w:val="center"/>
            </w:pPr>
            <w:r>
              <w:t>投标截止时间</w:t>
            </w:r>
          </w:p>
        </w:tc>
        <w:tc>
          <w:tcPr>
            <w:tcW w:w="6604" w:type="dxa"/>
            <w:vAlign w:val="center"/>
          </w:tcPr>
          <w:p>
            <w:pPr>
              <w:pStyle w:val="34"/>
              <w:snapToGrid w:val="0"/>
              <w:spacing w:line="240" w:lineRule="auto"/>
              <w:ind w:firstLine="0" w:firstLineChars="0"/>
              <w:rPr>
                <w:rFonts w:ascii="Times New Roman" w:hAnsi="Times New Roman"/>
                <w:color w:val="000000"/>
              </w:rPr>
            </w:pPr>
            <w:r>
              <w:rPr>
                <w:rFonts w:ascii="Times New Roman" w:hAnsi="Times New Roman"/>
                <w:color w:val="000000"/>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67" w:type="dxa"/>
            <w:vAlign w:val="center"/>
          </w:tcPr>
          <w:p>
            <w:pPr>
              <w:jc w:val="center"/>
            </w:pPr>
            <w:r>
              <w:rPr>
                <w:rFonts w:hint="eastAsia"/>
              </w:rPr>
              <w:t>10</w:t>
            </w:r>
          </w:p>
        </w:tc>
        <w:tc>
          <w:tcPr>
            <w:tcW w:w="1830" w:type="dxa"/>
            <w:vAlign w:val="center"/>
          </w:tcPr>
          <w:p>
            <w:pPr>
              <w:jc w:val="center"/>
            </w:pPr>
            <w:r>
              <w:t>投标地点</w:t>
            </w:r>
          </w:p>
        </w:tc>
        <w:tc>
          <w:tcPr>
            <w:tcW w:w="6604" w:type="dxa"/>
            <w:vAlign w:val="center"/>
          </w:tcPr>
          <w:p>
            <w:pPr>
              <w:pStyle w:val="34"/>
              <w:snapToGrid w:val="0"/>
              <w:spacing w:line="240" w:lineRule="auto"/>
              <w:ind w:firstLine="0" w:firstLineChars="0"/>
              <w:rPr>
                <w:rFonts w:ascii="Times New Roman" w:hAnsi="Times New Roman"/>
                <w:color w:val="000000"/>
                <w:szCs w:val="21"/>
              </w:rPr>
            </w:pPr>
            <w:r>
              <w:rPr>
                <w:rFonts w:ascii="Times New Roman" w:hAnsi="Times New Roman"/>
                <w:color w:val="000000"/>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767" w:type="dxa"/>
            <w:vAlign w:val="center"/>
          </w:tcPr>
          <w:p>
            <w:pPr>
              <w:jc w:val="center"/>
            </w:pPr>
            <w:r>
              <w:rPr>
                <w:rFonts w:hint="eastAsia"/>
              </w:rPr>
              <w:t>11</w:t>
            </w:r>
          </w:p>
        </w:tc>
        <w:tc>
          <w:tcPr>
            <w:tcW w:w="1830" w:type="dxa"/>
            <w:vAlign w:val="center"/>
          </w:tcPr>
          <w:p>
            <w:pPr>
              <w:jc w:val="center"/>
            </w:pPr>
            <w:r>
              <w:t>开标时间和地点</w:t>
            </w:r>
          </w:p>
        </w:tc>
        <w:tc>
          <w:tcPr>
            <w:tcW w:w="6604" w:type="dxa"/>
            <w:vAlign w:val="center"/>
          </w:tcPr>
          <w:p>
            <w:pPr>
              <w:pStyle w:val="34"/>
              <w:snapToGrid w:val="0"/>
              <w:spacing w:line="240" w:lineRule="auto"/>
              <w:ind w:firstLine="0" w:firstLineChars="0"/>
              <w:rPr>
                <w:rFonts w:ascii="Times New Roman" w:hAnsi="Times New Roman"/>
                <w:color w:val="000000"/>
              </w:rPr>
            </w:pPr>
            <w:r>
              <w:rPr>
                <w:rFonts w:ascii="Times New Roman" w:hAnsi="Times New Roman"/>
                <w:color w:val="000000"/>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767" w:type="dxa"/>
            <w:vAlign w:val="center"/>
          </w:tcPr>
          <w:p>
            <w:pPr>
              <w:jc w:val="center"/>
            </w:pPr>
            <w:r>
              <w:rPr>
                <w:rFonts w:hint="eastAsia"/>
              </w:rPr>
              <w:t>12</w:t>
            </w:r>
          </w:p>
        </w:tc>
        <w:tc>
          <w:tcPr>
            <w:tcW w:w="1830" w:type="dxa"/>
            <w:vAlign w:val="center"/>
          </w:tcPr>
          <w:p>
            <w:pPr>
              <w:jc w:val="center"/>
            </w:pPr>
            <w:r>
              <w:t>投标答疑</w:t>
            </w:r>
          </w:p>
        </w:tc>
        <w:tc>
          <w:tcPr>
            <w:tcW w:w="6604" w:type="dxa"/>
            <w:vAlign w:val="center"/>
          </w:tcPr>
          <w:p>
            <w:pPr>
              <w:adjustRightInd w:val="0"/>
              <w:snapToGrid w:val="0"/>
              <w:rPr>
                <w:color w:val="000000"/>
                <w:kern w:val="0"/>
              </w:rPr>
            </w:pPr>
            <w:r>
              <w:rPr>
                <w:color w:val="000000"/>
                <w:szCs w:val="21"/>
              </w:rPr>
              <w:t>供应商如认为采购文件表述不清晰的，请于</w:t>
            </w:r>
            <w:r>
              <w:rPr>
                <w:rFonts w:hint="eastAsia" w:ascii="宋体" w:hAnsi="宋体" w:cs="宋体"/>
                <w:szCs w:val="21"/>
              </w:rPr>
              <w:t>2022年12月1</w:t>
            </w:r>
            <w:r>
              <w:rPr>
                <w:rFonts w:hint="eastAsia" w:ascii="宋体" w:hAnsi="宋体" w:cs="宋体"/>
                <w:szCs w:val="21"/>
                <w:lang w:val="en-US" w:eastAsia="zh-CN"/>
              </w:rPr>
              <w:t>9</w:t>
            </w:r>
            <w:r>
              <w:rPr>
                <w:rFonts w:hint="eastAsia" w:ascii="宋体" w:hAnsi="宋体" w:cs="宋体"/>
                <w:szCs w:val="21"/>
              </w:rPr>
              <w:t xml:space="preserve"> 日09:00</w:t>
            </w:r>
            <w:r>
              <w:rPr>
                <w:color w:val="000000"/>
                <w:szCs w:val="21"/>
              </w:rPr>
              <w:t>之前将疑问</w:t>
            </w:r>
            <w:r>
              <w:rPr>
                <w:rFonts w:hint="eastAsia"/>
                <w:color w:val="000000"/>
                <w:szCs w:val="21"/>
              </w:rPr>
              <w:t>发送至该电子邮件（邮箱</w:t>
            </w:r>
            <w:r>
              <w:fldChar w:fldCharType="begin"/>
            </w:r>
            <w:r>
              <w:instrText xml:space="preserve"> HYPERLINK "mailto:815743236@qq.com" </w:instrText>
            </w:r>
            <w:r>
              <w:fldChar w:fldCharType="separate"/>
            </w:r>
            <w:r>
              <w:rPr>
                <w:rStyle w:val="24"/>
                <w:rFonts w:hint="default"/>
                <w:b/>
                <w:bCs/>
                <w:color w:val="auto"/>
                <w:sz w:val="21"/>
                <w:szCs w:val="21"/>
              </w:rPr>
              <w:t>627902545@qq.com</w:t>
            </w:r>
            <w:r>
              <w:rPr>
                <w:rStyle w:val="24"/>
                <w:rFonts w:hint="default"/>
                <w:b/>
                <w:bCs/>
                <w:color w:val="auto"/>
                <w:sz w:val="21"/>
                <w:szCs w:val="21"/>
              </w:rPr>
              <w:fldChar w:fldCharType="end"/>
            </w:r>
            <w:r>
              <w:rPr>
                <w:rFonts w:hint="eastAsia"/>
                <w:color w:val="000000"/>
                <w:szCs w:val="21"/>
              </w:rPr>
              <w:t>）</w:t>
            </w:r>
            <w:r>
              <w:rPr>
                <w:color w:val="000000"/>
                <w:szCs w:val="21"/>
              </w:rPr>
              <w:t>。答疑回复内容是采购文件的组成部份，并将以</w:t>
            </w:r>
            <w:r>
              <w:rPr>
                <w:rFonts w:hint="eastAsia"/>
                <w:color w:val="000000"/>
                <w:szCs w:val="21"/>
              </w:rPr>
              <w:t>更正公告的</w:t>
            </w:r>
            <w:r>
              <w:rPr>
                <w:color w:val="000000"/>
                <w:szCs w:val="21"/>
              </w:rPr>
              <w:t>形式</w:t>
            </w:r>
            <w:r>
              <w:rPr>
                <w:rFonts w:hint="eastAsia"/>
                <w:color w:val="000000"/>
                <w:szCs w:val="21"/>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9" w:hRule="atLeast"/>
          <w:jc w:val="center"/>
        </w:trPr>
        <w:tc>
          <w:tcPr>
            <w:tcW w:w="767" w:type="dxa"/>
            <w:vAlign w:val="center"/>
          </w:tcPr>
          <w:p>
            <w:pPr>
              <w:jc w:val="center"/>
            </w:pPr>
            <w:r>
              <w:rPr>
                <w:rFonts w:hint="eastAsia"/>
              </w:rPr>
              <w:t>13</w:t>
            </w:r>
          </w:p>
        </w:tc>
        <w:tc>
          <w:tcPr>
            <w:tcW w:w="1830" w:type="dxa"/>
            <w:vAlign w:val="center"/>
          </w:tcPr>
          <w:p>
            <w:pPr>
              <w:jc w:val="center"/>
            </w:pPr>
            <w:r>
              <w:t>采购文件的澄清与修改</w:t>
            </w:r>
          </w:p>
        </w:tc>
        <w:tc>
          <w:tcPr>
            <w:tcW w:w="6604" w:type="dxa"/>
            <w:vAlign w:val="center"/>
          </w:tcPr>
          <w:p>
            <w:pPr>
              <w:adjustRightInd w:val="0"/>
              <w:snapToGrid w:val="0"/>
              <w:rPr>
                <w:color w:val="000000"/>
                <w:szCs w:val="21"/>
              </w:rPr>
            </w:pPr>
            <w:r>
              <w:rPr>
                <w:rFonts w:hint="eastAsia"/>
                <w:color w:val="000000"/>
                <w:szCs w:val="21"/>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2" w:hRule="atLeast"/>
          <w:jc w:val="center"/>
        </w:trPr>
        <w:tc>
          <w:tcPr>
            <w:tcW w:w="767" w:type="dxa"/>
            <w:vAlign w:val="center"/>
          </w:tcPr>
          <w:p>
            <w:pPr>
              <w:jc w:val="center"/>
            </w:pPr>
            <w:r>
              <w:rPr>
                <w:rFonts w:hint="eastAsia"/>
              </w:rPr>
              <w:t>14</w:t>
            </w:r>
          </w:p>
        </w:tc>
        <w:tc>
          <w:tcPr>
            <w:tcW w:w="1830" w:type="dxa"/>
            <w:vAlign w:val="center"/>
          </w:tcPr>
          <w:p>
            <w:pPr>
              <w:jc w:val="center"/>
            </w:pPr>
            <w:r>
              <w:rPr>
                <w:rFonts w:hint="eastAsia"/>
              </w:rPr>
              <w:t>投标文件形式</w:t>
            </w:r>
          </w:p>
        </w:tc>
        <w:tc>
          <w:tcPr>
            <w:tcW w:w="6604" w:type="dxa"/>
            <w:vAlign w:val="center"/>
          </w:tcPr>
          <w:p>
            <w:r>
              <w:rPr>
                <w:rFonts w:hint="eastAsia"/>
              </w:rPr>
              <w:t>1.响应文件的形式：电子响应文件（包括“电子加密响应文件”和“备份响应文件”以及“演示视频文件，在响应文件编制完成后同时生成）；</w:t>
            </w:r>
          </w:p>
          <w:p>
            <w:r>
              <w:rPr>
                <w:rFonts w:hint="eastAsia"/>
              </w:rPr>
              <w:t>2.本项目实行在线投标响应（电子投标）。</w:t>
            </w:r>
          </w:p>
          <w:p>
            <w:r>
              <w:rPr>
                <w:rFonts w:hint="eastAsia"/>
              </w:rPr>
              <w:t>（1）“电子加密响应文件”是指通过“政采云电子交易客户端”完成响应文件编制后生成并加密的数据电文形式的响应文件。“电子加密响应文件”文件格式为（.jmbs）。</w:t>
            </w:r>
          </w:p>
          <w:p>
            <w:r>
              <w:rPr>
                <w:rFonts w:hint="eastAsia"/>
              </w:rPr>
              <w:t>（2）“备份响应文件”是指与“电子加密响应文件”同时生成的数据电文形式的电子文件（备份标书），其他方式编制的备份响应文件视为无效备份响应文件。“备份响应文件”文件格式为（.bfbs）。</w:t>
            </w:r>
          </w:p>
          <w:p>
            <w:r>
              <w:rPr>
                <w:rFonts w:hint="eastAsia"/>
              </w:rPr>
              <w:t>以上两类投标文件均由资格审查资料、商务技术文件、报价文件三部分组成。</w:t>
            </w:r>
          </w:p>
          <w:p>
            <w:r>
              <w:rPr>
                <w:rFonts w:hint="eastAsia"/>
              </w:rPr>
              <w:t>（3）投标人根据本项目采购内容和需求以及商务技术文件评审细则制作的演示视频文件。</w:t>
            </w:r>
          </w:p>
          <w:p>
            <w:r>
              <w:rPr>
                <w:rFonts w:hint="eastAsia"/>
              </w:rPr>
              <w:t>3. 电子加密响应文件制作：应按政采云平台供应商项目采购-电子招投标操作指南、加密并递交。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74" w:hRule="atLeast"/>
          <w:jc w:val="center"/>
        </w:trPr>
        <w:tc>
          <w:tcPr>
            <w:tcW w:w="767" w:type="dxa"/>
            <w:vAlign w:val="center"/>
          </w:tcPr>
          <w:p>
            <w:pPr>
              <w:jc w:val="center"/>
            </w:pPr>
            <w:r>
              <w:rPr>
                <w:rFonts w:hint="eastAsia"/>
              </w:rPr>
              <w:t>15</w:t>
            </w:r>
          </w:p>
        </w:tc>
        <w:tc>
          <w:tcPr>
            <w:tcW w:w="1830" w:type="dxa"/>
            <w:vAlign w:val="center"/>
          </w:tcPr>
          <w:p>
            <w:pPr>
              <w:jc w:val="center"/>
            </w:pPr>
            <w:r>
              <w:rPr>
                <w:rFonts w:hint="eastAsia"/>
              </w:rPr>
              <w:t>投标文件的上传和递交</w:t>
            </w:r>
          </w:p>
        </w:tc>
        <w:tc>
          <w:tcPr>
            <w:tcW w:w="6604" w:type="dxa"/>
            <w:vAlign w:val="center"/>
          </w:tcPr>
          <w:p>
            <w:pPr>
              <w:numPr>
                <w:ilvl w:val="0"/>
                <w:numId w:val="3"/>
              </w:numPr>
              <w:rPr>
                <w:rFonts w:ascii="宋体" w:hAnsi="宋体" w:cs="宋体"/>
                <w:szCs w:val="21"/>
              </w:rPr>
            </w:pPr>
            <w:r>
              <w:rPr>
                <w:rFonts w:hint="eastAsia" w:ascii="宋体" w:hAnsi="宋体" w:cs="宋体"/>
                <w:szCs w:val="21"/>
              </w:rPr>
              <w:t>“电子加密相应文件”的上传、递交：</w:t>
            </w:r>
          </w:p>
          <w:p>
            <w:pPr>
              <w:rPr>
                <w:rFonts w:ascii="宋体" w:hAnsi="宋体" w:cs="宋体"/>
                <w:szCs w:val="21"/>
              </w:rPr>
            </w:pPr>
            <w:r>
              <w:rPr>
                <w:rFonts w:hint="eastAsia" w:ascii="宋体" w:hAnsi="宋体" w:cs="宋体"/>
                <w:szCs w:val="21"/>
              </w:rPr>
              <w:t>a.投标人应在投标文件递交截止时间前将“电子加密响应文件”成功上传递交至“政采云平台”，否则投标无效。</w:t>
            </w:r>
          </w:p>
          <w:p>
            <w:pPr>
              <w:rPr>
                <w:rFonts w:ascii="宋体" w:hAnsi="宋体" w:cs="宋体"/>
                <w:szCs w:val="21"/>
              </w:rPr>
            </w:pPr>
            <w:r>
              <w:rPr>
                <w:rFonts w:hint="eastAsia" w:ascii="宋体" w:hAnsi="宋体" w:cs="宋体"/>
                <w:szCs w:val="21"/>
              </w:rPr>
              <w:t>b.“电子加密响应文件”成功上传递交后，供应商可自行打印投标文件接收回执。</w:t>
            </w:r>
          </w:p>
          <w:p>
            <w:pPr>
              <w:rPr>
                <w:rFonts w:ascii="宋体" w:hAnsi="宋体" w:cs="宋体"/>
                <w:szCs w:val="21"/>
              </w:rPr>
            </w:pPr>
            <w:r>
              <w:rPr>
                <w:rFonts w:hint="eastAsia" w:ascii="宋体" w:hAnsi="宋体" w:cs="宋体"/>
                <w:szCs w:val="21"/>
              </w:rPr>
              <w:t>（2）“备份</w:t>
            </w:r>
            <w:r>
              <w:rPr>
                <w:rFonts w:hint="eastAsia" w:ascii="宋体" w:hAnsi="宋体" w:cs="宋体"/>
                <w:bCs/>
                <w:szCs w:val="21"/>
              </w:rPr>
              <w:t>响应</w:t>
            </w:r>
            <w:r>
              <w:rPr>
                <w:rFonts w:hint="eastAsia" w:ascii="宋体" w:hAnsi="宋体" w:cs="宋体"/>
                <w:szCs w:val="21"/>
              </w:rPr>
              <w:t>文件”的密封包装、递交：</w:t>
            </w:r>
          </w:p>
          <w:p>
            <w:pPr>
              <w:ind w:firstLine="420" w:firstLineChars="200"/>
              <w:rPr>
                <w:rFonts w:ascii="宋体" w:hAnsi="宋体" w:cs="宋体"/>
                <w:szCs w:val="21"/>
              </w:rPr>
            </w:pPr>
            <w:r>
              <w:rPr>
                <w:rFonts w:hint="eastAsia" w:ascii="宋体" w:hAnsi="宋体" w:cs="宋体"/>
                <w:szCs w:val="21"/>
              </w:rPr>
              <w:t>建议供应商在磋商响应文件提交截止时间之前将备份</w:t>
            </w:r>
            <w:r>
              <w:rPr>
                <w:rFonts w:hint="eastAsia" w:ascii="宋体" w:hAnsi="宋体" w:cs="宋体"/>
                <w:bCs/>
                <w:szCs w:val="21"/>
              </w:rPr>
              <w:t>响应</w:t>
            </w:r>
            <w:r>
              <w:rPr>
                <w:rFonts w:hint="eastAsia" w:ascii="宋体" w:hAnsi="宋体" w:cs="宋体"/>
                <w:szCs w:val="21"/>
              </w:rPr>
              <w:t>文件以电子邮件方式提交至采购代理机构指定邮箱，邮件标题注明项目名称及供应商名称。提交的备份</w:t>
            </w:r>
            <w:r>
              <w:rPr>
                <w:rFonts w:hint="eastAsia" w:ascii="宋体" w:hAnsi="宋体" w:cs="宋体"/>
                <w:bCs/>
                <w:szCs w:val="21"/>
              </w:rPr>
              <w:t>响应</w:t>
            </w:r>
            <w:r>
              <w:rPr>
                <w:rFonts w:hint="eastAsia" w:ascii="宋体" w:hAnsi="宋体" w:cs="宋体"/>
                <w:szCs w:val="21"/>
              </w:rPr>
              <w:t>文件需打包压缩并加密，加密密码由供应商自行保管。如供应商多次提交文件，以采购代理机构指定邮箱收到的最近时间（磋商响应文件提交截止时间之前）的备份响应文件为准。供应商未在磋商响应文件提交截止时间之前将备份响应文件提交至采购代理机构指定邮箱的，视为无效备份响应文件。</w:t>
            </w:r>
          </w:p>
          <w:p>
            <w:pPr>
              <w:rPr>
                <w:rFonts w:ascii="宋体" w:hAnsi="宋体" w:cs="宋体"/>
                <w:szCs w:val="21"/>
              </w:rPr>
            </w:pPr>
            <w:r>
              <w:rPr>
                <w:rFonts w:hint="eastAsia" w:ascii="宋体" w:hAnsi="宋体" w:cs="宋体"/>
                <w:szCs w:val="21"/>
              </w:rPr>
              <w:t>（3）“演示视频文件”的密封包装、递交：</w:t>
            </w:r>
          </w:p>
          <w:p>
            <w:pPr>
              <w:rPr>
                <w:rFonts w:ascii="宋体" w:hAnsi="宋体" w:cs="宋体"/>
                <w:szCs w:val="21"/>
              </w:rPr>
            </w:pPr>
            <w:r>
              <w:rPr>
                <w:rFonts w:hint="eastAsia" w:ascii="宋体" w:hAnsi="宋体" w:cs="宋体"/>
                <w:szCs w:val="21"/>
              </w:rPr>
              <w:t>a.投标人制作“演示视频文件”后，将文件存储于U盘内，以顺丰快递形式在2022年12月1</w:t>
            </w:r>
            <w:r>
              <w:rPr>
                <w:rFonts w:hint="eastAsia" w:ascii="宋体" w:hAnsi="宋体" w:cs="宋体"/>
                <w:szCs w:val="21"/>
                <w:lang w:val="en-US" w:eastAsia="zh-CN"/>
              </w:rPr>
              <w:t>8</w:t>
            </w:r>
            <w:r>
              <w:rPr>
                <w:rFonts w:hint="eastAsia" w:ascii="宋体" w:hAnsi="宋体" w:cs="宋体"/>
                <w:szCs w:val="21"/>
              </w:rPr>
              <w:t xml:space="preserve"> 日</w:t>
            </w:r>
            <w:r>
              <w:rPr>
                <w:rFonts w:hint="eastAsia" w:ascii="宋体" w:hAnsi="宋体" w:cs="宋体"/>
                <w:szCs w:val="21"/>
                <w:lang w:val="en-US" w:eastAsia="zh-CN"/>
              </w:rPr>
              <w:t>17</w:t>
            </w:r>
            <w:r>
              <w:rPr>
                <w:rFonts w:hint="eastAsia" w:ascii="宋体" w:hAnsi="宋体" w:cs="宋体"/>
                <w:szCs w:val="21"/>
              </w:rPr>
              <w:t>:00前快递至采购代理机构地址（地址详见采购文件，防疫期间不建议供应商代表送达接收地点）。</w:t>
            </w:r>
          </w:p>
          <w:p>
            <w:r>
              <w:rPr>
                <w:rFonts w:hint="eastAsia"/>
              </w:rPr>
              <w:t>b.“演示视频文件”应当密封包装，并在包装上标注投标项目名称、投标单位名称并加盖公章。没有密封包装或者逾期邮寄送达至投标地点的“演示视频文件”将不予接收，由此造成的责任由投标人自负。</w:t>
            </w:r>
          </w:p>
          <w:p>
            <w:pPr>
              <w:rPr>
                <w:color w:val="FF0000"/>
                <w:szCs w:val="21"/>
              </w:rPr>
            </w:pPr>
            <w:r>
              <w:rPr>
                <w:rFonts w:hint="eastAsia"/>
              </w:rPr>
              <w:t>c. 投标人应加强U盘的包装与保护，因包装不当而造成“演示视频文件”损坏或不能在开评标现场设备上正确读取的责任由投标人自负。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767" w:type="dxa"/>
            <w:vAlign w:val="center"/>
          </w:tcPr>
          <w:p>
            <w:pPr>
              <w:jc w:val="center"/>
            </w:pPr>
            <w:r>
              <w:rPr>
                <w:rFonts w:hint="eastAsia"/>
              </w:rPr>
              <w:t>16</w:t>
            </w:r>
          </w:p>
        </w:tc>
        <w:tc>
          <w:tcPr>
            <w:tcW w:w="1830" w:type="dxa"/>
            <w:vAlign w:val="center"/>
          </w:tcPr>
          <w:p>
            <w:pPr>
              <w:jc w:val="center"/>
            </w:pPr>
            <w:r>
              <w:rPr>
                <w:rFonts w:hint="eastAsia"/>
              </w:rPr>
              <w:t>询标澄清</w:t>
            </w:r>
          </w:p>
        </w:tc>
        <w:tc>
          <w:tcPr>
            <w:tcW w:w="6604" w:type="dxa"/>
            <w:vAlign w:val="center"/>
          </w:tcPr>
          <w:p>
            <w:pPr>
              <w:pStyle w:val="34"/>
              <w:snapToGrid w:val="0"/>
              <w:spacing w:line="240" w:lineRule="auto"/>
              <w:ind w:firstLine="0" w:firstLineChars="0"/>
              <w:rPr>
                <w:rFonts w:ascii="Times New Roman" w:hAnsi="Times New Roman"/>
                <w:color w:val="000000"/>
                <w:szCs w:val="21"/>
              </w:rPr>
            </w:pPr>
            <w:r>
              <w:rPr>
                <w:rFonts w:hint="eastAsia" w:hAnsi="宋体"/>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35" w:hRule="atLeast"/>
          <w:jc w:val="center"/>
        </w:trPr>
        <w:tc>
          <w:tcPr>
            <w:tcW w:w="767" w:type="dxa"/>
            <w:vAlign w:val="center"/>
          </w:tcPr>
          <w:p>
            <w:pPr>
              <w:jc w:val="center"/>
            </w:pPr>
            <w:r>
              <w:rPr>
                <w:rFonts w:hint="eastAsia"/>
              </w:rPr>
              <w:t>17</w:t>
            </w:r>
          </w:p>
        </w:tc>
        <w:tc>
          <w:tcPr>
            <w:tcW w:w="1830" w:type="dxa"/>
            <w:vAlign w:val="center"/>
          </w:tcPr>
          <w:p>
            <w:pPr>
              <w:jc w:val="center"/>
            </w:pPr>
            <w:r>
              <w:t>质疑</w:t>
            </w:r>
          </w:p>
        </w:tc>
        <w:tc>
          <w:tcPr>
            <w:tcW w:w="6604" w:type="dxa"/>
            <w:vAlign w:val="center"/>
          </w:tcPr>
          <w:p>
            <w:pPr>
              <w:adjustRightInd w:val="0"/>
              <w:snapToGrid w:val="0"/>
              <w:jc w:val="left"/>
            </w:pPr>
            <w:r>
              <w:t>根据《中华人民共和国政府采购法》第五十二条的规定，供应商认为</w:t>
            </w:r>
            <w:r>
              <w:rPr>
                <w:rFonts w:hint="eastAsia"/>
              </w:rPr>
              <w:t>采购文件</w:t>
            </w:r>
            <w:r>
              <w:t>、采购过程和中标、成交结果使自己的权益受到损害的，可以在知道或者应知其权益受到损害之日起七个工作日内，以书面形式向采购人、采购代理机构提出质疑。</w:t>
            </w:r>
          </w:p>
          <w:p>
            <w:pPr>
              <w:adjustRightInd w:val="0"/>
              <w:snapToGrid w:val="0"/>
              <w:jc w:val="left"/>
            </w:pPr>
            <w:r>
              <w:t>政府采购法第五十二条规定的供应商应知其权益受到损害之日，是指：</w:t>
            </w:r>
          </w:p>
          <w:p>
            <w:pPr>
              <w:adjustRightInd w:val="0"/>
              <w:snapToGrid w:val="0"/>
              <w:jc w:val="left"/>
            </w:pPr>
            <w:r>
              <w:t>（一）对可以质疑的采购文件提出质疑的，为收到采购文件之日或者采购文件公告期限届满之日；</w:t>
            </w:r>
          </w:p>
          <w:p>
            <w:pPr>
              <w:adjustRightInd w:val="0"/>
              <w:snapToGrid w:val="0"/>
              <w:jc w:val="left"/>
            </w:pPr>
            <w:r>
              <w:t>（二）对采购过程提出质疑的，为各采购程序环节结束之日；</w:t>
            </w:r>
          </w:p>
          <w:p>
            <w:pPr>
              <w:adjustRightInd w:val="0"/>
              <w:snapToGrid w:val="0"/>
              <w:jc w:val="left"/>
            </w:pPr>
            <w:r>
              <w:t>（三）对中标或者成交结果提出质疑的，为中标或者成交结果公告期限届满之日。</w:t>
            </w:r>
          </w:p>
          <w:p>
            <w:pPr>
              <w:adjustRightInd w:val="0"/>
              <w:snapToGrid w:val="0"/>
            </w:pPr>
            <w: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67" w:type="dxa"/>
            <w:vAlign w:val="center"/>
          </w:tcPr>
          <w:p>
            <w:pPr>
              <w:jc w:val="center"/>
            </w:pPr>
            <w:r>
              <w:rPr>
                <w:rFonts w:hint="eastAsia"/>
              </w:rPr>
              <w:t>18</w:t>
            </w:r>
          </w:p>
        </w:tc>
        <w:tc>
          <w:tcPr>
            <w:tcW w:w="1830" w:type="dxa"/>
            <w:vAlign w:val="center"/>
          </w:tcPr>
          <w:p>
            <w:pPr>
              <w:jc w:val="center"/>
            </w:pPr>
            <w:r>
              <w:t>投诉</w:t>
            </w:r>
          </w:p>
        </w:tc>
        <w:tc>
          <w:tcPr>
            <w:tcW w:w="6604" w:type="dxa"/>
            <w:vAlign w:val="center"/>
          </w:tcPr>
          <w:p>
            <w:pPr>
              <w:adjustRightInd w:val="0"/>
              <w:snapToGrid w:val="0"/>
              <w:rPr>
                <w:color w:val="000000"/>
              </w:rPr>
            </w:pPr>
            <w:r>
              <w:rPr>
                <w:color w:val="000000"/>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767" w:type="dxa"/>
            <w:vAlign w:val="center"/>
          </w:tcPr>
          <w:p>
            <w:pPr>
              <w:jc w:val="center"/>
            </w:pPr>
            <w:r>
              <w:rPr>
                <w:rFonts w:hint="eastAsia"/>
              </w:rPr>
              <w:t>19</w:t>
            </w:r>
          </w:p>
        </w:tc>
        <w:tc>
          <w:tcPr>
            <w:tcW w:w="1830" w:type="dxa"/>
            <w:vAlign w:val="center"/>
          </w:tcPr>
          <w:p>
            <w:pPr>
              <w:jc w:val="center"/>
            </w:pPr>
            <w:r>
              <w:t>样品</w:t>
            </w:r>
          </w:p>
        </w:tc>
        <w:tc>
          <w:tcPr>
            <w:tcW w:w="6604" w:type="dxa"/>
            <w:vAlign w:val="center"/>
          </w:tcPr>
          <w:p>
            <w:r>
              <w:rPr>
                <w:rFonts w:hint="eastAsia"/>
              </w:rPr>
              <w:fldChar w:fldCharType="begin"/>
            </w:r>
            <w:r>
              <w:rPr>
                <w:rFonts w:hint="eastAsia"/>
              </w:rPr>
              <w:instrText xml:space="preserve"> eq \o\ac(□)</w:instrText>
            </w:r>
            <w:r>
              <w:rPr>
                <w:rFonts w:hint="eastAsia"/>
              </w:rPr>
              <w:fldChar w:fldCharType="end"/>
            </w:r>
            <w:r>
              <w:rPr>
                <w:rFonts w:hint="eastAsia"/>
              </w:rPr>
              <w:t xml:space="preserve"> 提供</w:t>
            </w:r>
          </w:p>
          <w:p>
            <w:r>
              <w:rPr>
                <w:rFonts w:hint="eastAsia"/>
              </w:rPr>
              <w:fldChar w:fldCharType="begin"/>
            </w:r>
            <w:r>
              <w:rPr>
                <w:rFonts w:hint="eastAsia"/>
              </w:rPr>
              <w:instrText xml:space="preserve"> eq \o\ac(□,√)</w:instrText>
            </w:r>
            <w:r>
              <w:rPr>
                <w:rFonts w:hint="eastAsia"/>
              </w:rPr>
              <w:fldChar w:fldCharType="end"/>
            </w:r>
            <w:r>
              <w:rPr>
                <w:rFonts w:hint="eastAsia"/>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67" w:type="dxa"/>
            <w:vAlign w:val="center"/>
          </w:tcPr>
          <w:p>
            <w:pPr>
              <w:jc w:val="center"/>
            </w:pPr>
            <w:r>
              <w:rPr>
                <w:rFonts w:hint="eastAsia"/>
              </w:rPr>
              <w:t>20</w:t>
            </w:r>
          </w:p>
        </w:tc>
        <w:tc>
          <w:tcPr>
            <w:tcW w:w="1830" w:type="dxa"/>
            <w:vAlign w:val="center"/>
          </w:tcPr>
          <w:p>
            <w:pPr>
              <w:jc w:val="center"/>
            </w:pPr>
            <w:r>
              <w:t>演示</w:t>
            </w:r>
          </w:p>
        </w:tc>
        <w:tc>
          <w:tcPr>
            <w:tcW w:w="6604" w:type="dxa"/>
            <w:vAlign w:val="center"/>
          </w:tcPr>
          <w:p>
            <w:r>
              <w:rPr>
                <w:rFonts w:hint="eastAsia"/>
              </w:rPr>
              <w:fldChar w:fldCharType="begin"/>
            </w:r>
            <w:r>
              <w:rPr>
                <w:rFonts w:hint="eastAsia"/>
              </w:rPr>
              <w:instrText xml:space="preserve"> eq \o\ac(□)</w:instrText>
            </w:r>
            <w:r>
              <w:rPr>
                <w:rFonts w:hint="eastAsia"/>
              </w:rPr>
              <w:fldChar w:fldCharType="end"/>
            </w:r>
            <w:r>
              <w:rPr>
                <w:rFonts w:hint="eastAsia"/>
              </w:rPr>
              <w:t xml:space="preserve"> 不要求</w:t>
            </w:r>
          </w:p>
          <w:p>
            <w:r>
              <w:rPr>
                <w:rFonts w:hint="eastAsia"/>
              </w:rPr>
              <w:fldChar w:fldCharType="begin"/>
            </w:r>
            <w:r>
              <w:rPr>
                <w:rFonts w:hint="eastAsia"/>
              </w:rPr>
              <w:instrText xml:space="preserve"> eq \o\ac(□,√)</w:instrText>
            </w:r>
            <w:r>
              <w:rPr>
                <w:rFonts w:hint="eastAsia"/>
              </w:rPr>
              <w:fldChar w:fldCharType="end"/>
            </w:r>
            <w:r>
              <w:rPr>
                <w:rFonts w:hint="eastAsia"/>
              </w:rPr>
              <w:t xml:space="preserve"> 要求：对采购文件的第二章采购内容的招标技术要求中要求的视频</w:t>
            </w:r>
            <w:bookmarkStart w:id="170" w:name="_GoBack"/>
            <w:bookmarkEnd w:id="170"/>
            <w:r>
              <w:rPr>
                <w:rFonts w:hint="eastAsia"/>
              </w:rPr>
              <w:t>演示内容进行视频演示，总时长不得超过15分钟。</w:t>
            </w:r>
          </w:p>
          <w:p>
            <w:r>
              <w:rPr>
                <w:rFonts w:hint="eastAsia"/>
              </w:rPr>
              <w:t>送达方式如下：</w:t>
            </w:r>
          </w:p>
          <w:p>
            <w:r>
              <w:rPr>
                <w:rFonts w:hint="eastAsia"/>
              </w:rPr>
              <w:t>a.投标人制作“演示视频文件”后，将文件存储于U盘内，以顺丰快递形式在2022年12月</w:t>
            </w:r>
            <w:r>
              <w:rPr>
                <w:rFonts w:hint="eastAsia"/>
                <w:lang w:val="en-US" w:eastAsia="zh-CN"/>
              </w:rPr>
              <w:t>18</w:t>
            </w:r>
            <w:r>
              <w:rPr>
                <w:rFonts w:hint="eastAsia"/>
              </w:rPr>
              <w:t>日</w:t>
            </w:r>
            <w:r>
              <w:rPr>
                <w:rFonts w:hint="eastAsia"/>
                <w:lang w:val="en-US" w:eastAsia="zh-CN"/>
              </w:rPr>
              <w:t>17</w:t>
            </w:r>
            <w:r>
              <w:rPr>
                <w:rFonts w:hint="eastAsia"/>
              </w:rPr>
              <w:t>:00前快递至采购代理机构地址（地址详见采购文件，防疫期间不建议供应商代表送达接收地点）。</w:t>
            </w:r>
          </w:p>
          <w:p>
            <w:r>
              <w:rPr>
                <w:rFonts w:hint="eastAsia"/>
              </w:rPr>
              <w:t>b.“演示视频文件”应当密封包装，并在包装上标注投标项目名称、投标单位名称并加盖公章。没有密封包装或者逾期邮寄送达至投标地点的“演示视频文件”将不予接收，由此造成的责任由投标人自负。</w:t>
            </w:r>
          </w:p>
          <w:p>
            <w:r>
              <w:rPr>
                <w:rFonts w:hint="eastAsia"/>
              </w:rPr>
              <w:t>c. 投标人应加强U盘的包装与保护，因包装不当而造成“演示视频文件”损坏或不能在开评标现场设备上正确读取的责任由投标人自负。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3" w:hRule="atLeast"/>
          <w:jc w:val="center"/>
        </w:trPr>
        <w:tc>
          <w:tcPr>
            <w:tcW w:w="767" w:type="dxa"/>
            <w:vAlign w:val="center"/>
          </w:tcPr>
          <w:p>
            <w:pPr>
              <w:jc w:val="center"/>
            </w:pPr>
            <w:r>
              <w:rPr>
                <w:rFonts w:hint="eastAsia"/>
              </w:rPr>
              <w:t>21</w:t>
            </w:r>
          </w:p>
        </w:tc>
        <w:tc>
          <w:tcPr>
            <w:tcW w:w="1830" w:type="dxa"/>
            <w:vAlign w:val="center"/>
          </w:tcPr>
          <w:p>
            <w:pPr>
              <w:jc w:val="center"/>
            </w:pPr>
            <w:r>
              <w:rPr>
                <w:rFonts w:hint="eastAsia"/>
              </w:rPr>
              <w:t>支持中小企业</w:t>
            </w:r>
          </w:p>
        </w:tc>
        <w:tc>
          <w:tcPr>
            <w:tcW w:w="6604" w:type="dxa"/>
            <w:vAlign w:val="center"/>
          </w:tcPr>
          <w:p>
            <w:pPr>
              <w:rPr>
                <w:color w:val="000000"/>
              </w:rPr>
            </w:pPr>
            <w:r>
              <w:rPr>
                <w:rFonts w:hint="eastAsia"/>
                <w:color w:val="000000"/>
              </w:rPr>
              <w:t>1.说明</w:t>
            </w:r>
          </w:p>
          <w:p>
            <w:pPr>
              <w:rPr>
                <w:color w:val="000000"/>
              </w:rPr>
            </w:pPr>
            <w:r>
              <w:rPr>
                <w:rFonts w:hint="eastAsia"/>
                <w:color w:val="000000"/>
              </w:rPr>
              <w:t>（1）中小企业</w:t>
            </w:r>
          </w:p>
          <w:p>
            <w:pPr>
              <w:ind w:firstLine="420" w:firstLineChars="200"/>
              <w:rPr>
                <w:color w:val="000000"/>
              </w:rPr>
            </w:pPr>
            <w:r>
              <w:rPr>
                <w:rFonts w:hint="eastAsia"/>
                <w:color w:val="000000"/>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20" w:firstLineChars="200"/>
              <w:rPr>
                <w:color w:val="000000"/>
              </w:rPr>
            </w:pPr>
            <w:r>
              <w:rPr>
                <w:rFonts w:hint="eastAsia"/>
                <w:color w:val="000000"/>
              </w:rPr>
              <w:t>符合中小企业划分标准的个体工商户，在政府采购活动中视同中小企业。</w:t>
            </w:r>
          </w:p>
          <w:p>
            <w:pPr>
              <w:ind w:firstLine="420" w:firstLineChars="200"/>
              <w:rPr>
                <w:color w:val="000000"/>
              </w:rPr>
            </w:pPr>
            <w:r>
              <w:rPr>
                <w:rFonts w:hint="eastAsia"/>
                <w:color w:val="000000"/>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ind w:firstLine="420" w:firstLineChars="200"/>
              <w:rPr>
                <w:color w:val="000000"/>
              </w:rPr>
            </w:pPr>
            <w:r>
              <w:rPr>
                <w:rFonts w:hint="eastAsia"/>
                <w:color w:val="000000"/>
              </w:rPr>
              <w:t>在货物采购项目中，供应商提供的货物既有中小企业制造货物，也有大型企业制造货物的，不享受本办法规定的中小企业扶持政策。</w:t>
            </w:r>
          </w:p>
          <w:p>
            <w:pPr>
              <w:ind w:firstLine="420" w:firstLineChars="200"/>
              <w:rPr>
                <w:color w:val="000000"/>
              </w:rPr>
            </w:pPr>
            <w:r>
              <w:rPr>
                <w:rFonts w:hint="eastAsia"/>
                <w:color w:val="000000"/>
              </w:rPr>
              <w:t>投标文件中须同时出具《政府采购促进中小企业发展管理办法》【财库（2020）46号】规定的《中小企业声明函》，否则不得享受价格扣除。</w:t>
            </w:r>
          </w:p>
          <w:p>
            <w:pPr>
              <w:rPr>
                <w:color w:val="000000"/>
              </w:rPr>
            </w:pPr>
            <w:r>
              <w:rPr>
                <w:rFonts w:hint="eastAsia"/>
                <w:color w:val="000000"/>
              </w:rPr>
              <w:t>（2）残疾人福利性单位</w:t>
            </w:r>
          </w:p>
          <w:p>
            <w:pPr>
              <w:ind w:firstLine="420" w:firstLineChars="200"/>
              <w:rPr>
                <w:color w:val="000000"/>
              </w:rPr>
            </w:pPr>
            <w:r>
              <w:rPr>
                <w:rFonts w:hint="eastAsia"/>
                <w:color w:val="000000"/>
              </w:rPr>
              <w:t>符合《关于促进残疾人就业政府采购政策的通知》（财库〔2017〕141号）规定的条件并提供提供《残疾人福利性单位声明函》的残疾人福利性单位视同小型、微型企业；</w:t>
            </w:r>
          </w:p>
          <w:p>
            <w:pPr>
              <w:rPr>
                <w:color w:val="000000"/>
              </w:rPr>
            </w:pPr>
            <w:r>
              <w:rPr>
                <w:rFonts w:hint="eastAsia"/>
                <w:color w:val="000000"/>
              </w:rPr>
              <w:t>（3）监狱企业</w:t>
            </w:r>
          </w:p>
          <w:p>
            <w:pPr>
              <w:ind w:firstLine="420" w:firstLineChars="200"/>
              <w:rPr>
                <w:color w:val="000000"/>
              </w:rPr>
            </w:pPr>
            <w:r>
              <w:rPr>
                <w:rFonts w:hint="eastAsia"/>
                <w:color w:val="000000"/>
              </w:rPr>
              <w:t>根据《关于政府采购支持监狱企业发展有关问题的通知》（财库[2014]68号）的规定，供应商提供由省级以上监狱管理局、戒毒管理局（含新疆生产建设兵团）出具的属于监狱企业证明文件的，视同为小型和微型企业。</w:t>
            </w:r>
          </w:p>
          <w:p>
            <w:pPr>
              <w:rPr>
                <w:color w:val="000000"/>
              </w:rPr>
            </w:pPr>
            <w:r>
              <w:rPr>
                <w:rFonts w:hint="eastAsia"/>
                <w:color w:val="000000"/>
              </w:rPr>
              <w:t>2.价格扣除：</w:t>
            </w:r>
          </w:p>
          <w:p>
            <w:pPr>
              <w:ind w:firstLine="420" w:firstLineChars="200"/>
              <w:rPr>
                <w:color w:val="000000"/>
              </w:rPr>
            </w:pPr>
            <w:r>
              <w:rPr>
                <w:rFonts w:hint="eastAsia"/>
                <w:color w:val="000000"/>
              </w:rPr>
              <w:t>本项目对符合规定的小微企业（含小型企业）报价给予20%的扣除。</w:t>
            </w:r>
          </w:p>
          <w:p>
            <w:pPr>
              <w:rPr>
                <w:color w:val="000000"/>
              </w:rPr>
            </w:pPr>
            <w:r>
              <w:rPr>
                <w:rFonts w:hint="eastAsia"/>
                <w:color w:val="000000"/>
              </w:rPr>
              <w:t>3.本项目采购标的所属行业为：</w:t>
            </w:r>
            <w:r>
              <w:rPr>
                <w:rFonts w:hint="eastAsia"/>
                <w:color w:val="000000"/>
                <w:u w:val="single"/>
              </w:rPr>
              <w:t>工业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767" w:type="dxa"/>
            <w:vAlign w:val="center"/>
          </w:tcPr>
          <w:p>
            <w:pPr>
              <w:jc w:val="center"/>
            </w:pPr>
            <w:r>
              <w:rPr>
                <w:rFonts w:hint="eastAsia"/>
              </w:rPr>
              <w:t>22</w:t>
            </w:r>
          </w:p>
        </w:tc>
        <w:tc>
          <w:tcPr>
            <w:tcW w:w="1830" w:type="dxa"/>
            <w:vAlign w:val="center"/>
          </w:tcPr>
          <w:p>
            <w:pPr>
              <w:jc w:val="center"/>
            </w:pPr>
            <w:r>
              <w:rPr>
                <w:rFonts w:hint="eastAsia"/>
              </w:rPr>
              <w:t>联合体和分包</w:t>
            </w:r>
          </w:p>
        </w:tc>
        <w:tc>
          <w:tcPr>
            <w:tcW w:w="6604" w:type="dxa"/>
            <w:vAlign w:val="center"/>
          </w:tcPr>
          <w:p>
            <w:pPr>
              <w:rPr>
                <w:color w:val="000000"/>
              </w:rPr>
            </w:pPr>
            <w:r>
              <w:rPr>
                <w:rFonts w:hint="eastAsia"/>
                <w:color w:val="000000"/>
              </w:rPr>
              <w:t>（1）本项目不接受联合体投标。</w:t>
            </w:r>
          </w:p>
          <w:p>
            <w:pPr>
              <w:rPr>
                <w:color w:val="000000"/>
              </w:rPr>
            </w:pPr>
            <w:r>
              <w:rPr>
                <w:rFonts w:hint="eastAsia"/>
                <w:color w:val="000000"/>
              </w:rPr>
              <w:t>（2）本项目不接受分包。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767" w:type="dxa"/>
            <w:vAlign w:val="center"/>
          </w:tcPr>
          <w:p>
            <w:pPr>
              <w:jc w:val="center"/>
            </w:pPr>
            <w:r>
              <w:rPr>
                <w:rFonts w:hint="eastAsia"/>
              </w:rPr>
              <w:t>23</w:t>
            </w:r>
          </w:p>
        </w:tc>
        <w:tc>
          <w:tcPr>
            <w:tcW w:w="1830" w:type="dxa"/>
            <w:vAlign w:val="center"/>
          </w:tcPr>
          <w:p>
            <w:pPr>
              <w:jc w:val="center"/>
            </w:pPr>
            <w:r>
              <w:rPr>
                <w:rFonts w:hint="eastAsia"/>
              </w:rPr>
              <w:t>公章</w:t>
            </w:r>
          </w:p>
        </w:tc>
        <w:tc>
          <w:tcPr>
            <w:tcW w:w="6604" w:type="dxa"/>
            <w:vAlign w:val="center"/>
          </w:tcPr>
          <w:p>
            <w:pPr>
              <w:rPr>
                <w:color w:val="000000"/>
              </w:rPr>
            </w:pPr>
            <w:r>
              <w:rPr>
                <w:rFonts w:hint="eastAsia"/>
                <w:color w:val="000000"/>
              </w:rPr>
              <w:t>本文件所要求公章皆为电子签章。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05" w:hRule="atLeast"/>
          <w:jc w:val="center"/>
        </w:trPr>
        <w:tc>
          <w:tcPr>
            <w:tcW w:w="767" w:type="dxa"/>
            <w:vAlign w:val="center"/>
          </w:tcPr>
          <w:p>
            <w:pPr>
              <w:jc w:val="center"/>
            </w:pPr>
            <w:r>
              <w:rPr>
                <w:rFonts w:hint="eastAsia"/>
              </w:rPr>
              <w:t>24</w:t>
            </w:r>
          </w:p>
        </w:tc>
        <w:tc>
          <w:tcPr>
            <w:tcW w:w="1830" w:type="dxa"/>
            <w:vAlign w:val="center"/>
          </w:tcPr>
          <w:p>
            <w:pPr>
              <w:jc w:val="center"/>
            </w:pPr>
            <w:r>
              <w:rPr>
                <w:rFonts w:hint="eastAsia"/>
              </w:rPr>
              <w:t>履约保证金</w:t>
            </w:r>
          </w:p>
        </w:tc>
        <w:tc>
          <w:tcPr>
            <w:tcW w:w="6604" w:type="dxa"/>
            <w:vAlign w:val="center"/>
          </w:tcPr>
          <w:p>
            <w:pPr>
              <w:spacing w:line="360" w:lineRule="exact"/>
              <w:ind w:left="1058" w:hanging="1058" w:hangingChars="504"/>
              <w:rPr>
                <w:rFonts w:ascii="宋体" w:hAnsi="宋体" w:cs="宋体"/>
                <w:szCs w:val="21"/>
              </w:rPr>
            </w:pPr>
            <w:r>
              <w:rPr>
                <w:rFonts w:hint="eastAsia" w:ascii="宋体" w:hAnsi="宋体" w:cs="宋体"/>
                <w:szCs w:val="21"/>
                <w:lang w:eastAsia="zh-CN"/>
              </w:rPr>
              <w:t>□</w:t>
            </w:r>
            <w:r>
              <w:rPr>
                <w:rFonts w:hint="eastAsia" w:ascii="宋体" w:hAnsi="宋体" w:cs="宋体"/>
                <w:szCs w:val="21"/>
              </w:rPr>
              <w:t xml:space="preserve"> 不需要</w:t>
            </w:r>
          </w:p>
          <w:p>
            <w:pPr>
              <w:spacing w:line="360" w:lineRule="exact"/>
              <w:ind w:left="1058" w:hanging="1058" w:hangingChars="504"/>
              <w:rPr>
                <w:rFonts w:ascii="宋体" w:hAnsi="宋体" w:cs="宋体"/>
                <w:b/>
                <w:bCs/>
                <w:szCs w:val="21"/>
                <w:u w:val="single"/>
              </w:rPr>
            </w:pPr>
            <w:r>
              <w:rPr>
                <w:rFonts w:hint="eastAsia" w:ascii="宋体" w:hAnsi="宋体" w:cs="宋体"/>
                <w:szCs w:val="21"/>
                <w:lang w:eastAsia="zh-CN"/>
              </w:rPr>
              <w:t>☑</w:t>
            </w:r>
            <w:r>
              <w:rPr>
                <w:rFonts w:hint="eastAsia" w:ascii="宋体" w:hAnsi="宋体" w:cs="宋体"/>
                <w:szCs w:val="21"/>
              </w:rPr>
              <w:t xml:space="preserve"> 需要：</w:t>
            </w:r>
            <w:r>
              <w:rPr>
                <w:rFonts w:hint="eastAsia" w:ascii="宋体" w:hAnsi="宋体" w:cs="宋体"/>
                <w:b/>
                <w:bCs/>
                <w:szCs w:val="21"/>
                <w:u w:val="single"/>
              </w:rPr>
              <w:t>成交供应商需向采购人缴纳财政预算价的1%的履约保证金。</w:t>
            </w:r>
          </w:p>
          <w:p>
            <w:pPr>
              <w:spacing w:line="360" w:lineRule="exact"/>
              <w:rPr>
                <w:color w:val="000000"/>
              </w:rPr>
            </w:pPr>
            <w:r>
              <w:rPr>
                <w:rFonts w:hint="eastAsia" w:ascii="宋体" w:hAnsi="宋体" w:cs="宋体"/>
                <w:spacing w:val="-4"/>
                <w:szCs w:val="21"/>
              </w:rPr>
              <w:t>(</w:t>
            </w:r>
            <w:r>
              <w:rPr>
                <w:rFonts w:hint="eastAsia" w:ascii="宋体" w:hAnsi="宋体" w:cs="宋体"/>
              </w:rPr>
              <w:t>银行转账、转帐支票、银行汇票、保险或金融机构出具的保函等</w:t>
            </w:r>
            <w:r>
              <w:rPr>
                <w:rFonts w:hint="eastAsia" w:ascii="宋体" w:hAnsi="宋体" w:cs="宋体"/>
                <w:spacing w:val="-4"/>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67" w:type="dxa"/>
            <w:vAlign w:val="center"/>
          </w:tcPr>
          <w:p>
            <w:pPr>
              <w:jc w:val="center"/>
            </w:pPr>
            <w:r>
              <w:rPr>
                <w:rFonts w:hint="eastAsia"/>
              </w:rPr>
              <w:t>25</w:t>
            </w:r>
          </w:p>
        </w:tc>
        <w:tc>
          <w:tcPr>
            <w:tcW w:w="1830" w:type="dxa"/>
            <w:vAlign w:val="center"/>
          </w:tcPr>
          <w:p>
            <w:pPr>
              <w:jc w:val="center"/>
              <w:rPr>
                <w:rFonts w:ascii="宋体" w:hAnsi="宋体" w:cs="宋体"/>
                <w:szCs w:val="21"/>
              </w:rPr>
            </w:pPr>
            <w:r>
              <w:rPr>
                <w:rFonts w:hint="eastAsia"/>
              </w:rPr>
              <w:t>是否允许采购进口产品</w:t>
            </w:r>
          </w:p>
        </w:tc>
        <w:tc>
          <w:tcPr>
            <w:tcW w:w="6604" w:type="dxa"/>
          </w:tcPr>
          <w:p>
            <w:pPr>
              <w:spacing w:before="43" w:line="180" w:lineRule="auto"/>
              <w:ind w:left="122"/>
              <w:rPr>
                <w:rFonts w:ascii="宋体" w:hAnsi="宋体" w:cs="宋体"/>
                <w:szCs w:val="21"/>
              </w:rPr>
            </w:pPr>
            <w:r>
              <w:rPr>
                <w:rFonts w:hint="eastAsia" w:ascii="宋体" w:hAnsi="宋体" w:cs="宋体"/>
                <w:szCs w:val="21"/>
              </w:rPr>
              <w:t>□</w:t>
            </w:r>
            <w:r>
              <w:rPr>
                <w:rFonts w:hint="eastAsia" w:ascii="宋体" w:hAnsi="宋体" w:cs="宋体"/>
                <w:spacing w:val="-4"/>
                <w:szCs w:val="21"/>
              </w:rPr>
              <w:t xml:space="preserve"> </w:t>
            </w:r>
            <w:r>
              <w:rPr>
                <w:rFonts w:hint="eastAsia" w:ascii="宋体" w:hAnsi="宋体" w:cs="宋体"/>
                <w:spacing w:val="-2"/>
                <w:szCs w:val="21"/>
              </w:rPr>
              <w:t>不允许采购进口产品。</w:t>
            </w:r>
          </w:p>
          <w:p>
            <w:pPr>
              <w:spacing w:before="3" w:line="234" w:lineRule="auto"/>
              <w:ind w:left="119" w:right="100" w:firstLine="3"/>
              <w:rPr>
                <w:rFonts w:ascii="宋体" w:hAnsi="宋体" w:cs="宋体"/>
                <w:spacing w:val="-4"/>
                <w:szCs w:val="21"/>
              </w:rPr>
            </w:pPr>
            <w:r>
              <w:rPr>
                <w:rFonts w:hint="eastAsia" w:ascii="宋体" w:hAnsi="宋体" w:cs="宋体"/>
                <w:szCs w:val="21"/>
              </w:rPr>
              <w:t xml:space="preserve">☑ </w:t>
            </w:r>
            <w:r>
              <w:rPr>
                <w:rFonts w:hint="eastAsia"/>
                <w:highlight w:val="none"/>
              </w:rPr>
              <w:t>血透机</w:t>
            </w:r>
            <w:r>
              <w:rPr>
                <w:rFonts w:hint="eastAsia" w:ascii="宋体" w:hAnsi="宋体" w:cs="宋体"/>
                <w:highlight w:val="none"/>
              </w:rPr>
              <w:t>、</w:t>
            </w:r>
            <w:r>
              <w:rPr>
                <w:rFonts w:hint="eastAsia"/>
                <w:highlight w:val="none"/>
              </w:rPr>
              <w:t>水处理系统</w:t>
            </w:r>
            <w:r>
              <w:rPr>
                <w:rFonts w:hint="eastAsia" w:ascii="宋体" w:hAnsi="宋体" w:cs="宋体"/>
                <w:spacing w:val="-2"/>
                <w:szCs w:val="21"/>
                <w:highlight w:val="none"/>
              </w:rPr>
              <w:t>可以采购进口产品</w:t>
            </w:r>
            <w:r>
              <w:rPr>
                <w:rFonts w:hint="eastAsia" w:ascii="宋体" w:hAnsi="宋体" w:cs="宋体"/>
                <w:spacing w:val="-1"/>
                <w:szCs w:val="21"/>
                <w:highlight w:val="none"/>
              </w:rPr>
              <w:t>。优先采购向我国企业</w:t>
            </w:r>
            <w:r>
              <w:rPr>
                <w:rFonts w:hint="eastAsia" w:ascii="宋体" w:hAnsi="宋体" w:cs="宋体"/>
                <w:spacing w:val="-1"/>
                <w:szCs w:val="21"/>
              </w:rPr>
              <w:t>转让技术、与我</w:t>
            </w:r>
            <w:r>
              <w:rPr>
                <w:rFonts w:hint="eastAsia" w:ascii="宋体" w:hAnsi="宋体" w:cs="宋体"/>
                <w:spacing w:val="1"/>
                <w:szCs w:val="21"/>
              </w:rPr>
              <w:t>国企业签订消化吸收再创新方案的供应商的进口产品；</w:t>
            </w:r>
            <w:r>
              <w:rPr>
                <w:rFonts w:hint="eastAsia" w:ascii="宋体" w:hAnsi="宋体" w:cs="宋体"/>
                <w:szCs w:val="21"/>
              </w:rPr>
              <w:t>但如</w:t>
            </w:r>
            <w:r>
              <w:rPr>
                <w:rFonts w:hint="eastAsia" w:ascii="宋体" w:hAnsi="宋体" w:cs="宋体"/>
                <w:spacing w:val="-6"/>
                <w:szCs w:val="21"/>
              </w:rPr>
              <w:t>果因信息不</w:t>
            </w:r>
            <w:r>
              <w:rPr>
                <w:rFonts w:hint="eastAsia" w:ascii="宋体" w:hAnsi="宋体" w:cs="宋体"/>
                <w:spacing w:val="-3"/>
                <w:szCs w:val="21"/>
              </w:rPr>
              <w:t>对称等原因，仍有满足需求的国内产品要求参与</w:t>
            </w:r>
            <w:r>
              <w:rPr>
                <w:rFonts w:hint="eastAsia" w:ascii="宋体" w:hAnsi="宋体" w:cs="宋体"/>
                <w:spacing w:val="-6"/>
                <w:szCs w:val="21"/>
              </w:rPr>
              <w:t>采购竞争的</w:t>
            </w:r>
            <w:r>
              <w:rPr>
                <w:rFonts w:hint="eastAsia" w:ascii="宋体" w:hAnsi="宋体" w:cs="宋体"/>
                <w:spacing w:val="-3"/>
                <w:szCs w:val="21"/>
              </w:rPr>
              <w:t>，采购人及其委托的采购代理机构不对其加以限制，将按照公平竞争原则实施采购</w:t>
            </w:r>
            <w:r>
              <w:rPr>
                <w:rFonts w:hint="eastAsia" w:ascii="宋体" w:hAnsi="宋体" w:cs="宋体"/>
                <w:spacing w:val="-1"/>
                <w:szCs w:val="21"/>
              </w:rPr>
              <w:t>。</w:t>
            </w:r>
          </w:p>
        </w:tc>
      </w:tr>
    </w:tbl>
    <w:p>
      <w:pPr>
        <w:jc w:val="center"/>
        <w:outlineLvl w:val="0"/>
        <w:rPr>
          <w:b/>
          <w:bCs/>
          <w:sz w:val="28"/>
          <w:szCs w:val="36"/>
        </w:rPr>
      </w:pPr>
      <w:bookmarkStart w:id="53" w:name="_Toc298767927"/>
      <w:bookmarkStart w:id="54" w:name="_Toc294012141"/>
      <w:bookmarkStart w:id="55" w:name="_Toc24533"/>
      <w:bookmarkStart w:id="56" w:name="_Toc495317669"/>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jc w:val="center"/>
        <w:outlineLvl w:val="0"/>
        <w:rPr>
          <w:b/>
          <w:bCs/>
          <w:sz w:val="28"/>
          <w:szCs w:val="36"/>
        </w:rPr>
      </w:pPr>
    </w:p>
    <w:p>
      <w:pPr>
        <w:pStyle w:val="2"/>
        <w:rPr>
          <w:b/>
          <w:bCs/>
          <w:sz w:val="28"/>
          <w:szCs w:val="36"/>
        </w:rPr>
      </w:pPr>
    </w:p>
    <w:p/>
    <w:p>
      <w:pPr>
        <w:jc w:val="center"/>
        <w:outlineLvl w:val="0"/>
      </w:pPr>
      <w:r>
        <w:rPr>
          <w:b/>
          <w:bCs/>
          <w:sz w:val="28"/>
          <w:szCs w:val="36"/>
        </w:rPr>
        <w:t>第二章</w:t>
      </w:r>
      <w:bookmarkEnd w:id="53"/>
      <w:bookmarkEnd w:id="54"/>
      <w:r>
        <w:rPr>
          <w:b/>
          <w:bCs/>
          <w:sz w:val="28"/>
          <w:szCs w:val="36"/>
        </w:rPr>
        <w:t xml:space="preserve">  采购内容及需求</w:t>
      </w:r>
      <w:bookmarkEnd w:id="55"/>
      <w:bookmarkEnd w:id="56"/>
    </w:p>
    <w:p>
      <w:pPr>
        <w:spacing w:line="360" w:lineRule="auto"/>
      </w:pPr>
      <w:bookmarkStart w:id="57" w:name="_Toc422946256"/>
      <w:r>
        <w:rPr>
          <w:rFonts w:hint="eastAsia"/>
        </w:rPr>
        <w:t>一、概述</w:t>
      </w:r>
    </w:p>
    <w:p>
      <w:pPr>
        <w:spacing w:line="360" w:lineRule="auto"/>
        <w:ind w:firstLine="420" w:firstLineChars="200"/>
      </w:pPr>
      <w:r>
        <w:rPr>
          <w:rFonts w:hint="eastAsia"/>
        </w:rPr>
        <w:t>本次招标采购设备为医疗设备，供应商应根据采购文件所提出的设备技术规格和服务要求，综合考虑设备的适应性，选择具有最佳性能价格比的设备前来投标。希望供应商以优良的产品、服务和优惠的价格参与竞争。</w:t>
      </w:r>
    </w:p>
    <w:p/>
    <w:p>
      <w:pPr>
        <w:spacing w:line="360" w:lineRule="auto"/>
      </w:pPr>
      <w:r>
        <w:rPr>
          <w:rFonts w:hint="eastAsia"/>
        </w:rPr>
        <w:t>二</w:t>
      </w:r>
      <w:r>
        <w:t>、采购内容一览表</w:t>
      </w:r>
      <w:bookmarkEnd w:id="57"/>
    </w:p>
    <w:tbl>
      <w:tblPr>
        <w:tblStyle w:val="21"/>
        <w:tblW w:w="906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1901"/>
        <w:gridCol w:w="299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2" w:hRule="atLeast"/>
          <w:jc w:val="center"/>
        </w:trPr>
        <w:tc>
          <w:tcPr>
            <w:tcW w:w="928" w:type="dxa"/>
            <w:vAlign w:val="center"/>
          </w:tcPr>
          <w:p>
            <w:pPr>
              <w:jc w:val="center"/>
              <w:rPr>
                <w:b/>
                <w:bCs/>
              </w:rPr>
            </w:pPr>
            <w:r>
              <w:rPr>
                <w:b/>
                <w:bCs/>
              </w:rPr>
              <w:t>序号</w:t>
            </w:r>
          </w:p>
        </w:tc>
        <w:tc>
          <w:tcPr>
            <w:tcW w:w="3240" w:type="dxa"/>
            <w:vAlign w:val="center"/>
          </w:tcPr>
          <w:p>
            <w:pPr>
              <w:jc w:val="center"/>
              <w:rPr>
                <w:b/>
                <w:bCs/>
              </w:rPr>
            </w:pPr>
            <w:r>
              <w:rPr>
                <w:b/>
                <w:bCs/>
              </w:rPr>
              <w:t>货物名称</w:t>
            </w:r>
          </w:p>
        </w:tc>
        <w:tc>
          <w:tcPr>
            <w:tcW w:w="1901" w:type="dxa"/>
            <w:vAlign w:val="center"/>
          </w:tcPr>
          <w:p>
            <w:pPr>
              <w:jc w:val="center"/>
              <w:rPr>
                <w:b/>
                <w:bCs/>
              </w:rPr>
            </w:pPr>
            <w:r>
              <w:rPr>
                <w:b/>
                <w:bCs/>
              </w:rPr>
              <w:t>数量</w:t>
            </w:r>
          </w:p>
        </w:tc>
        <w:tc>
          <w:tcPr>
            <w:tcW w:w="2996" w:type="dxa"/>
            <w:vAlign w:val="center"/>
          </w:tcPr>
          <w:p>
            <w:pPr>
              <w:jc w:val="center"/>
              <w:rPr>
                <w:b/>
                <w:bCs/>
              </w:rPr>
            </w:pPr>
            <w:r>
              <w:rPr>
                <w:b/>
                <w:bCs/>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928" w:type="dxa"/>
            <w:vAlign w:val="center"/>
          </w:tcPr>
          <w:p>
            <w:pPr>
              <w:jc w:val="center"/>
            </w:pPr>
            <w:r>
              <w:rPr>
                <w:rFonts w:hint="eastAsia"/>
              </w:rPr>
              <w:t>一</w:t>
            </w:r>
          </w:p>
        </w:tc>
        <w:tc>
          <w:tcPr>
            <w:tcW w:w="3240" w:type="dxa"/>
            <w:vAlign w:val="center"/>
          </w:tcPr>
          <w:p>
            <w:pPr>
              <w:jc w:val="center"/>
            </w:pPr>
            <w:r>
              <w:rPr>
                <w:rFonts w:hint="eastAsia"/>
              </w:rPr>
              <w:t>血液透析机</w:t>
            </w:r>
          </w:p>
        </w:tc>
        <w:tc>
          <w:tcPr>
            <w:tcW w:w="1901" w:type="dxa"/>
            <w:vAlign w:val="center"/>
          </w:tcPr>
          <w:p>
            <w:pPr>
              <w:jc w:val="center"/>
            </w:pPr>
            <w:r>
              <w:rPr>
                <w:rFonts w:hint="eastAsia"/>
              </w:rPr>
              <w:t>30套</w:t>
            </w:r>
          </w:p>
        </w:tc>
        <w:tc>
          <w:tcPr>
            <w:tcW w:w="2996" w:type="dxa"/>
            <w:vMerge w:val="restart"/>
            <w:vAlign w:val="center"/>
          </w:tcPr>
          <w:p>
            <w:pPr>
              <w:spacing w:line="360" w:lineRule="auto"/>
              <w:jc w:val="center"/>
            </w:pPr>
            <w:r>
              <w:rPr>
                <w:rFonts w:hint="eastAsia"/>
              </w:rPr>
              <w:t>瑞安市妇幼保健院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928" w:type="dxa"/>
            <w:vAlign w:val="center"/>
          </w:tcPr>
          <w:p>
            <w:pPr>
              <w:jc w:val="center"/>
            </w:pPr>
          </w:p>
        </w:tc>
        <w:tc>
          <w:tcPr>
            <w:tcW w:w="3240" w:type="dxa"/>
            <w:vAlign w:val="center"/>
          </w:tcPr>
          <w:p>
            <w:pPr>
              <w:jc w:val="center"/>
            </w:pPr>
            <w:r>
              <w:rPr>
                <w:rFonts w:hint="eastAsia"/>
              </w:rPr>
              <w:t>单泵血透机</w:t>
            </w:r>
          </w:p>
        </w:tc>
        <w:tc>
          <w:tcPr>
            <w:tcW w:w="1901" w:type="dxa"/>
            <w:vAlign w:val="center"/>
          </w:tcPr>
          <w:p>
            <w:pPr>
              <w:jc w:val="center"/>
            </w:pPr>
            <w:r>
              <w:rPr>
                <w:rFonts w:hint="eastAsia"/>
              </w:rPr>
              <w:t>25套</w:t>
            </w:r>
          </w:p>
        </w:tc>
        <w:tc>
          <w:tcPr>
            <w:tcW w:w="2996" w:type="dxa"/>
            <w:vMerge w:val="continue"/>
            <w:vAlign w:val="center"/>
          </w:tcPr>
          <w:p>
            <w:pPr>
              <w:spacing w:line="360" w:lineRule="auto"/>
              <w:jc w:val="cente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928" w:type="dxa"/>
            <w:vAlign w:val="center"/>
          </w:tcPr>
          <w:p>
            <w:pPr>
              <w:jc w:val="center"/>
            </w:pPr>
          </w:p>
        </w:tc>
        <w:tc>
          <w:tcPr>
            <w:tcW w:w="3240" w:type="dxa"/>
            <w:vAlign w:val="center"/>
          </w:tcPr>
          <w:p>
            <w:pPr>
              <w:jc w:val="center"/>
            </w:pPr>
            <w:r>
              <w:rPr>
                <w:rFonts w:hint="eastAsia"/>
              </w:rPr>
              <w:t>双泵血透机</w:t>
            </w:r>
          </w:p>
        </w:tc>
        <w:tc>
          <w:tcPr>
            <w:tcW w:w="1901" w:type="dxa"/>
            <w:vAlign w:val="center"/>
          </w:tcPr>
          <w:p>
            <w:pPr>
              <w:jc w:val="center"/>
            </w:pPr>
            <w:r>
              <w:rPr>
                <w:rFonts w:hint="eastAsia"/>
              </w:rPr>
              <w:t>5套</w:t>
            </w:r>
          </w:p>
        </w:tc>
        <w:tc>
          <w:tcPr>
            <w:tcW w:w="2996" w:type="dxa"/>
            <w:vMerge w:val="continue"/>
            <w:vAlign w:val="center"/>
          </w:tcPr>
          <w:p>
            <w:pPr>
              <w:spacing w:line="360" w:lineRule="auto"/>
              <w:jc w:val="cente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jc w:val="center"/>
        </w:trPr>
        <w:tc>
          <w:tcPr>
            <w:tcW w:w="928" w:type="dxa"/>
            <w:vAlign w:val="center"/>
          </w:tcPr>
          <w:p>
            <w:pPr>
              <w:jc w:val="center"/>
            </w:pPr>
            <w:r>
              <w:rPr>
                <w:rFonts w:hint="eastAsia"/>
              </w:rPr>
              <w:t>二</w:t>
            </w:r>
          </w:p>
        </w:tc>
        <w:tc>
          <w:tcPr>
            <w:tcW w:w="3240" w:type="dxa"/>
            <w:vAlign w:val="center"/>
          </w:tcPr>
          <w:p>
            <w:pPr>
              <w:jc w:val="center"/>
            </w:pPr>
            <w:r>
              <w:rPr>
                <w:rFonts w:hint="eastAsia"/>
                <w:highlight w:val="none"/>
              </w:rPr>
              <w:t>水处理系统</w:t>
            </w:r>
          </w:p>
        </w:tc>
        <w:tc>
          <w:tcPr>
            <w:tcW w:w="1901" w:type="dxa"/>
            <w:vAlign w:val="center"/>
          </w:tcPr>
          <w:p>
            <w:pPr>
              <w:jc w:val="center"/>
              <w:rPr>
                <w:lang w:val="en-GB"/>
              </w:rPr>
            </w:pPr>
            <w:r>
              <w:rPr>
                <w:rFonts w:hint="eastAsia"/>
              </w:rPr>
              <w:t>1</w:t>
            </w:r>
            <w:r>
              <w:t>套</w:t>
            </w:r>
          </w:p>
        </w:tc>
        <w:tc>
          <w:tcPr>
            <w:tcW w:w="2996" w:type="dxa"/>
            <w:vMerge w:val="continue"/>
            <w:vAlign w:val="center"/>
          </w:tcPr>
          <w:p>
            <w:pPr>
              <w:spacing w:line="360" w:lineRule="auto"/>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jc w:val="center"/>
        </w:trPr>
        <w:tc>
          <w:tcPr>
            <w:tcW w:w="928" w:type="dxa"/>
            <w:vAlign w:val="center"/>
          </w:tcPr>
          <w:p>
            <w:pPr>
              <w:jc w:val="center"/>
            </w:pPr>
            <w:r>
              <w:rPr>
                <w:rFonts w:hint="eastAsia"/>
              </w:rPr>
              <w:t>三</w:t>
            </w:r>
          </w:p>
        </w:tc>
        <w:tc>
          <w:tcPr>
            <w:tcW w:w="3240" w:type="dxa"/>
            <w:vAlign w:val="center"/>
          </w:tcPr>
          <w:p>
            <w:pPr>
              <w:jc w:val="center"/>
            </w:pPr>
            <w:r>
              <w:rPr>
                <w:rFonts w:hint="eastAsia"/>
              </w:rPr>
              <w:t>应用软件及设备</w:t>
            </w:r>
          </w:p>
        </w:tc>
        <w:tc>
          <w:tcPr>
            <w:tcW w:w="1901" w:type="dxa"/>
            <w:vAlign w:val="center"/>
          </w:tcPr>
          <w:p>
            <w:pPr>
              <w:jc w:val="center"/>
            </w:pPr>
            <w:r>
              <w:rPr>
                <w:rFonts w:hint="eastAsia"/>
              </w:rPr>
              <w:t>1批</w:t>
            </w:r>
          </w:p>
        </w:tc>
        <w:tc>
          <w:tcPr>
            <w:tcW w:w="2996" w:type="dxa"/>
            <w:vMerge w:val="continue"/>
            <w:vAlign w:val="center"/>
          </w:tcPr>
          <w:p>
            <w:pPr>
              <w:spacing w:line="360" w:lineRule="auto"/>
            </w:pPr>
          </w:p>
        </w:tc>
      </w:tr>
    </w:tbl>
    <w:p>
      <w:pPr>
        <w:pStyle w:val="20"/>
        <w:ind w:left="0" w:leftChars="0" w:firstLine="0" w:firstLineChars="0"/>
      </w:pPr>
    </w:p>
    <w:p>
      <w:pPr>
        <w:pStyle w:val="20"/>
        <w:numPr>
          <w:ilvl w:val="0"/>
          <w:numId w:val="4"/>
        </w:numPr>
        <w:ind w:left="0" w:leftChars="0" w:firstLine="0" w:firstLineChars="0"/>
        <w:rPr>
          <w:rFonts w:ascii="Times New Roman" w:hAnsi="Times New Roman"/>
        </w:rPr>
      </w:pPr>
      <w:r>
        <w:rPr>
          <w:rFonts w:ascii="Times New Roman" w:hAnsi="Times New Roman"/>
        </w:rPr>
        <w:t>招标技术要求</w:t>
      </w:r>
    </w:p>
    <w:tbl>
      <w:tblPr>
        <w:tblStyle w:val="21"/>
        <w:tblW w:w="9779" w:type="dxa"/>
        <w:tblInd w:w="-4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8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rPr>
                <w:rFonts w:ascii="宋体" w:hAnsi="宋体"/>
                <w:b/>
                <w:szCs w:val="21"/>
              </w:rPr>
            </w:pPr>
            <w:r>
              <w:rPr>
                <w:rFonts w:hint="eastAsia" w:ascii="宋体" w:hAnsi="宋体"/>
                <w:b/>
                <w:szCs w:val="21"/>
              </w:rPr>
              <w:t>序号</w:t>
            </w:r>
          </w:p>
        </w:tc>
        <w:tc>
          <w:tcPr>
            <w:tcW w:w="8481" w:type="dxa"/>
            <w:vAlign w:val="center"/>
          </w:tcPr>
          <w:p>
            <w:pPr>
              <w:pStyle w:val="28"/>
              <w:tabs>
                <w:tab w:val="left" w:pos="5586"/>
              </w:tabs>
              <w:spacing w:line="360" w:lineRule="exact"/>
              <w:ind w:firstLine="0" w:firstLineChars="0"/>
              <w:jc w:val="left"/>
              <w:rPr>
                <w:rFonts w:ascii="微软雅黑" w:hAnsi="微软雅黑" w:eastAsia="微软雅黑" w:cs="Arial"/>
                <w:b/>
                <w:szCs w:val="21"/>
              </w:rPr>
            </w:pPr>
            <w:r>
              <w:rPr>
                <w:rFonts w:hint="eastAsia" w:ascii="微软雅黑" w:hAnsi="微软雅黑" w:eastAsia="微软雅黑" w:cs="Arial"/>
                <w:b/>
                <w:szCs w:val="21"/>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
                <w:szCs w:val="21"/>
              </w:rPr>
              <w:t>一</w:t>
            </w:r>
          </w:p>
        </w:tc>
        <w:tc>
          <w:tcPr>
            <w:tcW w:w="8481" w:type="dxa"/>
            <w:vAlign w:val="center"/>
          </w:tcPr>
          <w:p>
            <w:pPr>
              <w:pStyle w:val="28"/>
              <w:tabs>
                <w:tab w:val="left" w:pos="5586"/>
              </w:tabs>
              <w:spacing w:line="360" w:lineRule="exact"/>
              <w:ind w:firstLine="0" w:firstLineChars="0"/>
              <w:jc w:val="left"/>
              <w:rPr>
                <w:rFonts w:ascii="微软雅黑" w:hAnsi="微软雅黑" w:eastAsia="微软雅黑" w:cs="Arial"/>
                <w:b/>
                <w:szCs w:val="21"/>
              </w:rPr>
            </w:pPr>
            <w:r>
              <w:rPr>
                <w:rFonts w:hint="eastAsia" w:ascii="微软雅黑" w:hAnsi="微软雅黑" w:eastAsia="微软雅黑" w:cs="Arial"/>
                <w:b/>
                <w:szCs w:val="21"/>
              </w:rPr>
              <w:t>血液透析机：30</w:t>
            </w:r>
            <w:r>
              <w:rPr>
                <w:rFonts w:hint="eastAsia" w:ascii="宋体" w:hAnsi="宋体" w:cs="宋体"/>
                <w:b/>
                <w:szCs w:val="21"/>
              </w:rPr>
              <w:t>套（包含单泵机和双泵机）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
                <w:szCs w:val="21"/>
              </w:rPr>
              <w:t>1</w:t>
            </w:r>
          </w:p>
        </w:tc>
        <w:tc>
          <w:tcPr>
            <w:tcW w:w="8481" w:type="dxa"/>
            <w:vAlign w:val="center"/>
          </w:tcPr>
          <w:p>
            <w:pPr>
              <w:pStyle w:val="28"/>
              <w:tabs>
                <w:tab w:val="left" w:pos="5586"/>
              </w:tabs>
              <w:spacing w:line="360" w:lineRule="exact"/>
              <w:ind w:firstLine="0" w:firstLineChars="0"/>
              <w:jc w:val="left"/>
              <w:rPr>
                <w:rFonts w:ascii="微软雅黑" w:hAnsi="微软雅黑" w:eastAsia="微软雅黑" w:cs="Arial"/>
                <w:b/>
                <w:szCs w:val="21"/>
              </w:rPr>
            </w:pPr>
            <w:r>
              <w:rPr>
                <w:rFonts w:hint="eastAsia" w:ascii="微软雅黑" w:hAnsi="微软雅黑" w:eastAsia="微软雅黑" w:cs="Arial"/>
                <w:b/>
                <w:szCs w:val="21"/>
              </w:rPr>
              <w:t>单泵血透机：25</w:t>
            </w:r>
            <w:r>
              <w:rPr>
                <w:rFonts w:hint="eastAsia" w:ascii="宋体" w:hAnsi="宋体" w:cs="宋体"/>
                <w:b/>
                <w:szCs w:val="21"/>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jc w:val="center"/>
              <w:rPr>
                <w:rFonts w:ascii="宋体" w:hAnsi="宋体"/>
                <w:b/>
                <w:szCs w:val="21"/>
              </w:rPr>
            </w:pPr>
            <w:r>
              <w:rPr>
                <w:rFonts w:hint="eastAsia" w:ascii="宋体" w:hAnsi="宋体"/>
                <w:b/>
                <w:szCs w:val="21"/>
              </w:rPr>
              <w:t>1.1</w:t>
            </w:r>
          </w:p>
        </w:tc>
        <w:tc>
          <w:tcPr>
            <w:tcW w:w="8481" w:type="dxa"/>
            <w:vAlign w:val="center"/>
          </w:tcPr>
          <w:p>
            <w:pPr>
              <w:spacing w:line="360" w:lineRule="exact"/>
              <w:jc w:val="left"/>
              <w:rPr>
                <w:rFonts w:ascii="宋体" w:hAnsi="宋体"/>
                <w:b/>
                <w:szCs w:val="21"/>
              </w:rPr>
            </w:pPr>
            <w:r>
              <w:rPr>
                <w:rFonts w:hint="eastAsia" w:ascii="宋体" w:hAnsi="宋体"/>
                <w:b/>
                <w:szCs w:val="21"/>
              </w:rPr>
              <w:t>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1.1.1</w:t>
            </w:r>
          </w:p>
        </w:tc>
        <w:tc>
          <w:tcPr>
            <w:tcW w:w="8481" w:type="dxa"/>
            <w:vAlign w:val="center"/>
          </w:tcPr>
          <w:p>
            <w:pPr>
              <w:spacing w:line="360" w:lineRule="exact"/>
              <w:jc w:val="left"/>
              <w:rPr>
                <w:rFonts w:ascii="宋体" w:hAnsi="宋体"/>
                <w:bCs/>
                <w:szCs w:val="21"/>
              </w:rPr>
            </w:pPr>
            <w:r>
              <w:rPr>
                <w:rFonts w:hint="eastAsia" w:ascii="宋体" w:hAnsi="宋体"/>
                <w:b/>
                <w:szCs w:val="21"/>
              </w:rPr>
              <w:t>设备名称</w:t>
            </w:r>
            <w:r>
              <w:rPr>
                <w:rFonts w:hint="eastAsia" w:ascii="宋体" w:hAnsi="宋体"/>
                <w:bCs/>
                <w:szCs w:val="21"/>
              </w:rPr>
              <w:t>：单泵血透机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1.1.2</w:t>
            </w:r>
          </w:p>
        </w:tc>
        <w:tc>
          <w:tcPr>
            <w:tcW w:w="8481" w:type="dxa"/>
            <w:vAlign w:val="center"/>
          </w:tcPr>
          <w:p>
            <w:pPr>
              <w:spacing w:line="360" w:lineRule="exact"/>
              <w:jc w:val="left"/>
              <w:rPr>
                <w:rFonts w:ascii="宋体" w:hAnsi="宋体"/>
                <w:bCs/>
                <w:szCs w:val="21"/>
              </w:rPr>
            </w:pPr>
            <w:r>
              <w:rPr>
                <w:rFonts w:hint="eastAsia" w:ascii="宋体" w:hAnsi="宋体"/>
                <w:b/>
                <w:szCs w:val="21"/>
              </w:rPr>
              <w:t>设备用途</w:t>
            </w:r>
            <w:r>
              <w:rPr>
                <w:rFonts w:hint="eastAsia" w:ascii="宋体" w:hAnsi="宋体"/>
                <w:bCs/>
                <w:szCs w:val="21"/>
              </w:rPr>
              <w:t>：用于血液透析中心急、慢性肾衰竭的替代治疗，具备</w:t>
            </w:r>
            <w:r>
              <w:rPr>
                <w:rFonts w:hint="eastAsia" w:ascii="宋体"/>
                <w:szCs w:val="21"/>
              </w:rPr>
              <w:t>血液透析（HD）</w:t>
            </w:r>
            <w:r>
              <w:rPr>
                <w:rFonts w:hint="eastAsia" w:ascii="宋体" w:hAnsi="宋体"/>
                <w:bCs/>
                <w:szCs w:val="21"/>
              </w:rPr>
              <w:t>、碳酸氢盐、醋酸盐透析功能</w:t>
            </w:r>
            <w:r>
              <w:rPr>
                <w:rFonts w:hint="eastAsia" w:ascii="宋体"/>
                <w:szCs w:val="21"/>
              </w:rPr>
              <w:t>和超滤治疗功能。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1.1.3</w:t>
            </w:r>
          </w:p>
        </w:tc>
        <w:tc>
          <w:tcPr>
            <w:tcW w:w="8481" w:type="dxa"/>
            <w:vAlign w:val="center"/>
          </w:tcPr>
          <w:p>
            <w:r>
              <w:rPr>
                <w:rFonts w:hint="eastAsia"/>
              </w:rPr>
              <w:t>具有自动预冲、回血功能。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1.1.4</w:t>
            </w:r>
          </w:p>
        </w:tc>
        <w:tc>
          <w:tcPr>
            <w:tcW w:w="8481" w:type="dxa"/>
            <w:vAlign w:val="center"/>
          </w:tcPr>
          <w:p>
            <w:r>
              <w:rPr>
                <w:rFonts w:hint="eastAsia"/>
              </w:rPr>
              <w:t>具有中、英等多种操作语言。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
                <w:szCs w:val="21"/>
              </w:rPr>
              <w:t>1.2</w:t>
            </w:r>
          </w:p>
        </w:tc>
        <w:tc>
          <w:tcPr>
            <w:tcW w:w="8481" w:type="dxa"/>
            <w:vAlign w:val="center"/>
          </w:tcPr>
          <w:p>
            <w:pPr>
              <w:spacing w:line="360" w:lineRule="exact"/>
              <w:rPr>
                <w:rFonts w:ascii="宋体" w:hAnsi="宋体"/>
                <w:b/>
                <w:szCs w:val="21"/>
              </w:rPr>
            </w:pPr>
            <w:r>
              <w:rPr>
                <w:rFonts w:hint="eastAsia" w:ascii="宋体" w:hAnsi="宋体"/>
                <w:b/>
                <w:szCs w:val="21"/>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w:t>
            </w:r>
          </w:p>
        </w:tc>
        <w:tc>
          <w:tcPr>
            <w:tcW w:w="8481" w:type="dxa"/>
            <w:vAlign w:val="center"/>
          </w:tcPr>
          <w:p>
            <w:r>
              <w:rPr>
                <w:rFonts w:hint="eastAsia"/>
              </w:rPr>
              <w:t>血路管、原液配方全开放。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t>△</w:t>
            </w:r>
            <w:r>
              <w:rPr>
                <w:rFonts w:hint="eastAsia" w:ascii="宋体" w:hAnsi="宋体"/>
                <w:bCs/>
                <w:szCs w:val="21"/>
              </w:rPr>
              <w:t>1.2.2</w:t>
            </w:r>
          </w:p>
        </w:tc>
        <w:tc>
          <w:tcPr>
            <w:tcW w:w="8481" w:type="dxa"/>
            <w:vAlign w:val="center"/>
          </w:tcPr>
          <w:p>
            <w:r>
              <w:rPr>
                <w:rFonts w:hint="eastAsia"/>
              </w:rPr>
              <w:t>≥15英寸彩色液晶触</w:t>
            </w:r>
            <w:r>
              <w:rPr>
                <w:rFonts w:hint="eastAsia"/>
                <w:color w:val="000000" w:themeColor="text1"/>
                <w14:textFill>
                  <w14:solidFill>
                    <w14:schemeClr w14:val="tx1"/>
                  </w14:solidFill>
                </w14:textFill>
              </w:rPr>
              <w:t>摸</w:t>
            </w:r>
            <w:r>
              <w:rPr>
                <w:rFonts w:hint="eastAsia"/>
                <w:color w:val="000000" w:themeColor="text1"/>
                <w:lang w:val="en-US" w:eastAsia="zh-CN"/>
                <w14:textFill>
                  <w14:solidFill>
                    <w14:schemeClr w14:val="tx1"/>
                  </w14:solidFill>
                </w14:textFill>
              </w:rPr>
              <w:t>非旋转</w:t>
            </w:r>
            <w:r>
              <w:rPr>
                <w:rFonts w:hint="eastAsia"/>
                <w:color w:val="000000" w:themeColor="text1"/>
                <w14:textFill>
                  <w14:solidFill>
                    <w14:schemeClr w14:val="tx1"/>
                  </w14:solidFill>
                </w14:textFill>
              </w:rPr>
              <w:t>显示屏，一键式引导界面，操作简单，遵循临床操作规范。</w:t>
            </w:r>
            <w:r>
              <w:rPr>
                <w:rFonts w:hint="eastAsia" w:ascii="宋体"/>
                <w:color w:val="000000" w:themeColor="text1"/>
                <w:szCs w:val="21"/>
                <w14:textFill>
                  <w14:solidFill>
                    <w14:schemeClr w14:val="tx1"/>
                  </w14:solidFill>
                </w14:textFill>
              </w:rPr>
              <w:t>（</w:t>
            </w:r>
            <w:r>
              <w:rPr>
                <w:rFonts w:hint="eastAsia" w:ascii="宋体"/>
                <w:color w:val="000000" w:themeColor="text1"/>
                <w:szCs w:val="21"/>
                <w:lang w:eastAsia="zh-CN"/>
                <w14:textFill>
                  <w14:solidFill>
                    <w14:schemeClr w14:val="tx1"/>
                  </w14:solidFill>
                </w14:textFill>
              </w:rPr>
              <w:t>提供相关佐证材料</w:t>
            </w:r>
            <w:r>
              <w:rPr>
                <w:rFonts w:hint="eastAsia" w:asci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1.2.3</w:t>
            </w:r>
          </w:p>
        </w:tc>
        <w:tc>
          <w:tcPr>
            <w:tcW w:w="8481" w:type="dxa"/>
            <w:vAlign w:val="center"/>
          </w:tcPr>
          <w:p>
            <w:r>
              <w:rPr>
                <w:rFonts w:hint="eastAsia"/>
              </w:rPr>
              <w:t>全中文操作系统，具有显示和复位报警功能。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1.2.4</w:t>
            </w:r>
          </w:p>
        </w:tc>
        <w:tc>
          <w:tcPr>
            <w:tcW w:w="8481" w:type="dxa"/>
            <w:vAlign w:val="center"/>
          </w:tcPr>
          <w:p>
            <w:r>
              <w:rPr>
                <w:rFonts w:hint="eastAsia"/>
              </w:rPr>
              <w:t>数字显示主要参数，包括：动脉压、静脉压、总电导度、碳酸电导度、温度、透析液流量、血流量、超滤量。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1.2.5</w:t>
            </w:r>
          </w:p>
        </w:tc>
        <w:tc>
          <w:tcPr>
            <w:tcW w:w="8481" w:type="dxa"/>
            <w:vAlign w:val="center"/>
          </w:tcPr>
          <w:p>
            <w:r>
              <w:rPr>
                <w:rFonts w:hint="eastAsia"/>
              </w:rPr>
              <w:t>透析液流量: 300～700ml/min, 连续可调。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1.2.6</w:t>
            </w:r>
          </w:p>
        </w:tc>
        <w:tc>
          <w:tcPr>
            <w:tcW w:w="8481" w:type="dxa"/>
            <w:vAlign w:val="center"/>
          </w:tcPr>
          <w:p>
            <w:r>
              <w:rPr>
                <w:rFonts w:hint="eastAsia"/>
              </w:rPr>
              <w:t>透析液温度控制范围: 33℃～40℃，有超温保护装置。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color w:val="auto"/>
                <w:sz w:val="22"/>
                <w:szCs w:val="22"/>
              </w:rPr>
              <w:t>△</w:t>
            </w:r>
            <w:r>
              <w:rPr>
                <w:rFonts w:hint="eastAsia" w:ascii="宋体" w:hAnsi="宋体"/>
                <w:bCs/>
                <w:szCs w:val="21"/>
              </w:rPr>
              <w:t>1.2.7</w:t>
            </w:r>
          </w:p>
        </w:tc>
        <w:tc>
          <w:tcPr>
            <w:tcW w:w="8481" w:type="dxa"/>
            <w:vAlign w:val="center"/>
          </w:tcPr>
          <w:p>
            <w:r>
              <w:rPr>
                <w:rFonts w:hint="eastAsia"/>
              </w:rPr>
              <w:t>透析液导电率监测范围: 12.5～16ms/cm。</w:t>
            </w:r>
            <w:r>
              <w:rPr>
                <w:rFonts w:hint="eastAsia" w:ascii="宋体"/>
                <w:color w:val="000000" w:themeColor="text1"/>
                <w:szCs w:val="21"/>
                <w14:textFill>
                  <w14:solidFill>
                    <w14:schemeClr w14:val="tx1"/>
                  </w14:solidFill>
                </w14:textFill>
              </w:rPr>
              <w:t>（</w:t>
            </w:r>
            <w:r>
              <w:rPr>
                <w:rFonts w:hint="eastAsia" w:ascii="宋体"/>
                <w:color w:val="000000" w:themeColor="text1"/>
                <w:szCs w:val="21"/>
                <w:lang w:eastAsia="zh-CN"/>
                <w14:textFill>
                  <w14:solidFill>
                    <w14:schemeClr w14:val="tx1"/>
                  </w14:solidFill>
                </w14:textFill>
              </w:rPr>
              <w:t>提供相关佐证材料</w:t>
            </w:r>
            <w:r>
              <w:rPr>
                <w:rFonts w:hint="eastAsia" w:asci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1.2.8</w:t>
            </w:r>
          </w:p>
        </w:tc>
        <w:tc>
          <w:tcPr>
            <w:tcW w:w="8481" w:type="dxa"/>
            <w:vAlign w:val="center"/>
          </w:tcPr>
          <w:p>
            <w:r>
              <w:rPr>
                <w:rFonts w:hint="eastAsia"/>
              </w:rPr>
              <w:t>反馈式电导度监测及配比机制，可分别监测B液电导度与总电导度。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1.2.9</w:t>
            </w:r>
          </w:p>
        </w:tc>
        <w:tc>
          <w:tcPr>
            <w:tcW w:w="8481" w:type="dxa"/>
            <w:vAlign w:val="center"/>
          </w:tcPr>
          <w:p>
            <w:r>
              <w:rPr>
                <w:rFonts w:hint="eastAsia"/>
              </w:rPr>
              <w:t>待机模式时，将透析液一侧关闭，不吸取AB液, 节省透析液。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1.2.10</w:t>
            </w:r>
          </w:p>
        </w:tc>
        <w:tc>
          <w:tcPr>
            <w:tcW w:w="8481" w:type="dxa"/>
            <w:vAlign w:val="center"/>
          </w:tcPr>
          <w:p>
            <w:r>
              <w:rPr>
                <w:rFonts w:hint="eastAsia"/>
              </w:rPr>
              <w:t>动脉压操作范围:  -300～＋400 mmHg，动脉压精度: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1.2.11</w:t>
            </w:r>
          </w:p>
        </w:tc>
        <w:tc>
          <w:tcPr>
            <w:tcW w:w="8481" w:type="dxa"/>
            <w:vAlign w:val="center"/>
          </w:tcPr>
          <w:p>
            <w:r>
              <w:rPr>
                <w:rFonts w:hint="eastAsia"/>
              </w:rPr>
              <w:t>静脉压操作范围: -50～＋280 mmHg，静脉压精度: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1.2.12</w:t>
            </w:r>
          </w:p>
        </w:tc>
        <w:tc>
          <w:tcPr>
            <w:tcW w:w="8481" w:type="dxa"/>
            <w:vAlign w:val="center"/>
          </w:tcPr>
          <w:p>
            <w:r>
              <w:rPr>
                <w:rFonts w:hint="eastAsia"/>
              </w:rPr>
              <w:t>跨膜压操作范围: ﹣60mmHg～﹢500 mmHg，跨膜压精度：±20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1.2.13</w:t>
            </w:r>
          </w:p>
        </w:tc>
        <w:tc>
          <w:tcPr>
            <w:tcW w:w="8481" w:type="dxa"/>
            <w:vAlign w:val="center"/>
          </w:tcPr>
          <w:p>
            <w:r>
              <w:rPr>
                <w:rFonts w:hint="eastAsia"/>
              </w:rPr>
              <w:t>血泵流量： 0，50～600ml/min可调，血流量调节梯度（步长）10ml/min。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1.2.14</w:t>
            </w:r>
          </w:p>
        </w:tc>
        <w:tc>
          <w:tcPr>
            <w:tcW w:w="8481" w:type="dxa"/>
            <w:vAlign w:val="center"/>
          </w:tcPr>
          <w:p>
            <w:r>
              <w:rPr>
                <w:rFonts w:hint="eastAsia"/>
              </w:rPr>
              <w:t>肝素注射: 0.1～10ml/h。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1.2.15</w:t>
            </w:r>
          </w:p>
        </w:tc>
        <w:tc>
          <w:tcPr>
            <w:tcW w:w="8481" w:type="dxa"/>
            <w:vAlign w:val="center"/>
          </w:tcPr>
          <w:p>
            <w:r>
              <w:rPr>
                <w:rFonts w:hint="eastAsia"/>
              </w:rPr>
              <w:t>漏血检测与报警: 光学原理检测。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1.2.16</w:t>
            </w:r>
          </w:p>
        </w:tc>
        <w:tc>
          <w:tcPr>
            <w:tcW w:w="8481" w:type="dxa"/>
            <w:vAlign w:val="center"/>
          </w:tcPr>
          <w:p>
            <w:r>
              <w:rPr>
                <w:rFonts w:hint="eastAsia"/>
              </w:rPr>
              <w:t>超滤方式: 容量式平衡腔控制（可探测膜位移）。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1.2.17</w:t>
            </w:r>
          </w:p>
        </w:tc>
        <w:tc>
          <w:tcPr>
            <w:tcW w:w="8481" w:type="dxa"/>
            <w:vAlign w:val="center"/>
          </w:tcPr>
          <w:p>
            <w:r>
              <w:rPr>
                <w:rFonts w:hint="eastAsia"/>
              </w:rPr>
              <w:t>超滤率: 0～4000ml/h。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1.2.18</w:t>
            </w:r>
          </w:p>
        </w:tc>
        <w:tc>
          <w:tcPr>
            <w:tcW w:w="8481" w:type="dxa"/>
            <w:vAlign w:val="center"/>
          </w:tcPr>
          <w:p>
            <w:r>
              <w:rPr>
                <w:rFonts w:hint="eastAsia"/>
              </w:rPr>
              <w:t>超滤泵误差 &lt;1%。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1.2.19</w:t>
            </w:r>
          </w:p>
        </w:tc>
        <w:tc>
          <w:tcPr>
            <w:tcW w:w="8481" w:type="dxa"/>
            <w:vAlign w:val="center"/>
          </w:tcPr>
          <w:p>
            <w:r>
              <w:rPr>
                <w:rFonts w:hint="eastAsia"/>
              </w:rPr>
              <w:t>超滤曲线:可存储设定曲线，10种固定曲线，20种自定义曲线，满足个性化透析。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ind w:firstLine="210" w:firstLineChars="100"/>
              <w:rPr>
                <w:rFonts w:ascii="宋体" w:hAnsi="宋体"/>
                <w:bCs/>
                <w:szCs w:val="21"/>
              </w:rPr>
            </w:pPr>
            <w:r>
              <w:rPr>
                <w:rFonts w:hint="eastAsia" w:ascii="宋体" w:hAnsi="宋体"/>
                <w:bCs/>
                <w:szCs w:val="21"/>
              </w:rPr>
              <w:t>1.2.20</w:t>
            </w:r>
          </w:p>
        </w:tc>
        <w:tc>
          <w:tcPr>
            <w:tcW w:w="8481" w:type="dxa"/>
            <w:vAlign w:val="center"/>
          </w:tcPr>
          <w:p>
            <w:r>
              <w:rPr>
                <w:rFonts w:hint="eastAsia"/>
              </w:rPr>
              <w:t>有钠离子曲线、碳酸盐曲线、肝素曲线、透析液流量曲线、透析液温度曲线等功能提供个性化透析方案。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t>△</w:t>
            </w:r>
            <w:r>
              <w:rPr>
                <w:rFonts w:hint="eastAsia" w:ascii="宋体" w:hAnsi="宋体"/>
                <w:bCs/>
                <w:szCs w:val="21"/>
              </w:rPr>
              <w:t>1.2.21</w:t>
            </w:r>
          </w:p>
        </w:tc>
        <w:tc>
          <w:tcPr>
            <w:tcW w:w="8481" w:type="dxa"/>
            <w:vAlign w:val="center"/>
          </w:tcPr>
          <w:p>
            <w:r>
              <w:rPr>
                <w:rFonts w:hint="eastAsia"/>
              </w:rPr>
              <w:t>具有透析过程中快速补液功能，能够自动累计计算总补液量，补液泵内置，和主机为一体机，非外挂补液泵。</w:t>
            </w:r>
            <w:r>
              <w:rPr>
                <w:rFonts w:hint="eastAsia" w:ascii="宋体"/>
                <w:color w:val="000000" w:themeColor="text1"/>
                <w:szCs w:val="21"/>
                <w14:textFill>
                  <w14:solidFill>
                    <w14:schemeClr w14:val="tx1"/>
                  </w14:solidFill>
                </w14:textFill>
              </w:rPr>
              <w:t>（</w:t>
            </w:r>
            <w:r>
              <w:rPr>
                <w:rFonts w:hint="eastAsia" w:ascii="宋体"/>
                <w:color w:val="000000" w:themeColor="text1"/>
                <w:szCs w:val="21"/>
                <w:lang w:eastAsia="zh-CN"/>
                <w14:textFill>
                  <w14:solidFill>
                    <w14:schemeClr w14:val="tx1"/>
                  </w14:solidFill>
                </w14:textFill>
              </w:rPr>
              <w:t>提供相关佐证材料</w:t>
            </w:r>
            <w:r>
              <w:rPr>
                <w:rFonts w:hint="eastAsia" w:asci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rPr>
                <w:rFonts w:ascii="宋体" w:hAnsi="宋体"/>
                <w:bCs/>
                <w:szCs w:val="21"/>
              </w:rPr>
            </w:pPr>
            <w:r>
              <w:rPr>
                <w:rFonts w:hint="eastAsia" w:ascii="宋体" w:hAnsi="宋体"/>
                <w:sz w:val="22"/>
                <w:szCs w:val="22"/>
              </w:rPr>
              <w:t>△</w:t>
            </w:r>
            <w:r>
              <w:rPr>
                <w:rFonts w:hint="eastAsia" w:ascii="宋体" w:hAnsi="宋体"/>
                <w:bCs/>
                <w:szCs w:val="21"/>
              </w:rPr>
              <w:t>1.2.22</w:t>
            </w:r>
          </w:p>
        </w:tc>
        <w:tc>
          <w:tcPr>
            <w:tcW w:w="8481" w:type="dxa"/>
            <w:vAlign w:val="center"/>
          </w:tcPr>
          <w:p>
            <w:r>
              <w:rPr>
                <w:rFonts w:hint="eastAsia"/>
              </w:rPr>
              <w:t>每支透析液过滤器可使用150人次或900小时。透析液过滤器需和所投机器为同一品牌，且同一品牌透析液滤过器纳入浙江省药械采购平台并标明其代码（提供透析液过滤器产品彩页）。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1.2.23</w:t>
            </w:r>
          </w:p>
        </w:tc>
        <w:tc>
          <w:tcPr>
            <w:tcW w:w="8481" w:type="dxa"/>
            <w:vAlign w:val="center"/>
          </w:tcPr>
          <w:p>
            <w:r>
              <w:rPr>
                <w:rFonts w:hint="eastAsia"/>
              </w:rPr>
              <w:t>标配透析充分性功能: 显示Kt/v值，为临床医生提供治疗有益数据及参考，有效提高患者的透析充分性。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1.2.24</w:t>
            </w:r>
          </w:p>
        </w:tc>
        <w:tc>
          <w:tcPr>
            <w:tcW w:w="8481" w:type="dxa"/>
            <w:vAlign w:val="center"/>
          </w:tcPr>
          <w:p>
            <w:r>
              <w:rPr>
                <w:rFonts w:hint="eastAsia"/>
              </w:rPr>
              <w:t>可保存治疗方案与治疗结果，自动保存至少20次病人治疗记录。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1.2.25</w:t>
            </w:r>
          </w:p>
        </w:tc>
        <w:tc>
          <w:tcPr>
            <w:tcW w:w="8481" w:type="dxa"/>
            <w:vAlign w:val="center"/>
          </w:tcPr>
          <w:p>
            <w:r>
              <w:rPr>
                <w:rFonts w:hint="eastAsia"/>
              </w:rPr>
              <w:t>配置原装在线电子血压计监测模块, 有实时自动血压监测与报警功能。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1.2.26</w:t>
            </w:r>
          </w:p>
        </w:tc>
        <w:tc>
          <w:tcPr>
            <w:tcW w:w="8481" w:type="dxa"/>
            <w:vAlign w:val="center"/>
          </w:tcPr>
          <w:p>
            <w:r>
              <w:rPr>
                <w:rFonts w:hint="eastAsia"/>
              </w:rPr>
              <w:t>具有完备的自检功能，自身具有维修菜单，故障自我诊断。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ind w:firstLine="210" w:firstLineChars="100"/>
              <w:rPr>
                <w:rFonts w:ascii="宋体" w:hAnsi="宋体"/>
                <w:bCs/>
                <w:szCs w:val="21"/>
              </w:rPr>
            </w:pPr>
            <w:r>
              <w:rPr>
                <w:rFonts w:hint="eastAsia" w:ascii="宋体" w:hAnsi="宋体"/>
                <w:bCs/>
                <w:szCs w:val="21"/>
              </w:rPr>
              <w:t>1.2.27</w:t>
            </w:r>
          </w:p>
        </w:tc>
        <w:tc>
          <w:tcPr>
            <w:tcW w:w="8481" w:type="dxa"/>
            <w:vAlign w:val="center"/>
          </w:tcPr>
          <w:p>
            <w:r>
              <w:rPr>
                <w:rFonts w:hint="eastAsia"/>
              </w:rPr>
              <w:t>可进行血路管通透性和密闭性自检，以保证患者透析安全。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1.2.28</w:t>
            </w:r>
          </w:p>
        </w:tc>
        <w:tc>
          <w:tcPr>
            <w:tcW w:w="8481" w:type="dxa"/>
            <w:vAlign w:val="center"/>
          </w:tcPr>
          <w:p>
            <w:r>
              <w:rPr>
                <w:rFonts w:hint="eastAsia"/>
              </w:rPr>
              <w:t>后备电池: 标配内置电池, 保证机器停电后最少使用≥20分钟,并且不丢失数据;同时压力监测，漏血和气泡检测正常工作。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sz w:val="22"/>
                <w:szCs w:val="22"/>
              </w:rPr>
            </w:pPr>
            <w:r>
              <w:t>△</w:t>
            </w:r>
            <w:r>
              <w:rPr>
                <w:rFonts w:hint="eastAsia" w:ascii="宋体" w:hAnsi="宋体"/>
                <w:sz w:val="22"/>
                <w:szCs w:val="22"/>
              </w:rPr>
              <w:t>1.2.29</w:t>
            </w:r>
          </w:p>
        </w:tc>
        <w:tc>
          <w:tcPr>
            <w:tcW w:w="8481" w:type="dxa"/>
            <w:vAlign w:val="center"/>
          </w:tcPr>
          <w:p>
            <w:r>
              <w:rPr>
                <w:rFonts w:hint="eastAsia"/>
              </w:rPr>
              <w:t>所投单泵机需和双泵血透机、水处理系统为同一品牌（提供产品彩页）。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
                <w:szCs w:val="21"/>
              </w:rPr>
              <w:t>1.3</w:t>
            </w:r>
          </w:p>
        </w:tc>
        <w:tc>
          <w:tcPr>
            <w:tcW w:w="8481" w:type="dxa"/>
            <w:vAlign w:val="center"/>
          </w:tcPr>
          <w:p>
            <w:r>
              <w:rPr>
                <w:rFonts w:hint="eastAsia"/>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1.3.1</w:t>
            </w:r>
          </w:p>
        </w:tc>
        <w:tc>
          <w:tcPr>
            <w:tcW w:w="8481" w:type="dxa"/>
            <w:vAlign w:val="center"/>
          </w:tcPr>
          <w:p>
            <w:r>
              <w:rPr>
                <w:rFonts w:hint="eastAsia"/>
              </w:rPr>
              <w:t>提供所有配件和部件的价格，出保后院方维修更换不得高于该价格。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Cs/>
                <w:szCs w:val="21"/>
              </w:rPr>
              <w:t>1.3.2</w:t>
            </w:r>
          </w:p>
        </w:tc>
        <w:tc>
          <w:tcPr>
            <w:tcW w:w="8481" w:type="dxa"/>
            <w:vAlign w:val="center"/>
          </w:tcPr>
          <w:p>
            <w:r>
              <w:rPr>
                <w:rFonts w:hint="eastAsia"/>
              </w:rPr>
              <w:t>提供投标机型所有未包含的选配件详细清单并分项报价，未列出的选配件表示已包含在投标报价中。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ind w:firstLine="210" w:firstLineChars="100"/>
              <w:rPr>
                <w:rFonts w:ascii="宋体" w:hAnsi="宋体" w:cs="宋体"/>
                <w:bCs/>
                <w:szCs w:val="21"/>
              </w:rPr>
            </w:pPr>
            <w:r>
              <w:rPr>
                <w:rFonts w:hint="eastAsia" w:ascii="宋体" w:hAnsi="宋体" w:cs="宋体"/>
                <w:bCs/>
                <w:szCs w:val="21"/>
              </w:rPr>
              <w:t>1.3.3</w:t>
            </w:r>
          </w:p>
        </w:tc>
        <w:tc>
          <w:tcPr>
            <w:tcW w:w="8481" w:type="dxa"/>
            <w:vAlign w:val="center"/>
          </w:tcPr>
          <w:p>
            <w:r>
              <w:rPr>
                <w:rFonts w:hint="eastAsia"/>
              </w:rPr>
              <w:t>产品使用期限≥10年（提供设备铭牌或其它证明）。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
                <w:szCs w:val="21"/>
              </w:rPr>
              <w:t>1.4</w:t>
            </w:r>
          </w:p>
        </w:tc>
        <w:tc>
          <w:tcPr>
            <w:tcW w:w="8481" w:type="dxa"/>
            <w:vAlign w:val="center"/>
          </w:tcPr>
          <w:p>
            <w:pPr>
              <w:spacing w:line="360" w:lineRule="exact"/>
              <w:jc w:val="left"/>
              <w:rPr>
                <w:rFonts w:ascii="宋体" w:hAnsi="宋体"/>
                <w:bCs/>
                <w:szCs w:val="21"/>
              </w:rPr>
            </w:pPr>
            <w:r>
              <w:rPr>
                <w:rFonts w:hint="eastAsia" w:ascii="宋体" w:hAnsi="宋体"/>
                <w:b/>
                <w:szCs w:val="21"/>
              </w:rPr>
              <w:t>配置要求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Cs/>
                <w:szCs w:val="21"/>
              </w:rPr>
              <w:t>1.4.1</w:t>
            </w:r>
          </w:p>
        </w:tc>
        <w:tc>
          <w:tcPr>
            <w:tcW w:w="8481" w:type="dxa"/>
            <w:vAlign w:val="center"/>
          </w:tcPr>
          <w:p>
            <w:r>
              <w:rPr>
                <w:rFonts w:hint="eastAsia"/>
              </w:rPr>
              <w:t>血液透析装置主机：25台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1.4.2</w:t>
            </w:r>
          </w:p>
        </w:tc>
        <w:tc>
          <w:tcPr>
            <w:tcW w:w="8481" w:type="dxa"/>
            <w:vAlign w:val="center"/>
          </w:tcPr>
          <w:p>
            <w:r>
              <w:rPr>
                <w:rFonts w:hint="eastAsia"/>
              </w:rPr>
              <w:t>透析液细菌过滤装置：25套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1.4.3</w:t>
            </w:r>
          </w:p>
        </w:tc>
        <w:tc>
          <w:tcPr>
            <w:tcW w:w="8481" w:type="dxa"/>
            <w:vAlign w:val="center"/>
          </w:tcPr>
          <w:p>
            <w:r>
              <w:rPr>
                <w:rFonts w:hint="eastAsia"/>
              </w:rPr>
              <w:t>内置血压模块：25套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1.4.4</w:t>
            </w:r>
          </w:p>
        </w:tc>
        <w:tc>
          <w:tcPr>
            <w:tcW w:w="8481" w:type="dxa"/>
            <w:vAlign w:val="center"/>
          </w:tcPr>
          <w:p>
            <w:r>
              <w:rPr>
                <w:rFonts w:hint="eastAsia"/>
              </w:rPr>
              <w:t>KT/V在线监测模块：25套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1.4.5</w:t>
            </w:r>
          </w:p>
        </w:tc>
        <w:tc>
          <w:tcPr>
            <w:tcW w:w="8481" w:type="dxa"/>
            <w:vAlign w:val="center"/>
          </w:tcPr>
          <w:p>
            <w:r>
              <w:rPr>
                <w:rFonts w:hint="eastAsia"/>
              </w:rPr>
              <w:t>气泡监测模块：25套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1.4.6</w:t>
            </w:r>
          </w:p>
        </w:tc>
        <w:tc>
          <w:tcPr>
            <w:tcW w:w="8481" w:type="dxa"/>
            <w:vAlign w:val="center"/>
          </w:tcPr>
          <w:p>
            <w:r>
              <w:rPr>
                <w:rFonts w:hint="eastAsia"/>
              </w:rPr>
              <w:t>干粉桶支架：25个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1.4.7</w:t>
            </w:r>
          </w:p>
        </w:tc>
        <w:tc>
          <w:tcPr>
            <w:tcW w:w="8481" w:type="dxa"/>
            <w:vAlign w:val="center"/>
          </w:tcPr>
          <w:p>
            <w:r>
              <w:rPr>
                <w:rFonts w:hint="eastAsia"/>
              </w:rPr>
              <w:t>肝素泵：25个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1.4.8</w:t>
            </w:r>
          </w:p>
        </w:tc>
        <w:tc>
          <w:tcPr>
            <w:tcW w:w="8481" w:type="dxa"/>
            <w:vAlign w:val="center"/>
          </w:tcPr>
          <w:p>
            <w:r>
              <w:rPr>
                <w:rFonts w:hint="eastAsia"/>
              </w:rPr>
              <w:t>血泵：25个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1.4.9</w:t>
            </w:r>
          </w:p>
        </w:tc>
        <w:tc>
          <w:tcPr>
            <w:tcW w:w="8481" w:type="dxa"/>
            <w:vAlign w:val="center"/>
          </w:tcPr>
          <w:p>
            <w:r>
              <w:rPr>
                <w:rFonts w:hint="eastAsia"/>
              </w:rPr>
              <w:t>补液泵：25组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1.4.10</w:t>
            </w:r>
          </w:p>
        </w:tc>
        <w:tc>
          <w:tcPr>
            <w:tcW w:w="8481" w:type="dxa"/>
            <w:vAlign w:val="center"/>
          </w:tcPr>
          <w:p>
            <w:r>
              <w:rPr>
                <w:rFonts w:hint="eastAsia"/>
              </w:rPr>
              <w:t>空气探测器：25组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1.4.11</w:t>
            </w:r>
          </w:p>
        </w:tc>
        <w:tc>
          <w:tcPr>
            <w:tcW w:w="8481" w:type="dxa"/>
            <w:vAlign w:val="center"/>
          </w:tcPr>
          <w:p>
            <w:r>
              <w:rPr>
                <w:rFonts w:hint="eastAsia"/>
              </w:rPr>
              <w:t>检测报警系统：25组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1.4.12</w:t>
            </w:r>
          </w:p>
        </w:tc>
        <w:tc>
          <w:tcPr>
            <w:tcW w:w="8481" w:type="dxa"/>
            <w:vAlign w:val="center"/>
          </w:tcPr>
          <w:p>
            <w:r>
              <w:rPr>
                <w:rFonts w:hint="eastAsia"/>
              </w:rPr>
              <w:t>点滴架：25组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1.4.13</w:t>
            </w:r>
          </w:p>
        </w:tc>
        <w:tc>
          <w:tcPr>
            <w:tcW w:w="8481" w:type="dxa"/>
            <w:vAlign w:val="center"/>
          </w:tcPr>
          <w:p>
            <w:r>
              <w:rPr>
                <w:rFonts w:hint="eastAsia"/>
              </w:rPr>
              <w:t>管路夹：25个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1.4.14</w:t>
            </w:r>
          </w:p>
        </w:tc>
        <w:tc>
          <w:tcPr>
            <w:tcW w:w="8481" w:type="dxa"/>
            <w:vAlign w:val="center"/>
          </w:tcPr>
          <w:p>
            <w:r>
              <w:rPr>
                <w:rFonts w:hint="eastAsia"/>
              </w:rPr>
              <w:t>进出水管：25套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
                <w:szCs w:val="21"/>
              </w:rPr>
              <w:t>2</w:t>
            </w:r>
          </w:p>
        </w:tc>
        <w:tc>
          <w:tcPr>
            <w:tcW w:w="8481" w:type="dxa"/>
            <w:vAlign w:val="center"/>
          </w:tcPr>
          <w:p>
            <w:pPr>
              <w:pStyle w:val="28"/>
              <w:tabs>
                <w:tab w:val="left" w:pos="5586"/>
              </w:tabs>
              <w:spacing w:line="360" w:lineRule="exact"/>
              <w:ind w:firstLine="0" w:firstLineChars="0"/>
              <w:jc w:val="left"/>
              <w:rPr>
                <w:rFonts w:ascii="微软雅黑" w:hAnsi="微软雅黑" w:eastAsia="微软雅黑" w:cs="Arial"/>
                <w:b/>
                <w:szCs w:val="21"/>
              </w:rPr>
            </w:pPr>
            <w:r>
              <w:rPr>
                <w:rFonts w:hint="eastAsia" w:ascii="微软雅黑" w:hAnsi="微软雅黑" w:eastAsia="微软雅黑" w:cs="Arial"/>
                <w:b/>
                <w:szCs w:val="21"/>
              </w:rPr>
              <w:t>双泵血透机：5</w:t>
            </w:r>
            <w:r>
              <w:rPr>
                <w:rFonts w:hint="eastAsia" w:ascii="宋体" w:hAnsi="宋体" w:cs="宋体"/>
                <w:b/>
                <w:szCs w:val="21"/>
              </w:rPr>
              <w:t xml:space="preserve">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jc w:val="center"/>
              <w:rPr>
                <w:rFonts w:ascii="宋体" w:hAnsi="宋体"/>
                <w:b/>
                <w:szCs w:val="21"/>
              </w:rPr>
            </w:pPr>
            <w:r>
              <w:rPr>
                <w:rFonts w:hint="eastAsia" w:ascii="宋体" w:hAnsi="宋体"/>
                <w:b/>
                <w:szCs w:val="21"/>
              </w:rPr>
              <w:t>2.1</w:t>
            </w:r>
          </w:p>
        </w:tc>
        <w:tc>
          <w:tcPr>
            <w:tcW w:w="8481" w:type="dxa"/>
            <w:vAlign w:val="center"/>
          </w:tcPr>
          <w:p>
            <w:pPr>
              <w:spacing w:line="360" w:lineRule="exact"/>
              <w:jc w:val="left"/>
              <w:rPr>
                <w:rFonts w:ascii="宋体" w:hAnsi="宋体"/>
                <w:b/>
                <w:szCs w:val="21"/>
              </w:rPr>
            </w:pPr>
            <w:r>
              <w:rPr>
                <w:rFonts w:hint="eastAsia" w:ascii="宋体" w:hAnsi="宋体"/>
                <w:b/>
                <w:szCs w:val="21"/>
              </w:rPr>
              <w:t>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2.1.1</w:t>
            </w:r>
          </w:p>
        </w:tc>
        <w:tc>
          <w:tcPr>
            <w:tcW w:w="8481" w:type="dxa"/>
            <w:vAlign w:val="center"/>
          </w:tcPr>
          <w:p>
            <w:pPr>
              <w:spacing w:line="360" w:lineRule="exact"/>
              <w:jc w:val="left"/>
              <w:rPr>
                <w:rFonts w:ascii="宋体" w:hAnsi="宋体"/>
                <w:bCs/>
                <w:szCs w:val="21"/>
              </w:rPr>
            </w:pPr>
            <w:r>
              <w:rPr>
                <w:rFonts w:hint="eastAsia" w:ascii="宋体" w:hAnsi="宋体"/>
                <w:b/>
                <w:szCs w:val="21"/>
              </w:rPr>
              <w:t>设备名称</w:t>
            </w:r>
            <w:r>
              <w:rPr>
                <w:rFonts w:hint="eastAsia" w:ascii="宋体" w:hAnsi="宋体"/>
                <w:bCs/>
                <w:szCs w:val="21"/>
              </w:rPr>
              <w:t>：双泵血透机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2.1.2</w:t>
            </w:r>
          </w:p>
        </w:tc>
        <w:tc>
          <w:tcPr>
            <w:tcW w:w="8481" w:type="dxa"/>
            <w:vAlign w:val="center"/>
          </w:tcPr>
          <w:p>
            <w:pPr>
              <w:spacing w:line="360" w:lineRule="exact"/>
              <w:jc w:val="left"/>
              <w:rPr>
                <w:rFonts w:ascii="宋体" w:hAnsi="宋体"/>
                <w:bCs/>
                <w:szCs w:val="21"/>
              </w:rPr>
            </w:pPr>
            <w:r>
              <w:rPr>
                <w:rFonts w:hint="eastAsia" w:ascii="宋体" w:hAnsi="宋体"/>
                <w:b/>
                <w:szCs w:val="21"/>
              </w:rPr>
              <w:t>设备用途</w:t>
            </w:r>
            <w:r>
              <w:rPr>
                <w:rFonts w:hint="eastAsia" w:ascii="宋体" w:hAnsi="宋体"/>
                <w:bCs/>
                <w:szCs w:val="21"/>
              </w:rPr>
              <w:t>：用于血液透析中心急、慢性肾衰竭的替代治疗，具备常规透析、碳酸氢盐、醋酸盐透析功能。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2.1.3</w:t>
            </w:r>
          </w:p>
        </w:tc>
        <w:tc>
          <w:tcPr>
            <w:tcW w:w="8481" w:type="dxa"/>
            <w:vAlign w:val="center"/>
          </w:tcPr>
          <w:p>
            <w:r>
              <w:rPr>
                <w:rFonts w:hint="eastAsia"/>
              </w:rPr>
              <w:t>具有自动预冲、回血功能。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2.1.4</w:t>
            </w:r>
          </w:p>
        </w:tc>
        <w:tc>
          <w:tcPr>
            <w:tcW w:w="8481" w:type="dxa"/>
            <w:vAlign w:val="center"/>
          </w:tcPr>
          <w:p>
            <w:r>
              <w:rPr>
                <w:rFonts w:hint="eastAsia"/>
              </w:rPr>
              <w:t>具有中、英等多种操作语言。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
                <w:szCs w:val="21"/>
              </w:rPr>
              <w:t>2.2</w:t>
            </w:r>
          </w:p>
        </w:tc>
        <w:tc>
          <w:tcPr>
            <w:tcW w:w="8481" w:type="dxa"/>
            <w:vAlign w:val="center"/>
          </w:tcPr>
          <w:p>
            <w:pPr>
              <w:spacing w:line="360" w:lineRule="exact"/>
              <w:rPr>
                <w:rFonts w:ascii="宋体" w:hAnsi="宋体"/>
                <w:b/>
                <w:szCs w:val="21"/>
              </w:rPr>
            </w:pPr>
            <w:r>
              <w:rPr>
                <w:rFonts w:hint="eastAsia" w:ascii="宋体" w:hAnsi="宋体"/>
                <w:b/>
                <w:szCs w:val="21"/>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w:t>
            </w:r>
          </w:p>
        </w:tc>
        <w:tc>
          <w:tcPr>
            <w:tcW w:w="8481" w:type="dxa"/>
            <w:vAlign w:val="center"/>
          </w:tcPr>
          <w:p>
            <w:r>
              <w:rPr>
                <w:rFonts w:hint="eastAsia"/>
              </w:rPr>
              <w:t>血路管、补液管、原液配方全开放。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t>△</w:t>
            </w:r>
            <w:r>
              <w:rPr>
                <w:rFonts w:hint="eastAsia" w:ascii="宋体" w:hAnsi="宋体"/>
                <w:bCs/>
                <w:szCs w:val="21"/>
              </w:rPr>
              <w:t>2.2.2</w:t>
            </w:r>
          </w:p>
        </w:tc>
        <w:tc>
          <w:tcPr>
            <w:tcW w:w="8481" w:type="dxa"/>
            <w:vAlign w:val="center"/>
          </w:tcPr>
          <w:p>
            <w:r>
              <w:rPr>
                <w:rFonts w:hint="eastAsia"/>
              </w:rPr>
              <w:t>≥15英寸彩色液晶触摸显示屏，显示屏可旋转＞200°，一键式引导界面，操作简单，遵循临床操作规范。</w:t>
            </w:r>
            <w:r>
              <w:rPr>
                <w:rFonts w:hint="eastAsia" w:ascii="宋体"/>
                <w:color w:val="000000" w:themeColor="text1"/>
                <w:szCs w:val="21"/>
                <w14:textFill>
                  <w14:solidFill>
                    <w14:schemeClr w14:val="tx1"/>
                  </w14:solidFill>
                </w14:textFill>
              </w:rPr>
              <w:t>（</w:t>
            </w:r>
            <w:r>
              <w:rPr>
                <w:rFonts w:hint="eastAsia" w:ascii="宋体"/>
                <w:color w:val="000000" w:themeColor="text1"/>
                <w:szCs w:val="21"/>
                <w:lang w:eastAsia="zh-CN"/>
                <w14:textFill>
                  <w14:solidFill>
                    <w14:schemeClr w14:val="tx1"/>
                  </w14:solidFill>
                </w14:textFill>
              </w:rPr>
              <w:t>提供相关佐证材料</w:t>
            </w:r>
            <w:r>
              <w:rPr>
                <w:rFonts w:hint="eastAsia" w:asci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2.2.3</w:t>
            </w:r>
          </w:p>
        </w:tc>
        <w:tc>
          <w:tcPr>
            <w:tcW w:w="8481" w:type="dxa"/>
            <w:vAlign w:val="center"/>
          </w:tcPr>
          <w:p>
            <w:r>
              <w:rPr>
                <w:rFonts w:hint="eastAsia"/>
              </w:rPr>
              <w:t>全中文操作系统，具有显示和复位报警功能。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2.2.4</w:t>
            </w:r>
          </w:p>
        </w:tc>
        <w:tc>
          <w:tcPr>
            <w:tcW w:w="8481" w:type="dxa"/>
            <w:vAlign w:val="center"/>
          </w:tcPr>
          <w:p>
            <w:r>
              <w:rPr>
                <w:rFonts w:hint="eastAsia"/>
              </w:rPr>
              <w:t>数字显示主要参数，包括：动脉压、静脉压、总电导度、碳酸电导度、温度、透析液流量、血流量、超滤量。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2.2.5</w:t>
            </w:r>
          </w:p>
        </w:tc>
        <w:tc>
          <w:tcPr>
            <w:tcW w:w="8481" w:type="dxa"/>
            <w:vAlign w:val="center"/>
          </w:tcPr>
          <w:p>
            <w:r>
              <w:rPr>
                <w:rFonts w:hint="eastAsia"/>
              </w:rPr>
              <w:t>透析液流量: 300～700ml/min, 连续可调。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2.2.6</w:t>
            </w:r>
          </w:p>
        </w:tc>
        <w:tc>
          <w:tcPr>
            <w:tcW w:w="8481" w:type="dxa"/>
            <w:vAlign w:val="center"/>
          </w:tcPr>
          <w:p>
            <w:r>
              <w:rPr>
                <w:rFonts w:hint="eastAsia"/>
              </w:rPr>
              <w:t>透析液温度控制范围: 33℃～40℃，有超温保护装置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2.2.7</w:t>
            </w:r>
          </w:p>
        </w:tc>
        <w:tc>
          <w:tcPr>
            <w:tcW w:w="8481" w:type="dxa"/>
            <w:vAlign w:val="center"/>
          </w:tcPr>
          <w:p>
            <w:r>
              <w:rPr>
                <w:rFonts w:hint="eastAsia"/>
              </w:rPr>
              <w:t>透析液导电率监测范围: 12.5～16ms/cm。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2.2.8</w:t>
            </w:r>
          </w:p>
        </w:tc>
        <w:tc>
          <w:tcPr>
            <w:tcW w:w="8481" w:type="dxa"/>
            <w:vAlign w:val="center"/>
          </w:tcPr>
          <w:p>
            <w:r>
              <w:rPr>
                <w:rFonts w:hint="eastAsia"/>
              </w:rPr>
              <w:t>反馈式电导度监测及配比机制，可分别监测B液电导度与总电导度。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2.2.9</w:t>
            </w:r>
          </w:p>
        </w:tc>
        <w:tc>
          <w:tcPr>
            <w:tcW w:w="8481" w:type="dxa"/>
            <w:vAlign w:val="center"/>
          </w:tcPr>
          <w:p>
            <w:r>
              <w:rPr>
                <w:rFonts w:hint="eastAsia"/>
              </w:rPr>
              <w:t>待机模式时，将透析液一侧关闭，不吸取AB液, 节省透析液。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2.2.10</w:t>
            </w:r>
          </w:p>
        </w:tc>
        <w:tc>
          <w:tcPr>
            <w:tcW w:w="8481" w:type="dxa"/>
            <w:vAlign w:val="center"/>
          </w:tcPr>
          <w:p>
            <w:r>
              <w:rPr>
                <w:rFonts w:hint="eastAsia"/>
              </w:rPr>
              <w:t>动脉压操作范围:  -300～＋400 mmHg，动脉压精度: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2.2.11</w:t>
            </w:r>
          </w:p>
        </w:tc>
        <w:tc>
          <w:tcPr>
            <w:tcW w:w="8481" w:type="dxa"/>
            <w:vAlign w:val="center"/>
          </w:tcPr>
          <w:p>
            <w:r>
              <w:rPr>
                <w:rFonts w:hint="eastAsia"/>
              </w:rPr>
              <w:t>静脉压操作范围: -50～＋280 mmHg，静脉压精度: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2.2.12</w:t>
            </w:r>
          </w:p>
        </w:tc>
        <w:tc>
          <w:tcPr>
            <w:tcW w:w="8481" w:type="dxa"/>
            <w:vAlign w:val="center"/>
          </w:tcPr>
          <w:p>
            <w:r>
              <w:rPr>
                <w:rFonts w:hint="eastAsia"/>
              </w:rPr>
              <w:t>跨膜压操作范围: ﹣60mmHg～﹢500 mmHg，跨膜压精度：±20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2.2.13</w:t>
            </w:r>
          </w:p>
        </w:tc>
        <w:tc>
          <w:tcPr>
            <w:tcW w:w="8481" w:type="dxa"/>
            <w:vAlign w:val="center"/>
          </w:tcPr>
          <w:p>
            <w:r>
              <w:rPr>
                <w:rFonts w:hint="eastAsia"/>
              </w:rPr>
              <w:t>血泵流量： 0，50～600ml/min可调，血流量调节梯度（步长）10ml/min。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2.2.14</w:t>
            </w:r>
          </w:p>
        </w:tc>
        <w:tc>
          <w:tcPr>
            <w:tcW w:w="8481" w:type="dxa"/>
            <w:vAlign w:val="center"/>
          </w:tcPr>
          <w:p>
            <w:r>
              <w:rPr>
                <w:rFonts w:hint="eastAsia"/>
              </w:rPr>
              <w:t>肝素注射: 0.1～10ml/h。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2.2.15</w:t>
            </w:r>
          </w:p>
        </w:tc>
        <w:tc>
          <w:tcPr>
            <w:tcW w:w="8481" w:type="dxa"/>
            <w:vAlign w:val="center"/>
          </w:tcPr>
          <w:p>
            <w:r>
              <w:rPr>
                <w:rFonts w:hint="eastAsia"/>
              </w:rPr>
              <w:t>漏血检测与报警: 光学原理检测。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2.2.16</w:t>
            </w:r>
          </w:p>
        </w:tc>
        <w:tc>
          <w:tcPr>
            <w:tcW w:w="8481" w:type="dxa"/>
            <w:vAlign w:val="center"/>
          </w:tcPr>
          <w:p>
            <w:r>
              <w:rPr>
                <w:rFonts w:hint="eastAsia"/>
              </w:rPr>
              <w:t>超滤方式: 容量式平衡腔控制（可探测膜位移）。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2.2.17</w:t>
            </w:r>
          </w:p>
        </w:tc>
        <w:tc>
          <w:tcPr>
            <w:tcW w:w="8481" w:type="dxa"/>
            <w:vAlign w:val="center"/>
          </w:tcPr>
          <w:p>
            <w:r>
              <w:rPr>
                <w:rFonts w:hint="eastAsia"/>
              </w:rPr>
              <w:t>超滤率: 0～4000ml/h。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2.2.18</w:t>
            </w:r>
          </w:p>
        </w:tc>
        <w:tc>
          <w:tcPr>
            <w:tcW w:w="8481" w:type="dxa"/>
            <w:vAlign w:val="center"/>
          </w:tcPr>
          <w:p>
            <w:r>
              <w:rPr>
                <w:rFonts w:hint="eastAsia"/>
              </w:rPr>
              <w:t>超滤泵误差 &lt;1%。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2.2.19</w:t>
            </w:r>
          </w:p>
        </w:tc>
        <w:tc>
          <w:tcPr>
            <w:tcW w:w="8481" w:type="dxa"/>
            <w:vAlign w:val="center"/>
          </w:tcPr>
          <w:p>
            <w:r>
              <w:rPr>
                <w:rFonts w:hint="eastAsia"/>
              </w:rPr>
              <w:t>超滤曲线:可存储设定曲线，满足个性化透析。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ind w:firstLine="210" w:firstLineChars="100"/>
              <w:rPr>
                <w:rFonts w:ascii="宋体" w:hAnsi="宋体"/>
                <w:bCs/>
                <w:szCs w:val="21"/>
              </w:rPr>
            </w:pPr>
            <w:r>
              <w:rPr>
                <w:rFonts w:hint="eastAsia" w:ascii="宋体" w:hAnsi="宋体"/>
                <w:bCs/>
                <w:szCs w:val="21"/>
              </w:rPr>
              <w:t>2.2.20</w:t>
            </w:r>
          </w:p>
        </w:tc>
        <w:tc>
          <w:tcPr>
            <w:tcW w:w="8481" w:type="dxa"/>
            <w:vAlign w:val="center"/>
          </w:tcPr>
          <w:p>
            <w:r>
              <w:rPr>
                <w:rFonts w:hint="eastAsia"/>
              </w:rPr>
              <w:t>有钠离子曲线、碳酸盐曲线、肝素曲线、透析液流量曲线、透析液温度曲线等功能提供个性化透析方案。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2.2.21</w:t>
            </w:r>
          </w:p>
        </w:tc>
        <w:tc>
          <w:tcPr>
            <w:tcW w:w="8481" w:type="dxa"/>
            <w:vAlign w:val="center"/>
          </w:tcPr>
          <w:p>
            <w:r>
              <w:rPr>
                <w:rFonts w:hint="eastAsia"/>
              </w:rPr>
              <w:t>具有透析过程中快速补液功能，能够自动累计计算总补液量。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rPr>
                <w:rFonts w:ascii="宋体" w:hAnsi="宋体"/>
                <w:bCs/>
                <w:szCs w:val="21"/>
              </w:rPr>
            </w:pPr>
            <w:r>
              <w:rPr>
                <w:rFonts w:hint="eastAsia" w:ascii="宋体" w:hAnsi="宋体"/>
                <w:sz w:val="22"/>
                <w:szCs w:val="22"/>
              </w:rPr>
              <w:t>△</w:t>
            </w:r>
            <w:r>
              <w:rPr>
                <w:rFonts w:hint="eastAsia" w:ascii="宋体" w:hAnsi="宋体"/>
                <w:bCs/>
                <w:szCs w:val="21"/>
              </w:rPr>
              <w:t>2.2.22</w:t>
            </w:r>
          </w:p>
        </w:tc>
        <w:tc>
          <w:tcPr>
            <w:tcW w:w="8481" w:type="dxa"/>
            <w:vAlign w:val="center"/>
          </w:tcPr>
          <w:p>
            <w:r>
              <w:rPr>
                <w:rFonts w:hint="eastAsia"/>
              </w:rPr>
              <w:t>配有透析液过滤器及支架，可过滤透析液。每支透析液过滤器可使用150人次或900小时。透析液过滤器需和所投机器为同一品牌，且同一品牌透析液滤过器纳入浙江省药械采购平台并标明其代码（提供透析液过滤器产品彩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2.2.23</w:t>
            </w:r>
          </w:p>
        </w:tc>
        <w:tc>
          <w:tcPr>
            <w:tcW w:w="8481" w:type="dxa"/>
            <w:vAlign w:val="center"/>
          </w:tcPr>
          <w:p>
            <w:r>
              <w:rPr>
                <w:rFonts w:hint="eastAsia"/>
              </w:rPr>
              <w:t>标配透析充分性功能: 显示Kt/v值，为临床医生提供治疗有益数据及参考，有效提高患者的透析充分性。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2.2.24</w:t>
            </w:r>
          </w:p>
        </w:tc>
        <w:tc>
          <w:tcPr>
            <w:tcW w:w="8481" w:type="dxa"/>
            <w:vAlign w:val="center"/>
          </w:tcPr>
          <w:p>
            <w:r>
              <w:rPr>
                <w:rFonts w:hint="eastAsia"/>
              </w:rPr>
              <w:t>可保存治疗方案与治疗结果，自动保存至少20次病人治疗记录。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2.2.25</w:t>
            </w:r>
          </w:p>
        </w:tc>
        <w:tc>
          <w:tcPr>
            <w:tcW w:w="8481" w:type="dxa"/>
            <w:vAlign w:val="center"/>
          </w:tcPr>
          <w:p>
            <w:r>
              <w:rPr>
                <w:rFonts w:hint="eastAsia"/>
              </w:rPr>
              <w:t>配置原装在线电子血压计监测模块, 有实时自动血压监测与报警功能。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2.2.26</w:t>
            </w:r>
          </w:p>
        </w:tc>
        <w:tc>
          <w:tcPr>
            <w:tcW w:w="8481" w:type="dxa"/>
            <w:vAlign w:val="center"/>
          </w:tcPr>
          <w:p>
            <w:r>
              <w:rPr>
                <w:rFonts w:hint="eastAsia"/>
              </w:rPr>
              <w:t>具有完备的自检功能，自身具有维修菜单，故障自我诊断。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2.2.27</w:t>
            </w:r>
          </w:p>
        </w:tc>
        <w:tc>
          <w:tcPr>
            <w:tcW w:w="8481" w:type="dxa"/>
            <w:vAlign w:val="center"/>
          </w:tcPr>
          <w:p>
            <w:r>
              <w:rPr>
                <w:rFonts w:hint="eastAsia"/>
              </w:rPr>
              <w:t>后备电池: 标配内置电池, 保证机器停电后最少使用≥20分钟,并且不丢失数据;同时压力监测，漏血和气泡检测正常工作。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ind w:firstLine="210" w:firstLineChars="100"/>
              <w:rPr>
                <w:rFonts w:ascii="宋体" w:hAnsi="宋体"/>
                <w:bCs/>
                <w:szCs w:val="21"/>
              </w:rPr>
            </w:pPr>
            <w:r>
              <w:rPr>
                <w:rFonts w:hint="eastAsia" w:ascii="宋体" w:hAnsi="宋体"/>
                <w:bCs/>
                <w:szCs w:val="21"/>
              </w:rPr>
              <w:t>2.2.28</w:t>
            </w:r>
          </w:p>
        </w:tc>
        <w:tc>
          <w:tcPr>
            <w:tcW w:w="8481" w:type="dxa"/>
            <w:vAlign w:val="center"/>
          </w:tcPr>
          <w:p>
            <w:r>
              <w:rPr>
                <w:rFonts w:hint="eastAsia"/>
              </w:rPr>
              <w:t>可进行血路管通透性和密闭性自检，以保证患者透析安全。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2.2.29</w:t>
            </w:r>
          </w:p>
        </w:tc>
        <w:tc>
          <w:tcPr>
            <w:tcW w:w="8481" w:type="dxa"/>
            <w:vAlign w:val="center"/>
          </w:tcPr>
          <w:p>
            <w:r>
              <w:rPr>
                <w:rFonts w:hint="eastAsia"/>
              </w:rPr>
              <w:t>在线生成置换液，置换液流量范围：30-400ml/分钟。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
                <w:szCs w:val="21"/>
              </w:rPr>
              <w:t>2.3</w:t>
            </w:r>
          </w:p>
        </w:tc>
        <w:tc>
          <w:tcPr>
            <w:tcW w:w="8481" w:type="dxa"/>
            <w:vAlign w:val="center"/>
          </w:tcPr>
          <w:p>
            <w:pPr>
              <w:spacing w:line="360" w:lineRule="exact"/>
              <w:jc w:val="left"/>
              <w:rPr>
                <w:rFonts w:ascii="宋体" w:hAnsi="宋体"/>
                <w:b/>
                <w:szCs w:val="21"/>
              </w:rPr>
            </w:pPr>
            <w:r>
              <w:rPr>
                <w:rFonts w:hint="eastAsia" w:ascii="宋体" w:hAnsi="宋体"/>
                <w:b/>
                <w:szCs w:val="21"/>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2.3.1</w:t>
            </w:r>
          </w:p>
        </w:tc>
        <w:tc>
          <w:tcPr>
            <w:tcW w:w="8481" w:type="dxa"/>
            <w:vAlign w:val="center"/>
          </w:tcPr>
          <w:p>
            <w:r>
              <w:rPr>
                <w:rFonts w:hint="eastAsia"/>
              </w:rPr>
              <w:t>提供所有配件和部件的价格，出保后院方维修更换不得高于该价格。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Cs/>
                <w:szCs w:val="21"/>
              </w:rPr>
              <w:t>2.3.2</w:t>
            </w:r>
          </w:p>
        </w:tc>
        <w:tc>
          <w:tcPr>
            <w:tcW w:w="8481" w:type="dxa"/>
            <w:vAlign w:val="center"/>
          </w:tcPr>
          <w:p>
            <w:r>
              <w:rPr>
                <w:rFonts w:hint="eastAsia"/>
              </w:rPr>
              <w:t>提供投标机型所有未包含的选配件详细清单并分项报价，未列出的选配件表示已包含在投标报价中。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ind w:firstLine="210" w:firstLineChars="100"/>
              <w:rPr>
                <w:rFonts w:ascii="宋体" w:hAnsi="宋体" w:cs="宋体"/>
                <w:bCs/>
                <w:szCs w:val="21"/>
              </w:rPr>
            </w:pPr>
            <w:r>
              <w:rPr>
                <w:rFonts w:hint="eastAsia" w:ascii="宋体" w:hAnsi="宋体" w:cs="宋体"/>
                <w:bCs/>
                <w:szCs w:val="21"/>
              </w:rPr>
              <w:t>2.3.3</w:t>
            </w:r>
          </w:p>
        </w:tc>
        <w:tc>
          <w:tcPr>
            <w:tcW w:w="8481" w:type="dxa"/>
            <w:vAlign w:val="center"/>
          </w:tcPr>
          <w:p>
            <w:pPr>
              <w:rPr>
                <w:rFonts w:hint="eastAsia" w:eastAsia="宋体"/>
                <w:lang w:val="en-US" w:eastAsia="zh-CN"/>
              </w:rPr>
            </w:pPr>
            <w:r>
              <w:rPr>
                <w:rFonts w:hint="eastAsia"/>
              </w:rPr>
              <w:t>产品使用期限≥10年（提供设备铭牌或其它证明）。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
                <w:szCs w:val="21"/>
              </w:rPr>
              <w:t>2.4</w:t>
            </w:r>
          </w:p>
        </w:tc>
        <w:tc>
          <w:tcPr>
            <w:tcW w:w="8481" w:type="dxa"/>
            <w:vAlign w:val="center"/>
          </w:tcPr>
          <w:p>
            <w:pPr>
              <w:spacing w:line="360" w:lineRule="exact"/>
              <w:jc w:val="left"/>
              <w:rPr>
                <w:rFonts w:ascii="宋体" w:hAnsi="宋体"/>
                <w:bCs/>
                <w:szCs w:val="21"/>
              </w:rPr>
            </w:pPr>
            <w:r>
              <w:rPr>
                <w:rFonts w:hint="eastAsia" w:ascii="宋体" w:hAnsi="宋体"/>
                <w:b/>
                <w:szCs w:val="21"/>
              </w:rPr>
              <w:t>配置要求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Cs/>
                <w:szCs w:val="21"/>
              </w:rPr>
              <w:t>2.4.1</w:t>
            </w:r>
          </w:p>
        </w:tc>
        <w:tc>
          <w:tcPr>
            <w:tcW w:w="8481" w:type="dxa"/>
            <w:vAlign w:val="center"/>
          </w:tcPr>
          <w:p>
            <w:r>
              <w:rPr>
                <w:rFonts w:hint="eastAsia"/>
              </w:rPr>
              <w:t>血液透析装置主机：5台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2.4.2</w:t>
            </w:r>
          </w:p>
        </w:tc>
        <w:tc>
          <w:tcPr>
            <w:tcW w:w="8481" w:type="dxa"/>
            <w:vAlign w:val="center"/>
          </w:tcPr>
          <w:p>
            <w:r>
              <w:rPr>
                <w:rFonts w:hint="eastAsia"/>
              </w:rPr>
              <w:t>透析液细菌过滤装置：5套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2.4.3</w:t>
            </w:r>
          </w:p>
        </w:tc>
        <w:tc>
          <w:tcPr>
            <w:tcW w:w="8481" w:type="dxa"/>
            <w:vAlign w:val="center"/>
          </w:tcPr>
          <w:p>
            <w:r>
              <w:rPr>
                <w:rFonts w:hint="eastAsia"/>
              </w:rPr>
              <w:t>内置血压模块：5套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2.4.4</w:t>
            </w:r>
          </w:p>
        </w:tc>
        <w:tc>
          <w:tcPr>
            <w:tcW w:w="8481" w:type="dxa"/>
            <w:vAlign w:val="center"/>
          </w:tcPr>
          <w:p>
            <w:r>
              <w:rPr>
                <w:rFonts w:hint="eastAsia"/>
              </w:rPr>
              <w:t>KT/V在线监测模块：5套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2.4.5</w:t>
            </w:r>
          </w:p>
        </w:tc>
        <w:tc>
          <w:tcPr>
            <w:tcW w:w="8481" w:type="dxa"/>
            <w:vAlign w:val="center"/>
          </w:tcPr>
          <w:p>
            <w:r>
              <w:rPr>
                <w:rFonts w:hint="eastAsia"/>
              </w:rPr>
              <w:t>气泡监测模块：5套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2.4.6</w:t>
            </w:r>
          </w:p>
        </w:tc>
        <w:tc>
          <w:tcPr>
            <w:tcW w:w="8481" w:type="dxa"/>
            <w:vAlign w:val="center"/>
          </w:tcPr>
          <w:p>
            <w:r>
              <w:rPr>
                <w:rFonts w:hint="eastAsia"/>
              </w:rPr>
              <w:t>干粉桶支架：5个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2.4.7</w:t>
            </w:r>
          </w:p>
        </w:tc>
        <w:tc>
          <w:tcPr>
            <w:tcW w:w="8481" w:type="dxa"/>
            <w:vAlign w:val="center"/>
          </w:tcPr>
          <w:p>
            <w:r>
              <w:rPr>
                <w:rFonts w:hint="eastAsia"/>
              </w:rPr>
              <w:t>肝素泵：5个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2.4.8</w:t>
            </w:r>
          </w:p>
        </w:tc>
        <w:tc>
          <w:tcPr>
            <w:tcW w:w="8481" w:type="dxa"/>
            <w:vAlign w:val="center"/>
          </w:tcPr>
          <w:p>
            <w:r>
              <w:rPr>
                <w:rFonts w:hint="eastAsia"/>
              </w:rPr>
              <w:t>血泵：5个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2.4.9</w:t>
            </w:r>
          </w:p>
        </w:tc>
        <w:tc>
          <w:tcPr>
            <w:tcW w:w="8481" w:type="dxa"/>
            <w:vAlign w:val="center"/>
          </w:tcPr>
          <w:p>
            <w:r>
              <w:rPr>
                <w:rFonts w:hint="eastAsia"/>
              </w:rPr>
              <w:t>补液泵：5组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2.4.10</w:t>
            </w:r>
          </w:p>
        </w:tc>
        <w:tc>
          <w:tcPr>
            <w:tcW w:w="8481" w:type="dxa"/>
            <w:vAlign w:val="center"/>
          </w:tcPr>
          <w:p>
            <w:r>
              <w:rPr>
                <w:rFonts w:hint="eastAsia"/>
              </w:rPr>
              <w:t>空气探测器：5组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2.4.11</w:t>
            </w:r>
          </w:p>
        </w:tc>
        <w:tc>
          <w:tcPr>
            <w:tcW w:w="8481" w:type="dxa"/>
            <w:vAlign w:val="center"/>
          </w:tcPr>
          <w:p>
            <w:r>
              <w:rPr>
                <w:rFonts w:hint="eastAsia"/>
              </w:rPr>
              <w:t>检测报警系统：5组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2.4.12</w:t>
            </w:r>
          </w:p>
        </w:tc>
        <w:tc>
          <w:tcPr>
            <w:tcW w:w="8481" w:type="dxa"/>
            <w:vAlign w:val="center"/>
          </w:tcPr>
          <w:p>
            <w:r>
              <w:rPr>
                <w:rFonts w:hint="eastAsia"/>
              </w:rPr>
              <w:t>点滴架：5组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2.4.13</w:t>
            </w:r>
          </w:p>
        </w:tc>
        <w:tc>
          <w:tcPr>
            <w:tcW w:w="8481" w:type="dxa"/>
            <w:vAlign w:val="center"/>
          </w:tcPr>
          <w:p>
            <w:r>
              <w:rPr>
                <w:rFonts w:hint="eastAsia"/>
              </w:rPr>
              <w:t>管路夹：5个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2.4.14</w:t>
            </w:r>
          </w:p>
        </w:tc>
        <w:tc>
          <w:tcPr>
            <w:tcW w:w="8481" w:type="dxa"/>
            <w:vAlign w:val="center"/>
          </w:tcPr>
          <w:p>
            <w:r>
              <w:rPr>
                <w:rFonts w:hint="eastAsia"/>
              </w:rPr>
              <w:t>进出水管：5套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
                <w:szCs w:val="21"/>
              </w:rPr>
            </w:pPr>
            <w:r>
              <w:rPr>
                <w:rFonts w:hint="eastAsia" w:ascii="宋体" w:hAnsi="宋体" w:cs="宋体"/>
                <w:b/>
                <w:szCs w:val="21"/>
              </w:rPr>
              <w:t>二</w:t>
            </w:r>
          </w:p>
        </w:tc>
        <w:tc>
          <w:tcPr>
            <w:tcW w:w="8481" w:type="dxa"/>
            <w:vAlign w:val="center"/>
          </w:tcPr>
          <w:p>
            <w:pPr>
              <w:spacing w:line="360" w:lineRule="exact"/>
              <w:jc w:val="left"/>
              <w:rPr>
                <w:rFonts w:ascii="宋体" w:hAnsi="宋体" w:cs="宋体"/>
                <w:b/>
                <w:szCs w:val="21"/>
              </w:rPr>
            </w:pPr>
            <w:r>
              <w:rPr>
                <w:rFonts w:hint="eastAsia" w:ascii="宋体" w:hAnsi="宋体" w:cs="宋体"/>
                <w:b/>
                <w:szCs w:val="21"/>
              </w:rPr>
              <w:t>水处理系统：1套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
                <w:szCs w:val="21"/>
              </w:rPr>
              <w:t>2.1</w:t>
            </w:r>
          </w:p>
        </w:tc>
        <w:tc>
          <w:tcPr>
            <w:tcW w:w="8481" w:type="dxa"/>
            <w:vAlign w:val="center"/>
          </w:tcPr>
          <w:p>
            <w:pPr>
              <w:spacing w:line="360" w:lineRule="exact"/>
              <w:jc w:val="left"/>
              <w:rPr>
                <w:rFonts w:ascii="宋体" w:hAnsi="宋体"/>
                <w:b/>
                <w:szCs w:val="21"/>
              </w:rPr>
            </w:pPr>
            <w:r>
              <w:rPr>
                <w:rFonts w:hint="eastAsia" w:ascii="宋体" w:hAnsi="宋体"/>
                <w:b/>
                <w:szCs w:val="21"/>
              </w:rPr>
              <w:t>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2.1.1</w:t>
            </w:r>
          </w:p>
        </w:tc>
        <w:tc>
          <w:tcPr>
            <w:tcW w:w="8481" w:type="dxa"/>
            <w:vAlign w:val="center"/>
          </w:tcPr>
          <w:p>
            <w:pPr>
              <w:spacing w:line="360" w:lineRule="exact"/>
              <w:jc w:val="left"/>
              <w:rPr>
                <w:rFonts w:ascii="宋体" w:hAnsi="宋体"/>
                <w:bCs/>
                <w:szCs w:val="21"/>
              </w:rPr>
            </w:pPr>
            <w:r>
              <w:rPr>
                <w:rFonts w:hint="eastAsia" w:ascii="宋体" w:hAnsi="宋体"/>
                <w:b/>
                <w:szCs w:val="21"/>
              </w:rPr>
              <w:t>设备名称</w:t>
            </w:r>
            <w:r>
              <w:rPr>
                <w:rFonts w:hint="eastAsia" w:ascii="宋体" w:hAnsi="宋体"/>
                <w:bCs/>
                <w:szCs w:val="21"/>
              </w:rPr>
              <w:t>：血液透析中心专用双级反渗水处理系统。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2.1.2</w:t>
            </w:r>
          </w:p>
        </w:tc>
        <w:tc>
          <w:tcPr>
            <w:tcW w:w="8481" w:type="dxa"/>
            <w:vAlign w:val="center"/>
          </w:tcPr>
          <w:p>
            <w:pPr>
              <w:spacing w:line="360" w:lineRule="exact"/>
              <w:jc w:val="left"/>
              <w:rPr>
                <w:rFonts w:ascii="宋体" w:hAnsi="宋体"/>
                <w:bCs/>
                <w:szCs w:val="21"/>
              </w:rPr>
            </w:pPr>
            <w:r>
              <w:rPr>
                <w:rFonts w:hint="eastAsia" w:ascii="宋体" w:hAnsi="宋体"/>
                <w:b/>
                <w:szCs w:val="21"/>
              </w:rPr>
              <w:t>设备用途</w:t>
            </w:r>
            <w:r>
              <w:rPr>
                <w:rFonts w:hint="eastAsia" w:ascii="宋体" w:hAnsi="宋体"/>
                <w:bCs/>
                <w:szCs w:val="21"/>
              </w:rPr>
              <w:t>：用于医疗机构生产血液透析用纯净水。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2.1.3</w:t>
            </w:r>
          </w:p>
        </w:tc>
        <w:tc>
          <w:tcPr>
            <w:tcW w:w="8481" w:type="dxa"/>
          </w:tcPr>
          <w:p>
            <w:pPr>
              <w:rPr>
                <w:rFonts w:ascii="宋体" w:hAnsi="宋体"/>
                <w:szCs w:val="21"/>
              </w:rPr>
            </w:pPr>
            <w:r>
              <w:rPr>
                <w:rFonts w:hint="eastAsia"/>
              </w:rPr>
              <w:t>该设备含有消毒装置。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
                <w:szCs w:val="21"/>
              </w:rPr>
              <w:t>2.2</w:t>
            </w:r>
          </w:p>
        </w:tc>
        <w:tc>
          <w:tcPr>
            <w:tcW w:w="8481" w:type="dxa"/>
            <w:vAlign w:val="center"/>
          </w:tcPr>
          <w:p>
            <w:pPr>
              <w:spacing w:line="360" w:lineRule="exact"/>
              <w:jc w:val="left"/>
              <w:rPr>
                <w:rFonts w:ascii="宋体" w:hAnsi="宋体"/>
                <w:b/>
                <w:szCs w:val="21"/>
              </w:rPr>
            </w:pPr>
            <w:r>
              <w:rPr>
                <w:rFonts w:hint="eastAsia" w:ascii="宋体" w:hAnsi="宋体"/>
                <w:b/>
                <w:szCs w:val="21"/>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w:t>
            </w:r>
          </w:p>
        </w:tc>
        <w:tc>
          <w:tcPr>
            <w:tcW w:w="8481" w:type="dxa"/>
            <w:vAlign w:val="center"/>
          </w:tcPr>
          <w:p>
            <w:r>
              <w:rPr>
                <w:rFonts w:hint="eastAsia"/>
              </w:rPr>
              <w:t>水处理系统为血液透析专用单台双级反渗系统，设计成熟，运行可靠。全闭路循环管路供水，循环末端回流至反渗系统进水端。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2.2.2</w:t>
            </w:r>
          </w:p>
        </w:tc>
        <w:tc>
          <w:tcPr>
            <w:tcW w:w="8481" w:type="dxa"/>
            <w:vAlign w:val="center"/>
          </w:tcPr>
          <w:p>
            <w:r>
              <w:rPr>
                <w:rFonts w:hint="eastAsia"/>
              </w:rPr>
              <w:t>双级反渗主机前后两级串联出水，单台双级反渗主机的产水量在水温6℃时≥2100L/小时，能保证血液透析中心在低温情况下用水需要。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2.2.3</w:t>
            </w:r>
          </w:p>
        </w:tc>
        <w:tc>
          <w:tcPr>
            <w:tcW w:w="8481" w:type="dxa"/>
            <w:vAlign w:val="center"/>
          </w:tcPr>
          <w:p>
            <w:r>
              <w:rPr>
                <w:rFonts w:hint="eastAsia"/>
              </w:rPr>
              <w:t>注册证上结构与组成一栏明确注明整套系统由前处理、反渗主机及反渗水管路组成。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2.2.4</w:t>
            </w:r>
          </w:p>
        </w:tc>
        <w:tc>
          <w:tcPr>
            <w:tcW w:w="8481" w:type="dxa"/>
            <w:vAlign w:val="center"/>
          </w:tcPr>
          <w:p>
            <w:r>
              <w:rPr>
                <w:rFonts w:hint="eastAsia"/>
              </w:rPr>
              <w:t>具备紧急操作模式以确保血透治疗的持续：二级反渗系统前后两级可分别单独使用，提供最大的使用灵活性，保障设备运行的安全与稳定。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sz w:val="22"/>
                <w:szCs w:val="22"/>
              </w:rPr>
              <w:t>2</w:t>
            </w:r>
            <w:r>
              <w:rPr>
                <w:rFonts w:hint="eastAsia" w:ascii="宋体" w:hAnsi="宋体"/>
                <w:bCs/>
                <w:szCs w:val="21"/>
              </w:rPr>
              <w:t>.2.5</w:t>
            </w:r>
          </w:p>
        </w:tc>
        <w:tc>
          <w:tcPr>
            <w:tcW w:w="8481" w:type="dxa"/>
            <w:vAlign w:val="center"/>
          </w:tcPr>
          <w:p>
            <w:r>
              <w:rPr>
                <w:rFonts w:hint="eastAsia"/>
              </w:rPr>
              <w:t>单台双级反渗机采用多个高品质风冷高压离心泵，提供足够的后备冗余，保证反渗主机能够长时间连续运行；节约用水，根据实际血透耗水量开启相应的高压离心泵。在血透机不耗反渗水时，反渗主机排水量也为零，反渗膜摆放为竖置，反渗膜为8040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2.2.6</w:t>
            </w:r>
          </w:p>
        </w:tc>
        <w:tc>
          <w:tcPr>
            <w:tcW w:w="8481" w:type="dxa"/>
            <w:vAlign w:val="center"/>
          </w:tcPr>
          <w:p>
            <w:r>
              <w:rPr>
                <w:rFonts w:hint="eastAsia"/>
              </w:rPr>
              <w:t>反渗主机和反渗水输送管路可以同步进行全自动化学消毒，消毒后能全自动冲洗干净所有消毒液，保证冲洗后无任何化学消毒液的残留。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2.2.7</w:t>
            </w:r>
          </w:p>
        </w:tc>
        <w:tc>
          <w:tcPr>
            <w:tcW w:w="8481" w:type="dxa"/>
            <w:vAlign w:val="center"/>
          </w:tcPr>
          <w:p>
            <w:r>
              <w:rPr>
                <w:rFonts w:hint="eastAsia"/>
              </w:rPr>
              <w:t>能在电脑（CPU）控制下全自动运行，可设定自动开关机，自动运行。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2.2.8</w:t>
            </w:r>
          </w:p>
        </w:tc>
        <w:tc>
          <w:tcPr>
            <w:tcW w:w="8481" w:type="dxa"/>
            <w:vAlign w:val="center"/>
          </w:tcPr>
          <w:p>
            <w:r>
              <w:rPr>
                <w:rFonts w:hint="eastAsia"/>
              </w:rPr>
              <w:t>具备不透析期间待机模式功能，待机模式下能够定时自动冲洗反渗膜及输水环路。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2.2.9</w:t>
            </w:r>
          </w:p>
        </w:tc>
        <w:tc>
          <w:tcPr>
            <w:tcW w:w="8481" w:type="dxa"/>
            <w:vAlign w:val="center"/>
          </w:tcPr>
          <w:p>
            <w:r>
              <w:rPr>
                <w:rFonts w:hint="eastAsia"/>
              </w:rPr>
              <w:t>具备关机冲洗功能，能够在转到待机模式前对系统进行全面冲洗，避免污染物和微生物在反渗膜上附着。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2.2.10</w:t>
            </w:r>
          </w:p>
        </w:tc>
        <w:tc>
          <w:tcPr>
            <w:tcW w:w="8481" w:type="dxa"/>
            <w:vAlign w:val="center"/>
          </w:tcPr>
          <w:p>
            <w:r>
              <w:rPr>
                <w:rFonts w:hint="eastAsia"/>
              </w:rPr>
              <w:t>泄漏安全性，不工作时具备反渗主机和管道的泄漏监测及报警。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2.2.11</w:t>
            </w:r>
          </w:p>
        </w:tc>
        <w:tc>
          <w:tcPr>
            <w:tcW w:w="8481" w:type="dxa"/>
            <w:vAlign w:val="center"/>
          </w:tcPr>
          <w:p>
            <w:r>
              <w:rPr>
                <w:rFonts w:hint="eastAsia"/>
              </w:rPr>
              <w:t>具备高水温报警和高温排放功能。当反渗水温度超过35℃（可设定值，区间是20-35℃）时，系统自动排放浓水直到温度降到设定的低限温度以下。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2.2.12</w:t>
            </w:r>
          </w:p>
        </w:tc>
        <w:tc>
          <w:tcPr>
            <w:tcW w:w="8481" w:type="dxa"/>
            <w:vAlign w:val="center"/>
          </w:tcPr>
          <w:p>
            <w:r>
              <w:rPr>
                <w:rFonts w:hint="eastAsia"/>
              </w:rPr>
              <w:t>根据电导度浓缩倍数来决定是否排放浓水，达到提高回收率，同时避免膜表面过度污染。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2.2.13</w:t>
            </w:r>
          </w:p>
        </w:tc>
        <w:tc>
          <w:tcPr>
            <w:tcW w:w="8481" w:type="dxa"/>
            <w:vAlign w:val="center"/>
          </w:tcPr>
          <w:p>
            <w:r>
              <w:rPr>
                <w:rFonts w:hint="eastAsia"/>
              </w:rPr>
              <w:t>具备脉动强冲功能，在消毒、清洁、待机模式下提高管路系统内的流速，这种快速冲洗有助于将每个用水点的消毒剂快速冲洗干净，也可以抑制夜间不透析期间管路内细菌滋生。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2.2.14</w:t>
            </w:r>
          </w:p>
        </w:tc>
        <w:tc>
          <w:tcPr>
            <w:tcW w:w="8481" w:type="dxa"/>
            <w:vAlign w:val="center"/>
          </w:tcPr>
          <w:p>
            <w:r>
              <w:rPr>
                <w:rFonts w:hint="eastAsia"/>
              </w:rPr>
              <w:t>预处理设计科学，罐体、控制头和填料都必须采用高品质的产品，且搭配合理。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2.2.15</w:t>
            </w:r>
          </w:p>
        </w:tc>
        <w:tc>
          <w:tcPr>
            <w:tcW w:w="8481" w:type="dxa"/>
            <w:vAlign w:val="center"/>
          </w:tcPr>
          <w:p>
            <w:r>
              <w:rPr>
                <w:rFonts w:hint="eastAsia"/>
              </w:rPr>
              <w:t>反渗机内管路及反渗膜壳全部使用耐腐蚀的卫生级316L不锈钢或其它更好材质，在潮湿及化学消毒剂环境中保持不锈不腐，防止泄露，保证可靠性。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sz w:val="22"/>
                <w:szCs w:val="22"/>
              </w:rPr>
              <w:t>2</w:t>
            </w:r>
            <w:r>
              <w:rPr>
                <w:rFonts w:hint="eastAsia" w:ascii="宋体" w:hAnsi="宋体"/>
                <w:bCs/>
                <w:szCs w:val="21"/>
              </w:rPr>
              <w:t>.2.16</w:t>
            </w:r>
          </w:p>
        </w:tc>
        <w:tc>
          <w:tcPr>
            <w:tcW w:w="8481" w:type="dxa"/>
            <w:vAlign w:val="center"/>
          </w:tcPr>
          <w:p>
            <w:pPr>
              <w:rPr>
                <w:rFonts w:hint="eastAsia" w:eastAsia="宋体"/>
                <w:lang w:eastAsia="zh-CN"/>
              </w:rPr>
            </w:pPr>
            <w:r>
              <w:rPr>
                <w:rFonts w:hint="eastAsia"/>
              </w:rPr>
              <w:t>采用无死腔膜壳设计</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2.2.17</w:t>
            </w:r>
          </w:p>
        </w:tc>
        <w:tc>
          <w:tcPr>
            <w:tcW w:w="8481" w:type="dxa"/>
            <w:vAlign w:val="center"/>
          </w:tcPr>
          <w:p>
            <w:r>
              <w:rPr>
                <w:rFonts w:hint="eastAsia"/>
              </w:rPr>
              <w:t>反渗机能显示反渗膜前和膜后、出水、环路回水等部位的压力。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2.2.18</w:t>
            </w:r>
          </w:p>
        </w:tc>
        <w:tc>
          <w:tcPr>
            <w:tcW w:w="8481" w:type="dxa"/>
            <w:vAlign w:val="center"/>
          </w:tcPr>
          <w:p>
            <w:r>
              <w:rPr>
                <w:rFonts w:hint="eastAsia"/>
              </w:rPr>
              <w:t>反渗水管路采用高品质PEX管道，不锈不腐，出水口的数量按要求设置。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2.2.19</w:t>
            </w:r>
          </w:p>
        </w:tc>
        <w:tc>
          <w:tcPr>
            <w:tcW w:w="8481" w:type="dxa"/>
            <w:vAlign w:val="center"/>
          </w:tcPr>
          <w:p>
            <w:r>
              <w:rPr>
                <w:rFonts w:hint="eastAsia"/>
              </w:rPr>
              <w:t>热消毒程序由反渗机主机控制，可以对反渗水管路可以进行热消毒。在热消毒程序未结束时启动主机透析会报警并紧急停止热消毒，快速冲洗排出热水。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sz w:val="22"/>
                <w:szCs w:val="22"/>
              </w:rPr>
              <w:t>2</w:t>
            </w:r>
            <w:r>
              <w:rPr>
                <w:rFonts w:hint="eastAsia" w:ascii="宋体" w:hAnsi="宋体"/>
                <w:bCs/>
                <w:szCs w:val="21"/>
              </w:rPr>
              <w:t>.2.20</w:t>
            </w:r>
          </w:p>
        </w:tc>
        <w:tc>
          <w:tcPr>
            <w:tcW w:w="8481" w:type="dxa"/>
            <w:vAlign w:val="center"/>
          </w:tcPr>
          <w:p>
            <w:r>
              <w:rPr>
                <w:rFonts w:hint="eastAsia"/>
              </w:rPr>
              <w:t>使用无死腔在线式加热器（非水箱式），加热器与反渗水不接触，防止传统的加热水箱造成的细菌内毒素的污染。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sz w:val="22"/>
                <w:szCs w:val="22"/>
              </w:rPr>
              <w:t>△2</w:t>
            </w:r>
            <w:r>
              <w:rPr>
                <w:rFonts w:hint="eastAsia" w:ascii="宋体" w:hAnsi="宋体"/>
                <w:bCs/>
                <w:szCs w:val="21"/>
              </w:rPr>
              <w:t>.2.21</w:t>
            </w:r>
          </w:p>
        </w:tc>
        <w:tc>
          <w:tcPr>
            <w:tcW w:w="8481" w:type="dxa"/>
            <w:vAlign w:val="center"/>
          </w:tcPr>
          <w:p>
            <w:r>
              <w:rPr>
                <w:rFonts w:hint="eastAsia"/>
              </w:rPr>
              <w:t>加热器部分全部使用316L不锈钢或其它更好材质，加热组件为挂壁式（提供实际使用用户现场加热组件图片）。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szCs w:val="21"/>
              </w:rPr>
              <w:t>2.2.22</w:t>
            </w:r>
          </w:p>
        </w:tc>
        <w:tc>
          <w:tcPr>
            <w:tcW w:w="8481" w:type="dxa"/>
            <w:vAlign w:val="center"/>
          </w:tcPr>
          <w:p>
            <w:r>
              <w:rPr>
                <w:rFonts w:hint="eastAsia"/>
              </w:rPr>
              <w:t>整个反渗水环路外覆隔热层，最大程度降低能源消耗。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2.2.23</w:t>
            </w:r>
          </w:p>
        </w:tc>
        <w:tc>
          <w:tcPr>
            <w:tcW w:w="8481" w:type="dxa"/>
            <w:vAlign w:val="center"/>
          </w:tcPr>
          <w:p>
            <w:r>
              <w:rPr>
                <w:rFonts w:hint="eastAsia"/>
              </w:rPr>
              <w:t>在持续热消毒过程中温度可达90℃以上，环路首末端设置温度传感器监控温度，确保热消温度达标。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2.2.24</w:t>
            </w:r>
          </w:p>
        </w:tc>
        <w:tc>
          <w:tcPr>
            <w:tcW w:w="8481" w:type="dxa"/>
            <w:vAlign w:val="center"/>
          </w:tcPr>
          <w:p>
            <w:r>
              <w:rPr>
                <w:rFonts w:hint="eastAsia"/>
              </w:rPr>
              <w:t>采用大功率在线加热装置，加热组件为挂壁式，可以实现短时迅速升温，长时间循环保温，更有效地保证微生物杀灭效果，需提供实际使用用户现场加热组件图片。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color w:val="000000"/>
                <w:szCs w:val="21"/>
              </w:rPr>
            </w:pPr>
            <w:r>
              <w:rPr>
                <w:rFonts w:hint="eastAsia" w:ascii="宋体" w:hAnsi="宋体"/>
                <w:b/>
                <w:color w:val="000000"/>
                <w:szCs w:val="21"/>
              </w:rPr>
              <w:t>2.3</w:t>
            </w:r>
          </w:p>
        </w:tc>
        <w:tc>
          <w:tcPr>
            <w:tcW w:w="8481" w:type="dxa"/>
            <w:vAlign w:val="center"/>
          </w:tcPr>
          <w:p>
            <w:pPr>
              <w:spacing w:line="360" w:lineRule="exact"/>
              <w:jc w:val="left"/>
              <w:rPr>
                <w:rFonts w:ascii="宋体" w:hAnsi="宋体"/>
                <w:b/>
                <w:color w:val="000000"/>
                <w:szCs w:val="21"/>
              </w:rPr>
            </w:pPr>
            <w:r>
              <w:rPr>
                <w:rFonts w:hint="eastAsia" w:ascii="宋体" w:hAnsi="宋体"/>
                <w:b/>
                <w:color w:val="000000"/>
                <w:szCs w:val="21"/>
              </w:rPr>
              <w:t>配置要求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2.3.1</w:t>
            </w:r>
          </w:p>
        </w:tc>
        <w:tc>
          <w:tcPr>
            <w:tcW w:w="8481" w:type="dxa"/>
            <w:vAlign w:val="center"/>
          </w:tcPr>
          <w:p>
            <w:r>
              <w:rPr>
                <w:rFonts w:hint="eastAsia"/>
              </w:rPr>
              <w:t>反渗主机1台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2.3.2</w:t>
            </w:r>
          </w:p>
        </w:tc>
        <w:tc>
          <w:tcPr>
            <w:tcW w:w="8481" w:type="dxa"/>
            <w:vAlign w:val="center"/>
          </w:tcPr>
          <w:p>
            <w:r>
              <w:rPr>
                <w:rFonts w:hint="eastAsia"/>
              </w:rPr>
              <w:t>预处理配置1套(预处理软水能力≥5000L/h)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2.3.3</w:t>
            </w:r>
          </w:p>
        </w:tc>
        <w:tc>
          <w:tcPr>
            <w:tcW w:w="8481" w:type="dxa"/>
            <w:vAlign w:val="center"/>
          </w:tcPr>
          <w:p>
            <w:r>
              <w:rPr>
                <w:rFonts w:hint="eastAsia"/>
              </w:rPr>
              <w:t>水（杂质）过滤器1套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2.3.4</w:t>
            </w:r>
          </w:p>
        </w:tc>
        <w:tc>
          <w:tcPr>
            <w:tcW w:w="8481" w:type="dxa"/>
            <w:vAlign w:val="center"/>
          </w:tcPr>
          <w:p>
            <w:r>
              <w:rPr>
                <w:rFonts w:hint="eastAsia"/>
              </w:rPr>
              <w:t>全自动砂滤（铁质）过滤器1套(带时间控制全自动/手动反冲装置)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2.3.5</w:t>
            </w:r>
          </w:p>
        </w:tc>
        <w:tc>
          <w:tcPr>
            <w:tcW w:w="8481" w:type="dxa"/>
            <w:vAlign w:val="center"/>
          </w:tcPr>
          <w:p>
            <w:r>
              <w:rPr>
                <w:rFonts w:hint="eastAsia"/>
              </w:rPr>
              <w:t>全自动除氯（活性碳）过滤器2套(带时间控制全自动/手动反冲装置)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2.3.6</w:t>
            </w:r>
          </w:p>
        </w:tc>
        <w:tc>
          <w:tcPr>
            <w:tcW w:w="8481" w:type="dxa"/>
            <w:vAlign w:val="center"/>
          </w:tcPr>
          <w:p>
            <w:r>
              <w:rPr>
                <w:rFonts w:hint="eastAsia"/>
              </w:rPr>
              <w:t>全自动软水器1套 双罐体(带时间控制全自动/手动反冲装置)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2.3.7</w:t>
            </w:r>
          </w:p>
        </w:tc>
        <w:tc>
          <w:tcPr>
            <w:tcW w:w="8481" w:type="dxa"/>
            <w:vAlign w:val="center"/>
          </w:tcPr>
          <w:p>
            <w:r>
              <w:rPr>
                <w:rFonts w:hint="eastAsia"/>
              </w:rPr>
              <w:t>反渗水供水管路（PEX）1套（含配套血透机50台接口）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2.3.8</w:t>
            </w:r>
          </w:p>
        </w:tc>
        <w:tc>
          <w:tcPr>
            <w:tcW w:w="8481" w:type="dxa"/>
            <w:vAlign w:val="center"/>
          </w:tcPr>
          <w:p>
            <w:r>
              <w:rPr>
                <w:rFonts w:hint="eastAsia"/>
              </w:rPr>
              <w:t>加压泵2套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2.3.9</w:t>
            </w:r>
          </w:p>
        </w:tc>
        <w:tc>
          <w:tcPr>
            <w:tcW w:w="8481" w:type="dxa"/>
            <w:vAlign w:val="center"/>
          </w:tcPr>
          <w:p>
            <w:pPr>
              <w:rPr>
                <w:color w:val="FF0000"/>
              </w:rPr>
            </w:pPr>
            <w:r>
              <w:rPr>
                <w:rFonts w:hint="eastAsia"/>
                <w:color w:val="000000" w:themeColor="text1"/>
                <w14:textFill>
                  <w14:solidFill>
                    <w14:schemeClr w14:val="tx1"/>
                  </w14:solidFill>
                </w14:textFill>
              </w:rPr>
              <w:t>A液中央供液系统1套（注明品牌、型号、价格）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2.3.9.1</w:t>
            </w:r>
          </w:p>
        </w:tc>
        <w:tc>
          <w:tcPr>
            <w:tcW w:w="8481" w:type="dxa"/>
            <w:vAlign w:val="center"/>
          </w:tcPr>
          <w:p>
            <w:pPr>
              <w:widowControl/>
              <w:jc w:val="left"/>
              <w:textAlignment w:val="center"/>
              <w:rPr>
                <w:rFonts w:ascii="宋体" w:hAnsi="宋体" w:cs="宋体"/>
                <w:szCs w:val="21"/>
              </w:rPr>
            </w:pPr>
            <w:r>
              <w:rPr>
                <w:rFonts w:hint="eastAsia"/>
                <w:color w:val="000000" w:themeColor="text1"/>
                <w14:textFill>
                  <w14:solidFill>
                    <w14:schemeClr w14:val="tx1"/>
                  </w14:solidFill>
                </w14:textFill>
              </w:rPr>
              <w:t>容量≥350升（供应能力≥50台血透机，与血透机等的所有联机费用均已包含在投标总价内。）整机保修6年(包含所有易耗件）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2.3.9.2</w:t>
            </w:r>
          </w:p>
        </w:tc>
        <w:tc>
          <w:tcPr>
            <w:tcW w:w="8481" w:type="dxa"/>
            <w:vAlign w:val="center"/>
          </w:tcPr>
          <w:p>
            <w:pPr>
              <w:widowControl/>
              <w:jc w:val="left"/>
              <w:textAlignment w:val="center"/>
              <w:rPr>
                <w:rFonts w:ascii="宋体" w:hAnsi="宋体" w:cs="宋体"/>
                <w:szCs w:val="21"/>
              </w:rPr>
            </w:pPr>
            <w:r>
              <w:rPr>
                <w:rFonts w:hint="eastAsia" w:ascii="宋体" w:hAnsi="宋体" w:cs="宋体"/>
                <w:szCs w:val="21"/>
              </w:rPr>
              <w:t>满足50床的血透机吸液需求。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
                <w:szCs w:val="21"/>
              </w:rPr>
            </w:pPr>
            <w:r>
              <w:rPr>
                <w:rFonts w:hint="eastAsia" w:ascii="宋体" w:hAnsi="宋体" w:cs="宋体"/>
                <w:bCs/>
                <w:szCs w:val="21"/>
              </w:rPr>
              <w:t>2.3.9.3</w:t>
            </w:r>
          </w:p>
        </w:tc>
        <w:tc>
          <w:tcPr>
            <w:tcW w:w="8481" w:type="dxa"/>
            <w:vAlign w:val="center"/>
          </w:tcPr>
          <w:p>
            <w:pPr>
              <w:widowControl/>
              <w:jc w:val="left"/>
              <w:textAlignment w:val="center"/>
              <w:rPr>
                <w:rFonts w:hint="eastAsia" w:ascii="宋体" w:hAnsi="宋体" w:eastAsia="宋体" w:cs="宋体"/>
                <w:szCs w:val="21"/>
                <w:lang w:eastAsia="zh-CN"/>
              </w:rPr>
            </w:pPr>
            <w:r>
              <w:rPr>
                <w:rFonts w:hint="eastAsia" w:ascii="宋体" w:hAnsi="宋体" w:cs="宋体"/>
                <w:szCs w:val="21"/>
              </w:rPr>
              <w:t>配制溶液微生物限度应符合透析液浓缩物的国家标准YY 0598—2015的要求：细菌总数应≤100 CFU/mL；真菌总数应≤10CFU/mL；大肠杆菌不得检出；内毒素含量应不超过0.5 EU/mL。（需提供CMA和CNAS认证的省级或以上检测报告）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2.3.9.4</w:t>
            </w:r>
          </w:p>
        </w:tc>
        <w:tc>
          <w:tcPr>
            <w:tcW w:w="8481" w:type="dxa"/>
            <w:vAlign w:val="center"/>
          </w:tcPr>
          <w:p>
            <w:pPr>
              <w:widowControl/>
              <w:jc w:val="left"/>
              <w:textAlignment w:val="center"/>
              <w:rPr>
                <w:rFonts w:ascii="宋体" w:hAnsi="宋体" w:cs="宋体"/>
                <w:szCs w:val="21"/>
              </w:rPr>
            </w:pPr>
            <w:r>
              <w:rPr>
                <w:rFonts w:hint="eastAsia" w:ascii="宋体" w:hAnsi="宋体" w:cs="宋体"/>
                <w:szCs w:val="21"/>
              </w:rPr>
              <w:t>在线电导度监测精度0.01ms/cm，首次结果偏离范围可进行第二次溶解，结果异常需有提醒警报。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
                <w:szCs w:val="21"/>
              </w:rPr>
            </w:pPr>
            <w:r>
              <w:rPr>
                <w:rFonts w:hint="eastAsia" w:ascii="宋体" w:hAnsi="宋体" w:cs="宋体"/>
                <w:bCs/>
                <w:szCs w:val="21"/>
              </w:rPr>
              <w:t>2.3.9.5</w:t>
            </w:r>
          </w:p>
        </w:tc>
        <w:tc>
          <w:tcPr>
            <w:tcW w:w="8481" w:type="dxa"/>
            <w:vAlign w:val="center"/>
          </w:tcPr>
          <w:p>
            <w:pPr>
              <w:widowControl/>
              <w:jc w:val="left"/>
              <w:textAlignment w:val="center"/>
              <w:rPr>
                <w:rFonts w:ascii="宋体" w:hAnsi="宋体" w:cs="宋体"/>
                <w:szCs w:val="21"/>
              </w:rPr>
            </w:pPr>
            <w:r>
              <w:rPr>
                <w:rFonts w:hint="eastAsia" w:ascii="宋体" w:hAnsi="宋体" w:cs="宋体"/>
                <w:szCs w:val="21"/>
              </w:rPr>
              <w:t>供液管路使用一体成型的编织硅胶软管，直径大于12mm,全循环无死角管路设计，四通无死腔接头连接血透。（提供检测报告）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jc w:val="center"/>
              <w:rPr>
                <w:rFonts w:ascii="宋体" w:hAnsi="宋体" w:cs="宋体"/>
                <w:bCs/>
                <w:szCs w:val="21"/>
              </w:rPr>
            </w:pPr>
            <w:r>
              <w:rPr>
                <w:rFonts w:hint="eastAsia" w:ascii="宋体" w:hAnsi="宋体"/>
                <w:sz w:val="22"/>
                <w:szCs w:val="22"/>
              </w:rPr>
              <w:t>△</w:t>
            </w:r>
            <w:r>
              <w:rPr>
                <w:rFonts w:hint="eastAsia" w:ascii="宋体" w:hAnsi="宋体" w:cs="宋体"/>
                <w:bCs/>
                <w:szCs w:val="21"/>
              </w:rPr>
              <w:t>2.3.9.6</w:t>
            </w:r>
          </w:p>
        </w:tc>
        <w:tc>
          <w:tcPr>
            <w:tcW w:w="8481" w:type="dxa"/>
            <w:vAlign w:val="center"/>
          </w:tcPr>
          <w:p>
            <w:pPr>
              <w:widowControl/>
              <w:jc w:val="left"/>
              <w:textAlignment w:val="center"/>
              <w:rPr>
                <w:rFonts w:ascii="宋体" w:hAnsi="宋体" w:cs="宋体"/>
                <w:szCs w:val="21"/>
              </w:rPr>
            </w:pPr>
            <w:r>
              <w:rPr>
                <w:rFonts w:hint="eastAsia" w:ascii="宋体" w:hAnsi="宋体" w:cs="宋体"/>
                <w:szCs w:val="21"/>
              </w:rPr>
              <w:t>采用正压供液方式，血透机的供液压力小于40KPa，供液泵为一用一备，紧急故障可一键切换。（提供佐证材料）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cs="宋体"/>
                <w:bCs/>
                <w:szCs w:val="21"/>
              </w:rPr>
              <w:t>2.3.9.7</w:t>
            </w:r>
          </w:p>
        </w:tc>
        <w:tc>
          <w:tcPr>
            <w:tcW w:w="8481" w:type="dxa"/>
            <w:vAlign w:val="center"/>
          </w:tcPr>
          <w:p>
            <w:pPr>
              <w:widowControl/>
              <w:jc w:val="left"/>
              <w:textAlignment w:val="center"/>
              <w:rPr>
                <w:rFonts w:ascii="宋体" w:hAnsi="宋体" w:cs="宋体"/>
                <w:szCs w:val="21"/>
              </w:rPr>
            </w:pPr>
            <w:r>
              <w:rPr>
                <w:rFonts w:hint="eastAsia" w:ascii="宋体" w:hAnsi="宋体" w:cs="宋体"/>
                <w:szCs w:val="21"/>
              </w:rPr>
              <w:t>具有远程监控、操作的系统，可实现护士站有线端、手机无线端远程查看，操作的功能，提醒、报警信息微信推送功能。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widowControl/>
              <w:jc w:val="center"/>
              <w:textAlignment w:val="center"/>
              <w:rPr>
                <w:rFonts w:ascii="宋体" w:hAnsi="宋体" w:cs="宋体"/>
                <w:bCs/>
                <w:szCs w:val="21"/>
              </w:rPr>
            </w:pPr>
            <w:r>
              <w:rPr>
                <w:rFonts w:hint="eastAsia" w:ascii="宋体" w:hAnsi="宋体"/>
                <w:sz w:val="22"/>
                <w:szCs w:val="22"/>
              </w:rPr>
              <w:t>2.3.9.8</w:t>
            </w:r>
          </w:p>
        </w:tc>
        <w:tc>
          <w:tcPr>
            <w:tcW w:w="8481" w:type="dxa"/>
            <w:vAlign w:val="center"/>
          </w:tcPr>
          <w:p>
            <w:pPr>
              <w:widowControl/>
              <w:jc w:val="left"/>
              <w:textAlignment w:val="center"/>
              <w:rPr>
                <w:rFonts w:ascii="宋体" w:hAnsi="宋体" w:cs="宋体"/>
                <w:bCs/>
                <w:szCs w:val="21"/>
              </w:rPr>
            </w:pPr>
            <w:r>
              <w:rPr>
                <w:rFonts w:hint="eastAsia" w:ascii="宋体" w:hAnsi="宋体" w:cs="宋体"/>
                <w:bCs/>
                <w:szCs w:val="21"/>
              </w:rPr>
              <w:t>需有独立100L预先投粉桶，配液桶、储液桶容量各≥350L。</w:t>
            </w:r>
            <w:r>
              <w:rPr>
                <w:rFonts w:hint="eastAsia" w:ascii="宋体" w:hAnsi="宋体" w:cs="宋体"/>
                <w:szCs w:val="21"/>
              </w:rPr>
              <w:t>（提供检测报告）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
                <w:color w:val="000000"/>
                <w:szCs w:val="21"/>
              </w:rPr>
            </w:pPr>
            <w:r>
              <w:rPr>
                <w:rFonts w:hint="eastAsia" w:ascii="宋体" w:hAnsi="宋体" w:cs="宋体"/>
                <w:b/>
                <w:color w:val="000000"/>
                <w:szCs w:val="21"/>
              </w:rPr>
              <w:t>三</w:t>
            </w:r>
          </w:p>
        </w:tc>
        <w:tc>
          <w:tcPr>
            <w:tcW w:w="8481" w:type="dxa"/>
            <w:vAlign w:val="center"/>
          </w:tcPr>
          <w:p>
            <w:pPr>
              <w:spacing w:line="360" w:lineRule="exact"/>
              <w:jc w:val="left"/>
              <w:rPr>
                <w:rFonts w:ascii="宋体" w:hAnsi="宋体" w:cs="宋体"/>
                <w:b/>
                <w:color w:val="000000"/>
                <w:szCs w:val="21"/>
              </w:rPr>
            </w:pPr>
            <w:r>
              <w:rPr>
                <w:rFonts w:hint="eastAsia" w:ascii="宋体" w:hAnsi="宋体" w:cs="宋体"/>
                <w:b/>
                <w:color w:val="333333"/>
                <w:szCs w:val="21"/>
              </w:rPr>
              <w:t>配套应用软件及设备：1批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
                <w:color w:val="000000"/>
                <w:szCs w:val="21"/>
              </w:rPr>
            </w:pPr>
            <w:r>
              <w:rPr>
                <w:rFonts w:hint="eastAsia" w:ascii="宋体" w:hAnsi="宋体" w:cs="宋体"/>
                <w:b/>
                <w:color w:val="000000"/>
                <w:szCs w:val="21"/>
              </w:rPr>
              <w:t>3.1</w:t>
            </w:r>
          </w:p>
        </w:tc>
        <w:tc>
          <w:tcPr>
            <w:tcW w:w="8481" w:type="dxa"/>
            <w:vAlign w:val="center"/>
          </w:tcPr>
          <w:p>
            <w:pPr>
              <w:spacing w:line="360" w:lineRule="exact"/>
              <w:jc w:val="left"/>
              <w:rPr>
                <w:rFonts w:ascii="宋体" w:hAnsi="宋体"/>
                <w:b/>
                <w:color w:val="000000"/>
                <w:szCs w:val="21"/>
              </w:rPr>
            </w:pPr>
            <w:r>
              <w:rPr>
                <w:rFonts w:hint="eastAsia" w:ascii="宋体" w:hAnsi="宋体"/>
                <w:b/>
                <w:color w:val="000000"/>
                <w:szCs w:val="21"/>
              </w:rPr>
              <w:t>应用软件总体要求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auto"/>
                <w:szCs w:val="21"/>
              </w:rPr>
              <w:t>▲</w:t>
            </w:r>
            <w:r>
              <w:rPr>
                <w:rFonts w:hint="eastAsia" w:ascii="宋体" w:hAnsi="宋体"/>
                <w:bCs/>
                <w:color w:val="000000"/>
                <w:szCs w:val="21"/>
              </w:rPr>
              <w:t>3.1.1</w:t>
            </w:r>
          </w:p>
        </w:tc>
        <w:tc>
          <w:tcPr>
            <w:tcW w:w="8481" w:type="dxa"/>
            <w:vAlign w:val="center"/>
          </w:tcPr>
          <w:p>
            <w:pPr>
              <w:rPr>
                <w:rFonts w:ascii="宋体" w:hAnsi="宋体"/>
                <w:bCs/>
                <w:color w:val="000000"/>
                <w:szCs w:val="21"/>
              </w:rPr>
            </w:pPr>
            <w:r>
              <w:rPr>
                <w:rFonts w:hint="eastAsia"/>
              </w:rPr>
              <w:t>功能要求：软件应具备病人管理、排班管理、透析管理、自助接诊系统、称重设备、血压仪设备数据采集、大屏呼叫系统、移动护理系统、评估管理、移动医生查房系统、医嘱费用管理系统、物资耗材管理、质控上报系统、APP互联网应用、水处理管理、科室管理、设备管理、统计查询、多中心管理、血透机自动数据采集系统、互联互通等级评审、电子病历及等级评审功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
                <w:color w:val="000000"/>
                <w:szCs w:val="21"/>
              </w:rPr>
              <w:t>3.2</w:t>
            </w:r>
          </w:p>
        </w:tc>
        <w:tc>
          <w:tcPr>
            <w:tcW w:w="8481" w:type="dxa"/>
            <w:vAlign w:val="center"/>
          </w:tcPr>
          <w:p>
            <w:pPr>
              <w:spacing w:line="360" w:lineRule="exact"/>
              <w:jc w:val="left"/>
              <w:rPr>
                <w:rFonts w:ascii="宋体" w:hAnsi="宋体"/>
                <w:b/>
                <w:color w:val="000000"/>
                <w:szCs w:val="21"/>
              </w:rPr>
            </w:pPr>
            <w:r>
              <w:rPr>
                <w:rFonts w:hint="eastAsia" w:ascii="宋体" w:hAnsi="宋体"/>
                <w:b/>
                <w:color w:val="000000"/>
                <w:szCs w:val="21"/>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w:t>
            </w:r>
          </w:p>
        </w:tc>
        <w:tc>
          <w:tcPr>
            <w:tcW w:w="8481" w:type="dxa"/>
            <w:vAlign w:val="center"/>
          </w:tcPr>
          <w:p>
            <w:pPr>
              <w:spacing w:line="360" w:lineRule="exact"/>
              <w:jc w:val="left"/>
            </w:pPr>
            <w:r>
              <w:rPr>
                <w:rFonts w:hint="eastAsia" w:ascii="宋体" w:hAnsi="宋体"/>
                <w:bCs/>
                <w:color w:val="000000"/>
                <w:szCs w:val="21"/>
              </w:rPr>
              <w:t>病人基本信息登记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3.2.1.1</w:t>
            </w:r>
          </w:p>
        </w:tc>
        <w:tc>
          <w:tcPr>
            <w:tcW w:w="8481" w:type="dxa"/>
            <w:vAlign w:val="center"/>
          </w:tcPr>
          <w:p>
            <w:pPr>
              <w:spacing w:line="360" w:lineRule="exact"/>
              <w:jc w:val="left"/>
            </w:pPr>
            <w:r>
              <w:rPr>
                <w:rFonts w:hint="eastAsia" w:ascii="宋体" w:hAnsi="宋体"/>
                <w:bCs/>
                <w:color w:val="000000"/>
                <w:szCs w:val="21"/>
              </w:rPr>
              <w:t>病人基本信息、血透信息的新增、修改、删除等；可通过HIS接口实现与HIS信息的同步；支持病人照片信息上传和下载。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3.2.2</w:t>
            </w:r>
          </w:p>
        </w:tc>
        <w:tc>
          <w:tcPr>
            <w:tcW w:w="8481" w:type="dxa"/>
            <w:vAlign w:val="center"/>
          </w:tcPr>
          <w:p>
            <w:pPr>
              <w:spacing w:line="360" w:lineRule="exact"/>
              <w:jc w:val="left"/>
            </w:pPr>
            <w:r>
              <w:rPr>
                <w:rFonts w:hint="eastAsia" w:ascii="宋体" w:hAnsi="宋体"/>
                <w:bCs/>
                <w:color w:val="000000"/>
                <w:szCs w:val="21"/>
              </w:rPr>
              <w:t>透析处方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3.2.2.1</w:t>
            </w:r>
          </w:p>
        </w:tc>
        <w:tc>
          <w:tcPr>
            <w:tcW w:w="8481" w:type="dxa"/>
            <w:vAlign w:val="center"/>
          </w:tcPr>
          <w:p>
            <w:pPr>
              <w:spacing w:line="360" w:lineRule="exact"/>
              <w:jc w:val="left"/>
            </w:pPr>
            <w:r>
              <w:rPr>
                <w:rFonts w:hint="eastAsia" w:ascii="宋体" w:hAnsi="宋体"/>
                <w:bCs/>
                <w:color w:val="000000"/>
                <w:szCs w:val="21"/>
              </w:rPr>
              <w:t>透析方案的建立日期，病人分期、透析方式、频率制定、干体重制定。针对每种透析方式，可制定的默认的透析处方：包括制定日期、医生、透析时间、透析器或血滤器的型号、抗凝方案、透析液的配方、血流量、置换量等编辑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3.2.3</w:t>
            </w:r>
          </w:p>
        </w:tc>
        <w:tc>
          <w:tcPr>
            <w:tcW w:w="8481" w:type="dxa"/>
            <w:vAlign w:val="center"/>
          </w:tcPr>
          <w:p>
            <w:pPr>
              <w:spacing w:line="360" w:lineRule="exact"/>
              <w:jc w:val="left"/>
            </w:pPr>
            <w:r>
              <w:rPr>
                <w:rFonts w:hint="eastAsia" w:ascii="宋体" w:hAnsi="宋体"/>
                <w:bCs/>
                <w:color w:val="000000"/>
                <w:szCs w:val="21"/>
              </w:rPr>
              <w:t>自定义知情同意书和手写签名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bCs/>
                <w:color w:val="00B050"/>
                <w:szCs w:val="21"/>
              </w:rPr>
            </w:pPr>
            <w:r>
              <w:rPr>
                <w:rFonts w:hint="eastAsia" w:ascii="宋体" w:hAnsi="宋体"/>
                <w:color w:val="auto"/>
                <w:sz w:val="22"/>
                <w:szCs w:val="22"/>
              </w:rPr>
              <w:t>△</w:t>
            </w:r>
            <w:r>
              <w:rPr>
                <w:rFonts w:hint="eastAsia" w:ascii="宋体" w:hAnsi="宋体"/>
                <w:bCs/>
                <w:color w:val="000000"/>
                <w:szCs w:val="21"/>
              </w:rPr>
              <w:t>3.2.3.1</w:t>
            </w:r>
          </w:p>
        </w:tc>
        <w:tc>
          <w:tcPr>
            <w:tcW w:w="8481" w:type="dxa"/>
            <w:vAlign w:val="center"/>
          </w:tcPr>
          <w:p>
            <w:pPr>
              <w:spacing w:line="360" w:lineRule="exact"/>
              <w:jc w:val="left"/>
              <w:rPr>
                <w:b/>
                <w:bCs/>
                <w:color w:val="00B050"/>
              </w:rPr>
            </w:pPr>
            <w:r>
              <w:rPr>
                <w:rFonts w:hint="eastAsia" w:ascii="宋体" w:hAnsi="宋体"/>
                <w:bCs/>
                <w:color w:val="000000"/>
                <w:szCs w:val="21"/>
                <w:highlight w:val="none"/>
              </w:rPr>
              <w:t>可自定义维护知情同意书模板，在签订时，病人可使用平板进行手写签名确认。</w:t>
            </w:r>
            <w:r>
              <w:rPr>
                <w:rFonts w:hint="eastAsia" w:ascii="宋体" w:hAnsi="宋体"/>
                <w:bCs/>
                <w:color w:val="000000" w:themeColor="text1"/>
                <w:szCs w:val="21"/>
                <w:highlight w:val="none"/>
                <w14:textFill>
                  <w14:solidFill>
                    <w14:schemeClr w14:val="tx1"/>
                  </w14:solidFill>
                </w14:textFill>
              </w:rPr>
              <w:t>（提供功能</w:t>
            </w:r>
            <w:r>
              <w:rPr>
                <w:rFonts w:hint="eastAsia" w:ascii="宋体" w:hAnsi="宋体"/>
                <w:bCs/>
                <w:color w:val="000000" w:themeColor="text1"/>
                <w:szCs w:val="21"/>
                <w:highlight w:val="none"/>
                <w:lang w:val="en-US" w:eastAsia="zh-CN"/>
                <w14:textFill>
                  <w14:solidFill>
                    <w14:schemeClr w14:val="tx1"/>
                  </w14:solidFill>
                </w14:textFill>
              </w:rPr>
              <w:t>视频</w:t>
            </w:r>
            <w:r>
              <w:rPr>
                <w:rFonts w:hint="eastAsia" w:ascii="宋体" w:hAnsi="宋体"/>
                <w:bCs/>
                <w:color w:val="000000" w:themeColor="text1"/>
                <w:szCs w:val="21"/>
                <w:highlight w:val="none"/>
                <w14:textFill>
                  <w14:solidFill>
                    <w14:schemeClr w14:val="tx1"/>
                  </w14:solidFill>
                </w14:textFill>
              </w:rPr>
              <w:t>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3.2.4</w:t>
            </w:r>
          </w:p>
        </w:tc>
        <w:tc>
          <w:tcPr>
            <w:tcW w:w="8481" w:type="dxa"/>
            <w:vAlign w:val="center"/>
          </w:tcPr>
          <w:p>
            <w:pPr>
              <w:spacing w:line="360" w:lineRule="exact"/>
              <w:jc w:val="left"/>
            </w:pPr>
            <w:r>
              <w:rPr>
                <w:rFonts w:hint="eastAsia" w:ascii="宋体" w:hAnsi="宋体"/>
                <w:bCs/>
                <w:color w:val="000000"/>
                <w:szCs w:val="21"/>
              </w:rPr>
              <w:t>病人排班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3.2.4.1</w:t>
            </w:r>
          </w:p>
        </w:tc>
        <w:tc>
          <w:tcPr>
            <w:tcW w:w="8481" w:type="dxa"/>
            <w:vAlign w:val="center"/>
          </w:tcPr>
          <w:p>
            <w:pPr>
              <w:spacing w:line="360" w:lineRule="exact"/>
              <w:jc w:val="left"/>
            </w:pPr>
            <w:r>
              <w:rPr>
                <w:rFonts w:hint="eastAsia" w:ascii="宋体" w:hAnsi="宋体"/>
                <w:bCs/>
                <w:color w:val="000000"/>
                <w:szCs w:val="21"/>
              </w:rPr>
              <w:t>支持按病人排班和按设备排班，两种排班模式在排班过程中可以随时切换。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3.2.5</w:t>
            </w:r>
          </w:p>
        </w:tc>
        <w:tc>
          <w:tcPr>
            <w:tcW w:w="8481" w:type="dxa"/>
            <w:vAlign w:val="center"/>
          </w:tcPr>
          <w:p>
            <w:pPr>
              <w:spacing w:line="360" w:lineRule="exact"/>
              <w:jc w:val="left"/>
            </w:pPr>
            <w:r>
              <w:rPr>
                <w:rFonts w:hint="eastAsia" w:ascii="宋体" w:hAnsi="宋体"/>
                <w:bCs/>
                <w:color w:val="000000"/>
                <w:szCs w:val="21"/>
              </w:rPr>
              <w:t>治疗数据监测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FF0000"/>
                <w:szCs w:val="21"/>
              </w:rPr>
            </w:pPr>
            <w:r>
              <w:rPr>
                <w:rFonts w:hint="eastAsia" w:ascii="宋体" w:hAnsi="宋体"/>
                <w:bCs/>
                <w:color w:val="000000"/>
                <w:szCs w:val="21"/>
              </w:rPr>
              <w:t>3.2.5.1</w:t>
            </w:r>
          </w:p>
        </w:tc>
        <w:tc>
          <w:tcPr>
            <w:tcW w:w="8481" w:type="dxa"/>
            <w:vAlign w:val="center"/>
          </w:tcPr>
          <w:p>
            <w:pPr>
              <w:spacing w:line="360" w:lineRule="exact"/>
              <w:jc w:val="left"/>
              <w:rPr>
                <w:color w:val="FF0000"/>
              </w:rPr>
            </w:pPr>
            <w:r>
              <w:rPr>
                <w:rFonts w:hint="eastAsia" w:ascii="宋体" w:hAnsi="宋体"/>
                <w:bCs/>
                <w:color w:val="000000"/>
                <w:szCs w:val="21"/>
              </w:rPr>
              <w:t>具备对患者的透析过程实时全程监控，医护人员可通过界面可随时查看机器的治疗数据曲线图。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3.2.6</w:t>
            </w:r>
          </w:p>
        </w:tc>
        <w:tc>
          <w:tcPr>
            <w:tcW w:w="8481" w:type="dxa"/>
            <w:vAlign w:val="center"/>
          </w:tcPr>
          <w:p>
            <w:pPr>
              <w:spacing w:line="360" w:lineRule="exact"/>
              <w:jc w:val="left"/>
            </w:pPr>
            <w:r>
              <w:rPr>
                <w:rFonts w:hint="eastAsia" w:ascii="宋体" w:hAnsi="宋体"/>
                <w:bCs/>
                <w:color w:val="000000"/>
                <w:szCs w:val="21"/>
              </w:rPr>
              <w:t>透析门诊药品诊疗预购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3.2.6.1</w:t>
            </w:r>
          </w:p>
        </w:tc>
        <w:tc>
          <w:tcPr>
            <w:tcW w:w="8481" w:type="dxa"/>
            <w:vAlign w:val="center"/>
          </w:tcPr>
          <w:p>
            <w:pPr>
              <w:spacing w:line="360" w:lineRule="exact"/>
              <w:jc w:val="left"/>
            </w:pPr>
            <w:r>
              <w:rPr>
                <w:rFonts w:hint="eastAsia" w:ascii="宋体" w:hAnsi="宋体"/>
                <w:bCs/>
                <w:color w:val="000000"/>
                <w:szCs w:val="21"/>
              </w:rPr>
              <w:t>可以为透析病人批量购买药品或诊疗项目，并在每次透析中按规则扣除，可与药房或HIS系统对接数据。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3.2.7</w:t>
            </w:r>
          </w:p>
        </w:tc>
        <w:tc>
          <w:tcPr>
            <w:tcW w:w="8481" w:type="dxa"/>
            <w:vAlign w:val="center"/>
          </w:tcPr>
          <w:p>
            <w:pPr>
              <w:spacing w:line="360" w:lineRule="exact"/>
              <w:jc w:val="left"/>
            </w:pPr>
            <w:r>
              <w:rPr>
                <w:rFonts w:hint="eastAsia" w:ascii="宋体" w:hAnsi="宋体"/>
                <w:bCs/>
                <w:color w:val="000000"/>
                <w:szCs w:val="21"/>
              </w:rPr>
              <w:t>透析处方和透析单操作痕迹追溯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3.2.7.1</w:t>
            </w:r>
          </w:p>
        </w:tc>
        <w:tc>
          <w:tcPr>
            <w:tcW w:w="8481" w:type="dxa"/>
            <w:vAlign w:val="center"/>
          </w:tcPr>
          <w:p>
            <w:pPr>
              <w:spacing w:line="360" w:lineRule="exact"/>
              <w:jc w:val="left"/>
            </w:pPr>
            <w:r>
              <w:rPr>
                <w:rFonts w:hint="eastAsia" w:ascii="宋体" w:hAnsi="宋体"/>
                <w:bCs/>
                <w:color w:val="000000"/>
                <w:szCs w:val="21"/>
              </w:rPr>
              <w:t>可查看处方、透析单等重要透析数据的历次修改记录，包括修改时间、修改人员、修改前和修改后数据。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3.2.8</w:t>
            </w:r>
          </w:p>
        </w:tc>
        <w:tc>
          <w:tcPr>
            <w:tcW w:w="8481" w:type="dxa"/>
            <w:vAlign w:val="center"/>
          </w:tcPr>
          <w:p>
            <w:pPr>
              <w:spacing w:line="360" w:lineRule="exact"/>
              <w:jc w:val="left"/>
            </w:pPr>
            <w:r>
              <w:rPr>
                <w:rFonts w:hint="eastAsia" w:ascii="宋体" w:hAnsi="宋体"/>
                <w:bCs/>
                <w:color w:val="000000"/>
                <w:szCs w:val="21"/>
              </w:rPr>
              <w:t>智能提醒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3.2.8.1</w:t>
            </w:r>
          </w:p>
        </w:tc>
        <w:tc>
          <w:tcPr>
            <w:tcW w:w="8481" w:type="dxa"/>
            <w:vAlign w:val="center"/>
          </w:tcPr>
          <w:p>
            <w:pPr>
              <w:spacing w:line="360" w:lineRule="exact"/>
              <w:jc w:val="left"/>
            </w:pPr>
            <w:r>
              <w:rPr>
                <w:rFonts w:hint="eastAsia" w:ascii="宋体" w:hAnsi="宋体"/>
                <w:bCs/>
                <w:color w:val="000000"/>
                <w:szCs w:val="21"/>
              </w:rPr>
              <w:t>在医护的透析治疗界面，对所管辖区域的患者进行各类提醒，包括新开医嘱新停医嘱的提醒、医嘱执行提醒、医生修改了本次透析设置值后的提醒等各类提醒操作。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3.2.9</w:t>
            </w:r>
          </w:p>
        </w:tc>
        <w:tc>
          <w:tcPr>
            <w:tcW w:w="8481" w:type="dxa"/>
            <w:vAlign w:val="center"/>
          </w:tcPr>
          <w:p>
            <w:pPr>
              <w:spacing w:line="360" w:lineRule="exact"/>
              <w:jc w:val="left"/>
            </w:pPr>
            <w:r>
              <w:rPr>
                <w:rFonts w:hint="eastAsia" w:ascii="宋体" w:hAnsi="宋体"/>
                <w:bCs/>
                <w:color w:val="000000"/>
                <w:szCs w:val="21"/>
              </w:rPr>
              <w:t>通路管理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bCs/>
                <w:color w:val="auto"/>
                <w:szCs w:val="21"/>
                <w:highlight w:val="none"/>
              </w:rPr>
            </w:pPr>
            <w:r>
              <w:rPr>
                <w:rFonts w:hint="eastAsia" w:ascii="宋体" w:hAnsi="宋体"/>
                <w:color w:val="auto"/>
                <w:sz w:val="22"/>
                <w:szCs w:val="22"/>
                <w:highlight w:val="none"/>
              </w:rPr>
              <w:t>△</w:t>
            </w:r>
            <w:r>
              <w:rPr>
                <w:rFonts w:hint="eastAsia" w:ascii="宋体" w:hAnsi="宋体"/>
                <w:bCs/>
                <w:color w:val="auto"/>
                <w:szCs w:val="21"/>
                <w:highlight w:val="none"/>
              </w:rPr>
              <w:t>3.2.9.1</w:t>
            </w:r>
          </w:p>
        </w:tc>
        <w:tc>
          <w:tcPr>
            <w:tcW w:w="8481" w:type="dxa"/>
            <w:vAlign w:val="center"/>
          </w:tcPr>
          <w:p>
            <w:pPr>
              <w:spacing w:line="360" w:lineRule="exact"/>
              <w:jc w:val="left"/>
              <w:rPr>
                <w:b/>
                <w:bCs/>
                <w:color w:val="auto"/>
                <w:highlight w:val="none"/>
              </w:rPr>
            </w:pPr>
            <w:r>
              <w:rPr>
                <w:rFonts w:hint="eastAsia" w:ascii="宋体" w:hAnsi="宋体"/>
                <w:bCs/>
                <w:color w:val="auto"/>
                <w:szCs w:val="21"/>
                <w:highlight w:val="none"/>
              </w:rPr>
              <w:t>通过移动平板拍照上传患者通路照片，并在照片上标注穿刺点。在每次透析时登记本次使用的穿刺点。（提供功能</w:t>
            </w:r>
            <w:r>
              <w:rPr>
                <w:rFonts w:hint="eastAsia" w:ascii="宋体" w:hAnsi="宋体"/>
                <w:bCs/>
                <w:color w:val="auto"/>
                <w:szCs w:val="21"/>
                <w:highlight w:val="none"/>
                <w:lang w:val="en-US" w:eastAsia="zh-CN"/>
              </w:rPr>
              <w:t>视频</w:t>
            </w:r>
            <w:r>
              <w:rPr>
                <w:rFonts w:hint="eastAsia" w:ascii="宋体" w:hAnsi="宋体"/>
                <w:bCs/>
                <w:color w:val="auto"/>
                <w:szCs w:val="21"/>
                <w:highlight w:val="none"/>
              </w:rPr>
              <w:t xml:space="preserve">演示）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auto"/>
                <w:szCs w:val="21"/>
              </w:rPr>
            </w:pPr>
            <w:r>
              <w:rPr>
                <w:rFonts w:hint="eastAsia" w:ascii="宋体" w:hAnsi="宋体"/>
                <w:bCs/>
                <w:color w:val="auto"/>
                <w:szCs w:val="21"/>
              </w:rPr>
              <w:t>3.2.10</w:t>
            </w:r>
          </w:p>
        </w:tc>
        <w:tc>
          <w:tcPr>
            <w:tcW w:w="8481" w:type="dxa"/>
            <w:vAlign w:val="center"/>
          </w:tcPr>
          <w:p>
            <w:pPr>
              <w:spacing w:line="360" w:lineRule="exact"/>
              <w:jc w:val="left"/>
              <w:rPr>
                <w:color w:val="auto"/>
              </w:rPr>
            </w:pPr>
            <w:r>
              <w:rPr>
                <w:rFonts w:hint="eastAsia" w:ascii="宋体" w:hAnsi="宋体"/>
                <w:bCs/>
                <w:color w:val="auto"/>
                <w:szCs w:val="21"/>
              </w:rPr>
              <w:t>自助接诊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3.2.10.1</w:t>
            </w:r>
          </w:p>
        </w:tc>
        <w:tc>
          <w:tcPr>
            <w:tcW w:w="8481" w:type="dxa"/>
            <w:vAlign w:val="center"/>
          </w:tcPr>
          <w:p>
            <w:pPr>
              <w:spacing w:line="360" w:lineRule="exact"/>
              <w:jc w:val="left"/>
            </w:pPr>
            <w:r>
              <w:rPr>
                <w:rFonts w:hint="eastAsia" w:ascii="宋体" w:hAnsi="宋体"/>
                <w:bCs/>
                <w:color w:val="000000"/>
                <w:szCs w:val="21"/>
              </w:rPr>
              <w:t>血透病人自助接诊系统，血透病人在透析前后进行自助称重、测压，并把体重、血压数据上传给血透管理系统。整个过程可由病人自助完成，无须护士干预。称重过程中，可通过打印体重单、语音播报多种方式提醒病人称重已完成。支持同一病人多次自助称重，系统自动取用最后一条有效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3.2.11</w:t>
            </w:r>
          </w:p>
        </w:tc>
        <w:tc>
          <w:tcPr>
            <w:tcW w:w="8481" w:type="dxa"/>
            <w:vAlign w:val="center"/>
          </w:tcPr>
          <w:p>
            <w:pPr>
              <w:spacing w:line="360" w:lineRule="exact"/>
              <w:jc w:val="left"/>
            </w:pPr>
            <w:r>
              <w:rPr>
                <w:rFonts w:hint="eastAsia" w:ascii="宋体" w:hAnsi="宋体"/>
                <w:bCs/>
                <w:color w:val="000000"/>
                <w:szCs w:val="21"/>
              </w:rPr>
              <w:t>移动护理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3.2.11.1</w:t>
            </w:r>
          </w:p>
        </w:tc>
        <w:tc>
          <w:tcPr>
            <w:tcW w:w="8481" w:type="dxa"/>
            <w:vAlign w:val="center"/>
          </w:tcPr>
          <w:p>
            <w:pPr>
              <w:spacing w:line="360" w:lineRule="exact"/>
              <w:jc w:val="left"/>
            </w:pPr>
            <w:r>
              <w:rPr>
                <w:rFonts w:hint="eastAsia" w:ascii="宋体" w:hAnsi="宋体"/>
                <w:bCs/>
                <w:color w:val="000000"/>
                <w:szCs w:val="21"/>
              </w:rPr>
              <w:t>移动护理系统是由护士手持平板电脑，在血透机前完成病人的基本信息查看、透前情况查看、透析记录录入、核对执行医嘱、进行坠床跌倒、皮肤瘙痒评估、动静脉内瘘闭塞高危因素评估、中心静脉透析导管评估、护理评估措施记录单、健康宣教评估等各类评估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3.2.12</w:t>
            </w:r>
          </w:p>
        </w:tc>
        <w:tc>
          <w:tcPr>
            <w:tcW w:w="8481" w:type="dxa"/>
            <w:vAlign w:val="center"/>
          </w:tcPr>
          <w:p>
            <w:pPr>
              <w:spacing w:line="360" w:lineRule="exact"/>
              <w:jc w:val="left"/>
            </w:pPr>
            <w:r>
              <w:rPr>
                <w:rFonts w:hint="eastAsia" w:ascii="宋体" w:hAnsi="宋体"/>
                <w:bCs/>
                <w:color w:val="000000"/>
                <w:szCs w:val="21"/>
              </w:rPr>
              <w:t>评估管理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3.2.12.1</w:t>
            </w:r>
          </w:p>
        </w:tc>
        <w:tc>
          <w:tcPr>
            <w:tcW w:w="8481" w:type="dxa"/>
            <w:vAlign w:val="center"/>
          </w:tcPr>
          <w:p>
            <w:pPr>
              <w:spacing w:line="360" w:lineRule="exact"/>
              <w:jc w:val="left"/>
            </w:pPr>
            <w:r>
              <w:rPr>
                <w:rFonts w:hint="eastAsia" w:ascii="宋体" w:hAnsi="宋体"/>
                <w:bCs/>
                <w:color w:val="000000"/>
                <w:szCs w:val="21"/>
              </w:rPr>
              <w:t>规范合理的评估及管理模式对延缓慢性肾脏病进展、改善患者生存质量具有重要意义。需提供各类透析病人的评估功能：跌倒坠床评估、皮肤瘙痒评估、动静脉内瘘闭塞高危因素评估、护理评估措施记录单、艾森克人格成人问卷、生物阻抗评估、握力（左、右）评估、症状自评量表（SCL-90）、生活质量问卷（KDQOL SFTM）、主观综合性营养评估（SGA）等，对血透病人的临床研究提供有价值的基础数据。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3.2.13</w:t>
            </w:r>
          </w:p>
        </w:tc>
        <w:tc>
          <w:tcPr>
            <w:tcW w:w="8481" w:type="dxa"/>
            <w:vAlign w:val="center"/>
          </w:tcPr>
          <w:p>
            <w:pPr>
              <w:spacing w:line="360" w:lineRule="exact"/>
              <w:jc w:val="left"/>
            </w:pPr>
            <w:r>
              <w:rPr>
                <w:rFonts w:hint="eastAsia" w:ascii="宋体" w:hAnsi="宋体"/>
                <w:bCs/>
                <w:color w:val="000000"/>
                <w:szCs w:val="21"/>
              </w:rPr>
              <w:t>透析历史查看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3.2.13.1</w:t>
            </w:r>
          </w:p>
        </w:tc>
        <w:tc>
          <w:tcPr>
            <w:tcW w:w="8481" w:type="dxa"/>
            <w:vAlign w:val="center"/>
          </w:tcPr>
          <w:p>
            <w:pPr>
              <w:spacing w:line="360" w:lineRule="exact"/>
              <w:jc w:val="left"/>
            </w:pPr>
            <w:r>
              <w:rPr>
                <w:rFonts w:hint="eastAsia" w:ascii="宋体" w:hAnsi="宋体"/>
                <w:bCs/>
                <w:color w:val="000000"/>
                <w:szCs w:val="21"/>
              </w:rPr>
              <w:t>医生在查房过程中，可以很方便查看所有历次的透析记录。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3.2.14</w:t>
            </w:r>
          </w:p>
        </w:tc>
        <w:tc>
          <w:tcPr>
            <w:tcW w:w="8481" w:type="dxa"/>
            <w:vAlign w:val="center"/>
          </w:tcPr>
          <w:p>
            <w:pPr>
              <w:spacing w:line="360" w:lineRule="exact"/>
              <w:jc w:val="left"/>
            </w:pPr>
            <w:r>
              <w:rPr>
                <w:rFonts w:hint="eastAsia" w:ascii="宋体" w:hAnsi="宋体"/>
                <w:bCs/>
                <w:color w:val="000000"/>
                <w:szCs w:val="21"/>
              </w:rPr>
              <w:t>医嘱录入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3.2.14.1</w:t>
            </w:r>
          </w:p>
        </w:tc>
        <w:tc>
          <w:tcPr>
            <w:tcW w:w="8481" w:type="dxa"/>
            <w:vAlign w:val="center"/>
          </w:tcPr>
          <w:p>
            <w:pPr>
              <w:spacing w:line="360" w:lineRule="exact"/>
              <w:jc w:val="left"/>
            </w:pPr>
            <w:r>
              <w:rPr>
                <w:rFonts w:hint="eastAsia" w:ascii="宋体" w:hAnsi="宋体"/>
                <w:bCs/>
                <w:color w:val="000000"/>
                <w:szCs w:val="21"/>
              </w:rPr>
              <w:t>医生在查房过程中，可以方便根据病人的透析记录情况和检验指标情况，录入透析用药，支持提交到医院HIS系统。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3.2.15</w:t>
            </w:r>
          </w:p>
        </w:tc>
        <w:tc>
          <w:tcPr>
            <w:tcW w:w="8481" w:type="dxa"/>
            <w:vAlign w:val="center"/>
          </w:tcPr>
          <w:p>
            <w:pPr>
              <w:spacing w:line="360" w:lineRule="exact"/>
              <w:jc w:val="left"/>
            </w:pPr>
            <w:r>
              <w:rPr>
                <w:rFonts w:hint="eastAsia" w:ascii="宋体" w:hAnsi="宋体"/>
                <w:bCs/>
                <w:color w:val="000000"/>
                <w:szCs w:val="21"/>
              </w:rPr>
              <w:t>耗材出入库管理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3.2.15.1</w:t>
            </w:r>
          </w:p>
        </w:tc>
        <w:tc>
          <w:tcPr>
            <w:tcW w:w="8481" w:type="dxa"/>
            <w:vAlign w:val="center"/>
          </w:tcPr>
          <w:p>
            <w:pPr>
              <w:spacing w:line="360" w:lineRule="exact"/>
              <w:jc w:val="left"/>
            </w:pPr>
            <w:r>
              <w:rPr>
                <w:rFonts w:hint="eastAsia" w:ascii="宋体" w:hAnsi="宋体"/>
                <w:bCs/>
                <w:color w:val="000000"/>
                <w:szCs w:val="21"/>
              </w:rPr>
              <w:t>支持耗材多种入库方式：采购入库、申领入库、调拨入库、盘盈入库；支持耗材多种出库方式：使用出库、盘亏出库、损坏出库。耗材的使用出库在透析中自动生成记录。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3.2.16</w:t>
            </w:r>
          </w:p>
        </w:tc>
        <w:tc>
          <w:tcPr>
            <w:tcW w:w="8481" w:type="dxa"/>
            <w:vAlign w:val="center"/>
          </w:tcPr>
          <w:p>
            <w:pPr>
              <w:spacing w:line="360" w:lineRule="exact"/>
              <w:jc w:val="left"/>
            </w:pPr>
            <w:r>
              <w:rPr>
                <w:rFonts w:hint="eastAsia" w:ascii="宋体" w:hAnsi="宋体"/>
                <w:bCs/>
                <w:color w:val="000000"/>
                <w:szCs w:val="21"/>
              </w:rPr>
              <w:t>质控上报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298" w:type="dxa"/>
            <w:vAlign w:val="center"/>
          </w:tcPr>
          <w:p>
            <w:pPr>
              <w:spacing w:line="360" w:lineRule="exact"/>
              <w:jc w:val="center"/>
              <w:rPr>
                <w:rFonts w:ascii="宋体" w:hAnsi="宋体"/>
                <w:b/>
                <w:bCs/>
                <w:color w:val="auto"/>
                <w:szCs w:val="21"/>
                <w:highlight w:val="none"/>
              </w:rPr>
            </w:pPr>
            <w:r>
              <w:rPr>
                <w:rFonts w:hint="eastAsia" w:ascii="宋体" w:hAnsi="宋体"/>
                <w:color w:val="auto"/>
                <w:sz w:val="22"/>
                <w:szCs w:val="22"/>
                <w:highlight w:val="none"/>
              </w:rPr>
              <w:t>△</w:t>
            </w:r>
            <w:r>
              <w:rPr>
                <w:rFonts w:hint="eastAsia" w:ascii="宋体" w:hAnsi="宋体"/>
                <w:bCs/>
                <w:color w:val="auto"/>
                <w:szCs w:val="21"/>
                <w:highlight w:val="none"/>
              </w:rPr>
              <w:t>3.2.16.1</w:t>
            </w:r>
          </w:p>
        </w:tc>
        <w:tc>
          <w:tcPr>
            <w:tcW w:w="8481" w:type="dxa"/>
            <w:vAlign w:val="center"/>
          </w:tcPr>
          <w:p>
            <w:pPr>
              <w:spacing w:line="360" w:lineRule="exact"/>
              <w:jc w:val="left"/>
              <w:rPr>
                <w:b/>
                <w:bCs/>
                <w:color w:val="auto"/>
                <w:highlight w:val="none"/>
              </w:rPr>
            </w:pPr>
            <w:r>
              <w:rPr>
                <w:rFonts w:hint="eastAsia" w:ascii="宋体" w:hAnsi="宋体"/>
                <w:bCs/>
                <w:color w:val="auto"/>
                <w:szCs w:val="21"/>
                <w:highlight w:val="none"/>
              </w:rPr>
              <w:t>通过本系统，可以把透析业务数据通过接口，直接上传到省透析质控中心。具备上传数据质量校验功能。（提供功能</w:t>
            </w:r>
            <w:r>
              <w:rPr>
                <w:rFonts w:hint="eastAsia" w:ascii="宋体" w:hAnsi="宋体"/>
                <w:bCs/>
                <w:color w:val="auto"/>
                <w:szCs w:val="21"/>
                <w:highlight w:val="none"/>
                <w:lang w:val="en-US" w:eastAsia="zh-CN"/>
              </w:rPr>
              <w:t>视频</w:t>
            </w:r>
            <w:r>
              <w:rPr>
                <w:rFonts w:hint="eastAsia" w:ascii="宋体" w:hAnsi="宋体"/>
                <w:bCs/>
                <w:color w:val="auto"/>
                <w:szCs w:val="21"/>
                <w:highlight w:val="none"/>
              </w:rPr>
              <w:t xml:space="preserve">演示）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3.2.17</w:t>
            </w:r>
          </w:p>
        </w:tc>
        <w:tc>
          <w:tcPr>
            <w:tcW w:w="8481" w:type="dxa"/>
            <w:vAlign w:val="center"/>
          </w:tcPr>
          <w:p>
            <w:pPr>
              <w:spacing w:line="360" w:lineRule="exact"/>
              <w:jc w:val="left"/>
            </w:pPr>
            <w:r>
              <w:rPr>
                <w:rFonts w:hint="eastAsia" w:ascii="宋体" w:hAnsi="宋体"/>
                <w:bCs/>
                <w:color w:val="000000"/>
                <w:szCs w:val="21"/>
              </w:rPr>
              <w:t>APP医护端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3.2.17.1</w:t>
            </w:r>
          </w:p>
        </w:tc>
        <w:tc>
          <w:tcPr>
            <w:tcW w:w="8481" w:type="dxa"/>
            <w:vAlign w:val="center"/>
          </w:tcPr>
          <w:p>
            <w:pPr>
              <w:spacing w:line="360" w:lineRule="exact"/>
              <w:jc w:val="left"/>
            </w:pPr>
            <w:r>
              <w:rPr>
                <w:rFonts w:hint="eastAsia" w:ascii="宋体" w:hAnsi="宋体"/>
                <w:bCs/>
                <w:color w:val="000000"/>
                <w:szCs w:val="21"/>
              </w:rPr>
              <w:t>医护透析助手，可查看科室日报，可查看病人排班、化验、检查、费用清单；以及医患互动交流等；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3.2.18</w:t>
            </w:r>
          </w:p>
        </w:tc>
        <w:tc>
          <w:tcPr>
            <w:tcW w:w="8481" w:type="dxa"/>
            <w:vAlign w:val="center"/>
          </w:tcPr>
          <w:p>
            <w:pPr>
              <w:spacing w:line="360" w:lineRule="exact"/>
              <w:jc w:val="left"/>
            </w:pPr>
            <w:r>
              <w:rPr>
                <w:rFonts w:hint="eastAsia" w:ascii="宋体" w:hAnsi="宋体"/>
                <w:bCs/>
                <w:color w:val="000000"/>
                <w:szCs w:val="21"/>
              </w:rPr>
              <w:t>APP患者端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3.2.18.1</w:t>
            </w:r>
          </w:p>
        </w:tc>
        <w:tc>
          <w:tcPr>
            <w:tcW w:w="8481" w:type="dxa"/>
            <w:vAlign w:val="center"/>
          </w:tcPr>
          <w:p>
            <w:pPr>
              <w:spacing w:line="360" w:lineRule="exact"/>
              <w:jc w:val="left"/>
            </w:pPr>
            <w:r>
              <w:rPr>
                <w:rFonts w:hint="eastAsia" w:ascii="宋体" w:hAnsi="宋体"/>
                <w:bCs/>
                <w:color w:val="000000"/>
                <w:szCs w:val="21"/>
              </w:rPr>
              <w:t>病人可时时掌握透析状态；查看排班、化验、检查、费用清单；以及医患互动交流等。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3.2.19</w:t>
            </w:r>
          </w:p>
        </w:tc>
        <w:tc>
          <w:tcPr>
            <w:tcW w:w="8481" w:type="dxa"/>
            <w:vAlign w:val="center"/>
          </w:tcPr>
          <w:p>
            <w:pPr>
              <w:spacing w:line="360" w:lineRule="exact"/>
              <w:jc w:val="left"/>
            </w:pPr>
            <w:r>
              <w:rPr>
                <w:rFonts w:hint="eastAsia" w:ascii="宋体" w:hAnsi="宋体"/>
                <w:bCs/>
                <w:color w:val="000000"/>
                <w:szCs w:val="21"/>
              </w:rPr>
              <w:t>设备移机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3.2.19.1</w:t>
            </w:r>
          </w:p>
        </w:tc>
        <w:tc>
          <w:tcPr>
            <w:tcW w:w="8481" w:type="dxa"/>
            <w:vAlign w:val="center"/>
          </w:tcPr>
          <w:p>
            <w:pPr>
              <w:spacing w:line="360" w:lineRule="exact"/>
              <w:jc w:val="left"/>
            </w:pPr>
            <w:r>
              <w:rPr>
                <w:rFonts w:hint="eastAsia" w:ascii="宋体" w:hAnsi="宋体"/>
                <w:bCs/>
                <w:color w:val="000000"/>
                <w:szCs w:val="21"/>
              </w:rPr>
              <w:t>以根据科室需求，将机器按规则交换床位。并确保排班数据、历史透析数据的正确性，实现移机智能一步到位。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3.2.20</w:t>
            </w:r>
          </w:p>
        </w:tc>
        <w:tc>
          <w:tcPr>
            <w:tcW w:w="8481" w:type="dxa"/>
            <w:vAlign w:val="center"/>
          </w:tcPr>
          <w:p>
            <w:pPr>
              <w:spacing w:line="360" w:lineRule="exact"/>
              <w:jc w:val="left"/>
            </w:pPr>
            <w:r>
              <w:rPr>
                <w:rFonts w:hint="eastAsia" w:ascii="宋体" w:hAnsi="宋体"/>
                <w:bCs/>
                <w:color w:val="000000"/>
                <w:szCs w:val="21"/>
              </w:rPr>
              <w:t>统计查询主要功能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bCs/>
                <w:color w:val="auto"/>
                <w:szCs w:val="21"/>
                <w:highlight w:val="none"/>
              </w:rPr>
            </w:pPr>
            <w:r>
              <w:rPr>
                <w:rFonts w:hint="eastAsia" w:ascii="宋体" w:hAnsi="宋体"/>
                <w:color w:val="auto"/>
                <w:sz w:val="22"/>
                <w:szCs w:val="22"/>
                <w:highlight w:val="none"/>
              </w:rPr>
              <w:t>△</w:t>
            </w:r>
            <w:r>
              <w:rPr>
                <w:rFonts w:hint="eastAsia" w:ascii="宋体" w:hAnsi="宋体"/>
                <w:bCs/>
                <w:color w:val="auto"/>
                <w:szCs w:val="21"/>
                <w:highlight w:val="none"/>
              </w:rPr>
              <w:t>3.2.20.1</w:t>
            </w:r>
          </w:p>
        </w:tc>
        <w:tc>
          <w:tcPr>
            <w:tcW w:w="8481" w:type="dxa"/>
            <w:vAlign w:val="center"/>
          </w:tcPr>
          <w:p>
            <w:pPr>
              <w:spacing w:line="360" w:lineRule="exact"/>
              <w:jc w:val="left"/>
              <w:rPr>
                <w:b/>
                <w:bCs/>
                <w:color w:val="auto"/>
                <w:highlight w:val="none"/>
              </w:rPr>
            </w:pPr>
            <w:r>
              <w:rPr>
                <w:rFonts w:hint="eastAsia" w:ascii="宋体" w:hAnsi="宋体"/>
                <w:bCs/>
                <w:color w:val="auto"/>
                <w:szCs w:val="21"/>
                <w:highlight w:val="none"/>
              </w:rPr>
              <w:t>需提供丰富的统计报表和查询功能，如：透析病人统计、病人性别统计、透析龄统计、透析人次统计、新增患者统计、病人转归统计、透析疾病统计、年龄分区统计、传染病统计、血管通路统计、评估数据统计、透析相关数据查询等多角度、多维度的各类报表。（提供功能</w:t>
            </w:r>
            <w:r>
              <w:rPr>
                <w:rFonts w:hint="eastAsia" w:ascii="宋体" w:hAnsi="宋体"/>
                <w:bCs/>
                <w:color w:val="auto"/>
                <w:szCs w:val="21"/>
                <w:highlight w:val="none"/>
                <w:lang w:val="en-US" w:eastAsia="zh-CN"/>
              </w:rPr>
              <w:t>视频</w:t>
            </w:r>
            <w:r>
              <w:rPr>
                <w:rFonts w:hint="eastAsia" w:ascii="宋体" w:hAnsi="宋体"/>
                <w:bCs/>
                <w:color w:val="auto"/>
                <w:szCs w:val="21"/>
                <w:highlight w:val="none"/>
              </w:rPr>
              <w:t>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3.2.20.2</w:t>
            </w:r>
          </w:p>
        </w:tc>
        <w:tc>
          <w:tcPr>
            <w:tcW w:w="8481" w:type="dxa"/>
            <w:vAlign w:val="center"/>
          </w:tcPr>
          <w:p>
            <w:pPr>
              <w:spacing w:line="360" w:lineRule="exact"/>
              <w:jc w:val="left"/>
            </w:pPr>
            <w:r>
              <w:rPr>
                <w:rFonts w:hint="eastAsia" w:ascii="宋体" w:hAnsi="宋体"/>
                <w:bCs/>
                <w:color w:val="000000"/>
                <w:szCs w:val="21"/>
              </w:rPr>
              <w:t>具有自定义学术分析功能，可以自定义统计条件进行查询分析所有相关数据。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3.2.21</w:t>
            </w:r>
          </w:p>
        </w:tc>
        <w:tc>
          <w:tcPr>
            <w:tcW w:w="8481" w:type="dxa"/>
            <w:vAlign w:val="center"/>
          </w:tcPr>
          <w:p>
            <w:pPr>
              <w:spacing w:line="360" w:lineRule="exact"/>
              <w:jc w:val="left"/>
            </w:pPr>
            <w:r>
              <w:rPr>
                <w:rFonts w:hint="eastAsia" w:ascii="宋体" w:hAnsi="宋体"/>
                <w:bCs/>
                <w:color w:val="000000"/>
                <w:szCs w:val="21"/>
              </w:rPr>
              <w:t>检验达标率统计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3.2.21.1</w:t>
            </w:r>
          </w:p>
        </w:tc>
        <w:tc>
          <w:tcPr>
            <w:tcW w:w="8481" w:type="dxa"/>
            <w:vAlign w:val="center"/>
          </w:tcPr>
          <w:p>
            <w:pPr>
              <w:spacing w:line="360" w:lineRule="exact"/>
              <w:jc w:val="left"/>
            </w:pPr>
            <w:r>
              <w:rPr>
                <w:rFonts w:hint="eastAsia" w:ascii="宋体" w:hAnsi="宋体"/>
                <w:bCs/>
                <w:color w:val="000000"/>
                <w:szCs w:val="21"/>
              </w:rPr>
              <w:t>可以自定义检验统计区间，按定义的统计区间，对血透患者检验项目完成达标率和完成率的统计。支持图表、数据的导出。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szCs w:val="21"/>
              </w:rPr>
            </w:pPr>
            <w:r>
              <w:rPr>
                <w:rFonts w:hint="eastAsia" w:ascii="宋体" w:hAnsi="宋体"/>
                <w:bCs/>
                <w:color w:val="000000"/>
                <w:szCs w:val="21"/>
              </w:rPr>
              <w:t>3.2.22</w:t>
            </w:r>
          </w:p>
        </w:tc>
        <w:tc>
          <w:tcPr>
            <w:tcW w:w="8481" w:type="dxa"/>
            <w:vAlign w:val="center"/>
          </w:tcPr>
          <w:p>
            <w:pPr>
              <w:spacing w:line="360" w:lineRule="exact"/>
              <w:jc w:val="left"/>
            </w:pPr>
            <w:r>
              <w:rPr>
                <w:rFonts w:hint="eastAsia" w:ascii="宋体" w:hAnsi="宋体"/>
                <w:bCs/>
                <w:color w:val="000000"/>
                <w:szCs w:val="21"/>
              </w:rPr>
              <w:t>数据采集系统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FF0000"/>
                <w:szCs w:val="21"/>
              </w:rPr>
            </w:pPr>
            <w:r>
              <w:rPr>
                <w:rFonts w:hint="eastAsia" w:ascii="宋体" w:hAnsi="宋体"/>
                <w:bCs/>
                <w:color w:val="000000"/>
                <w:szCs w:val="21"/>
              </w:rPr>
              <w:t>3.2.22.1</w:t>
            </w:r>
          </w:p>
        </w:tc>
        <w:tc>
          <w:tcPr>
            <w:tcW w:w="8481" w:type="dxa"/>
            <w:vAlign w:val="center"/>
          </w:tcPr>
          <w:p>
            <w:pPr>
              <w:spacing w:line="360" w:lineRule="exact"/>
              <w:jc w:val="left"/>
              <w:rPr>
                <w:color w:val="FF0000"/>
              </w:rPr>
            </w:pPr>
            <w:r>
              <w:rPr>
                <w:rFonts w:hint="eastAsia" w:ascii="宋体" w:hAnsi="宋体"/>
                <w:bCs/>
                <w:color w:val="000000"/>
                <w:szCs w:val="21"/>
              </w:rPr>
              <w:t>含医院现有30台血透机治疗数据自动采集；采集内容包含：（静脉压、动脉压、血流量设置值、血流量、超滤率、超滤量设置值、超滤量、剩余时间、已透时间、收缩压、舒张压、平均压、心率、置换量设置值、置换量、K值、Kt值、V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color w:val="000000"/>
                <w:szCs w:val="21"/>
              </w:rPr>
            </w:pPr>
            <w:r>
              <w:rPr>
                <w:rFonts w:hint="eastAsia" w:ascii="宋体" w:hAnsi="宋体"/>
                <w:b/>
                <w:color w:val="000000"/>
                <w:szCs w:val="21"/>
              </w:rPr>
              <w:t>3.3</w:t>
            </w:r>
          </w:p>
        </w:tc>
        <w:tc>
          <w:tcPr>
            <w:tcW w:w="8481" w:type="dxa"/>
            <w:vAlign w:val="center"/>
          </w:tcPr>
          <w:p>
            <w:pPr>
              <w:spacing w:line="360" w:lineRule="exact"/>
              <w:jc w:val="left"/>
              <w:rPr>
                <w:rFonts w:ascii="宋体" w:hAnsi="宋体"/>
                <w:b/>
                <w:color w:val="000000"/>
                <w:szCs w:val="21"/>
              </w:rPr>
            </w:pPr>
            <w:r>
              <w:rPr>
                <w:rFonts w:hint="eastAsia" w:ascii="宋体" w:hAnsi="宋体"/>
                <w:b/>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98" w:type="dxa"/>
            <w:vAlign w:val="center"/>
          </w:tcPr>
          <w:p>
            <w:pPr>
              <w:spacing w:line="360" w:lineRule="exact"/>
              <w:jc w:val="center"/>
              <w:rPr>
                <w:rFonts w:ascii="宋体" w:hAnsi="宋体"/>
                <w:b/>
                <w:szCs w:val="21"/>
              </w:rPr>
            </w:pPr>
            <w:r>
              <w:rPr>
                <w:rFonts w:hint="eastAsia" w:ascii="宋体" w:hAnsi="宋体"/>
                <w:bCs/>
                <w:color w:val="000000"/>
                <w:szCs w:val="21"/>
              </w:rPr>
              <w:t>▲3.3.1</w:t>
            </w:r>
          </w:p>
        </w:tc>
        <w:tc>
          <w:tcPr>
            <w:tcW w:w="8481" w:type="dxa"/>
            <w:vAlign w:val="center"/>
          </w:tcPr>
          <w:p>
            <w:pPr>
              <w:spacing w:line="360" w:lineRule="exact"/>
              <w:jc w:val="left"/>
            </w:pPr>
            <w:r>
              <w:rPr>
                <w:rFonts w:hint="eastAsia" w:ascii="宋体" w:hAnsi="宋体"/>
                <w:color w:val="000000"/>
                <w:sz w:val="22"/>
                <w:szCs w:val="22"/>
              </w:rPr>
              <w:t>所投设备需开放数据接口，能联接血透管理软件及HIS、LIS、PACS等医院现有系统；血透管理软件需实现开具药品医嘱、检查检验医嘱等功能并与院内现有信息系统互联互通。涉及到的所有接口费用（血透管理软件、HIS、LIS、PACS等系统双向接口）均已包含在投标总价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3.3.2</w:t>
            </w:r>
          </w:p>
        </w:tc>
        <w:tc>
          <w:tcPr>
            <w:tcW w:w="8481" w:type="dxa"/>
            <w:vAlign w:val="center"/>
          </w:tcPr>
          <w:p>
            <w:pPr>
              <w:spacing w:line="360" w:lineRule="exact"/>
              <w:jc w:val="left"/>
            </w:pPr>
            <w:r>
              <w:rPr>
                <w:rFonts w:hint="eastAsia" w:ascii="宋体" w:hAnsi="宋体"/>
                <w:bCs/>
                <w:color w:val="000000"/>
                <w:szCs w:val="21"/>
              </w:rPr>
              <w:t>同版本系统模块范围内免费升级。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3.3.3</w:t>
            </w:r>
          </w:p>
        </w:tc>
        <w:tc>
          <w:tcPr>
            <w:tcW w:w="8481" w:type="dxa"/>
            <w:vAlign w:val="center"/>
          </w:tcPr>
          <w:p>
            <w:pPr>
              <w:spacing w:line="360" w:lineRule="exact"/>
              <w:jc w:val="left"/>
            </w:pPr>
            <w:r>
              <w:rPr>
                <w:rFonts w:hint="eastAsia" w:ascii="宋体" w:hAnsi="宋体"/>
                <w:bCs/>
                <w:color w:val="000000"/>
                <w:szCs w:val="21"/>
              </w:rPr>
              <w:t>质控上报产生所有费用，均已包含在投标总价内。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3.3.4</w:t>
            </w:r>
          </w:p>
        </w:tc>
        <w:tc>
          <w:tcPr>
            <w:tcW w:w="8481" w:type="dxa"/>
            <w:vAlign w:val="center"/>
          </w:tcPr>
          <w:p>
            <w:pPr>
              <w:spacing w:line="360" w:lineRule="exact"/>
              <w:jc w:val="left"/>
            </w:pPr>
            <w:r>
              <w:rPr>
                <w:rFonts w:hint="eastAsia" w:ascii="宋体" w:hAnsi="宋体"/>
                <w:bCs/>
                <w:color w:val="000000"/>
                <w:szCs w:val="21"/>
              </w:rPr>
              <w:t>需报软件的每年维护费用。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szCs w:val="21"/>
              </w:rPr>
            </w:pPr>
            <w:r>
              <w:rPr>
                <w:rFonts w:hint="eastAsia" w:ascii="宋体" w:hAnsi="宋体"/>
                <w:b/>
                <w:color w:val="000000"/>
                <w:szCs w:val="21"/>
              </w:rPr>
              <w:t>3.4</w:t>
            </w:r>
          </w:p>
        </w:tc>
        <w:tc>
          <w:tcPr>
            <w:tcW w:w="8481" w:type="dxa"/>
            <w:vAlign w:val="center"/>
          </w:tcPr>
          <w:p>
            <w:pPr>
              <w:spacing w:line="360" w:lineRule="exact"/>
              <w:jc w:val="left"/>
              <w:rPr>
                <w:rFonts w:ascii="宋体" w:hAnsi="宋体"/>
                <w:bCs/>
                <w:szCs w:val="21"/>
              </w:rPr>
            </w:pPr>
            <w:r>
              <w:rPr>
                <w:rFonts w:hint="eastAsia" w:ascii="宋体" w:hAnsi="宋体"/>
                <w:b/>
                <w:color w:val="000000"/>
                <w:szCs w:val="21"/>
              </w:rPr>
              <w:t>配套设备要求（所有设备整机保修2年）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.1</w:t>
            </w:r>
          </w:p>
        </w:tc>
        <w:tc>
          <w:tcPr>
            <w:tcW w:w="8481" w:type="dxa"/>
            <w:vAlign w:val="center"/>
          </w:tcPr>
          <w:p>
            <w:pPr>
              <w:spacing w:line="360" w:lineRule="exact"/>
              <w:jc w:val="left"/>
            </w:pPr>
            <w:r>
              <w:rPr>
                <w:rFonts w:hint="eastAsia"/>
              </w:rPr>
              <w:t>自动接诊一体机1台</w:t>
            </w:r>
            <w:r>
              <w:rPr>
                <w:rFonts w:hint="eastAsia" w:ascii="宋体"/>
                <w:sz w:val="22"/>
                <w:szCs w:val="22"/>
              </w:rPr>
              <w:t>（注明品牌、型号、价格）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.2</w:t>
            </w:r>
          </w:p>
        </w:tc>
        <w:tc>
          <w:tcPr>
            <w:tcW w:w="8481" w:type="dxa"/>
            <w:vAlign w:val="center"/>
          </w:tcPr>
          <w:p>
            <w:pPr>
              <w:spacing w:line="360" w:lineRule="exact"/>
              <w:jc w:val="left"/>
            </w:pPr>
            <w:r>
              <w:rPr>
                <w:rFonts w:hint="eastAsia"/>
              </w:rPr>
              <w:t>显示器（带安卓系统）1台（</w:t>
            </w:r>
            <w:r>
              <w:rPr>
                <w:rFonts w:hint="eastAsia" w:ascii="宋体" w:hAnsi="宋体"/>
                <w:bCs/>
                <w:color w:val="000000"/>
                <w:szCs w:val="21"/>
              </w:rPr>
              <w:t>≥</w:t>
            </w:r>
            <w:r>
              <w:rPr>
                <w:rFonts w:hint="eastAsia"/>
              </w:rPr>
              <w:t>70寸）</w:t>
            </w:r>
            <w:r>
              <w:rPr>
                <w:rFonts w:hint="eastAsia" w:ascii="宋体"/>
                <w:sz w:val="22"/>
                <w:szCs w:val="22"/>
              </w:rPr>
              <w:t>（注明品牌、型号）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.3</w:t>
            </w:r>
          </w:p>
        </w:tc>
        <w:tc>
          <w:tcPr>
            <w:tcW w:w="8481" w:type="dxa"/>
            <w:vAlign w:val="center"/>
          </w:tcPr>
          <w:p>
            <w:pPr>
              <w:spacing w:line="360" w:lineRule="exact"/>
              <w:jc w:val="left"/>
            </w:pPr>
            <w:r>
              <w:rPr>
                <w:rFonts w:hint="eastAsia"/>
              </w:rPr>
              <w:t>可联网人体轮椅秤1台</w:t>
            </w:r>
            <w:r>
              <w:rPr>
                <w:rFonts w:hint="eastAsia" w:ascii="宋体"/>
                <w:sz w:val="22"/>
                <w:szCs w:val="22"/>
              </w:rPr>
              <w:t>：预留具有数据输出接口，能与血透中心管理信息系统连接（注明品牌、型号、价格）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.4</w:t>
            </w:r>
          </w:p>
        </w:tc>
        <w:tc>
          <w:tcPr>
            <w:tcW w:w="8481" w:type="dxa"/>
            <w:vAlign w:val="center"/>
          </w:tcPr>
          <w:p>
            <w:pPr>
              <w:spacing w:line="360" w:lineRule="exact"/>
              <w:jc w:val="left"/>
            </w:pPr>
            <w:r>
              <w:rPr>
                <w:rFonts w:hint="eastAsia"/>
              </w:rPr>
              <w:t>平板电脑8台</w:t>
            </w:r>
            <w:r>
              <w:rPr>
                <w:rFonts w:hint="eastAsia" w:ascii="宋体"/>
                <w:sz w:val="22"/>
                <w:szCs w:val="22"/>
              </w:rPr>
              <w:t>（注明品牌、型号）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.5</w:t>
            </w:r>
          </w:p>
        </w:tc>
        <w:tc>
          <w:tcPr>
            <w:tcW w:w="8481" w:type="dxa"/>
            <w:vAlign w:val="center"/>
          </w:tcPr>
          <w:p>
            <w:pPr>
              <w:spacing w:line="360" w:lineRule="exact"/>
              <w:jc w:val="left"/>
            </w:pPr>
            <w:r>
              <w:rPr>
                <w:rFonts w:hint="eastAsia"/>
              </w:rPr>
              <w:t>台式电脑1台</w:t>
            </w:r>
            <w:r>
              <w:rPr>
                <w:rFonts w:hint="eastAsia" w:ascii="宋体"/>
                <w:sz w:val="22"/>
                <w:szCs w:val="22"/>
              </w:rPr>
              <w:t>（注明品牌、型号）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.6</w:t>
            </w:r>
          </w:p>
        </w:tc>
        <w:tc>
          <w:tcPr>
            <w:tcW w:w="8481" w:type="dxa"/>
            <w:vAlign w:val="center"/>
          </w:tcPr>
          <w:p>
            <w:pPr>
              <w:spacing w:line="360" w:lineRule="exact"/>
              <w:jc w:val="left"/>
            </w:pPr>
            <w:r>
              <w:rPr>
                <w:rFonts w:hint="eastAsia" w:ascii="宋体" w:hAnsi="宋体"/>
                <w:bCs/>
                <w:color w:val="000000"/>
                <w:szCs w:val="21"/>
              </w:rPr>
              <w:t>血透卡300张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.7</w:t>
            </w:r>
          </w:p>
        </w:tc>
        <w:tc>
          <w:tcPr>
            <w:tcW w:w="8481" w:type="dxa"/>
          </w:tcPr>
          <w:p>
            <w:r>
              <w:rPr>
                <w:rFonts w:hint="eastAsia" w:ascii="宋体" w:hAnsi="宋体" w:cs="宋体"/>
                <w:bCs/>
                <w:szCs w:val="21"/>
              </w:rPr>
              <w:t xml:space="preserve">读卡器1台  </w:t>
            </w:r>
            <w:r>
              <w:rPr>
                <w:rFonts w:hint="eastAsia" w:ascii="宋体"/>
                <w:sz w:val="22"/>
                <w:szCs w:val="22"/>
              </w:rPr>
              <w:t>（注明品牌、型号）</w:t>
            </w:r>
            <w:r>
              <w:rPr>
                <w:rFonts w:hint="eastAsia" w:ascii="宋体" w:hAnsi="宋体" w:cs="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tcPr>
          <w:p>
            <w:pPr>
              <w:jc w:val="center"/>
              <w:rPr>
                <w:rFonts w:ascii="宋体" w:hAnsi="宋体"/>
                <w:bCs/>
                <w:szCs w:val="21"/>
              </w:rPr>
            </w:pPr>
            <w:r>
              <w:rPr>
                <w:rFonts w:hint="eastAsia" w:ascii="宋体" w:hAnsi="宋体" w:cs="宋体"/>
                <w:bCs/>
                <w:szCs w:val="21"/>
              </w:rPr>
              <w:t>3.</w:t>
            </w:r>
            <w:r>
              <w:rPr>
                <w:rFonts w:hint="eastAsia" w:ascii="宋体" w:hAnsi="宋体" w:cs="宋体"/>
                <w:bCs/>
                <w:szCs w:val="21"/>
                <w:lang w:val="en-US" w:eastAsia="zh-CN"/>
              </w:rPr>
              <w:t>4</w:t>
            </w:r>
            <w:r>
              <w:rPr>
                <w:rFonts w:hint="eastAsia" w:ascii="宋体" w:hAnsi="宋体" w:cs="宋体"/>
                <w:bCs/>
                <w:szCs w:val="21"/>
              </w:rPr>
              <w:t>.8</w:t>
            </w:r>
          </w:p>
        </w:tc>
        <w:tc>
          <w:tcPr>
            <w:tcW w:w="8481" w:type="dxa"/>
            <w:vAlign w:val="center"/>
          </w:tcPr>
          <w:p>
            <w:pPr>
              <w:spacing w:line="360" w:lineRule="exact"/>
              <w:jc w:val="left"/>
            </w:pPr>
            <w:r>
              <w:rPr>
                <w:rFonts w:hint="eastAsia" w:ascii="宋体" w:hAnsi="宋体"/>
                <w:bCs/>
                <w:szCs w:val="21"/>
              </w:rPr>
              <w:t>数据采集盒30</w:t>
            </w:r>
            <w:r>
              <w:rPr>
                <w:rFonts w:hint="eastAsia" w:ascii="宋体" w:hAnsi="宋体" w:cs="宋体"/>
                <w:bCs/>
                <w:szCs w:val="21"/>
              </w:rPr>
              <w:t>套</w:t>
            </w:r>
            <w:r>
              <w:rPr>
                <w:rFonts w:hint="eastAsia" w:ascii="宋体"/>
                <w:sz w:val="22"/>
                <w:szCs w:val="22"/>
              </w:rPr>
              <w:t>（注明品牌、型号）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.9</w:t>
            </w:r>
          </w:p>
        </w:tc>
        <w:tc>
          <w:tcPr>
            <w:tcW w:w="8481" w:type="dxa"/>
            <w:vAlign w:val="center"/>
          </w:tcPr>
          <w:p>
            <w:pPr>
              <w:spacing w:line="360" w:lineRule="exact"/>
              <w:jc w:val="left"/>
            </w:pPr>
            <w:r>
              <w:rPr>
                <w:rFonts w:hint="eastAsia" w:ascii="宋体" w:hAnsi="宋体" w:cs="宋体"/>
                <w:bCs/>
                <w:color w:val="000000"/>
                <w:kern w:val="0"/>
                <w:szCs w:val="21"/>
              </w:rPr>
              <w:t xml:space="preserve">病床：30张 </w:t>
            </w:r>
            <w:r>
              <w:rPr>
                <w:rFonts w:hint="eastAsia" w:ascii="宋体"/>
                <w:sz w:val="22"/>
                <w:szCs w:val="22"/>
              </w:rPr>
              <w:t>（注明品牌、型号、价格）</w:t>
            </w:r>
            <w:r>
              <w:rPr>
                <w:rFonts w:hint="eastAsia" w:ascii="宋体" w:hAnsi="宋体" w:cs="宋体"/>
                <w:bCs/>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.9.1</w:t>
            </w:r>
          </w:p>
        </w:tc>
        <w:tc>
          <w:tcPr>
            <w:tcW w:w="8481" w:type="dxa"/>
            <w:vAlign w:val="center"/>
          </w:tcPr>
          <w:p>
            <w:pPr>
              <w:spacing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功能要求：六档分体式护栏，分体式餐桌板，含床垫，带输液杆。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98" w:type="dxa"/>
            <w:vAlign w:val="center"/>
          </w:tcPr>
          <w:p>
            <w:pPr>
              <w:spacing w:line="360" w:lineRule="exact"/>
              <w:jc w:val="center"/>
              <w:rPr>
                <w:rFonts w:ascii="宋体" w:hAnsi="宋体"/>
                <w:bCs/>
                <w:szCs w:val="21"/>
              </w:rPr>
            </w:pPr>
            <w:r>
              <w:rPr>
                <w:rFonts w:hint="eastAsia" w:ascii="宋体" w:hAnsi="宋体"/>
                <w:bCs/>
                <w:color w:val="000000"/>
                <w:szCs w:val="21"/>
              </w:rPr>
              <w:t>3.</w:t>
            </w:r>
            <w:r>
              <w:rPr>
                <w:rFonts w:hint="eastAsia" w:ascii="宋体" w:hAnsi="宋体"/>
                <w:bCs/>
                <w:color w:val="000000"/>
                <w:szCs w:val="21"/>
                <w:lang w:val="en-US" w:eastAsia="zh-CN"/>
              </w:rPr>
              <w:t>4</w:t>
            </w:r>
            <w:r>
              <w:rPr>
                <w:rFonts w:hint="eastAsia" w:ascii="宋体" w:hAnsi="宋体"/>
                <w:bCs/>
                <w:color w:val="000000"/>
                <w:szCs w:val="21"/>
              </w:rPr>
              <w:t>.9.2</w:t>
            </w:r>
          </w:p>
        </w:tc>
        <w:tc>
          <w:tcPr>
            <w:tcW w:w="8481" w:type="dxa"/>
            <w:vAlign w:val="center"/>
          </w:tcPr>
          <w:p>
            <w:pPr>
              <w:spacing w:line="360" w:lineRule="exact"/>
              <w:jc w:val="left"/>
            </w:pPr>
            <w:r>
              <w:rPr>
                <w:rFonts w:hint="eastAsia" w:ascii="宋体" w:hAnsi="宋体"/>
                <w:bCs/>
                <w:color w:val="000000"/>
                <w:szCs w:val="21"/>
              </w:rPr>
              <w:t>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.9.3</w:t>
            </w:r>
          </w:p>
        </w:tc>
        <w:tc>
          <w:tcPr>
            <w:tcW w:w="8481" w:type="dxa"/>
            <w:vAlign w:val="center"/>
          </w:tcPr>
          <w:p>
            <w:pPr>
              <w:spacing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尺寸：2100*800-900*500mm(提供设备彩页并有明确的尺寸标注）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.9.4</w:t>
            </w:r>
          </w:p>
        </w:tc>
        <w:tc>
          <w:tcPr>
            <w:tcW w:w="8481" w:type="dxa"/>
            <w:vAlign w:val="center"/>
          </w:tcPr>
          <w:p>
            <w:pPr>
              <w:spacing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背部升降0-70°（±5°）</w:t>
            </w:r>
            <w:r>
              <w:rPr>
                <w:rFonts w:hint="eastAsia" w:ascii="宋体" w:hAnsi="宋体" w:cs="宋体"/>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腿部升降0-45（±5°）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.9.5</w:t>
            </w:r>
          </w:p>
        </w:tc>
        <w:tc>
          <w:tcPr>
            <w:tcW w:w="8481" w:type="dxa"/>
            <w:vAlign w:val="center"/>
          </w:tcPr>
          <w:p>
            <w:pPr>
              <w:spacing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面板采用国产优质冷轧板，床面为三折四组，厚度为≥1.2mm冷轧钢板，床板透气孔面积不低于床总面积的10%。床尾配有Ф8mm304不锈钢床垫防滑装置防止床垫滑动，采用一次性冲压成型设计工艺，表面处理没有毛刺，不割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.9.6</w:t>
            </w:r>
          </w:p>
        </w:tc>
        <w:tc>
          <w:tcPr>
            <w:tcW w:w="8481" w:type="dxa"/>
            <w:vAlign w:val="center"/>
          </w:tcPr>
          <w:p>
            <w:pPr>
              <w:spacing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护栏：主体由≥2mm厚不锈钢管支柱组成,6档分体式，可左右互开，护栏高度≥330mm(从床面开始测量)，有自锁功能， 长时间使用不褪色。(提供设备彩页）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.9.7</w:t>
            </w:r>
          </w:p>
        </w:tc>
        <w:tc>
          <w:tcPr>
            <w:tcW w:w="8481" w:type="dxa"/>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脚轮：5寸静音脚轮，脚轮均带有刹车装置，脚轮内轴承采用封闭式双轴承结构，脚轮封闭性好防止杂物进入，内置全封闭自润滑轴承，轮面采用TPR耐磨材料。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.10</w:t>
            </w:r>
          </w:p>
        </w:tc>
        <w:tc>
          <w:tcPr>
            <w:tcW w:w="8481" w:type="dxa"/>
            <w:vAlign w:val="center"/>
          </w:tcPr>
          <w:p>
            <w:pPr>
              <w:widowControl/>
              <w:jc w:val="left"/>
              <w:textAlignment w:val="center"/>
            </w:pPr>
            <w:r>
              <w:rPr>
                <w:rFonts w:hint="eastAsia" w:ascii="宋体" w:hAnsi="宋体" w:cs="宋体"/>
                <w:color w:val="000000"/>
                <w:szCs w:val="21"/>
              </w:rPr>
              <w:t>血透分析仪1台</w:t>
            </w:r>
            <w:r>
              <w:rPr>
                <w:rFonts w:hint="eastAsia" w:ascii="宋体"/>
                <w:sz w:val="22"/>
                <w:szCs w:val="22"/>
              </w:rPr>
              <w:t>（注明品牌、型号、价格）</w:t>
            </w:r>
            <w:r>
              <w:rPr>
                <w:rFonts w:hint="eastAsia" w:ascii="宋体" w:hAnsi="宋体" w:cs="宋体"/>
                <w:bCs/>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.10.</w:t>
            </w:r>
            <w:r>
              <w:rPr>
                <w:rFonts w:hint="eastAsia" w:ascii="宋体" w:hAnsi="宋体" w:cs="宋体"/>
                <w:bCs/>
                <w:color w:val="000000" w:themeColor="text1"/>
                <w:szCs w:val="21"/>
                <w:lang w:val="en-US" w:eastAsia="zh-CN"/>
                <w14:textFill>
                  <w14:solidFill>
                    <w14:schemeClr w14:val="tx1"/>
                  </w14:solidFill>
                </w14:textFill>
              </w:rPr>
              <w:t>1</w:t>
            </w:r>
          </w:p>
        </w:tc>
        <w:tc>
          <w:tcPr>
            <w:tcW w:w="8481"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流速</w:t>
            </w:r>
            <w:r>
              <w:rPr>
                <w:rFonts w:hint="eastAsia"/>
                <w:color w:val="000000" w:themeColor="text1"/>
                <w14:textFill>
                  <w14:solidFill>
                    <w14:schemeClr w14:val="tx1"/>
                  </w14:solidFill>
                </w14:textFill>
              </w:rPr>
              <w:t>量程</w:t>
            </w:r>
            <w:r>
              <w:rPr>
                <w:rFonts w:hint="eastAsia"/>
                <w:color w:val="000000" w:themeColor="text1"/>
                <w:lang w:val="de-DE"/>
                <w14:textFill>
                  <w14:solidFill>
                    <w14:schemeClr w14:val="tx1"/>
                  </w14:solidFill>
                </w14:textFill>
              </w:rPr>
              <w:t>：1</w:t>
            </w:r>
            <w:r>
              <w:rPr>
                <w:color w:val="000000" w:themeColor="text1"/>
                <w:lang w:val="de-DE"/>
                <w14:textFill>
                  <w14:solidFill>
                    <w14:schemeClr w14:val="tx1"/>
                  </w14:solidFill>
                </w14:textFill>
              </w:rPr>
              <w:t>0</w:t>
            </w:r>
            <w:r>
              <w:rPr>
                <w:rFonts w:ascii="Univers-Condensed" w:hAnsi="Univers-Condensed" w:cs="Univers-Condensed"/>
                <w:color w:val="000000" w:themeColor="text1"/>
                <w:lang w:val="de-DE"/>
                <w14:textFill>
                  <w14:solidFill>
                    <w14:schemeClr w14:val="tx1"/>
                  </w14:solidFill>
                </w14:textFill>
              </w:rPr>
              <w:t>0 ml/min</w:t>
            </w:r>
            <w:r>
              <w:rPr>
                <w:rFonts w:hint="eastAsia" w:ascii="Univers-Condensed" w:hAnsi="Univers-Condensed" w:cs="Univers-Condensed"/>
                <w:color w:val="000000" w:themeColor="text1"/>
                <w14:textFill>
                  <w14:solidFill>
                    <w14:schemeClr w14:val="tx1"/>
                  </w14:solidFill>
                </w14:textFill>
              </w:rPr>
              <w:t>至</w:t>
            </w:r>
            <w:r>
              <w:rPr>
                <w:rFonts w:ascii="Univers-Condensed" w:hAnsi="Univers-Condensed" w:cs="Univers-Condensed"/>
                <w:color w:val="000000" w:themeColor="text1"/>
                <w:lang w:val="de-DE"/>
                <w14:textFill>
                  <w14:solidFill>
                    <w14:schemeClr w14:val="tx1"/>
                  </w14:solidFill>
                </w14:textFill>
              </w:rPr>
              <w:t>2000 ml/min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.10.</w:t>
            </w:r>
            <w:r>
              <w:rPr>
                <w:rFonts w:hint="eastAsia" w:ascii="宋体" w:hAnsi="宋体" w:cs="宋体"/>
                <w:bCs/>
                <w:color w:val="000000" w:themeColor="text1"/>
                <w:szCs w:val="21"/>
                <w:lang w:val="en-US" w:eastAsia="zh-CN"/>
                <w14:textFill>
                  <w14:solidFill>
                    <w14:schemeClr w14:val="tx1"/>
                  </w14:solidFill>
                </w14:textFill>
              </w:rPr>
              <w:t>2</w:t>
            </w:r>
          </w:p>
        </w:tc>
        <w:tc>
          <w:tcPr>
            <w:tcW w:w="848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智能</w:t>
            </w:r>
            <w:r>
              <w:rPr>
                <w:color w:val="000000" w:themeColor="text1"/>
                <w14:textFill>
                  <w14:solidFill>
                    <w14:schemeClr w14:val="tx1"/>
                  </w14:solidFill>
                </w14:textFill>
              </w:rPr>
              <w:t>操作系统</w:t>
            </w:r>
            <w:r>
              <w:rPr>
                <w:rFonts w:hint="eastAsia"/>
                <w:color w:val="000000" w:themeColor="text1"/>
                <w14:textFill>
                  <w14:solidFill>
                    <w14:schemeClr w14:val="tx1"/>
                  </w14:solidFill>
                </w14:textFill>
              </w:rPr>
              <w:t>，APP自动更新，并</w:t>
            </w:r>
            <w:r>
              <w:rPr>
                <w:color w:val="000000" w:themeColor="text1"/>
                <w14:textFill>
                  <w14:solidFill>
                    <w14:schemeClr w14:val="tx1"/>
                  </w14:solidFill>
                </w14:textFill>
              </w:rPr>
              <w:t>可管理和分析多台血透分析仪的检测数据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.10.</w:t>
            </w:r>
            <w:r>
              <w:rPr>
                <w:rFonts w:hint="eastAsia" w:ascii="宋体" w:hAnsi="宋体" w:cs="宋体"/>
                <w:bCs/>
                <w:color w:val="000000" w:themeColor="text1"/>
                <w:szCs w:val="21"/>
                <w:lang w:val="en-US" w:eastAsia="zh-CN"/>
                <w14:textFill>
                  <w14:solidFill>
                    <w14:schemeClr w14:val="tx1"/>
                  </w14:solidFill>
                </w14:textFill>
              </w:rPr>
              <w:t>3</w:t>
            </w:r>
          </w:p>
        </w:tc>
        <w:tc>
          <w:tcPr>
            <w:tcW w:w="848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满足《JJF 1353-2012 血液透析装置校准规范》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.11</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远红外线治疗仪2台（具有</w:t>
            </w:r>
            <w:r>
              <w:rPr>
                <w:rFonts w:hint="eastAsia"/>
                <w:snapToGrid w:val="0"/>
                <w:color w:val="000000" w:themeColor="text1"/>
                <w:kern w:val="0"/>
                <w14:textFill>
                  <w14:solidFill>
                    <w14:schemeClr w14:val="tx1"/>
                  </w14:solidFill>
                </w14:textFill>
              </w:rPr>
              <w:t>高强度耐温黑色远红外线放射板：</w:t>
            </w:r>
            <w:r>
              <w:rPr>
                <w:snapToGrid w:val="0"/>
                <w:color w:val="000000" w:themeColor="text1"/>
                <w:kern w:val="0"/>
                <w14:textFill>
                  <w14:solidFill>
                    <w14:schemeClr w14:val="tx1"/>
                  </w14:solidFill>
                </w14:textFill>
              </w:rPr>
              <w:t>50mm * 100mm * 4pcs</w:t>
            </w:r>
            <w:r>
              <w:rPr>
                <w:rFonts w:hint="eastAsia"/>
                <w:snapToGrid w:val="0"/>
                <w:color w:val="000000" w:themeColor="text1"/>
                <w:kern w:val="0"/>
                <w14:textFill>
                  <w14:solidFill>
                    <w14:schemeClr w14:val="tx1"/>
                  </w14:solidFill>
                </w14:textFill>
              </w:rPr>
              <w:t>，总面积</w:t>
            </w:r>
            <w:r>
              <w:rPr>
                <w:snapToGrid w:val="0"/>
                <w:color w:val="000000" w:themeColor="text1"/>
                <w:kern w:val="0"/>
                <w14:textFill>
                  <w14:solidFill>
                    <w14:schemeClr w14:val="tx1"/>
                  </w14:solidFill>
                </w14:textFill>
              </w:rPr>
              <w:t>200cm</w:t>
            </w:r>
            <w:r>
              <w:rPr>
                <w:snapToGrid w:val="0"/>
                <w:color w:val="000000" w:themeColor="text1"/>
                <w:kern w:val="0"/>
                <w:vertAlign w:val="superscript"/>
                <w14:textFill>
                  <w14:solidFill>
                    <w14:schemeClr w14:val="tx1"/>
                  </w14:solidFill>
                </w14:textFill>
              </w:rPr>
              <w:t>2</w:t>
            </w:r>
            <w:r>
              <w:rPr>
                <w:rFonts w:hint="eastAsia"/>
                <w:snapToGrid w:val="0"/>
                <w:color w:val="000000" w:themeColor="text1"/>
                <w:kern w:val="0"/>
                <w14:textFill>
                  <w14:solidFill>
                    <w14:schemeClr w14:val="tx1"/>
                  </w14:solidFill>
                </w14:textFill>
              </w:rPr>
              <w:t>）</w:t>
            </w:r>
            <w:r>
              <w:rPr>
                <w:rFonts w:hint="eastAsia" w:ascii="宋体"/>
                <w:color w:val="000000" w:themeColor="text1"/>
                <w:sz w:val="22"/>
                <w:szCs w:val="22"/>
                <w14:textFill>
                  <w14:solidFill>
                    <w14:schemeClr w14:val="tx1"/>
                  </w14:solidFill>
                </w14:textFill>
              </w:rPr>
              <w:t>（注明品牌、型号、价格）</w:t>
            </w:r>
            <w:r>
              <w:rPr>
                <w:rFonts w:hint="eastAsia" w:ascii="宋体" w:hAnsi="宋体" w:cs="宋体"/>
                <w:bCs/>
                <w:color w:val="000000" w:themeColor="text1"/>
                <w:kern w:val="0"/>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.12</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除颤仪1台</w:t>
            </w:r>
            <w:r>
              <w:rPr>
                <w:rFonts w:hint="eastAsia" w:ascii="宋体"/>
                <w:color w:val="000000" w:themeColor="text1"/>
                <w:sz w:val="22"/>
                <w:szCs w:val="22"/>
                <w14:textFill>
                  <w14:solidFill>
                    <w14:schemeClr w14:val="tx1"/>
                  </w14:solidFill>
                </w14:textFill>
              </w:rPr>
              <w:t>（注明品牌、型号、价格）</w:t>
            </w:r>
            <w:r>
              <w:rPr>
                <w:rFonts w:hint="eastAsia" w:ascii="宋体" w:hAnsi="宋体" w:cs="宋体"/>
                <w:bCs/>
                <w:color w:val="000000" w:themeColor="text1"/>
                <w:kern w:val="0"/>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.13</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心电图机1台（</w:t>
            </w:r>
            <w:r>
              <w:rPr>
                <w:rFonts w:hint="eastAsia" w:ascii="宋体" w:hAnsi="宋体" w:cs="宋体"/>
                <w:bCs/>
                <w:color w:val="000000" w:themeColor="text1"/>
                <w:szCs w:val="21"/>
                <w14:textFill>
                  <w14:solidFill>
                    <w14:schemeClr w14:val="tx1"/>
                  </w14:solidFill>
                </w14:textFill>
              </w:rPr>
              <w:t>≥12道</w:t>
            </w:r>
            <w:r>
              <w:rPr>
                <w:rFonts w:hint="eastAsia" w:ascii="宋体" w:hAnsi="宋体" w:cs="宋体"/>
                <w:color w:val="000000" w:themeColor="text1"/>
                <w:szCs w:val="21"/>
                <w14:textFill>
                  <w14:solidFill>
                    <w14:schemeClr w14:val="tx1"/>
                  </w14:solidFill>
                </w14:textFill>
              </w:rPr>
              <w:t>）</w:t>
            </w:r>
            <w:r>
              <w:rPr>
                <w:rFonts w:hint="eastAsia" w:ascii="宋体"/>
                <w:color w:val="000000" w:themeColor="text1"/>
                <w:sz w:val="22"/>
                <w:szCs w:val="22"/>
                <w14:textFill>
                  <w14:solidFill>
                    <w14:schemeClr w14:val="tx1"/>
                  </w14:solidFill>
                </w14:textFill>
              </w:rPr>
              <w:t>（注明品牌、型号、价格）</w:t>
            </w:r>
            <w:r>
              <w:rPr>
                <w:rFonts w:hint="eastAsia" w:ascii="宋体" w:hAnsi="宋体" w:cs="宋体"/>
                <w:bCs/>
                <w:color w:val="000000" w:themeColor="text1"/>
                <w:kern w:val="0"/>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.13.1</w:t>
            </w:r>
          </w:p>
        </w:tc>
        <w:tc>
          <w:tcPr>
            <w:tcW w:w="8481" w:type="dxa"/>
            <w:vAlign w:val="center"/>
          </w:tcPr>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设备心电图数据可无缝传输至现有市区域心电网络系统，并由现有心电工作站进行统一分析诊断。</w:t>
            </w:r>
            <w:r>
              <w:rPr>
                <w:rFonts w:hint="eastAsia" w:ascii="宋体" w:hAnsi="宋体" w:cs="仿宋_GB2312"/>
                <w:color w:val="000000" w:themeColor="text1"/>
                <w:szCs w:val="21"/>
                <w14:textFill>
                  <w14:solidFill>
                    <w14:schemeClr w14:val="tx1"/>
                  </w14:solidFill>
                </w14:textFill>
              </w:rPr>
              <w:t>（提供与当前区域心电网络系统无缝集成可行性方案或说明）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.13.2</w:t>
            </w:r>
          </w:p>
        </w:tc>
        <w:tc>
          <w:tcPr>
            <w:tcW w:w="8481" w:type="dxa"/>
            <w:vAlign w:val="center"/>
          </w:tcPr>
          <w:p>
            <w:pPr>
              <w:rPr>
                <w:color w:val="000000" w:themeColor="text1"/>
                <w14:textFill>
                  <w14:solidFill>
                    <w14:schemeClr w14:val="tx1"/>
                  </w14:solidFill>
                </w14:textFill>
              </w:rPr>
            </w:pPr>
            <w:r>
              <w:rPr>
                <w:rFonts w:hint="eastAsia" w:ascii="宋体" w:hAnsi="宋体" w:cs="宋体"/>
                <w:color w:val="000000" w:themeColor="text1"/>
                <w:spacing w:val="10"/>
                <w:szCs w:val="21"/>
                <w14:textFill>
                  <w14:solidFill>
                    <w14:schemeClr w14:val="tx1"/>
                  </w14:solidFill>
                </w14:textFill>
              </w:rPr>
              <w:t>设备小巧轻便,主机重量＜1kg，标配可移动台车，采集设备可适应手持和移动台车等多场景应用方式，便于出诊、床旁的心电图采集。为保证功能的实际应用，要求提供手持心电分析系统计算机软件著作权登记证书的复印件证明</w:t>
            </w:r>
            <w:r>
              <w:rPr>
                <w:rFonts w:hint="eastAsia" w:ascii="宋体" w:hAns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.13.3</w:t>
            </w:r>
          </w:p>
        </w:tc>
        <w:tc>
          <w:tcPr>
            <w:tcW w:w="8481" w:type="dxa"/>
            <w:vAlign w:val="center"/>
          </w:tcPr>
          <w:p>
            <w:pPr>
              <w:rPr>
                <w:color w:val="000000" w:themeColor="text1"/>
                <w14:textFill>
                  <w14:solidFill>
                    <w14:schemeClr w14:val="tx1"/>
                  </w14:solidFill>
                </w14:textFill>
              </w:rPr>
            </w:pPr>
            <w:r>
              <w:rPr>
                <w:rFonts w:hint="eastAsia" w:ascii="宋体" w:hAnsi="宋体" w:cs="宋体"/>
                <w:color w:val="000000" w:themeColor="text1"/>
                <w:spacing w:val="10"/>
                <w:szCs w:val="21"/>
                <w14:textFill>
                  <w14:solidFill>
                    <w14:schemeClr w14:val="tx1"/>
                  </w14:solidFill>
                </w14:textFill>
              </w:rPr>
              <w:t>心电采集放大器支持蓝牙移动网络技术，方便临床使用，要求提供含有通过蓝牙进行数据传输词语的医疗器械注册证或其附件的复印件并圈出对应内容证明。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.13.4</w:t>
            </w:r>
          </w:p>
        </w:tc>
        <w:tc>
          <w:tcPr>
            <w:tcW w:w="8481" w:type="dxa"/>
            <w:vAlign w:val="center"/>
          </w:tcPr>
          <w:p>
            <w:pPr>
              <w:rPr>
                <w:color w:val="000000" w:themeColor="text1"/>
                <w14:textFill>
                  <w14:solidFill>
                    <w14:schemeClr w14:val="tx1"/>
                  </w14:solidFill>
                </w14:textFill>
              </w:rPr>
            </w:pPr>
            <w:r>
              <w:rPr>
                <w:rFonts w:hint="eastAsia" w:ascii="宋体" w:hAnsi="宋体" w:cs="宋体"/>
                <w:color w:val="000000" w:themeColor="text1"/>
                <w:spacing w:val="10"/>
                <w:szCs w:val="21"/>
                <w14:textFill>
                  <w14:solidFill>
                    <w14:schemeClr w14:val="tx1"/>
                  </w14:solidFill>
                </w14:textFill>
              </w:rPr>
              <w:t>支持描记和分析12导联同步心电图、空间向量心电图、时间向量心电图、心室晚电位、心率变异，为临床医生诊断心脏疾病提供依据。要求提供含有描记和分析12导联同步心电图、空间向量心电图、时间向量心电图、心室晚电位、心率变异八项检查项目的医疗器械注册证复印件并圈出对应内容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.14</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多参数监护仪2台</w:t>
            </w:r>
            <w:r>
              <w:rPr>
                <w:rFonts w:hint="eastAsia" w:ascii="宋体"/>
                <w:color w:val="000000" w:themeColor="text1"/>
                <w:sz w:val="22"/>
                <w:szCs w:val="22"/>
                <w14:textFill>
                  <w14:solidFill>
                    <w14:schemeClr w14:val="tx1"/>
                  </w14:solidFill>
                </w14:textFill>
              </w:rPr>
              <w:t>（注明品牌、型号、价格）</w:t>
            </w:r>
            <w:r>
              <w:rPr>
                <w:rFonts w:hint="eastAsia" w:ascii="宋体" w:hAnsi="宋体" w:cs="宋体"/>
                <w:bCs/>
                <w:color w:val="000000" w:themeColor="text1"/>
                <w:kern w:val="0"/>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98" w:type="dxa"/>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.15</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微量注射泵2台</w:t>
            </w:r>
            <w:r>
              <w:rPr>
                <w:rFonts w:hint="eastAsia" w:ascii="宋体"/>
                <w:color w:val="000000" w:themeColor="text1"/>
                <w:sz w:val="22"/>
                <w:szCs w:val="22"/>
                <w14:textFill>
                  <w14:solidFill>
                    <w14:schemeClr w14:val="tx1"/>
                  </w14:solidFill>
                </w14:textFill>
              </w:rPr>
              <w:t>（注明品牌、型号、价格）</w:t>
            </w:r>
            <w:r>
              <w:rPr>
                <w:rFonts w:hint="eastAsia" w:ascii="宋体" w:hAnsi="宋体" w:cs="宋体"/>
                <w:bCs/>
                <w:color w:val="000000" w:themeColor="text1"/>
                <w:kern w:val="0"/>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98" w:type="dxa"/>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.16</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电动吸引器1台</w:t>
            </w:r>
            <w:r>
              <w:rPr>
                <w:rFonts w:hint="eastAsia" w:ascii="宋体"/>
                <w:color w:val="000000" w:themeColor="text1"/>
                <w:sz w:val="22"/>
                <w:szCs w:val="22"/>
                <w14:textFill>
                  <w14:solidFill>
                    <w14:schemeClr w14:val="tx1"/>
                  </w14:solidFill>
                </w14:textFill>
              </w:rPr>
              <w:t>（注明品牌、型号、价格）</w:t>
            </w:r>
            <w:r>
              <w:rPr>
                <w:rFonts w:hint="eastAsia" w:ascii="宋体" w:hAnsi="宋体" w:cs="宋体"/>
                <w:bCs/>
                <w:color w:val="000000" w:themeColor="text1"/>
                <w:kern w:val="0"/>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98" w:type="dxa"/>
            <w:vAlign w:val="center"/>
          </w:tcPr>
          <w:p>
            <w:pPr>
              <w:spacing w:line="360" w:lineRule="exact"/>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.17</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臂式血压计2台</w:t>
            </w:r>
            <w:r>
              <w:rPr>
                <w:rFonts w:hint="eastAsia" w:ascii="宋体"/>
                <w:color w:val="000000" w:themeColor="text1"/>
                <w:sz w:val="22"/>
                <w:szCs w:val="22"/>
                <w14:textFill>
                  <w14:solidFill>
                    <w14:schemeClr w14:val="tx1"/>
                  </w14:solidFill>
                </w14:textFill>
              </w:rPr>
              <w:t>（注明品牌、型号、价格）</w:t>
            </w:r>
            <w:r>
              <w:rPr>
                <w:rFonts w:hint="eastAsia" w:ascii="宋体" w:hAnsi="宋体" w:cs="宋体"/>
                <w:bCs/>
                <w:color w:val="000000" w:themeColor="text1"/>
                <w:kern w:val="0"/>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98" w:type="dxa"/>
            <w:vAlign w:val="center"/>
          </w:tcPr>
          <w:p>
            <w:pPr>
              <w:spacing w:line="360" w:lineRule="exact"/>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.18</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吸顶式等离子消毒器：13台（注明品牌、型号、价格），整机保修2年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.18.1</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作用空间（m3）：</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150 m3；参考外形尺寸（mm）：≤600×600×140。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.18.2</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真彩液晶显示屏：设备上能通过指示灯和图文方式显示空气质量状态、运行状态、PM2.5、PM0.5、温度、湿度。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.18.3</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等离子体密度分布：1.0×10</w:t>
            </w:r>
            <w:r>
              <w:rPr>
                <w:rFonts w:hint="eastAsia" w:ascii="宋体" w:hAnsi="宋体" w:cs="宋体"/>
                <w:color w:val="000000" w:themeColor="text1"/>
                <w:szCs w:val="21"/>
                <w:vertAlign w:val="superscript"/>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/m³～1.2×10</w:t>
            </w:r>
            <w:r>
              <w:rPr>
                <w:rFonts w:hint="eastAsia" w:ascii="宋体" w:hAnsi="宋体" w:cs="宋体"/>
                <w:color w:val="000000" w:themeColor="text1"/>
                <w:szCs w:val="21"/>
                <w:vertAlign w:val="superscript"/>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/m³（提供检测报告）。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.18.4</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0等离子体发生器为高分子阻燃材料构成，阻燃等级达到V-0；（提供SGS检测报告）。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.18.5</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消毒效果：设备持续工作1小时，可使100m3房间空气中的自然菌的消亡率≥96%、60min/20m³空气中的白色葡萄球菌杀灭率≥99.99%（要求提供检测报告）。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.18.6</w:t>
            </w:r>
          </w:p>
        </w:tc>
        <w:tc>
          <w:tcPr>
            <w:tcW w:w="8481" w:type="dxa"/>
            <w:vAlign w:val="center"/>
          </w:tcPr>
          <w:p>
            <w:pPr>
              <w:widowControl/>
              <w:jc w:val="left"/>
              <w:textAlignment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净化性能要求：60分钟/100m³，对悬浮粒子≥0.5μm，≥5μm的净化级别达到空气洁净度7级（相当于原10000级）符合GB50333-2013《医院洁净手术部建筑技术规范》（提供检测报告）。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.18.7</w:t>
            </w:r>
          </w:p>
        </w:tc>
        <w:tc>
          <w:tcPr>
            <w:tcW w:w="8481" w:type="dxa"/>
            <w:vAlign w:val="center"/>
          </w:tcPr>
          <w:p>
            <w:pPr>
              <w:widowControl/>
              <w:jc w:val="left"/>
              <w:textAlignment w:val="center"/>
            </w:pPr>
            <w:r>
              <w:rPr>
                <w:rFonts w:hint="eastAsia" w:ascii="宋体" w:hAnsi="宋体" w:cs="宋体"/>
                <w:szCs w:val="21"/>
              </w:rPr>
              <w:t>物联网4G模块：使用手机APP远程遥控控制，精度高、抗干扰性能好。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.18.8</w:t>
            </w:r>
          </w:p>
        </w:tc>
        <w:tc>
          <w:tcPr>
            <w:tcW w:w="8481" w:type="dxa"/>
            <w:vAlign w:val="center"/>
          </w:tcPr>
          <w:p>
            <w:pPr>
              <w:widowControl/>
              <w:jc w:val="left"/>
              <w:textAlignment w:val="center"/>
            </w:pPr>
            <w:r>
              <w:rPr>
                <w:rFonts w:hint="eastAsia" w:ascii="宋体" w:hAnsi="宋体" w:cs="宋体"/>
                <w:szCs w:val="21"/>
              </w:rPr>
              <w:t>配备遥控器控制：房间各个角度对设备进行遥控操作360度无死角，全方位立体式覆盖。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.18.9</w:t>
            </w:r>
          </w:p>
        </w:tc>
        <w:tc>
          <w:tcPr>
            <w:tcW w:w="8481" w:type="dxa"/>
            <w:vAlign w:val="center"/>
          </w:tcPr>
          <w:p>
            <w:pPr>
              <w:widowControl/>
              <w:jc w:val="left"/>
              <w:textAlignment w:val="center"/>
            </w:pPr>
            <w:r>
              <w:rPr>
                <w:rFonts w:hint="eastAsia" w:ascii="宋体" w:hAnsi="宋体" w:cs="宋体"/>
                <w:szCs w:val="21"/>
              </w:rPr>
              <w:t>初效过滤器：进风口处安装，初始阶段过滤掉空气中的较大微粒物，对等离子体发生装置进行保护，可拆卸清洗。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.18.10</w:t>
            </w:r>
          </w:p>
        </w:tc>
        <w:tc>
          <w:tcPr>
            <w:tcW w:w="8481" w:type="dxa"/>
            <w:vAlign w:val="center"/>
          </w:tcPr>
          <w:p>
            <w:pPr>
              <w:widowControl/>
              <w:jc w:val="left"/>
              <w:textAlignment w:val="center"/>
            </w:pPr>
            <w:r>
              <w:rPr>
                <w:rFonts w:hint="eastAsia" w:ascii="宋体" w:hAnsi="宋体" w:cs="宋体"/>
                <w:szCs w:val="21"/>
              </w:rPr>
              <w:t>等离子体发生装置：等离子电场杀菌，被强电场离子化而产生等离子体。通过等离子体富含的高能电子、自由基等活性粒子可以有效地杀灭空气中的微生物，降解空气中的有害物质，还能吸附微尘。等离子体寿命：等离子体发生器和等离子体电极寿命≥30000小时；保用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.18.11</w:t>
            </w:r>
          </w:p>
        </w:tc>
        <w:tc>
          <w:tcPr>
            <w:tcW w:w="8481" w:type="dxa"/>
            <w:vAlign w:val="center"/>
          </w:tcPr>
          <w:p>
            <w:pPr>
              <w:widowControl/>
              <w:jc w:val="left"/>
              <w:textAlignment w:val="center"/>
            </w:pPr>
            <w:r>
              <w:rPr>
                <w:rFonts w:hint="eastAsia" w:ascii="宋体" w:hAnsi="宋体" w:cs="宋体"/>
                <w:szCs w:val="21"/>
              </w:rPr>
              <w:t>产品具有消毒产品卫生安全评价报告，并在全国消毒产品备案网备案，附网上截图，或查询图。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.19</w:t>
            </w:r>
          </w:p>
        </w:tc>
        <w:tc>
          <w:tcPr>
            <w:tcW w:w="8481" w:type="dxa"/>
            <w:vAlign w:val="center"/>
          </w:tcPr>
          <w:p>
            <w:pPr>
              <w:widowControl/>
              <w:jc w:val="left"/>
              <w:textAlignment w:val="center"/>
            </w:pPr>
            <w:r>
              <w:rPr>
                <w:rFonts w:hint="eastAsia" w:ascii="宋体" w:hAnsi="宋体" w:cs="宋体"/>
                <w:color w:val="000000" w:themeColor="text1"/>
                <w:szCs w:val="21"/>
                <w14:textFill>
                  <w14:solidFill>
                    <w14:schemeClr w14:val="tx1"/>
                  </w14:solidFill>
                </w14:textFill>
              </w:rPr>
              <w:t>壁挂式等离子体空气消毒器：11台（注明品牌、型号、价格），整机保修2年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.19.1</w:t>
            </w:r>
          </w:p>
        </w:tc>
        <w:tc>
          <w:tcPr>
            <w:tcW w:w="8481" w:type="dxa"/>
            <w:vAlign w:val="center"/>
          </w:tcPr>
          <w:p>
            <w:pPr>
              <w:widowControl/>
              <w:jc w:val="left"/>
              <w:textAlignment w:val="center"/>
            </w:pPr>
            <w:r>
              <w:rPr>
                <w:rFonts w:hint="eastAsia" w:ascii="宋体" w:hAnsi="宋体" w:cs="宋体"/>
                <w:szCs w:val="21"/>
              </w:rPr>
              <w:t>作用空间（m3）：</w:t>
            </w:r>
            <w:r>
              <w:rPr>
                <w:rFonts w:hint="eastAsia" w:ascii="宋体" w:hAnsi="宋体" w:cs="宋体"/>
                <w:bCs/>
                <w:color w:val="000000"/>
                <w:szCs w:val="21"/>
              </w:rPr>
              <w:t>≥</w:t>
            </w:r>
            <w:r>
              <w:rPr>
                <w:rFonts w:hint="eastAsia" w:ascii="宋体" w:hAnsi="宋体" w:cs="宋体"/>
                <w:szCs w:val="21"/>
              </w:rPr>
              <w:t>120 m</w:t>
            </w:r>
            <w:r>
              <w:rPr>
                <w:rFonts w:hint="eastAsia" w:ascii="宋体" w:hAnsi="宋体" w:cs="宋体"/>
                <w:szCs w:val="21"/>
                <w:vertAlign w:val="superscript"/>
              </w:rPr>
              <w:t>3</w:t>
            </w:r>
            <w:r>
              <w:rPr>
                <w:rFonts w:hint="eastAsia" w:ascii="宋体" w:hAnsi="宋体" w:cs="宋体"/>
                <w:szCs w:val="21"/>
              </w:rPr>
              <w:t>，独立4风道消毒。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.19.2</w:t>
            </w:r>
          </w:p>
        </w:tc>
        <w:tc>
          <w:tcPr>
            <w:tcW w:w="8481" w:type="dxa"/>
            <w:vAlign w:val="center"/>
          </w:tcPr>
          <w:p>
            <w:pPr>
              <w:widowControl/>
              <w:jc w:val="left"/>
              <w:textAlignment w:val="center"/>
            </w:pPr>
            <w:r>
              <w:rPr>
                <w:rFonts w:hint="eastAsia" w:ascii="宋体" w:hAnsi="宋体" w:cs="宋体"/>
                <w:szCs w:val="21"/>
              </w:rPr>
              <w:t>触摸显示屏：设备上能通过指示灯和图文方式显示空气质量状态、运行状态、PM2.5、PM0.5、温度、湿度。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.19.3</w:t>
            </w:r>
          </w:p>
        </w:tc>
        <w:tc>
          <w:tcPr>
            <w:tcW w:w="8481" w:type="dxa"/>
            <w:vAlign w:val="center"/>
          </w:tcPr>
          <w:p>
            <w:pPr>
              <w:widowControl/>
              <w:jc w:val="left"/>
              <w:textAlignment w:val="center"/>
            </w:pPr>
            <w:r>
              <w:rPr>
                <w:rFonts w:hint="eastAsia" w:ascii="宋体" w:hAnsi="宋体" w:cs="宋体"/>
                <w:szCs w:val="21"/>
              </w:rPr>
              <w:t>等离子体寿命：等离子体发生器和等离子体电极寿命≥40000小时；等离子体密度分布：1.0×10</w:t>
            </w:r>
            <w:r>
              <w:rPr>
                <w:rFonts w:hint="eastAsia" w:ascii="宋体" w:hAnsi="宋体" w:cs="宋体"/>
                <w:szCs w:val="21"/>
                <w:vertAlign w:val="superscript"/>
              </w:rPr>
              <w:t>18</w:t>
            </w:r>
            <w:r>
              <w:rPr>
                <w:rFonts w:hint="eastAsia" w:ascii="宋体" w:hAnsi="宋体" w:cs="宋体"/>
                <w:szCs w:val="21"/>
              </w:rPr>
              <w:t>/m³～1.94×10</w:t>
            </w:r>
            <w:r>
              <w:rPr>
                <w:rFonts w:hint="eastAsia" w:ascii="宋体" w:hAnsi="宋体" w:cs="宋体"/>
                <w:szCs w:val="21"/>
                <w:vertAlign w:val="superscript"/>
              </w:rPr>
              <w:t>19</w:t>
            </w:r>
            <w:r>
              <w:rPr>
                <w:rFonts w:hint="eastAsia" w:ascii="宋体" w:hAnsi="宋体" w:cs="宋体"/>
                <w:szCs w:val="21"/>
              </w:rPr>
              <w:t>m-3（要求提供检测报告），等离子体发生器保用5年。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.19.4</w:t>
            </w:r>
          </w:p>
        </w:tc>
        <w:tc>
          <w:tcPr>
            <w:tcW w:w="8481" w:type="dxa"/>
            <w:vAlign w:val="center"/>
          </w:tcPr>
          <w:p>
            <w:pPr>
              <w:widowControl/>
              <w:jc w:val="left"/>
              <w:textAlignment w:val="center"/>
            </w:pPr>
            <w:r>
              <w:rPr>
                <w:rFonts w:hint="eastAsia" w:ascii="宋体" w:hAnsi="宋体" w:cs="宋体"/>
                <w:szCs w:val="21"/>
              </w:rPr>
              <w:t>消毒效果：设备持续工作1小时，可使100m</w:t>
            </w:r>
            <w:r>
              <w:rPr>
                <w:rFonts w:hint="eastAsia" w:ascii="宋体" w:hAnsi="宋体" w:cs="宋体"/>
                <w:szCs w:val="21"/>
                <w:vertAlign w:val="superscript"/>
              </w:rPr>
              <w:t>3</w:t>
            </w:r>
            <w:r>
              <w:rPr>
                <w:rFonts w:hint="eastAsia" w:ascii="宋体" w:hAnsi="宋体" w:cs="宋体"/>
                <w:szCs w:val="21"/>
              </w:rPr>
              <w:t>房间空气中的自然菌的消亡率≥91%、60min/20m³空气中的白色葡萄球菌杀灭率≥99.99%（要求提供检测报告）。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.19.5</w:t>
            </w:r>
          </w:p>
        </w:tc>
        <w:tc>
          <w:tcPr>
            <w:tcW w:w="8481" w:type="dxa"/>
            <w:vAlign w:val="center"/>
          </w:tcPr>
          <w:p>
            <w:pPr>
              <w:widowControl/>
              <w:jc w:val="left"/>
              <w:textAlignment w:val="center"/>
            </w:pPr>
            <w:r>
              <w:rPr>
                <w:rFonts w:hint="eastAsia" w:ascii="宋体" w:hAnsi="宋体" w:cs="宋体"/>
                <w:szCs w:val="21"/>
              </w:rPr>
              <w:t>净化性能要求：60分钟/100m³，对悬浮粒子≥0.5μm，≥5μm的净化级别达到空气洁净度7级相当于原10000级）符合GB50333-2013《医院洁净手术部建筑技术规范》（提供检测报告）。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98" w:type="dxa"/>
            <w:vAlign w:val="center"/>
          </w:tcPr>
          <w:p>
            <w:pPr>
              <w:spacing w:line="360" w:lineRule="exact"/>
              <w:jc w:val="center"/>
              <w:rPr>
                <w:rFonts w:ascii="宋体" w:hAnsi="宋体" w:cs="宋体"/>
                <w:bCs/>
                <w:color w:val="000000"/>
                <w:szCs w:val="21"/>
              </w:rPr>
            </w:pPr>
            <w:r>
              <w:rPr>
                <w:rFonts w:hint="eastAsia" w:ascii="宋体" w:hAnsi="宋体" w:cs="宋体"/>
                <w:bCs/>
                <w:color w:val="000000"/>
                <w:szCs w:val="21"/>
              </w:rPr>
              <w:t>3.</w:t>
            </w:r>
            <w:r>
              <w:rPr>
                <w:rFonts w:hint="eastAsia" w:ascii="宋体" w:hAnsi="宋体" w:cs="宋体"/>
                <w:bCs/>
                <w:color w:val="000000"/>
                <w:szCs w:val="21"/>
                <w:lang w:val="en-US" w:eastAsia="zh-CN"/>
              </w:rPr>
              <w:t>4</w:t>
            </w:r>
            <w:r>
              <w:rPr>
                <w:rFonts w:hint="eastAsia" w:ascii="宋体" w:hAnsi="宋体" w:cs="宋体"/>
                <w:bCs/>
                <w:color w:val="000000"/>
                <w:szCs w:val="21"/>
              </w:rPr>
              <w:t>.19.6</w:t>
            </w:r>
          </w:p>
        </w:tc>
        <w:tc>
          <w:tcPr>
            <w:tcW w:w="8481" w:type="dxa"/>
            <w:vAlign w:val="center"/>
          </w:tcPr>
          <w:p>
            <w:pPr>
              <w:widowControl/>
              <w:jc w:val="left"/>
              <w:textAlignment w:val="center"/>
            </w:pPr>
            <w:r>
              <w:rPr>
                <w:rFonts w:hint="eastAsia" w:ascii="宋体" w:hAnsi="宋体" w:cs="宋体"/>
                <w:szCs w:val="21"/>
              </w:rPr>
              <w:t>无线WIFI连接：使用手机APP远程控制，能够对设备进行集中的管理和控制，方便节省时间。</w:t>
            </w:r>
          </w:p>
        </w:tc>
      </w:tr>
    </w:tbl>
    <w:p>
      <w:pPr>
        <w:spacing w:line="360" w:lineRule="auto"/>
        <w:rPr>
          <w:b/>
          <w:bCs/>
        </w:rPr>
      </w:pPr>
    </w:p>
    <w:p>
      <w:pPr>
        <w:spacing w:line="360" w:lineRule="auto"/>
        <w:rPr>
          <w:b/>
          <w:bCs/>
        </w:rPr>
      </w:pPr>
      <w:r>
        <w:rPr>
          <w:rFonts w:hint="eastAsia"/>
          <w:b/>
          <w:bCs/>
        </w:rPr>
        <w:t>四</w:t>
      </w:r>
      <w:r>
        <w:rPr>
          <w:b/>
          <w:bCs/>
        </w:rPr>
        <w:t>、商务要求</w:t>
      </w:r>
    </w:p>
    <w:p>
      <w:pPr>
        <w:spacing w:line="360" w:lineRule="auto"/>
        <w:ind w:firstLine="420" w:firstLineChars="200"/>
        <w:rPr>
          <w:color w:val="000000"/>
        </w:rPr>
      </w:pPr>
      <w:r>
        <w:rPr>
          <w:color w:val="000000"/>
        </w:rPr>
        <w:t>1.</w:t>
      </w:r>
      <w:r>
        <w:rPr>
          <w:color w:val="000000"/>
        </w:rPr>
        <w:tab/>
      </w:r>
      <w:r>
        <w:rPr>
          <w:color w:val="000000"/>
        </w:rPr>
        <w:t>保质期</w:t>
      </w:r>
    </w:p>
    <w:p>
      <w:pPr>
        <w:spacing w:line="360" w:lineRule="auto"/>
        <w:ind w:firstLine="420" w:firstLineChars="200"/>
        <w:rPr>
          <w:color w:val="000000"/>
        </w:rPr>
      </w:pPr>
      <w:r>
        <w:rPr>
          <w:rFonts w:hint="eastAsia" w:ascii="宋体" w:hAnsi="宋体"/>
          <w:bCs/>
          <w:color w:val="000000"/>
          <w:szCs w:val="21"/>
        </w:rPr>
        <w:t>▲</w:t>
      </w:r>
      <w:r>
        <w:rPr>
          <w:color w:val="000000"/>
        </w:rPr>
        <w:t>1.1</w:t>
      </w:r>
      <w:r>
        <w:rPr>
          <w:rFonts w:hint="eastAsia"/>
          <w:color w:val="000000"/>
        </w:rPr>
        <w:t xml:space="preserve">  血液透析机和水</w:t>
      </w:r>
      <w:r>
        <w:rPr>
          <w:rFonts w:hint="eastAsia"/>
          <w:color w:val="000000"/>
          <w:lang w:eastAsia="zh-CN"/>
        </w:rPr>
        <w:t>处理</w:t>
      </w:r>
      <w:r>
        <w:rPr>
          <w:rFonts w:hint="eastAsia"/>
          <w:color w:val="000000"/>
        </w:rPr>
        <w:t>系统</w:t>
      </w:r>
      <w:r>
        <w:rPr>
          <w:color w:val="000000"/>
        </w:rPr>
        <w:t>保修期</w:t>
      </w:r>
      <w:r>
        <w:rPr>
          <w:rFonts w:hint="eastAsia"/>
          <w:color w:val="000000"/>
        </w:rPr>
        <w:t>6</w:t>
      </w:r>
      <w:r>
        <w:rPr>
          <w:color w:val="000000"/>
        </w:rPr>
        <w:t>年</w:t>
      </w:r>
      <w:r>
        <w:rPr>
          <w:rFonts w:hint="eastAsia"/>
          <w:color w:val="000000"/>
        </w:rPr>
        <w:t>（包含所有易耗品）</w:t>
      </w:r>
      <w:r>
        <w:rPr>
          <w:color w:val="000000"/>
        </w:rPr>
        <w:t>，终身维修。</w:t>
      </w:r>
    </w:p>
    <w:p>
      <w:pPr>
        <w:spacing w:line="360" w:lineRule="auto"/>
        <w:ind w:firstLine="420" w:firstLineChars="200"/>
        <w:rPr>
          <w:color w:val="000000"/>
        </w:rPr>
      </w:pPr>
      <w:r>
        <w:rPr>
          <w:color w:val="000000"/>
        </w:rPr>
        <w:t>1.2</w:t>
      </w:r>
      <w:r>
        <w:rPr>
          <w:color w:val="000000"/>
        </w:rPr>
        <w:tab/>
      </w:r>
      <w:r>
        <w:rPr>
          <w:rFonts w:hint="eastAsia"/>
          <w:color w:val="000000"/>
        </w:rPr>
        <w:t>其配套设备所有设备整机保修2年。</w:t>
      </w:r>
    </w:p>
    <w:p>
      <w:pPr>
        <w:spacing w:line="360" w:lineRule="auto"/>
        <w:ind w:firstLine="420" w:firstLineChars="200"/>
        <w:rPr>
          <w:color w:val="000000"/>
        </w:rPr>
      </w:pPr>
      <w:r>
        <w:rPr>
          <w:color w:val="000000"/>
        </w:rPr>
        <w:t>1.3</w:t>
      </w:r>
      <w:r>
        <w:rPr>
          <w:color w:val="000000"/>
        </w:rPr>
        <w:tab/>
      </w:r>
      <w:r>
        <w:rPr>
          <w:rFonts w:hint="eastAsia"/>
          <w:color w:val="000000"/>
        </w:rPr>
        <w:t>供应商</w:t>
      </w:r>
      <w:r>
        <w:rPr>
          <w:color w:val="000000"/>
        </w:rPr>
        <w:t>在投标文件中说明在保质期内提供的服务计划。</w:t>
      </w:r>
    </w:p>
    <w:p>
      <w:pPr>
        <w:spacing w:line="360" w:lineRule="auto"/>
        <w:ind w:firstLine="420" w:firstLineChars="200"/>
        <w:rPr>
          <w:color w:val="000000"/>
        </w:rPr>
      </w:pPr>
      <w:r>
        <w:rPr>
          <w:color w:val="000000"/>
        </w:rPr>
        <w:t>2.</w:t>
      </w:r>
      <w:r>
        <w:rPr>
          <w:color w:val="000000"/>
        </w:rPr>
        <w:tab/>
      </w:r>
      <w:r>
        <w:rPr>
          <w:color w:val="000000"/>
        </w:rPr>
        <w:t>付款方式</w:t>
      </w:r>
    </w:p>
    <w:p>
      <w:pPr>
        <w:spacing w:line="360" w:lineRule="auto"/>
        <w:ind w:firstLine="420" w:firstLineChars="200"/>
        <w:rPr>
          <w:color w:val="000000"/>
        </w:rPr>
      </w:pPr>
      <w:r>
        <w:rPr>
          <w:color w:val="000000"/>
        </w:rPr>
        <w:t>2.1</w:t>
      </w:r>
      <w:r>
        <w:rPr>
          <w:color w:val="000000"/>
        </w:rPr>
        <w:tab/>
      </w:r>
      <w:r>
        <w:rPr>
          <w:rFonts w:hint="eastAsia"/>
          <w:color w:val="000000"/>
        </w:rPr>
        <w:t>中标人若为中小企业，签订合同时，中标人向采购人提交银行预付款保函；采购人在收到预付款保函、合同生效以及具备实施条件后7个工作日内，向中标人支付合同金额的40%作为预付款，其余合同款项在安装验收合格后支付，采购人自收到发票后7个工作日内将货款支付给中标人。在签订合同时，中标人明确表示无需预付款的，可不提供预付款保函，合同款项在安装验收合格后支付，采购人自收到发票后7个工作日内将货款支付给中标人。</w:t>
      </w:r>
    </w:p>
    <w:p>
      <w:pPr>
        <w:spacing w:line="360" w:lineRule="auto"/>
        <w:ind w:firstLine="420" w:firstLineChars="200"/>
        <w:rPr>
          <w:color w:val="000000"/>
        </w:rPr>
      </w:pPr>
      <w:r>
        <w:rPr>
          <w:rFonts w:hint="eastAsia"/>
          <w:color w:val="000000"/>
        </w:rPr>
        <w:t>中标人若为大型企业，合同款项在安装验收合格后支付，采购人自收到发票后7个工作日内将货款支付给中标人。</w:t>
      </w:r>
    </w:p>
    <w:p>
      <w:pPr>
        <w:spacing w:line="360" w:lineRule="auto"/>
        <w:ind w:firstLine="420" w:firstLineChars="200"/>
        <w:rPr>
          <w:color w:val="000000"/>
        </w:rPr>
      </w:pPr>
      <w:r>
        <w:rPr>
          <w:color w:val="000000"/>
        </w:rPr>
        <w:t>3.</w:t>
      </w:r>
      <w:r>
        <w:rPr>
          <w:color w:val="000000"/>
        </w:rPr>
        <w:tab/>
      </w:r>
      <w:r>
        <w:rPr>
          <w:color w:val="000000"/>
        </w:rPr>
        <w:t>售后服务</w:t>
      </w:r>
    </w:p>
    <w:p>
      <w:pPr>
        <w:spacing w:line="360" w:lineRule="auto"/>
        <w:ind w:firstLine="420" w:firstLineChars="200"/>
        <w:rPr>
          <w:color w:val="000000"/>
        </w:rPr>
      </w:pPr>
      <w:r>
        <w:rPr>
          <w:color w:val="000000"/>
        </w:rPr>
        <w:t>3.1</w:t>
      </w:r>
      <w:r>
        <w:rPr>
          <w:color w:val="000000"/>
        </w:rPr>
        <w:tab/>
      </w:r>
      <w:r>
        <w:rPr>
          <w:rFonts w:hint="eastAsia"/>
          <w:color w:val="000000"/>
        </w:rPr>
        <w:t>设备生产厂商在国内驻有常驻分公司并正常运营10年以上，在瑞安市至少有1名厂家驻点工程师，设备安装验收后，中标商需派一名专业维护工程师常驻医院3-6月（具体视院方工程师维护技能掌握熟练情况而定），并可提供原厂级本地化服务及原厂技术人员高级培训。</w:t>
      </w:r>
    </w:p>
    <w:p>
      <w:pPr>
        <w:spacing w:line="360" w:lineRule="auto"/>
        <w:ind w:firstLine="420" w:firstLineChars="200"/>
        <w:rPr>
          <w:color w:val="000000"/>
        </w:rPr>
      </w:pPr>
      <w:r>
        <w:rPr>
          <w:color w:val="000000"/>
        </w:rPr>
        <w:t>3.</w:t>
      </w:r>
      <w:r>
        <w:rPr>
          <w:rFonts w:hint="eastAsia"/>
          <w:color w:val="000000"/>
        </w:rPr>
        <w:t>2</w:t>
      </w:r>
      <w:r>
        <w:rPr>
          <w:color w:val="000000"/>
        </w:rPr>
        <w:tab/>
      </w:r>
      <w:r>
        <w:rPr>
          <w:rFonts w:hint="eastAsia"/>
          <w:color w:val="000000"/>
        </w:rPr>
        <w:t>供应商</w:t>
      </w:r>
      <w:r>
        <w:rPr>
          <w:color w:val="000000"/>
        </w:rPr>
        <w:t>应在投标文件中应详细说明收费标准</w:t>
      </w:r>
      <w:r>
        <w:rPr>
          <w:rFonts w:hint="eastAsia"/>
          <w:color w:val="000000"/>
        </w:rPr>
        <w:t>，包括</w:t>
      </w:r>
      <w:r>
        <w:rPr>
          <w:color w:val="000000"/>
          <w:szCs w:val="21"/>
        </w:rPr>
        <w:t>保修价格、设备配件价格，维修服务费</w:t>
      </w:r>
      <w:r>
        <w:rPr>
          <w:rFonts w:hint="eastAsia"/>
          <w:color w:val="000000"/>
        </w:rPr>
        <w:t>。</w:t>
      </w:r>
      <w:r>
        <w:rPr>
          <w:color w:val="000000"/>
        </w:rPr>
        <w:t>提供维修点的分布情况。</w:t>
      </w:r>
    </w:p>
    <w:p>
      <w:pPr>
        <w:spacing w:line="360" w:lineRule="auto"/>
        <w:ind w:firstLine="420"/>
        <w:rPr>
          <w:color w:val="000000"/>
        </w:rPr>
      </w:pPr>
      <w:r>
        <w:rPr>
          <w:rFonts w:hint="eastAsia"/>
          <w:color w:val="000000"/>
        </w:rPr>
        <w:t>3.3供应商</w:t>
      </w:r>
      <w:r>
        <w:rPr>
          <w:color w:val="000000"/>
        </w:rPr>
        <w:t>应在投标文件中</w:t>
      </w:r>
      <w:r>
        <w:rPr>
          <w:rFonts w:hint="eastAsia"/>
          <w:color w:val="000000"/>
        </w:rPr>
        <w:t>提供</w:t>
      </w:r>
      <w:r>
        <w:rPr>
          <w:color w:val="000000"/>
          <w:szCs w:val="21"/>
        </w:rPr>
        <w:t>售后服务方案</w:t>
      </w:r>
      <w:r>
        <w:rPr>
          <w:rFonts w:hint="eastAsia"/>
          <w:color w:val="000000"/>
          <w:szCs w:val="21"/>
        </w:rPr>
        <w:t>，如</w:t>
      </w:r>
      <w:r>
        <w:rPr>
          <w:color w:val="000000"/>
          <w:szCs w:val="21"/>
        </w:rPr>
        <w:t>售后服务机构备品备件储备</w:t>
      </w:r>
      <w:r>
        <w:rPr>
          <w:rFonts w:hint="eastAsia"/>
          <w:color w:val="000000"/>
          <w:szCs w:val="21"/>
        </w:rPr>
        <w:t>，</w:t>
      </w:r>
      <w:r>
        <w:rPr>
          <w:color w:val="000000"/>
          <w:szCs w:val="21"/>
        </w:rPr>
        <w:t>售后服务机构技术服务人员情况</w:t>
      </w:r>
      <w:r>
        <w:rPr>
          <w:rFonts w:hint="eastAsia"/>
          <w:color w:val="000000"/>
          <w:szCs w:val="21"/>
        </w:rPr>
        <w:t>。</w:t>
      </w:r>
    </w:p>
    <w:p>
      <w:pPr>
        <w:spacing w:line="360" w:lineRule="auto"/>
        <w:ind w:firstLine="420" w:firstLineChars="200"/>
        <w:rPr>
          <w:color w:val="000000"/>
        </w:rPr>
      </w:pPr>
      <w:r>
        <w:rPr>
          <w:color w:val="000000"/>
        </w:rPr>
        <w:t>4.</w:t>
      </w:r>
      <w:r>
        <w:rPr>
          <w:color w:val="000000"/>
        </w:rPr>
        <w:tab/>
      </w:r>
      <w:r>
        <w:rPr>
          <w:color w:val="000000"/>
        </w:rPr>
        <w:t>技术支持</w:t>
      </w:r>
    </w:p>
    <w:p>
      <w:pPr>
        <w:spacing w:line="360" w:lineRule="auto"/>
        <w:ind w:firstLine="420" w:firstLineChars="200"/>
        <w:rPr>
          <w:color w:val="000000"/>
        </w:rPr>
      </w:pPr>
      <w:r>
        <w:rPr>
          <w:rFonts w:hint="eastAsia"/>
          <w:color w:val="000000"/>
        </w:rPr>
        <w:t>4.1</w:t>
      </w:r>
      <w:r>
        <w:rPr>
          <w:color w:val="000000"/>
        </w:rPr>
        <w:tab/>
      </w:r>
      <w:r>
        <w:rPr>
          <w:color w:val="000000"/>
        </w:rPr>
        <w:t>中标商应提供免费软件升级</w:t>
      </w:r>
      <w:r>
        <w:rPr>
          <w:rFonts w:hint="eastAsia"/>
          <w:color w:val="000000"/>
        </w:rPr>
        <w:t>。</w:t>
      </w:r>
    </w:p>
    <w:p>
      <w:pPr>
        <w:spacing w:line="360" w:lineRule="auto"/>
        <w:ind w:firstLine="420" w:firstLineChars="200"/>
        <w:rPr>
          <w:color w:val="000000"/>
        </w:rPr>
      </w:pPr>
      <w:r>
        <w:rPr>
          <w:color w:val="000000"/>
        </w:rPr>
        <w:t>5.</w:t>
      </w:r>
      <w:r>
        <w:rPr>
          <w:color w:val="000000"/>
        </w:rPr>
        <w:tab/>
      </w:r>
      <w:r>
        <w:rPr>
          <w:color w:val="000000"/>
        </w:rPr>
        <w:t>培训</w:t>
      </w:r>
    </w:p>
    <w:p>
      <w:pPr>
        <w:spacing w:line="360" w:lineRule="auto"/>
        <w:ind w:firstLine="420" w:firstLineChars="200"/>
        <w:rPr>
          <w:color w:val="000000"/>
        </w:rPr>
      </w:pPr>
      <w:r>
        <w:rPr>
          <w:color w:val="000000"/>
        </w:rPr>
        <w:t>5.</w:t>
      </w:r>
      <w:r>
        <w:rPr>
          <w:rFonts w:hint="eastAsia"/>
          <w:color w:val="000000"/>
        </w:rPr>
        <w:t xml:space="preserve">1  </w:t>
      </w:r>
      <w:r>
        <w:rPr>
          <w:rFonts w:hint="eastAsia" w:ascii="宋体" w:hAnsi="宋体" w:cs="宋体"/>
          <w:color w:val="000000"/>
          <w:szCs w:val="21"/>
        </w:rPr>
        <w:t>中标方应对10名操作人员国内三甲医院一个月内的技术培训并承担所有费用；中标方对用户的4名维修人员进行一周内国内有培训资质的维修机构或三甲医院或厂家组织的维修培训，并向维修人员提供详细的技术维修操作手册并承担所有费用。</w:t>
      </w:r>
    </w:p>
    <w:p>
      <w:pPr>
        <w:spacing w:line="360" w:lineRule="auto"/>
        <w:ind w:firstLine="420" w:firstLineChars="200"/>
        <w:rPr>
          <w:color w:val="000000"/>
        </w:rPr>
      </w:pPr>
      <w:r>
        <w:rPr>
          <w:color w:val="000000"/>
        </w:rPr>
        <w:t>5.</w:t>
      </w:r>
      <w:r>
        <w:rPr>
          <w:rFonts w:hint="eastAsia"/>
          <w:color w:val="000000"/>
        </w:rPr>
        <w:t>2</w:t>
      </w:r>
      <w:r>
        <w:rPr>
          <w:color w:val="000000"/>
        </w:rPr>
        <w:tab/>
      </w:r>
      <w:r>
        <w:rPr>
          <w:rFonts w:hint="eastAsia"/>
          <w:color w:val="000000"/>
        </w:rPr>
        <w:t xml:space="preserve"> 供应商</w:t>
      </w:r>
      <w:r>
        <w:rPr>
          <w:color w:val="000000"/>
        </w:rPr>
        <w:t>应在投标文件</w:t>
      </w:r>
      <w:r>
        <w:rPr>
          <w:rFonts w:hint="eastAsia"/>
          <w:color w:val="000000"/>
        </w:rPr>
        <w:t>的培训方案</w:t>
      </w:r>
      <w:r>
        <w:rPr>
          <w:color w:val="000000"/>
        </w:rPr>
        <w:t>中详细说明。</w:t>
      </w:r>
    </w:p>
    <w:p>
      <w:pPr>
        <w:spacing w:line="360" w:lineRule="auto"/>
        <w:ind w:firstLine="420" w:firstLineChars="200"/>
        <w:rPr>
          <w:color w:val="000000"/>
        </w:rPr>
      </w:pPr>
      <w:r>
        <w:rPr>
          <w:color w:val="000000"/>
        </w:rPr>
        <w:t>6.</w:t>
      </w:r>
      <w:r>
        <w:rPr>
          <w:color w:val="000000"/>
        </w:rPr>
        <w:tab/>
      </w:r>
      <w:r>
        <w:rPr>
          <w:color w:val="000000"/>
        </w:rPr>
        <w:t>安装调试</w:t>
      </w:r>
    </w:p>
    <w:p>
      <w:pPr>
        <w:spacing w:line="360" w:lineRule="auto"/>
        <w:ind w:firstLine="420" w:firstLineChars="200"/>
        <w:rPr>
          <w:color w:val="000000"/>
        </w:rPr>
      </w:pPr>
      <w:r>
        <w:rPr>
          <w:color w:val="000000"/>
        </w:rPr>
        <w:t>6.1</w:t>
      </w:r>
      <w:r>
        <w:rPr>
          <w:color w:val="000000"/>
        </w:rPr>
        <w:tab/>
      </w:r>
      <w:r>
        <w:rPr>
          <w:color w:val="000000"/>
        </w:rPr>
        <w:t>安装地点：</w:t>
      </w:r>
      <w:r>
        <w:rPr>
          <w:rFonts w:hint="eastAsia"/>
          <w:color w:val="000000"/>
          <w:szCs w:val="21"/>
        </w:rPr>
        <w:t>瑞安市妇幼保健院</w:t>
      </w:r>
    </w:p>
    <w:p>
      <w:pPr>
        <w:spacing w:line="360" w:lineRule="auto"/>
        <w:ind w:firstLine="420" w:firstLineChars="200"/>
        <w:rPr>
          <w:color w:val="000000"/>
        </w:rPr>
      </w:pPr>
      <w:r>
        <w:rPr>
          <w:color w:val="000000"/>
        </w:rPr>
        <w:t>6.2</w:t>
      </w:r>
      <w:r>
        <w:rPr>
          <w:color w:val="000000"/>
        </w:rPr>
        <w:tab/>
      </w:r>
      <w:r>
        <w:rPr>
          <w:color w:val="000000"/>
        </w:rPr>
        <w:t>安装完成时间：接到</w:t>
      </w:r>
      <w:r>
        <w:rPr>
          <w:rFonts w:hint="eastAsia"/>
          <w:color w:val="000000"/>
        </w:rPr>
        <w:t>采购人</w:t>
      </w:r>
      <w:r>
        <w:rPr>
          <w:color w:val="000000"/>
        </w:rPr>
        <w:t>通知后1</w:t>
      </w:r>
      <w:r>
        <w:rPr>
          <w:rFonts w:hint="eastAsia"/>
          <w:color w:val="000000"/>
        </w:rPr>
        <w:t>个月</w:t>
      </w:r>
      <w:r>
        <w:rPr>
          <w:color w:val="000000"/>
        </w:rPr>
        <w:t>内完成安装和调试，如在规定的时间内由于</w:t>
      </w:r>
      <w:r>
        <w:rPr>
          <w:rFonts w:hint="eastAsia"/>
          <w:color w:val="000000"/>
        </w:rPr>
        <w:t>供应商</w:t>
      </w:r>
      <w:r>
        <w:rPr>
          <w:color w:val="000000"/>
        </w:rPr>
        <w:t>的原因不能完成安装和调试，</w:t>
      </w:r>
      <w:r>
        <w:rPr>
          <w:rFonts w:hint="eastAsia"/>
          <w:color w:val="000000"/>
        </w:rPr>
        <w:t>供应商</w:t>
      </w:r>
      <w:r>
        <w:rPr>
          <w:color w:val="000000"/>
        </w:rPr>
        <w:t>应承担由此给</w:t>
      </w:r>
      <w:r>
        <w:rPr>
          <w:rFonts w:hint="eastAsia"/>
          <w:color w:val="000000"/>
        </w:rPr>
        <w:t>采购人</w:t>
      </w:r>
      <w:r>
        <w:rPr>
          <w:color w:val="000000"/>
        </w:rPr>
        <w:t>造成的损失</w:t>
      </w:r>
      <w:r>
        <w:rPr>
          <w:rFonts w:hint="eastAsia"/>
          <w:color w:val="000000"/>
        </w:rPr>
        <w:t>。</w:t>
      </w:r>
    </w:p>
    <w:p>
      <w:pPr>
        <w:spacing w:line="360" w:lineRule="auto"/>
        <w:ind w:firstLine="420" w:firstLineChars="200"/>
        <w:rPr>
          <w:color w:val="000000"/>
        </w:rPr>
      </w:pPr>
      <w:r>
        <w:rPr>
          <w:color w:val="000000"/>
        </w:rPr>
        <w:t>6.3</w:t>
      </w:r>
      <w:r>
        <w:rPr>
          <w:color w:val="000000"/>
        </w:rPr>
        <w:tab/>
      </w:r>
      <w:r>
        <w:rPr>
          <w:color w:val="000000"/>
        </w:rPr>
        <w:t>安装标准：符合我国国家有关技术规范要求和技术标准。</w:t>
      </w:r>
    </w:p>
    <w:p>
      <w:pPr>
        <w:spacing w:line="360" w:lineRule="auto"/>
        <w:ind w:firstLine="420" w:firstLineChars="200"/>
        <w:rPr>
          <w:color w:val="000000"/>
        </w:rPr>
      </w:pPr>
      <w:r>
        <w:rPr>
          <w:color w:val="000000"/>
        </w:rPr>
        <w:t>6.4</w:t>
      </w:r>
      <w:r>
        <w:rPr>
          <w:color w:val="000000"/>
        </w:rPr>
        <w:tab/>
      </w:r>
      <w:r>
        <w:rPr>
          <w:color w:val="000000"/>
        </w:rPr>
        <w:t>安装过程中发生的费用由</w:t>
      </w:r>
      <w:r>
        <w:rPr>
          <w:rFonts w:hint="eastAsia"/>
          <w:color w:val="000000"/>
        </w:rPr>
        <w:t>供应商</w:t>
      </w:r>
      <w:r>
        <w:rPr>
          <w:color w:val="000000"/>
        </w:rPr>
        <w:t>负责。</w:t>
      </w:r>
    </w:p>
    <w:p>
      <w:pPr>
        <w:spacing w:line="360" w:lineRule="auto"/>
        <w:ind w:firstLine="420" w:firstLineChars="200"/>
        <w:rPr>
          <w:color w:val="000000"/>
        </w:rPr>
      </w:pPr>
      <w:r>
        <w:rPr>
          <w:color w:val="000000"/>
        </w:rPr>
        <w:t>6.5</w:t>
      </w:r>
      <w:r>
        <w:rPr>
          <w:color w:val="000000"/>
        </w:rPr>
        <w:tab/>
      </w:r>
      <w:r>
        <w:rPr>
          <w:color w:val="000000"/>
        </w:rPr>
        <w:t>供应商应在投标文件中</w:t>
      </w:r>
      <w:r>
        <w:rPr>
          <w:rFonts w:hint="eastAsia"/>
          <w:color w:val="000000"/>
        </w:rPr>
        <w:t>提供</w:t>
      </w:r>
      <w:r>
        <w:rPr>
          <w:color w:val="000000"/>
        </w:rPr>
        <w:t>安装调试方案</w:t>
      </w:r>
      <w:r>
        <w:rPr>
          <w:rFonts w:hint="eastAsia"/>
          <w:color w:val="000000"/>
        </w:rPr>
        <w:t>和</w:t>
      </w:r>
      <w:r>
        <w:rPr>
          <w:color w:val="000000"/>
        </w:rPr>
        <w:t>安装调试过程中</w:t>
      </w:r>
      <w:r>
        <w:rPr>
          <w:rFonts w:hint="eastAsia"/>
          <w:color w:val="000000"/>
        </w:rPr>
        <w:t>采购人</w:t>
      </w:r>
      <w:r>
        <w:rPr>
          <w:color w:val="000000"/>
        </w:rPr>
        <w:t>需配合的内容。</w:t>
      </w:r>
    </w:p>
    <w:p>
      <w:pPr>
        <w:spacing w:line="360" w:lineRule="auto"/>
        <w:ind w:firstLine="420" w:firstLineChars="200"/>
        <w:rPr>
          <w:color w:val="000000"/>
        </w:rPr>
      </w:pPr>
      <w:r>
        <w:rPr>
          <w:color w:val="000000"/>
        </w:rPr>
        <w:t>6.</w:t>
      </w:r>
      <w:r>
        <w:rPr>
          <w:rFonts w:hint="eastAsia"/>
          <w:color w:val="000000"/>
        </w:rPr>
        <w:t>6</w:t>
      </w:r>
      <w:r>
        <w:rPr>
          <w:color w:val="000000"/>
        </w:rPr>
        <w:tab/>
      </w:r>
      <w:r>
        <w:rPr>
          <w:color w:val="000000"/>
        </w:rPr>
        <w:t>随机资料：提供使用操作手册2份，维修手册1份。</w:t>
      </w:r>
    </w:p>
    <w:p>
      <w:pPr>
        <w:spacing w:line="360" w:lineRule="auto"/>
        <w:ind w:firstLine="420" w:firstLineChars="200"/>
        <w:rPr>
          <w:color w:val="000000"/>
        </w:rPr>
      </w:pPr>
      <w:r>
        <w:rPr>
          <w:color w:val="000000"/>
        </w:rPr>
        <w:t>7.</w:t>
      </w:r>
      <w:r>
        <w:rPr>
          <w:color w:val="000000"/>
        </w:rPr>
        <w:tab/>
      </w:r>
      <w:r>
        <w:rPr>
          <w:color w:val="000000"/>
        </w:rPr>
        <w:t>验收</w:t>
      </w:r>
    </w:p>
    <w:p>
      <w:pPr>
        <w:spacing w:line="360" w:lineRule="auto"/>
        <w:ind w:firstLine="420" w:firstLineChars="200"/>
        <w:rPr>
          <w:color w:val="000000"/>
        </w:rPr>
      </w:pPr>
      <w:r>
        <w:rPr>
          <w:color w:val="000000"/>
        </w:rPr>
        <w:t>7.1.</w:t>
      </w:r>
      <w:r>
        <w:rPr>
          <w:color w:val="000000"/>
        </w:rPr>
        <w:tab/>
      </w:r>
      <w:r>
        <w:rPr>
          <w:color w:val="000000"/>
        </w:rPr>
        <w:t>供货</w:t>
      </w:r>
      <w:r>
        <w:rPr>
          <w:rFonts w:hint="eastAsia"/>
          <w:color w:val="000000"/>
        </w:rPr>
        <w:t>商</w:t>
      </w:r>
      <w:r>
        <w:rPr>
          <w:color w:val="000000"/>
        </w:rPr>
        <w:t>应提供设备的有效检验文件，经</w:t>
      </w:r>
      <w:r>
        <w:rPr>
          <w:rFonts w:hint="eastAsia"/>
          <w:color w:val="000000"/>
        </w:rPr>
        <w:t>采购人</w:t>
      </w:r>
      <w:r>
        <w:rPr>
          <w:color w:val="000000"/>
        </w:rPr>
        <w:t>认可后，与设备性能指标、合同内容一起作为设备验收标准。</w:t>
      </w:r>
      <w:r>
        <w:rPr>
          <w:rFonts w:hint="eastAsia"/>
          <w:color w:val="000000"/>
        </w:rPr>
        <w:t>采购人</w:t>
      </w:r>
      <w:r>
        <w:rPr>
          <w:color w:val="000000"/>
        </w:rPr>
        <w:t>对设备验收合格后，双方共同签署验收合格证书并加盖公章。验收中发现设备达不到验收标准或合同规定的性能指标，</w:t>
      </w:r>
      <w:r>
        <w:rPr>
          <w:rFonts w:hint="eastAsia"/>
          <w:color w:val="000000"/>
        </w:rPr>
        <w:t>供应商</w:t>
      </w:r>
      <w:r>
        <w:rPr>
          <w:color w:val="000000"/>
        </w:rPr>
        <w:t>必须更换设备。并且赔偿由此给</w:t>
      </w:r>
      <w:r>
        <w:rPr>
          <w:rFonts w:hint="eastAsia"/>
          <w:color w:val="000000"/>
        </w:rPr>
        <w:t>采购人</w:t>
      </w:r>
      <w:r>
        <w:rPr>
          <w:color w:val="000000"/>
        </w:rPr>
        <w:t>造成的损失。</w:t>
      </w:r>
    </w:p>
    <w:p>
      <w:pPr>
        <w:spacing w:line="360" w:lineRule="auto"/>
        <w:ind w:firstLine="420" w:firstLineChars="200"/>
        <w:rPr>
          <w:color w:val="000000"/>
        </w:rPr>
      </w:pPr>
      <w:r>
        <w:rPr>
          <w:color w:val="000000"/>
        </w:rPr>
        <w:t>7.2.</w:t>
      </w:r>
      <w:r>
        <w:rPr>
          <w:color w:val="000000"/>
        </w:rPr>
        <w:tab/>
      </w:r>
      <w:r>
        <w:rPr>
          <w:color w:val="000000"/>
        </w:rPr>
        <w:t>验收费用由产品</w:t>
      </w:r>
      <w:r>
        <w:rPr>
          <w:rFonts w:hint="eastAsia"/>
          <w:color w:val="000000"/>
        </w:rPr>
        <w:t>供应商</w:t>
      </w:r>
      <w:r>
        <w:rPr>
          <w:color w:val="000000"/>
        </w:rPr>
        <w:t>负担。</w:t>
      </w:r>
    </w:p>
    <w:p>
      <w:pPr>
        <w:spacing w:line="360" w:lineRule="auto"/>
        <w:ind w:firstLine="420" w:firstLineChars="200"/>
        <w:rPr>
          <w:color w:val="000000"/>
        </w:rPr>
      </w:pPr>
      <w:r>
        <w:rPr>
          <w:color w:val="000000"/>
        </w:rPr>
        <w:t>8.</w:t>
      </w:r>
      <w:r>
        <w:rPr>
          <w:color w:val="000000"/>
        </w:rPr>
        <w:tab/>
      </w:r>
      <w:r>
        <w:rPr>
          <w:color w:val="000000"/>
        </w:rPr>
        <w:t>交货</w:t>
      </w:r>
    </w:p>
    <w:p>
      <w:pPr>
        <w:spacing w:line="360" w:lineRule="auto"/>
        <w:ind w:firstLine="420" w:firstLineChars="200"/>
        <w:rPr>
          <w:color w:val="000000"/>
        </w:rPr>
      </w:pPr>
      <w:r>
        <w:rPr>
          <w:color w:val="000000"/>
        </w:rPr>
        <w:t>▲8.1</w:t>
      </w:r>
      <w:r>
        <w:rPr>
          <w:rFonts w:hint="eastAsia"/>
          <w:color w:val="000000"/>
        </w:rPr>
        <w:t xml:space="preserve"> </w:t>
      </w:r>
      <w:r>
        <w:rPr>
          <w:color w:val="000000"/>
        </w:rPr>
        <w:t>交货期：</w:t>
      </w:r>
      <w:r>
        <w:rPr>
          <w:rFonts w:hint="eastAsia"/>
          <w:color w:val="000000"/>
          <w:szCs w:val="21"/>
        </w:rPr>
        <w:t>合同签订后1个月内。</w:t>
      </w:r>
    </w:p>
    <w:p>
      <w:pPr>
        <w:spacing w:line="360" w:lineRule="auto"/>
        <w:ind w:firstLine="420" w:firstLineChars="200"/>
        <w:rPr>
          <w:color w:val="000000"/>
          <w:szCs w:val="21"/>
        </w:rPr>
      </w:pPr>
      <w:r>
        <w:rPr>
          <w:color w:val="000000"/>
        </w:rPr>
        <w:t>8.2</w:t>
      </w:r>
      <w:r>
        <w:rPr>
          <w:color w:val="000000"/>
        </w:rPr>
        <w:tab/>
      </w:r>
      <w:r>
        <w:rPr>
          <w:color w:val="000000"/>
        </w:rPr>
        <w:t>交货地点：</w:t>
      </w:r>
      <w:r>
        <w:rPr>
          <w:rFonts w:hint="eastAsia"/>
          <w:color w:val="000000"/>
          <w:szCs w:val="21"/>
        </w:rPr>
        <w:t>瑞安市妇幼保健院</w:t>
      </w:r>
    </w:p>
    <w:p>
      <w:pPr>
        <w:spacing w:line="360" w:lineRule="auto"/>
        <w:ind w:firstLine="420" w:firstLineChars="200"/>
        <w:rPr>
          <w:color w:val="000000"/>
        </w:rPr>
      </w:pPr>
      <w:r>
        <w:rPr>
          <w:rFonts w:hint="eastAsia"/>
          <w:color w:val="000000"/>
        </w:rPr>
        <w:t>9.</w:t>
      </w:r>
      <w:r>
        <w:rPr>
          <w:color w:val="000000"/>
        </w:rPr>
        <w:tab/>
      </w:r>
      <w:r>
        <w:rPr>
          <w:color w:val="000000"/>
        </w:rPr>
        <w:t>报价方式</w:t>
      </w:r>
    </w:p>
    <w:p>
      <w:pPr>
        <w:spacing w:line="360" w:lineRule="auto"/>
        <w:ind w:firstLine="420" w:firstLineChars="200"/>
        <w:rPr>
          <w:b/>
          <w:color w:val="000000"/>
          <w:szCs w:val="21"/>
        </w:rPr>
      </w:pPr>
      <w:r>
        <w:rPr>
          <w:rFonts w:hint="eastAsia"/>
          <w:color w:val="000000"/>
        </w:rPr>
        <w:t>9</w:t>
      </w:r>
      <w:r>
        <w:rPr>
          <w:color w:val="000000"/>
        </w:rPr>
        <w:t>.1所有投标价格为含税到用户人民币价（含货物应交纳的一切税费和伴随服务费）并进行分项报价；质保期后的维保费单独报价（不包括在投标价中），选购件单独分项报价（不包括在投标价中）。</w:t>
      </w:r>
    </w:p>
    <w:p>
      <w:pPr>
        <w:pStyle w:val="20"/>
        <w:ind w:left="0" w:leftChars="0" w:firstLine="0" w:firstLineChars="0"/>
      </w:pPr>
      <w:bookmarkStart w:id="58" w:name="_Toc273624872"/>
      <w:bookmarkStart w:id="59" w:name="_Toc82338233"/>
      <w:bookmarkStart w:id="60" w:name="_Toc82873316"/>
      <w:bookmarkStart w:id="61" w:name="_Toc211745565"/>
      <w:bookmarkStart w:id="62" w:name="_Toc8272"/>
      <w:bookmarkStart w:id="63" w:name="_Toc495317670"/>
    </w:p>
    <w:p>
      <w:pPr>
        <w:bidi w:val="0"/>
      </w:pPr>
    </w:p>
    <w:p>
      <w:pPr>
        <w:pStyle w:val="2"/>
      </w:pPr>
    </w:p>
    <w:p/>
    <w:p>
      <w:pPr>
        <w:pStyle w:val="2"/>
      </w:pPr>
    </w:p>
    <w:p/>
    <w:p>
      <w:pPr>
        <w:pStyle w:val="3"/>
        <w:snapToGrid w:val="0"/>
        <w:rPr>
          <w:color w:val="000000"/>
        </w:rPr>
      </w:pPr>
      <w:r>
        <w:rPr>
          <w:color w:val="000000"/>
        </w:rPr>
        <w:t>第三章</w:t>
      </w:r>
      <w:bookmarkEnd w:id="58"/>
      <w:r>
        <w:rPr>
          <w:color w:val="000000"/>
        </w:rPr>
        <w:t xml:space="preserve">  </w:t>
      </w:r>
      <w:r>
        <w:rPr>
          <w:rFonts w:hint="eastAsia"/>
          <w:color w:val="000000"/>
        </w:rPr>
        <w:t>供应商</w:t>
      </w:r>
      <w:r>
        <w:rPr>
          <w:color w:val="000000"/>
        </w:rPr>
        <w:t>须知</w:t>
      </w:r>
      <w:bookmarkEnd w:id="59"/>
      <w:bookmarkEnd w:id="60"/>
      <w:bookmarkEnd w:id="61"/>
      <w:bookmarkEnd w:id="62"/>
      <w:bookmarkEnd w:id="63"/>
      <w:bookmarkStart w:id="64" w:name="_Toc82873322"/>
      <w:bookmarkStart w:id="65" w:name="_Toc82338239"/>
    </w:p>
    <w:p>
      <w:pPr>
        <w:spacing w:line="360" w:lineRule="auto"/>
        <w:ind w:firstLine="422" w:firstLineChars="200"/>
        <w:rPr>
          <w:b/>
          <w:bCs/>
        </w:rPr>
      </w:pPr>
      <w:r>
        <w:rPr>
          <w:b/>
          <w:bCs/>
        </w:rPr>
        <w:t>一、</w:t>
      </w:r>
      <w:bookmarkEnd w:id="64"/>
      <w:bookmarkEnd w:id="65"/>
      <w:r>
        <w:rPr>
          <w:b/>
          <w:bCs/>
        </w:rPr>
        <w:t>总则</w:t>
      </w:r>
    </w:p>
    <w:p>
      <w:pPr>
        <w:pStyle w:val="5"/>
        <w:spacing w:line="360" w:lineRule="auto"/>
        <w:ind w:firstLine="422"/>
        <w:rPr>
          <w:rFonts w:ascii="Times New Roman" w:hAnsi="Times New Roman"/>
          <w:color w:val="000000"/>
        </w:rPr>
      </w:pPr>
      <w:bookmarkStart w:id="66" w:name="_Toc11212"/>
      <w:bookmarkStart w:id="67" w:name="_Toc82873323"/>
      <w:bookmarkStart w:id="68" w:name="_Toc82338240"/>
      <w:r>
        <w:rPr>
          <w:rFonts w:ascii="Times New Roman" w:hAnsi="Times New Roman"/>
          <w:color w:val="000000"/>
        </w:rPr>
        <w:t>1.1 实施依据</w:t>
      </w:r>
      <w:bookmarkEnd w:id="66"/>
    </w:p>
    <w:p>
      <w:pPr>
        <w:pStyle w:val="34"/>
        <w:snapToGrid w:val="0"/>
        <w:spacing w:line="360" w:lineRule="auto"/>
        <w:ind w:firstLine="420"/>
        <w:rPr>
          <w:rFonts w:ascii="Times New Roman" w:hAnsi="Times New Roman"/>
          <w:color w:val="000000"/>
        </w:rPr>
      </w:pPr>
      <w:r>
        <w:rPr>
          <w:rFonts w:ascii="Times New Roman" w:hAnsi="Times New Roman"/>
          <w:color w:val="000000"/>
        </w:rPr>
        <w:t>本次招标工作是按照</w:t>
      </w:r>
      <w:r>
        <w:rPr>
          <w:rFonts w:ascii="Times New Roman" w:hAnsi="Times New Roman"/>
          <w:color w:val="000000"/>
          <w:kern w:val="0"/>
          <w:szCs w:val="21"/>
        </w:rPr>
        <w:t>《中华人民共和国政府采购法》</w:t>
      </w:r>
      <w:r>
        <w:rPr>
          <w:rFonts w:ascii="Times New Roman" w:hAnsi="Times New Roman"/>
          <w:color w:val="000000"/>
          <w:szCs w:val="21"/>
        </w:rPr>
        <w:t>、《中华人民共和国政府采购法实施条例》、《政府采购货物和服务招标投标管理办法》</w:t>
      </w:r>
      <w:r>
        <w:rPr>
          <w:rFonts w:ascii="Times New Roman" w:hAnsi="Times New Roman"/>
          <w:color w:val="000000"/>
        </w:rPr>
        <w:t>等有关法律、法规、规章、文件的规定组织和实施。</w:t>
      </w:r>
    </w:p>
    <w:p>
      <w:pPr>
        <w:pStyle w:val="5"/>
        <w:spacing w:line="360" w:lineRule="auto"/>
        <w:ind w:firstLine="422"/>
        <w:rPr>
          <w:rFonts w:ascii="Times New Roman" w:hAnsi="Times New Roman"/>
          <w:color w:val="000000"/>
        </w:rPr>
      </w:pPr>
      <w:bookmarkStart w:id="69" w:name="_Toc3887"/>
      <w:r>
        <w:rPr>
          <w:rFonts w:ascii="Times New Roman" w:hAnsi="Times New Roman"/>
          <w:color w:val="000000"/>
        </w:rPr>
        <w:t>1.2 采购方式</w:t>
      </w:r>
      <w:bookmarkEnd w:id="69"/>
    </w:p>
    <w:p>
      <w:pPr>
        <w:pStyle w:val="34"/>
        <w:snapToGrid w:val="0"/>
        <w:spacing w:line="360" w:lineRule="auto"/>
        <w:ind w:firstLine="420"/>
        <w:rPr>
          <w:rFonts w:ascii="Times New Roman" w:hAnsi="Times New Roman"/>
          <w:color w:val="000000"/>
        </w:rPr>
      </w:pPr>
      <w:r>
        <w:rPr>
          <w:rFonts w:ascii="Times New Roman" w:hAnsi="Times New Roman"/>
          <w:color w:val="000000"/>
          <w:szCs w:val="21"/>
        </w:rPr>
        <w:t>公开招标，是指招标采购单位依法以招标公告的方式邀请不特定的供应商参加投标。</w:t>
      </w:r>
    </w:p>
    <w:p>
      <w:pPr>
        <w:pStyle w:val="5"/>
        <w:spacing w:line="360" w:lineRule="auto"/>
        <w:ind w:firstLine="422"/>
        <w:rPr>
          <w:rFonts w:ascii="Times New Roman" w:hAnsi="Times New Roman"/>
          <w:color w:val="000000"/>
        </w:rPr>
      </w:pPr>
      <w:bookmarkStart w:id="70" w:name="_Toc9072"/>
      <w:r>
        <w:rPr>
          <w:rFonts w:ascii="Times New Roman" w:hAnsi="Times New Roman"/>
          <w:color w:val="000000"/>
        </w:rPr>
        <w:t>1.3 定义</w:t>
      </w:r>
      <w:bookmarkEnd w:id="70"/>
    </w:p>
    <w:p>
      <w:pPr>
        <w:pStyle w:val="34"/>
        <w:snapToGrid w:val="0"/>
        <w:spacing w:line="360" w:lineRule="auto"/>
        <w:ind w:firstLine="420"/>
        <w:rPr>
          <w:rFonts w:ascii="Times New Roman" w:hAnsi="Times New Roman"/>
          <w:color w:val="000000"/>
        </w:rPr>
      </w:pPr>
      <w:r>
        <w:rPr>
          <w:rFonts w:ascii="Times New Roman" w:hAnsi="Times New Roman"/>
          <w:color w:val="000000"/>
        </w:rPr>
        <w:t>采购人：是指依法进行政府采购的国家机关、事业单位、团体组织，见“</w:t>
      </w:r>
      <w:r>
        <w:rPr>
          <w:rFonts w:hint="eastAsia" w:ascii="Times New Roman" w:hAnsi="Times New Roman"/>
          <w:color w:val="000000"/>
        </w:rPr>
        <w:t>供应商</w:t>
      </w:r>
      <w:r>
        <w:rPr>
          <w:rFonts w:ascii="Times New Roman" w:hAnsi="Times New Roman"/>
          <w:color w:val="000000"/>
        </w:rPr>
        <w:t>须知前附表”；</w:t>
      </w:r>
    </w:p>
    <w:p>
      <w:pPr>
        <w:pStyle w:val="34"/>
        <w:snapToGrid w:val="0"/>
        <w:spacing w:line="360" w:lineRule="auto"/>
        <w:ind w:firstLine="420"/>
        <w:rPr>
          <w:rFonts w:ascii="Times New Roman" w:hAnsi="Times New Roman"/>
          <w:color w:val="000000"/>
        </w:rPr>
      </w:pPr>
      <w:r>
        <w:rPr>
          <w:rFonts w:ascii="Times New Roman" w:hAnsi="Times New Roman"/>
          <w:color w:val="000000"/>
        </w:rPr>
        <w:t>采购代理机构：受采购人委托，在委托的范围内办理政府采购事宜的机构，见“</w:t>
      </w:r>
      <w:r>
        <w:rPr>
          <w:rFonts w:hint="eastAsia" w:ascii="Times New Roman" w:hAnsi="Times New Roman"/>
          <w:color w:val="000000"/>
        </w:rPr>
        <w:t>供应商</w:t>
      </w:r>
      <w:r>
        <w:rPr>
          <w:rFonts w:ascii="Times New Roman" w:hAnsi="Times New Roman"/>
          <w:color w:val="000000"/>
        </w:rPr>
        <w:t>须知前附表”；</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：是指参加本政府采购项目投标的供应商；</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代表：是指参加本项目投标活动的供应商法定代表人或法定代表人授权代表；</w:t>
      </w:r>
    </w:p>
    <w:p>
      <w:pPr>
        <w:pStyle w:val="34"/>
        <w:snapToGrid w:val="0"/>
        <w:spacing w:line="360" w:lineRule="auto"/>
        <w:ind w:firstLine="420"/>
        <w:rPr>
          <w:rFonts w:ascii="Times New Roman" w:hAnsi="Times New Roman"/>
          <w:color w:val="000000"/>
        </w:rPr>
      </w:pPr>
      <w:r>
        <w:rPr>
          <w:rFonts w:ascii="Times New Roman" w:hAnsi="Times New Roman"/>
          <w:color w:val="000000"/>
        </w:rPr>
        <w:t>投标联合体：是指两个以上供应商组成联合体，以一个供应商的身份参加投标；</w:t>
      </w:r>
    </w:p>
    <w:p>
      <w:pPr>
        <w:pStyle w:val="34"/>
        <w:snapToGrid w:val="0"/>
        <w:spacing w:line="360" w:lineRule="auto"/>
        <w:ind w:firstLine="420"/>
        <w:rPr>
          <w:rFonts w:ascii="Times New Roman" w:hAnsi="Times New Roman"/>
          <w:color w:val="000000"/>
        </w:rPr>
      </w:pPr>
      <w:r>
        <w:rPr>
          <w:rFonts w:ascii="Times New Roman" w:hAnsi="Times New Roman"/>
          <w:color w:val="000000"/>
        </w:rPr>
        <w:t>甲方：是指合同签订的一方，一般与采购人、用户相同；</w:t>
      </w:r>
    </w:p>
    <w:p>
      <w:pPr>
        <w:pStyle w:val="34"/>
        <w:snapToGrid w:val="0"/>
        <w:spacing w:line="360" w:lineRule="auto"/>
        <w:ind w:firstLine="420"/>
        <w:rPr>
          <w:rFonts w:ascii="Times New Roman" w:hAnsi="Times New Roman"/>
          <w:color w:val="000000"/>
        </w:rPr>
      </w:pPr>
      <w:r>
        <w:rPr>
          <w:rFonts w:ascii="Times New Roman" w:hAnsi="Times New Roman"/>
          <w:color w:val="000000"/>
        </w:rPr>
        <w:t>乙方：是指合同签订的另一方，与中标人相同；</w:t>
      </w:r>
    </w:p>
    <w:p>
      <w:pPr>
        <w:pStyle w:val="34"/>
        <w:snapToGrid w:val="0"/>
        <w:spacing w:line="360" w:lineRule="auto"/>
        <w:ind w:firstLine="420"/>
        <w:rPr>
          <w:rFonts w:ascii="Times New Roman" w:hAnsi="Times New Roman"/>
          <w:color w:val="000000"/>
        </w:rPr>
      </w:pPr>
      <w:r>
        <w:rPr>
          <w:rFonts w:ascii="Times New Roman" w:hAnsi="Times New Roman"/>
          <w:color w:val="000000"/>
        </w:rPr>
        <w:t>制造商：是指拥有投标产品自主知识产权的单位；</w:t>
      </w:r>
    </w:p>
    <w:p>
      <w:pPr>
        <w:pStyle w:val="5"/>
        <w:spacing w:line="360" w:lineRule="auto"/>
        <w:ind w:firstLine="422"/>
        <w:rPr>
          <w:rFonts w:ascii="Times New Roman" w:hAnsi="Times New Roman"/>
          <w:color w:val="000000"/>
        </w:rPr>
      </w:pPr>
      <w:bookmarkStart w:id="71" w:name="_Toc11998"/>
      <w:r>
        <w:rPr>
          <w:rFonts w:ascii="Times New Roman" w:hAnsi="Times New Roman"/>
          <w:color w:val="000000"/>
        </w:rPr>
        <w:t>1.4 联合体投标</w:t>
      </w:r>
      <w:r>
        <w:rPr>
          <w:rFonts w:hint="eastAsia" w:ascii="Times New Roman" w:hAnsi="Times New Roman"/>
          <w:color w:val="000000"/>
        </w:rPr>
        <w:t>（如适用）</w:t>
      </w:r>
      <w:bookmarkEnd w:id="71"/>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联合体中有同类资质的供应商按照联合体分工承担相同工作的，应当按照资质等级较低的供应商确定资质等级。</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以联合体形式参加投标的，联合体各方不得再单独参加或者与其他供应商另外组成联合体参加本项目的投标。</w:t>
      </w:r>
    </w:p>
    <w:p>
      <w:pPr>
        <w:pStyle w:val="5"/>
        <w:spacing w:line="360" w:lineRule="auto"/>
        <w:ind w:firstLine="422"/>
        <w:rPr>
          <w:rFonts w:ascii="Times New Roman" w:hAnsi="Times New Roman"/>
          <w:color w:val="000000"/>
        </w:rPr>
      </w:pPr>
      <w:bookmarkStart w:id="72" w:name="_Toc27055"/>
      <w:r>
        <w:rPr>
          <w:rFonts w:ascii="Times New Roman" w:hAnsi="Times New Roman"/>
          <w:color w:val="000000"/>
        </w:rPr>
        <w:t>1.5 投标费用</w:t>
      </w:r>
      <w:bookmarkEnd w:id="72"/>
    </w:p>
    <w:p>
      <w:pPr>
        <w:adjustRightInd w:val="0"/>
        <w:snapToGrid w:val="0"/>
        <w:spacing w:line="360" w:lineRule="auto"/>
        <w:ind w:firstLine="420" w:firstLineChars="200"/>
        <w:rPr>
          <w:b/>
          <w:bCs/>
          <w:color w:val="000000"/>
        </w:rPr>
      </w:pPr>
      <w:r>
        <w:rPr>
          <w:color w:val="000000"/>
        </w:rPr>
        <w:t>无论招投标过程中的做法和结果如何，</w:t>
      </w:r>
      <w:r>
        <w:rPr>
          <w:rFonts w:hint="eastAsia"/>
          <w:color w:val="000000"/>
        </w:rPr>
        <w:t>供应商</w:t>
      </w:r>
      <w:r>
        <w:rPr>
          <w:color w:val="000000"/>
        </w:rPr>
        <w:t>自行承担招投标活动中所发生的全部费用。</w:t>
      </w:r>
    </w:p>
    <w:p>
      <w:pPr>
        <w:pStyle w:val="5"/>
        <w:spacing w:line="360" w:lineRule="auto"/>
        <w:ind w:firstLine="422"/>
        <w:rPr>
          <w:rFonts w:ascii="Times New Roman" w:hAnsi="Times New Roman"/>
          <w:color w:val="000000"/>
        </w:rPr>
      </w:pPr>
      <w:bookmarkStart w:id="73" w:name="_Toc16605"/>
      <w:r>
        <w:rPr>
          <w:rFonts w:ascii="Times New Roman" w:hAnsi="Times New Roman"/>
          <w:color w:val="000000"/>
        </w:rPr>
        <w:t>1.6 保密</w:t>
      </w:r>
      <w:bookmarkEnd w:id="73"/>
    </w:p>
    <w:p>
      <w:pPr>
        <w:adjustRightInd w:val="0"/>
        <w:snapToGrid w:val="0"/>
        <w:spacing w:line="360" w:lineRule="auto"/>
        <w:ind w:firstLine="420" w:firstLineChars="200"/>
        <w:rPr>
          <w:color w:val="000000"/>
        </w:rPr>
      </w:pPr>
      <w:r>
        <w:rPr>
          <w:color w:val="000000"/>
        </w:rPr>
        <w:t>参与招标投标活动的各方应对采购文件和投标文件中的商业和技术等秘密保密，违者应对此造成的后果承担法律责任。</w:t>
      </w:r>
    </w:p>
    <w:p>
      <w:pPr>
        <w:pStyle w:val="5"/>
        <w:spacing w:line="360" w:lineRule="auto"/>
        <w:ind w:firstLine="422"/>
        <w:rPr>
          <w:rFonts w:ascii="Times New Roman" w:hAnsi="Times New Roman"/>
          <w:color w:val="000000"/>
        </w:rPr>
      </w:pPr>
      <w:bookmarkStart w:id="74" w:name="_Toc1958"/>
      <w:r>
        <w:rPr>
          <w:rFonts w:ascii="Times New Roman" w:hAnsi="Times New Roman"/>
          <w:color w:val="000000"/>
        </w:rPr>
        <w:t>1.7 语言文字</w:t>
      </w:r>
      <w:bookmarkEnd w:id="74"/>
    </w:p>
    <w:p>
      <w:pPr>
        <w:adjustRightInd w:val="0"/>
        <w:snapToGrid w:val="0"/>
        <w:spacing w:line="360" w:lineRule="auto"/>
        <w:ind w:firstLine="420" w:firstLineChars="200"/>
        <w:rPr>
          <w:color w:val="000000"/>
        </w:rPr>
      </w:pPr>
      <w:r>
        <w:rPr>
          <w:color w:val="000000"/>
        </w:rPr>
        <w:t>除专用术语外，与招标投标有关的语言使用中文。专用术语应附有中文注释。</w:t>
      </w:r>
    </w:p>
    <w:p>
      <w:pPr>
        <w:pStyle w:val="5"/>
        <w:spacing w:line="360" w:lineRule="auto"/>
        <w:ind w:firstLine="422"/>
        <w:rPr>
          <w:rFonts w:ascii="Times New Roman" w:hAnsi="Times New Roman"/>
          <w:color w:val="000000"/>
        </w:rPr>
      </w:pPr>
      <w:bookmarkStart w:id="75" w:name="_Toc25794"/>
      <w:r>
        <w:rPr>
          <w:rFonts w:ascii="Times New Roman" w:hAnsi="Times New Roman"/>
          <w:color w:val="000000"/>
        </w:rPr>
        <w:t>1.8 计量单位</w:t>
      </w:r>
      <w:bookmarkEnd w:id="75"/>
    </w:p>
    <w:p>
      <w:pPr>
        <w:adjustRightInd w:val="0"/>
        <w:snapToGrid w:val="0"/>
        <w:spacing w:line="360" w:lineRule="auto"/>
        <w:ind w:firstLine="420" w:firstLineChars="200"/>
        <w:rPr>
          <w:color w:val="000000"/>
        </w:rPr>
      </w:pPr>
      <w:r>
        <w:rPr>
          <w:color w:val="000000"/>
        </w:rPr>
        <w:t>所有计量均采用中华人民共和国法定计量单位。</w:t>
      </w:r>
    </w:p>
    <w:p>
      <w:pPr>
        <w:pStyle w:val="5"/>
        <w:spacing w:line="360" w:lineRule="auto"/>
        <w:ind w:firstLine="422"/>
        <w:rPr>
          <w:rFonts w:ascii="Times New Roman" w:hAnsi="Times New Roman"/>
          <w:color w:val="000000"/>
        </w:rPr>
      </w:pPr>
      <w:bookmarkStart w:id="76" w:name="_Toc13752"/>
      <w:r>
        <w:rPr>
          <w:rFonts w:ascii="Times New Roman" w:hAnsi="Times New Roman"/>
          <w:color w:val="000000"/>
        </w:rPr>
        <w:t>1.9 踏勘现场（如适用）</w:t>
      </w:r>
      <w:bookmarkEnd w:id="76"/>
    </w:p>
    <w:p>
      <w:pPr>
        <w:adjustRightInd w:val="0"/>
        <w:snapToGrid w:val="0"/>
        <w:spacing w:line="360" w:lineRule="auto"/>
        <w:ind w:firstLine="420" w:firstLineChars="200"/>
        <w:rPr>
          <w:color w:val="000000"/>
        </w:rPr>
      </w:pPr>
      <w:r>
        <w:rPr>
          <w:color w:val="000000"/>
        </w:rPr>
        <w:t>1.9.1</w:t>
      </w:r>
      <w:r>
        <w:rPr>
          <w:rFonts w:hint="eastAsia"/>
          <w:color w:val="000000"/>
        </w:rPr>
        <w:t>供应商</w:t>
      </w:r>
      <w:r>
        <w:rPr>
          <w:color w:val="000000"/>
        </w:rPr>
        <w:t>须知前附表规定组织踏勘现场的，采购人按</w:t>
      </w:r>
      <w:r>
        <w:rPr>
          <w:rFonts w:hint="eastAsia"/>
          <w:color w:val="000000"/>
        </w:rPr>
        <w:t>供应商</w:t>
      </w:r>
      <w:r>
        <w:rPr>
          <w:color w:val="000000"/>
        </w:rPr>
        <w:t>须知前附表规定的时间、地点组织</w:t>
      </w:r>
      <w:r>
        <w:rPr>
          <w:rFonts w:hint="eastAsia"/>
          <w:color w:val="000000"/>
        </w:rPr>
        <w:t>供应商</w:t>
      </w:r>
      <w:r>
        <w:rPr>
          <w:color w:val="000000"/>
        </w:rPr>
        <w:t>踏勘项目现场。</w:t>
      </w:r>
    </w:p>
    <w:p>
      <w:pPr>
        <w:adjustRightInd w:val="0"/>
        <w:snapToGrid w:val="0"/>
        <w:spacing w:line="360" w:lineRule="auto"/>
        <w:ind w:firstLine="420" w:firstLineChars="200"/>
        <w:rPr>
          <w:color w:val="000000"/>
        </w:rPr>
      </w:pPr>
      <w:r>
        <w:rPr>
          <w:color w:val="000000"/>
        </w:rPr>
        <w:t>1.9.2</w:t>
      </w:r>
      <w:r>
        <w:rPr>
          <w:rFonts w:hint="eastAsia"/>
          <w:color w:val="000000"/>
        </w:rPr>
        <w:t>供应商</w:t>
      </w:r>
      <w:r>
        <w:rPr>
          <w:color w:val="000000"/>
        </w:rPr>
        <w:t>踏勘现场发生的费用自理。</w:t>
      </w:r>
    </w:p>
    <w:p>
      <w:pPr>
        <w:adjustRightInd w:val="0"/>
        <w:snapToGrid w:val="0"/>
        <w:spacing w:line="360" w:lineRule="auto"/>
        <w:ind w:firstLine="420" w:firstLineChars="200"/>
        <w:rPr>
          <w:color w:val="000000"/>
        </w:rPr>
      </w:pPr>
      <w:r>
        <w:rPr>
          <w:color w:val="000000"/>
        </w:rPr>
        <w:t>1.9.3除采购人的原因外，</w:t>
      </w:r>
      <w:r>
        <w:rPr>
          <w:rFonts w:hint="eastAsia"/>
          <w:color w:val="000000"/>
        </w:rPr>
        <w:t>供应商</w:t>
      </w:r>
      <w:r>
        <w:rPr>
          <w:color w:val="000000"/>
        </w:rPr>
        <w:t>自行负责在踏勘现场中所发生的人员伤亡和财产损失。</w:t>
      </w:r>
    </w:p>
    <w:p>
      <w:pPr>
        <w:adjustRightInd w:val="0"/>
        <w:snapToGrid w:val="0"/>
        <w:spacing w:line="360" w:lineRule="auto"/>
        <w:ind w:firstLine="420" w:firstLineChars="200"/>
        <w:rPr>
          <w:color w:val="000000"/>
        </w:rPr>
      </w:pPr>
      <w:r>
        <w:rPr>
          <w:color w:val="000000"/>
        </w:rPr>
        <w:t>1.9.4采购人在踏勘现场中介绍的场地和相关的周边环境情况，供</w:t>
      </w:r>
      <w:r>
        <w:rPr>
          <w:rFonts w:hint="eastAsia"/>
          <w:color w:val="000000"/>
        </w:rPr>
        <w:t>供应商</w:t>
      </w:r>
      <w:r>
        <w:rPr>
          <w:color w:val="000000"/>
        </w:rPr>
        <w:t>在编制投标文件时参考，采购人不对</w:t>
      </w:r>
      <w:r>
        <w:rPr>
          <w:rFonts w:hint="eastAsia"/>
          <w:color w:val="000000"/>
        </w:rPr>
        <w:t>供应商</w:t>
      </w:r>
      <w:r>
        <w:rPr>
          <w:color w:val="000000"/>
        </w:rPr>
        <w:t>据此作出的判断和决策负责。</w:t>
      </w:r>
    </w:p>
    <w:p>
      <w:pPr>
        <w:pStyle w:val="5"/>
        <w:spacing w:line="360" w:lineRule="auto"/>
        <w:ind w:firstLine="422"/>
        <w:rPr>
          <w:rFonts w:ascii="Times New Roman" w:hAnsi="Times New Roman"/>
          <w:color w:val="000000"/>
        </w:rPr>
      </w:pPr>
      <w:bookmarkStart w:id="77" w:name="_Toc21479"/>
      <w:r>
        <w:rPr>
          <w:rFonts w:ascii="Times New Roman" w:hAnsi="Times New Roman"/>
          <w:color w:val="000000"/>
        </w:rPr>
        <w:t>1.10 分包（如适用）</w:t>
      </w:r>
      <w:bookmarkEnd w:id="77"/>
    </w:p>
    <w:p>
      <w:pPr>
        <w:adjustRightInd w:val="0"/>
        <w:snapToGrid w:val="0"/>
        <w:spacing w:line="360" w:lineRule="auto"/>
        <w:ind w:firstLine="420" w:firstLineChars="200"/>
        <w:rPr>
          <w:color w:val="000000"/>
        </w:rPr>
      </w:pPr>
      <w:r>
        <w:rPr>
          <w:rFonts w:hint="eastAsia"/>
          <w:color w:val="000000"/>
        </w:rPr>
        <w:t>供应商</w:t>
      </w:r>
      <w:r>
        <w:rPr>
          <w:color w:val="000000"/>
        </w:rPr>
        <w:t>须知前附表规定允许分包的，</w:t>
      </w:r>
      <w:r>
        <w:rPr>
          <w:rFonts w:hint="eastAsia"/>
          <w:color w:val="000000"/>
        </w:rPr>
        <w:t>供应商</w:t>
      </w:r>
      <w:r>
        <w:rPr>
          <w:color w:val="000000"/>
        </w:rPr>
        <w:t>应当在投标文件载明分包的具体情况，应符合采购人在</w:t>
      </w:r>
      <w:r>
        <w:rPr>
          <w:rFonts w:hint="eastAsia"/>
          <w:color w:val="000000"/>
        </w:rPr>
        <w:t>供应商</w:t>
      </w:r>
      <w:r>
        <w:rPr>
          <w:color w:val="000000"/>
        </w:rPr>
        <w:t>须知前附表规定的分包内容、分包金额和接受分包的第三人资质要求等限制条件。</w:t>
      </w:r>
    </w:p>
    <w:p>
      <w:pPr>
        <w:pStyle w:val="5"/>
        <w:spacing w:line="360" w:lineRule="auto"/>
        <w:ind w:firstLine="422"/>
        <w:rPr>
          <w:rFonts w:ascii="Times New Roman" w:hAnsi="Times New Roman"/>
          <w:color w:val="000000"/>
        </w:rPr>
      </w:pPr>
      <w:bookmarkStart w:id="78" w:name="_Toc10322"/>
      <w:r>
        <w:rPr>
          <w:rFonts w:ascii="Times New Roman" w:hAnsi="Times New Roman"/>
          <w:color w:val="000000"/>
        </w:rPr>
        <w:t>1.11 偏离</w:t>
      </w:r>
      <w:bookmarkEnd w:id="78"/>
    </w:p>
    <w:p>
      <w:pPr>
        <w:adjustRightInd w:val="0"/>
        <w:snapToGrid w:val="0"/>
        <w:spacing w:line="360" w:lineRule="auto"/>
        <w:ind w:firstLine="420" w:firstLineChars="200"/>
        <w:rPr>
          <w:color w:val="000000"/>
        </w:rPr>
      </w:pPr>
      <w:r>
        <w:rPr>
          <w:color w:val="000000"/>
        </w:rPr>
        <w:t>投标文件应完全响应采购文件规定的实质性内容和条件。</w:t>
      </w:r>
    </w:p>
    <w:p>
      <w:pPr>
        <w:pStyle w:val="5"/>
        <w:spacing w:line="360" w:lineRule="auto"/>
        <w:ind w:firstLine="422"/>
        <w:rPr>
          <w:rFonts w:ascii="Times New Roman" w:hAnsi="Times New Roman"/>
          <w:color w:val="000000"/>
        </w:rPr>
      </w:pPr>
      <w:bookmarkStart w:id="79" w:name="_Toc14234"/>
      <w:r>
        <w:rPr>
          <w:rFonts w:ascii="Times New Roman" w:hAnsi="Times New Roman"/>
          <w:color w:val="000000"/>
        </w:rPr>
        <w:t>1.12 其他说明</w:t>
      </w:r>
      <w:bookmarkEnd w:id="79"/>
    </w:p>
    <w:p>
      <w:pPr>
        <w:pStyle w:val="34"/>
        <w:snapToGrid w:val="0"/>
        <w:spacing w:line="360" w:lineRule="auto"/>
        <w:ind w:firstLine="420"/>
        <w:rPr>
          <w:rFonts w:ascii="Times New Roman" w:hAnsi="Times New Roman"/>
          <w:color w:val="000000"/>
        </w:rPr>
      </w:pPr>
      <w:r>
        <w:rPr>
          <w:rFonts w:ascii="Times New Roman" w:hAnsi="Times New Roman"/>
          <w:color w:val="000000"/>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34"/>
        <w:snapToGrid w:val="0"/>
        <w:spacing w:line="360" w:lineRule="auto"/>
        <w:ind w:firstLine="420"/>
        <w:rPr>
          <w:rFonts w:ascii="Times New Roman" w:hAnsi="Times New Roman"/>
          <w:color w:val="000000"/>
          <w:u w:val="single"/>
        </w:rPr>
      </w:pPr>
      <w:r>
        <w:rPr>
          <w:rFonts w:ascii="Times New Roman" w:hAnsi="Times New Roman"/>
          <w:color w:val="000000"/>
        </w:rPr>
        <w:t>▲1.12.2</w:t>
      </w:r>
      <w:r>
        <w:rPr>
          <w:rFonts w:hint="eastAsia" w:ascii="Times New Roman" w:hAnsi="Times New Roman"/>
          <w:color w:val="000000"/>
        </w:rPr>
        <w:t>供应商</w:t>
      </w:r>
      <w:r>
        <w:rPr>
          <w:rFonts w:ascii="Times New Roman" w:hAnsi="Times New Roman"/>
          <w:color w:val="000000"/>
        </w:rPr>
        <w:t>对所投标项内的采购内容必须全部进行投标。</w:t>
      </w:r>
    </w:p>
    <w:p>
      <w:pPr>
        <w:pStyle w:val="34"/>
        <w:snapToGrid w:val="0"/>
        <w:spacing w:line="360" w:lineRule="auto"/>
        <w:ind w:firstLine="420"/>
        <w:rPr>
          <w:rFonts w:ascii="Times New Roman" w:hAnsi="Times New Roman"/>
          <w:bCs/>
          <w:color w:val="000000"/>
        </w:rPr>
      </w:pPr>
      <w:r>
        <w:rPr>
          <w:rFonts w:ascii="Times New Roman" w:hAnsi="Times New Roman"/>
          <w:color w:val="000000"/>
        </w:rPr>
        <w:t>1.12.3</w:t>
      </w:r>
      <w:r>
        <w:rPr>
          <w:rFonts w:ascii="Times New Roman" w:hAnsi="Times New Roman"/>
          <w:bCs/>
          <w:color w:val="000000"/>
        </w:rPr>
        <w:t>采购文件中所涉及的产品品牌或型号均为建议性要求或为代替部分技术指标描述，</w:t>
      </w:r>
      <w:r>
        <w:rPr>
          <w:rFonts w:hint="eastAsia" w:ascii="Times New Roman" w:hAnsi="Times New Roman"/>
          <w:bCs/>
          <w:color w:val="000000"/>
        </w:rPr>
        <w:t>供应商</w:t>
      </w:r>
      <w:r>
        <w:rPr>
          <w:rFonts w:ascii="Times New Roman" w:hAnsi="Times New Roman"/>
          <w:bCs/>
          <w:color w:val="000000"/>
        </w:rPr>
        <w:t>可以选择其他品牌型号的产品参加投标但投标产品须具有相当于或优于采购文件要求的指标、性能。否则，评标委员会将对其作出不利的评审。</w:t>
      </w:r>
    </w:p>
    <w:p>
      <w:pPr>
        <w:pStyle w:val="34"/>
        <w:snapToGrid w:val="0"/>
        <w:spacing w:line="360" w:lineRule="auto"/>
        <w:ind w:firstLine="420"/>
        <w:rPr>
          <w:rFonts w:ascii="Times New Roman" w:hAnsi="Times New Roman"/>
          <w:bCs/>
          <w:color w:val="000000"/>
        </w:rPr>
      </w:pPr>
      <w:r>
        <w:rPr>
          <w:rFonts w:ascii="Times New Roman" w:hAnsi="Times New Roman"/>
          <w:bCs/>
          <w:color w:val="000000"/>
        </w:rPr>
        <w:t>1.12.4采购文件中如有描述歧义或前后不一致的地方，评标委员会有权按公平、合理的原则进行评判，但对同一条款的评判适用于每个</w:t>
      </w:r>
      <w:r>
        <w:rPr>
          <w:rFonts w:hint="eastAsia" w:ascii="Times New Roman" w:hAnsi="Times New Roman"/>
          <w:bCs/>
          <w:color w:val="000000"/>
        </w:rPr>
        <w:t>供应商</w:t>
      </w:r>
      <w:r>
        <w:rPr>
          <w:rFonts w:ascii="Times New Roman" w:hAnsi="Times New Roman"/>
          <w:bCs/>
          <w:color w:val="000000"/>
        </w:rPr>
        <w:t>。</w:t>
      </w:r>
    </w:p>
    <w:p>
      <w:pPr>
        <w:pStyle w:val="34"/>
        <w:snapToGrid w:val="0"/>
        <w:spacing w:line="360" w:lineRule="auto"/>
        <w:ind w:firstLine="420"/>
        <w:rPr>
          <w:rFonts w:ascii="Times New Roman" w:hAnsi="Times New Roman"/>
          <w:color w:val="000000"/>
        </w:rPr>
      </w:pPr>
      <w:r>
        <w:rPr>
          <w:rFonts w:ascii="Times New Roman" w:hAnsi="Times New Roman"/>
          <w:bCs/>
          <w:color w:val="000000"/>
        </w:rPr>
        <w:t>1.12.5投标文件的响应内容必须真实、明确、准确。否则，评标委员会将对其作出不利的评审。</w:t>
      </w:r>
    </w:p>
    <w:p>
      <w:pPr>
        <w:adjustRightInd w:val="0"/>
        <w:snapToGrid w:val="0"/>
        <w:spacing w:line="360" w:lineRule="auto"/>
        <w:ind w:firstLine="420" w:firstLineChars="200"/>
        <w:rPr>
          <w:color w:val="000000"/>
        </w:rPr>
      </w:pPr>
      <w:r>
        <w:rPr>
          <w:color w:val="000000"/>
        </w:rPr>
        <w:t>1.</w:t>
      </w:r>
      <w:r>
        <w:rPr>
          <w:bCs/>
          <w:color w:val="000000"/>
        </w:rPr>
        <w:t>12.6</w:t>
      </w:r>
      <w:r>
        <w:rPr>
          <w:rFonts w:hint="eastAsia"/>
          <w:bCs/>
          <w:color w:val="000000"/>
        </w:rPr>
        <w:t>供应商</w:t>
      </w:r>
      <w:r>
        <w:rPr>
          <w:color w:val="000000"/>
        </w:rPr>
        <w:t>为履行合同引起的相关人员的差旅费、食宿费以及其它费用由</w:t>
      </w:r>
      <w:r>
        <w:rPr>
          <w:rFonts w:hint="eastAsia"/>
          <w:color w:val="000000"/>
        </w:rPr>
        <w:t>供应商</w:t>
      </w:r>
      <w:r>
        <w:rPr>
          <w:color w:val="000000"/>
        </w:rPr>
        <w:t>自理。合同实施过程中，须与</w:t>
      </w:r>
      <w:r>
        <w:rPr>
          <w:rFonts w:hint="eastAsia"/>
          <w:color w:val="000000"/>
        </w:rPr>
        <w:t>采购人</w:t>
      </w:r>
      <w:r>
        <w:rPr>
          <w:color w:val="000000"/>
        </w:rPr>
        <w:t>积极配合。</w:t>
      </w:r>
    </w:p>
    <w:p>
      <w:pPr>
        <w:adjustRightInd w:val="0"/>
        <w:snapToGrid w:val="0"/>
        <w:spacing w:line="360" w:lineRule="auto"/>
        <w:ind w:firstLine="420" w:firstLineChars="200"/>
        <w:rPr>
          <w:color w:val="000000"/>
        </w:rPr>
      </w:pPr>
      <w:r>
        <w:rPr>
          <w:color w:val="000000"/>
        </w:rPr>
        <w:t>1.12.7项目资金性质见</w:t>
      </w:r>
      <w:r>
        <w:rPr>
          <w:rFonts w:hint="eastAsia"/>
          <w:color w:val="000000"/>
        </w:rPr>
        <w:t>供应商</w:t>
      </w:r>
      <w:r>
        <w:rPr>
          <w:color w:val="000000"/>
        </w:rPr>
        <w:t>须知前附表规定，且资金已落实。</w:t>
      </w:r>
    </w:p>
    <w:p>
      <w:pPr>
        <w:adjustRightInd w:val="0"/>
        <w:snapToGrid w:val="0"/>
        <w:spacing w:line="360" w:lineRule="auto"/>
        <w:ind w:firstLine="420" w:firstLineChars="200"/>
        <w:rPr>
          <w:color w:val="000000"/>
          <w:szCs w:val="21"/>
        </w:rPr>
      </w:pPr>
      <w:r>
        <w:rPr>
          <w:color w:val="000000"/>
        </w:rPr>
        <w:t>1.12.8</w:t>
      </w:r>
      <w:r>
        <w:rPr>
          <w:rFonts w:hint="eastAsia"/>
          <w:color w:val="000000"/>
        </w:rPr>
        <w:t>供应商</w:t>
      </w:r>
      <w:r>
        <w:rPr>
          <w:color w:val="000000"/>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szCs w:val="21"/>
        </w:rPr>
        <w:t>等归采购人所有。</w:t>
      </w:r>
    </w:p>
    <w:p>
      <w:pPr>
        <w:adjustRightInd w:val="0"/>
        <w:snapToGrid w:val="0"/>
        <w:spacing w:line="360" w:lineRule="auto"/>
        <w:ind w:firstLine="420" w:firstLineChars="200"/>
        <w:rPr>
          <w:color w:val="000000"/>
          <w:kern w:val="0"/>
          <w:szCs w:val="21"/>
        </w:rPr>
      </w:pPr>
      <w:r>
        <w:rPr>
          <w:color w:val="000000"/>
          <w:szCs w:val="21"/>
        </w:rPr>
        <w:t>1.12.9</w:t>
      </w:r>
      <w:r>
        <w:rPr>
          <w:color w:val="000000"/>
          <w:kern w:val="0"/>
          <w:szCs w:val="21"/>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000000"/>
          <w:kern w:val="0"/>
          <w:szCs w:val="21"/>
        </w:rPr>
      </w:pPr>
      <w:r>
        <w:rPr>
          <w:color w:val="000000"/>
          <w:kern w:val="0"/>
          <w:szCs w:val="21"/>
        </w:rPr>
        <w:t>1.12.10为证明</w:t>
      </w:r>
      <w:r>
        <w:rPr>
          <w:rFonts w:hint="eastAsia"/>
          <w:color w:val="000000"/>
          <w:kern w:val="0"/>
          <w:szCs w:val="21"/>
        </w:rPr>
        <w:t>供应商</w:t>
      </w:r>
      <w:r>
        <w:rPr>
          <w:color w:val="000000"/>
          <w:kern w:val="0"/>
          <w:szCs w:val="21"/>
        </w:rPr>
        <w:t>拥有的人员、业绩、荣誉、知识产权、项目案例等而在投标文件中提供的证明材料必须为</w:t>
      </w:r>
      <w:r>
        <w:rPr>
          <w:rFonts w:hint="eastAsia"/>
          <w:color w:val="000000"/>
          <w:kern w:val="0"/>
          <w:szCs w:val="21"/>
        </w:rPr>
        <w:t>供应商</w:t>
      </w:r>
      <w:r>
        <w:rPr>
          <w:color w:val="000000"/>
          <w:kern w:val="0"/>
          <w:szCs w:val="21"/>
        </w:rPr>
        <w:t>自身所有。不同法人、其他组织的资料与</w:t>
      </w:r>
      <w:r>
        <w:rPr>
          <w:rFonts w:hint="eastAsia"/>
          <w:color w:val="000000"/>
          <w:kern w:val="0"/>
          <w:szCs w:val="21"/>
        </w:rPr>
        <w:t>供应商</w:t>
      </w:r>
      <w:r>
        <w:rPr>
          <w:color w:val="000000"/>
          <w:kern w:val="0"/>
          <w:szCs w:val="21"/>
        </w:rPr>
        <w:t>无关。</w:t>
      </w:r>
    </w:p>
    <w:p>
      <w:pPr>
        <w:adjustRightInd w:val="0"/>
        <w:snapToGrid w:val="0"/>
        <w:spacing w:line="360" w:lineRule="auto"/>
        <w:ind w:firstLine="420" w:firstLineChars="200"/>
        <w:rPr>
          <w:color w:val="000000"/>
          <w:kern w:val="0"/>
          <w:szCs w:val="21"/>
        </w:rPr>
      </w:pPr>
      <w:r>
        <w:rPr>
          <w:color w:val="000000"/>
          <w:kern w:val="0"/>
          <w:szCs w:val="21"/>
        </w:rPr>
        <w:t>1.12.11采用最低评标价法的采购项目，</w:t>
      </w:r>
      <w:r>
        <w:rPr>
          <w:bCs/>
          <w:color w:val="000000"/>
          <w:szCs w:val="21"/>
        </w:rPr>
        <w:t>核心产品</w:t>
      </w:r>
      <w:r>
        <w:rPr>
          <w:color w:val="000000"/>
          <w:kern w:val="0"/>
          <w:szCs w:val="21"/>
        </w:rPr>
        <w:t>提供相同品牌产品的不同</w:t>
      </w:r>
      <w:r>
        <w:rPr>
          <w:rFonts w:hint="eastAsia"/>
          <w:color w:val="000000"/>
          <w:kern w:val="0"/>
          <w:szCs w:val="21"/>
        </w:rPr>
        <w:t>供应商</w:t>
      </w:r>
      <w:r>
        <w:rPr>
          <w:color w:val="000000"/>
          <w:kern w:val="0"/>
          <w:szCs w:val="21"/>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000000"/>
          <w:kern w:val="0"/>
          <w:szCs w:val="21"/>
        </w:rPr>
      </w:pPr>
      <w:r>
        <w:rPr>
          <w:color w:val="000000"/>
          <w:kern w:val="0"/>
          <w:szCs w:val="21"/>
        </w:rPr>
        <w:t>使用综合评分法的采购项目，</w:t>
      </w:r>
      <w:r>
        <w:rPr>
          <w:bCs/>
          <w:color w:val="000000"/>
          <w:szCs w:val="21"/>
        </w:rPr>
        <w:t>核心产品</w:t>
      </w:r>
      <w:r>
        <w:rPr>
          <w:color w:val="000000"/>
          <w:kern w:val="0"/>
          <w:szCs w:val="21"/>
        </w:rPr>
        <w:t>提供相同品牌产品且通过资格审查、符合性审查的不同</w:t>
      </w:r>
      <w:r>
        <w:rPr>
          <w:rFonts w:hint="eastAsia"/>
          <w:color w:val="000000"/>
          <w:kern w:val="0"/>
          <w:szCs w:val="21"/>
        </w:rPr>
        <w:t>供应商</w:t>
      </w:r>
      <w:r>
        <w:rPr>
          <w:color w:val="000000"/>
          <w:kern w:val="0"/>
          <w:szCs w:val="21"/>
        </w:rPr>
        <w:t>参加同一合同项下投标的，按一家</w:t>
      </w:r>
      <w:r>
        <w:rPr>
          <w:rFonts w:hint="eastAsia"/>
          <w:color w:val="000000"/>
          <w:kern w:val="0"/>
          <w:szCs w:val="21"/>
        </w:rPr>
        <w:t>供应商</w:t>
      </w:r>
      <w:r>
        <w:rPr>
          <w:color w:val="000000"/>
          <w:kern w:val="0"/>
          <w:szCs w:val="21"/>
        </w:rPr>
        <w:t>计算，评审后得分最高的同品牌</w:t>
      </w:r>
      <w:r>
        <w:rPr>
          <w:rFonts w:hint="eastAsia"/>
          <w:color w:val="000000"/>
          <w:kern w:val="0"/>
          <w:szCs w:val="21"/>
        </w:rPr>
        <w:t>供应商</w:t>
      </w:r>
      <w:r>
        <w:rPr>
          <w:color w:val="000000"/>
          <w:kern w:val="0"/>
          <w:szCs w:val="21"/>
        </w:rPr>
        <w:t>获得中标人推荐资格；评审得分相同的，由评标委员会按照商务技术部分得分最高的</w:t>
      </w:r>
      <w:r>
        <w:rPr>
          <w:rFonts w:hint="eastAsia"/>
          <w:color w:val="000000"/>
          <w:kern w:val="0"/>
          <w:szCs w:val="21"/>
        </w:rPr>
        <w:t>供应商</w:t>
      </w:r>
      <w:r>
        <w:rPr>
          <w:color w:val="000000"/>
          <w:kern w:val="0"/>
          <w:szCs w:val="21"/>
        </w:rPr>
        <w:t>获得中标人推荐资格，其他同品牌</w:t>
      </w:r>
      <w:r>
        <w:rPr>
          <w:rFonts w:hint="eastAsia"/>
          <w:color w:val="000000"/>
          <w:kern w:val="0"/>
          <w:szCs w:val="21"/>
        </w:rPr>
        <w:t>供应商</w:t>
      </w:r>
      <w:r>
        <w:rPr>
          <w:color w:val="000000"/>
          <w:kern w:val="0"/>
          <w:szCs w:val="21"/>
        </w:rPr>
        <w:t>不作为中标候选人。</w:t>
      </w:r>
    </w:p>
    <w:p>
      <w:pPr>
        <w:spacing w:line="360" w:lineRule="auto"/>
        <w:ind w:firstLine="422" w:firstLineChars="200"/>
        <w:rPr>
          <w:b/>
          <w:bCs/>
        </w:rPr>
      </w:pPr>
      <w:r>
        <w:rPr>
          <w:b/>
          <w:bCs/>
        </w:rPr>
        <w:t>二、采购文件</w:t>
      </w:r>
      <w:bookmarkEnd w:id="67"/>
      <w:bookmarkEnd w:id="68"/>
    </w:p>
    <w:p>
      <w:pPr>
        <w:pStyle w:val="5"/>
        <w:spacing w:line="360" w:lineRule="auto"/>
        <w:ind w:firstLine="422"/>
        <w:rPr>
          <w:rFonts w:ascii="Times New Roman" w:hAnsi="Times New Roman"/>
          <w:color w:val="000000"/>
        </w:rPr>
      </w:pPr>
      <w:bookmarkStart w:id="80" w:name="_Toc22489"/>
      <w:bookmarkStart w:id="81" w:name="_Toc82338241"/>
      <w:bookmarkStart w:id="82" w:name="_Toc82873324"/>
      <w:r>
        <w:rPr>
          <w:rFonts w:ascii="Times New Roman" w:hAnsi="Times New Roman"/>
          <w:color w:val="000000"/>
        </w:rPr>
        <w:t>2.1 采购文件组成</w:t>
      </w:r>
      <w:bookmarkEnd w:id="80"/>
    </w:p>
    <w:p>
      <w:pPr>
        <w:pStyle w:val="34"/>
        <w:snapToGrid w:val="0"/>
        <w:spacing w:line="360" w:lineRule="auto"/>
        <w:ind w:firstLine="420"/>
        <w:rPr>
          <w:rFonts w:ascii="Times New Roman" w:hAnsi="Times New Roman"/>
          <w:color w:val="000000"/>
        </w:rPr>
      </w:pPr>
      <w:r>
        <w:rPr>
          <w:rFonts w:ascii="Times New Roman" w:hAnsi="Times New Roman"/>
          <w:color w:val="000000"/>
        </w:rPr>
        <w:t>2.1.1第一章  招标公告</w:t>
      </w:r>
    </w:p>
    <w:p>
      <w:pPr>
        <w:pStyle w:val="34"/>
        <w:snapToGrid w:val="0"/>
        <w:spacing w:line="360" w:lineRule="auto"/>
        <w:ind w:firstLine="420"/>
        <w:rPr>
          <w:rFonts w:ascii="Times New Roman" w:hAnsi="Times New Roman"/>
          <w:color w:val="000000"/>
        </w:rPr>
      </w:pPr>
      <w:r>
        <w:rPr>
          <w:rFonts w:ascii="Times New Roman" w:hAnsi="Times New Roman"/>
          <w:color w:val="000000"/>
        </w:rPr>
        <w:t>2.1.2</w:t>
      </w:r>
      <w:r>
        <w:rPr>
          <w:rFonts w:hint="eastAsia" w:ascii="Times New Roman" w:hAnsi="Times New Roman"/>
          <w:color w:val="000000"/>
        </w:rPr>
        <w:t>供应商</w:t>
      </w:r>
      <w:r>
        <w:rPr>
          <w:rFonts w:ascii="Times New Roman" w:hAnsi="Times New Roman"/>
          <w:color w:val="000000"/>
        </w:rPr>
        <w:t>须知前附表</w:t>
      </w:r>
      <w:r>
        <w:rPr>
          <w:rFonts w:ascii="Times New Roman" w:hAnsi="Times New Roman"/>
          <w:color w:val="000000"/>
        </w:rPr>
        <w:tab/>
      </w:r>
    </w:p>
    <w:p>
      <w:pPr>
        <w:pStyle w:val="34"/>
        <w:snapToGrid w:val="0"/>
        <w:spacing w:line="360" w:lineRule="auto"/>
        <w:ind w:firstLine="420"/>
        <w:rPr>
          <w:rFonts w:ascii="Times New Roman" w:hAnsi="Times New Roman"/>
          <w:color w:val="000000"/>
        </w:rPr>
      </w:pPr>
      <w:r>
        <w:rPr>
          <w:rFonts w:ascii="Times New Roman" w:hAnsi="Times New Roman"/>
          <w:color w:val="000000"/>
        </w:rPr>
        <w:t>2.1.3第二章  采购内容及需求</w:t>
      </w:r>
    </w:p>
    <w:p>
      <w:pPr>
        <w:pStyle w:val="34"/>
        <w:snapToGrid w:val="0"/>
        <w:spacing w:line="360" w:lineRule="auto"/>
        <w:ind w:firstLine="420"/>
        <w:rPr>
          <w:rFonts w:ascii="Times New Roman" w:hAnsi="Times New Roman"/>
          <w:color w:val="000000"/>
        </w:rPr>
      </w:pPr>
      <w:r>
        <w:rPr>
          <w:rFonts w:ascii="Times New Roman" w:hAnsi="Times New Roman"/>
          <w:color w:val="000000"/>
        </w:rPr>
        <w:t xml:space="preserve">2.1.4第三章  </w:t>
      </w:r>
      <w:r>
        <w:rPr>
          <w:rFonts w:hint="eastAsia" w:ascii="Times New Roman" w:hAnsi="Times New Roman"/>
          <w:color w:val="000000"/>
        </w:rPr>
        <w:t>供应商</w:t>
      </w:r>
      <w:r>
        <w:rPr>
          <w:rFonts w:ascii="Times New Roman" w:hAnsi="Times New Roman"/>
          <w:color w:val="000000"/>
        </w:rPr>
        <w:t>须知</w:t>
      </w:r>
    </w:p>
    <w:p>
      <w:pPr>
        <w:pStyle w:val="34"/>
        <w:snapToGrid w:val="0"/>
        <w:spacing w:line="360" w:lineRule="auto"/>
        <w:ind w:firstLine="420"/>
        <w:rPr>
          <w:rFonts w:ascii="Times New Roman" w:hAnsi="Times New Roman"/>
          <w:color w:val="000000"/>
        </w:rPr>
      </w:pPr>
      <w:r>
        <w:rPr>
          <w:rFonts w:ascii="Times New Roman" w:hAnsi="Times New Roman"/>
          <w:color w:val="000000"/>
        </w:rPr>
        <w:t>2.1.5第四章  评标办法</w:t>
      </w:r>
    </w:p>
    <w:p>
      <w:pPr>
        <w:pStyle w:val="34"/>
        <w:snapToGrid w:val="0"/>
        <w:spacing w:line="360" w:lineRule="auto"/>
        <w:ind w:firstLine="420"/>
        <w:rPr>
          <w:rFonts w:ascii="Times New Roman" w:hAnsi="Times New Roman"/>
          <w:color w:val="000000"/>
        </w:rPr>
      </w:pPr>
      <w:r>
        <w:rPr>
          <w:rFonts w:ascii="Times New Roman" w:hAnsi="Times New Roman"/>
          <w:color w:val="000000"/>
        </w:rPr>
        <w:t>2.1.6第五章  采购合同</w:t>
      </w:r>
    </w:p>
    <w:p>
      <w:pPr>
        <w:pStyle w:val="34"/>
        <w:snapToGrid w:val="0"/>
        <w:spacing w:line="360" w:lineRule="auto"/>
        <w:ind w:firstLine="420"/>
        <w:rPr>
          <w:rFonts w:ascii="Times New Roman" w:hAnsi="Times New Roman"/>
          <w:color w:val="000000"/>
        </w:rPr>
      </w:pPr>
      <w:r>
        <w:rPr>
          <w:rFonts w:ascii="Times New Roman" w:hAnsi="Times New Roman"/>
          <w:color w:val="000000"/>
        </w:rPr>
        <w:t>2.1.7第六章  投标文件格式</w:t>
      </w:r>
    </w:p>
    <w:p>
      <w:pPr>
        <w:pStyle w:val="34"/>
        <w:snapToGrid w:val="0"/>
        <w:spacing w:line="360" w:lineRule="auto"/>
        <w:ind w:firstLine="420"/>
        <w:rPr>
          <w:rFonts w:ascii="Times New Roman" w:hAnsi="Times New Roman"/>
          <w:color w:val="000000"/>
        </w:rPr>
      </w:pPr>
      <w:r>
        <w:rPr>
          <w:rFonts w:ascii="Times New Roman" w:hAnsi="Times New Roman"/>
          <w:color w:val="000000"/>
        </w:rPr>
        <w:t>2.1.8补充文件</w:t>
      </w:r>
    </w:p>
    <w:p>
      <w:pPr>
        <w:pStyle w:val="5"/>
        <w:spacing w:line="360" w:lineRule="auto"/>
        <w:ind w:firstLine="422"/>
        <w:rPr>
          <w:rFonts w:ascii="Times New Roman" w:hAnsi="Times New Roman"/>
          <w:color w:val="000000"/>
        </w:rPr>
      </w:pPr>
      <w:bookmarkStart w:id="83" w:name="_Toc29134"/>
      <w:r>
        <w:rPr>
          <w:rFonts w:ascii="Times New Roman" w:hAnsi="Times New Roman"/>
          <w:color w:val="000000"/>
        </w:rPr>
        <w:t>2.2 采购文件的解释权</w:t>
      </w:r>
      <w:bookmarkEnd w:id="83"/>
    </w:p>
    <w:p>
      <w:pPr>
        <w:pStyle w:val="34"/>
        <w:snapToGrid w:val="0"/>
        <w:spacing w:line="360" w:lineRule="auto"/>
        <w:ind w:firstLine="420"/>
        <w:rPr>
          <w:rFonts w:ascii="Times New Roman" w:hAnsi="Times New Roman"/>
          <w:color w:val="000000"/>
        </w:rPr>
      </w:pPr>
      <w:r>
        <w:rPr>
          <w:rFonts w:ascii="Times New Roman" w:hAnsi="Times New Roman"/>
          <w:color w:val="000000"/>
        </w:rPr>
        <w:t>采购文件的解释权归采购人所有。</w:t>
      </w:r>
    </w:p>
    <w:p>
      <w:pPr>
        <w:pStyle w:val="5"/>
        <w:spacing w:line="360" w:lineRule="auto"/>
        <w:ind w:firstLine="422"/>
        <w:rPr>
          <w:rFonts w:ascii="Times New Roman" w:hAnsi="Times New Roman"/>
          <w:color w:val="000000"/>
        </w:rPr>
      </w:pPr>
      <w:bookmarkStart w:id="84" w:name="_Toc17670"/>
      <w:r>
        <w:rPr>
          <w:rFonts w:ascii="Times New Roman" w:hAnsi="Times New Roman"/>
          <w:color w:val="000000"/>
        </w:rPr>
        <w:t>2.3 采购文件的质疑</w:t>
      </w:r>
      <w:bookmarkEnd w:id="84"/>
    </w:p>
    <w:p>
      <w:pPr>
        <w:pStyle w:val="34"/>
        <w:snapToGrid w:val="0"/>
        <w:spacing w:line="360" w:lineRule="auto"/>
        <w:ind w:firstLine="420"/>
        <w:rPr>
          <w:rFonts w:ascii="Times New Roman" w:hAnsi="Times New Roman"/>
          <w:color w:val="000000"/>
        </w:rPr>
      </w:pPr>
      <w:r>
        <w:rPr>
          <w:rFonts w:ascii="Times New Roman" w:hAnsi="Times New Roman"/>
          <w:color w:val="000000"/>
        </w:rPr>
        <w:t>2.3.1</w:t>
      </w:r>
      <w:r>
        <w:rPr>
          <w:rFonts w:hint="eastAsia" w:ascii="Times New Roman" w:hAnsi="Times New Roman"/>
          <w:color w:val="000000"/>
        </w:rPr>
        <w:t>供应商</w:t>
      </w:r>
      <w:r>
        <w:rPr>
          <w:rFonts w:ascii="Times New Roman" w:hAnsi="Times New Roman"/>
          <w:color w:val="000000"/>
        </w:rPr>
        <w:t>认为采购文件规定内容使自己的合法权益受到损害的，</w:t>
      </w:r>
      <w:r>
        <w:rPr>
          <w:rFonts w:hint="eastAsia" w:ascii="Times New Roman" w:hAnsi="Times New Roman"/>
          <w:color w:val="000000"/>
        </w:rPr>
        <w:t>供应商</w:t>
      </w:r>
      <w:r>
        <w:rPr>
          <w:rFonts w:ascii="Times New Roman" w:hAnsi="Times New Roman"/>
          <w:color w:val="000000"/>
        </w:rPr>
        <w:t>可以提出书面质疑。</w:t>
      </w:r>
    </w:p>
    <w:p>
      <w:pPr>
        <w:pStyle w:val="34"/>
        <w:snapToGrid w:val="0"/>
        <w:spacing w:line="360" w:lineRule="auto"/>
        <w:ind w:firstLine="420"/>
        <w:rPr>
          <w:rFonts w:ascii="Times New Roman" w:hAnsi="Times New Roman"/>
          <w:color w:val="000000"/>
        </w:rPr>
      </w:pPr>
      <w:r>
        <w:rPr>
          <w:rFonts w:ascii="Times New Roman" w:hAnsi="Times New Roman"/>
          <w:color w:val="000000"/>
        </w:rPr>
        <w:t>2.3.2质疑书须包括以下内容：</w:t>
      </w:r>
    </w:p>
    <w:p>
      <w:pPr>
        <w:pStyle w:val="34"/>
        <w:snapToGrid w:val="0"/>
        <w:spacing w:line="360" w:lineRule="auto"/>
        <w:ind w:firstLine="420"/>
        <w:rPr>
          <w:rFonts w:ascii="Times New Roman" w:hAnsi="Times New Roman"/>
          <w:color w:val="000000"/>
        </w:rPr>
      </w:pPr>
      <w:r>
        <w:rPr>
          <w:rFonts w:ascii="Times New Roman" w:hAnsi="Times New Roman"/>
          <w:color w:val="000000"/>
        </w:rPr>
        <w:t>（一）供应商的姓名或者名称、地址、邮编、联系人及联系电话；</w:t>
      </w:r>
    </w:p>
    <w:p>
      <w:pPr>
        <w:pStyle w:val="34"/>
        <w:snapToGrid w:val="0"/>
        <w:spacing w:line="360" w:lineRule="auto"/>
        <w:ind w:firstLine="420"/>
        <w:rPr>
          <w:rFonts w:ascii="Times New Roman" w:hAnsi="Times New Roman"/>
          <w:color w:val="000000"/>
        </w:rPr>
      </w:pPr>
      <w:r>
        <w:rPr>
          <w:rFonts w:ascii="Times New Roman" w:hAnsi="Times New Roman"/>
          <w:color w:val="000000"/>
        </w:rPr>
        <w:t>（二）质疑项目的名称、编号；</w:t>
      </w:r>
    </w:p>
    <w:p>
      <w:pPr>
        <w:pStyle w:val="34"/>
        <w:snapToGrid w:val="0"/>
        <w:spacing w:line="360" w:lineRule="auto"/>
        <w:ind w:firstLine="420"/>
        <w:rPr>
          <w:rFonts w:ascii="Times New Roman" w:hAnsi="Times New Roman"/>
          <w:color w:val="000000"/>
        </w:rPr>
      </w:pPr>
      <w:r>
        <w:rPr>
          <w:rFonts w:ascii="Times New Roman" w:hAnsi="Times New Roman"/>
          <w:color w:val="000000"/>
        </w:rPr>
        <w:t>（三）具体、明确的质疑事项和与质疑事项相关的请求；</w:t>
      </w:r>
    </w:p>
    <w:p>
      <w:pPr>
        <w:pStyle w:val="34"/>
        <w:snapToGrid w:val="0"/>
        <w:spacing w:line="360" w:lineRule="auto"/>
        <w:ind w:firstLine="420"/>
        <w:rPr>
          <w:rFonts w:ascii="Times New Roman" w:hAnsi="Times New Roman"/>
          <w:color w:val="000000"/>
        </w:rPr>
      </w:pPr>
      <w:r>
        <w:rPr>
          <w:rFonts w:ascii="Times New Roman" w:hAnsi="Times New Roman"/>
          <w:color w:val="000000"/>
        </w:rPr>
        <w:t>（四）事实依据；</w:t>
      </w:r>
    </w:p>
    <w:p>
      <w:pPr>
        <w:pStyle w:val="34"/>
        <w:snapToGrid w:val="0"/>
        <w:spacing w:line="360" w:lineRule="auto"/>
        <w:ind w:firstLine="420"/>
        <w:rPr>
          <w:rFonts w:ascii="Times New Roman" w:hAnsi="Times New Roman"/>
          <w:color w:val="000000"/>
        </w:rPr>
      </w:pPr>
      <w:r>
        <w:rPr>
          <w:rFonts w:ascii="Times New Roman" w:hAnsi="Times New Roman"/>
          <w:color w:val="000000"/>
        </w:rPr>
        <w:t>（五）必要的法律依据；</w:t>
      </w:r>
    </w:p>
    <w:p>
      <w:pPr>
        <w:pStyle w:val="34"/>
        <w:snapToGrid w:val="0"/>
        <w:spacing w:line="360" w:lineRule="auto"/>
        <w:ind w:firstLine="420"/>
        <w:rPr>
          <w:rFonts w:ascii="Times New Roman" w:hAnsi="Times New Roman"/>
          <w:color w:val="000000"/>
        </w:rPr>
      </w:pPr>
      <w:r>
        <w:rPr>
          <w:rFonts w:ascii="Times New Roman" w:hAnsi="Times New Roman"/>
          <w:color w:val="000000"/>
        </w:rPr>
        <w:t>（六）提出质疑的日期。</w:t>
      </w:r>
    </w:p>
    <w:p>
      <w:pPr>
        <w:pStyle w:val="34"/>
        <w:snapToGrid w:val="0"/>
        <w:spacing w:line="360" w:lineRule="auto"/>
        <w:ind w:firstLine="420"/>
        <w:rPr>
          <w:rFonts w:ascii="Times New Roman" w:hAnsi="Times New Roman"/>
          <w:color w:val="000000"/>
        </w:rPr>
      </w:pPr>
      <w:r>
        <w:rPr>
          <w:rFonts w:ascii="Times New Roman" w:hAnsi="Times New Roman"/>
          <w:color w:val="000000"/>
        </w:rPr>
        <w:t>2.3.3质疑期限为</w:t>
      </w:r>
      <w:r>
        <w:rPr>
          <w:rFonts w:hint="eastAsia" w:ascii="Times New Roman" w:hAnsi="Times New Roman"/>
          <w:color w:val="000000"/>
        </w:rPr>
        <w:t>供应商</w:t>
      </w:r>
      <w:r>
        <w:rPr>
          <w:rFonts w:ascii="Times New Roman" w:hAnsi="Times New Roman"/>
          <w:color w:val="000000"/>
        </w:rPr>
        <w:t>收到采购文件之日或者招标公告期限届满之日起7个工作日内向采购代理机构提出。</w:t>
      </w:r>
    </w:p>
    <w:p>
      <w:pPr>
        <w:pStyle w:val="34"/>
        <w:snapToGrid w:val="0"/>
        <w:spacing w:line="360" w:lineRule="auto"/>
        <w:ind w:firstLine="420"/>
        <w:rPr>
          <w:rFonts w:ascii="Times New Roman" w:hAnsi="Times New Roman"/>
          <w:color w:val="000000"/>
        </w:rPr>
      </w:pPr>
      <w:r>
        <w:rPr>
          <w:rFonts w:ascii="Times New Roman" w:hAnsi="Times New Roman"/>
          <w:color w:val="000000"/>
        </w:rPr>
        <w:t>2.3.4质疑书中涉及的相关材料中有外文资料的，应当将与质疑相关的外文资料完整、客观、真实地翻译为中文，并注明翻译人员姓名、工作单位、联系方式等信息。</w:t>
      </w:r>
    </w:p>
    <w:p>
      <w:pPr>
        <w:pStyle w:val="34"/>
        <w:snapToGrid w:val="0"/>
        <w:spacing w:line="360" w:lineRule="auto"/>
        <w:ind w:firstLine="420"/>
        <w:rPr>
          <w:rFonts w:ascii="Times New Roman" w:hAnsi="Times New Roman"/>
          <w:color w:val="000000"/>
        </w:rPr>
      </w:pPr>
      <w:r>
        <w:rPr>
          <w:rFonts w:ascii="Times New Roman" w:hAnsi="Times New Roman"/>
          <w:color w:val="000000"/>
        </w:rPr>
        <w:t>2.3.5质疑书必须署名，供应商为自然人的，应当由本人签字；供应商为法人或者其他组织的，应当由法定代表人、主要负责人，或者其授权代表签字或者盖章，并加盖公章，否则不予受理。</w:t>
      </w:r>
    </w:p>
    <w:p>
      <w:pPr>
        <w:pStyle w:val="34"/>
        <w:snapToGrid w:val="0"/>
        <w:spacing w:line="360" w:lineRule="auto"/>
        <w:ind w:firstLine="420"/>
        <w:rPr>
          <w:rFonts w:ascii="Times New Roman" w:hAnsi="Times New Roman"/>
          <w:color w:val="000000"/>
        </w:rPr>
      </w:pPr>
      <w:r>
        <w:rPr>
          <w:rFonts w:ascii="Times New Roman" w:hAnsi="Times New Roman"/>
          <w:color w:val="000000"/>
        </w:rPr>
        <w:t>2.3.6质疑书以直接提交、传真或邮寄方式提交（一式三份）。</w:t>
      </w:r>
    </w:p>
    <w:p>
      <w:pPr>
        <w:pStyle w:val="34"/>
        <w:snapToGrid w:val="0"/>
        <w:spacing w:line="360" w:lineRule="auto"/>
        <w:ind w:firstLine="420"/>
        <w:rPr>
          <w:rFonts w:ascii="Times New Roman" w:hAnsi="Times New Roman"/>
          <w:color w:val="000000"/>
        </w:rPr>
      </w:pPr>
      <w:r>
        <w:rPr>
          <w:rFonts w:ascii="Times New Roman" w:hAnsi="Times New Roman"/>
          <w:color w:val="000000"/>
        </w:rPr>
        <w:t>2.3.7质疑书以传真形式提交后，同时须向采购代理机构提交质疑书原件，实际收到原件之日作为收到质疑日。</w:t>
      </w:r>
    </w:p>
    <w:p>
      <w:pPr>
        <w:pStyle w:val="5"/>
        <w:spacing w:line="360" w:lineRule="auto"/>
        <w:ind w:firstLine="422"/>
        <w:rPr>
          <w:rFonts w:ascii="Times New Roman" w:hAnsi="Times New Roman"/>
          <w:color w:val="000000"/>
        </w:rPr>
      </w:pPr>
      <w:bookmarkStart w:id="85" w:name="_Toc29828"/>
      <w:r>
        <w:rPr>
          <w:rFonts w:ascii="Times New Roman" w:hAnsi="Times New Roman"/>
          <w:color w:val="000000"/>
        </w:rPr>
        <w:t>2.4 采购文件的澄清</w:t>
      </w:r>
      <w:bookmarkEnd w:id="85"/>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见供应商须知前附表“采购文件的澄清和修改”。</w:t>
      </w:r>
    </w:p>
    <w:p>
      <w:pPr>
        <w:pStyle w:val="5"/>
        <w:spacing w:line="360" w:lineRule="auto"/>
        <w:ind w:firstLine="422"/>
        <w:rPr>
          <w:rFonts w:ascii="Times New Roman" w:hAnsi="Times New Roman"/>
          <w:color w:val="000000"/>
        </w:rPr>
      </w:pPr>
      <w:bookmarkStart w:id="86" w:name="_Toc1350"/>
      <w:r>
        <w:rPr>
          <w:rFonts w:ascii="Times New Roman" w:hAnsi="Times New Roman"/>
          <w:color w:val="000000"/>
        </w:rPr>
        <w:t>2.5 采购文件的修改</w:t>
      </w:r>
      <w:bookmarkEnd w:id="86"/>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见供应商须知前附表“采购文件的澄清和修改”。</w:t>
      </w:r>
    </w:p>
    <w:p>
      <w:pPr>
        <w:spacing w:line="360" w:lineRule="auto"/>
        <w:ind w:firstLine="422" w:firstLineChars="200"/>
        <w:rPr>
          <w:b/>
          <w:bCs/>
          <w:szCs w:val="21"/>
        </w:rPr>
      </w:pPr>
      <w:r>
        <w:rPr>
          <w:b/>
          <w:bCs/>
          <w:szCs w:val="21"/>
        </w:rPr>
        <w:t>三、投标文件</w:t>
      </w:r>
      <w:bookmarkEnd w:id="81"/>
      <w:bookmarkEnd w:id="82"/>
    </w:p>
    <w:p>
      <w:pPr>
        <w:pStyle w:val="5"/>
        <w:spacing w:line="360" w:lineRule="auto"/>
        <w:ind w:firstLine="422"/>
        <w:rPr>
          <w:rFonts w:ascii="Times New Roman" w:hAnsi="Times New Roman"/>
          <w:color w:val="000000"/>
        </w:rPr>
      </w:pPr>
      <w:bookmarkStart w:id="87" w:name="_Toc25918"/>
      <w:r>
        <w:rPr>
          <w:rFonts w:ascii="Times New Roman" w:hAnsi="Times New Roman"/>
          <w:color w:val="000000"/>
        </w:rPr>
        <w:t>3.1 投标文件</w:t>
      </w:r>
      <w:bookmarkEnd w:id="87"/>
    </w:p>
    <w:p>
      <w:pPr>
        <w:pStyle w:val="34"/>
        <w:snapToGrid w:val="0"/>
        <w:spacing w:line="360" w:lineRule="auto"/>
        <w:ind w:firstLine="420"/>
        <w:rPr>
          <w:rFonts w:ascii="Times New Roman" w:hAnsi="Times New Roman"/>
          <w:color w:val="000000"/>
        </w:rPr>
      </w:pPr>
      <w:r>
        <w:rPr>
          <w:rFonts w:ascii="Times New Roman" w:hAnsi="Times New Roman"/>
          <w:color w:val="000000"/>
        </w:rPr>
        <w:t xml:space="preserve">3.1.1 </w:t>
      </w:r>
      <w:r>
        <w:rPr>
          <w:rFonts w:hint="eastAsia" w:ascii="Times New Roman" w:hAnsi="Times New Roman"/>
          <w:color w:val="000000"/>
        </w:rPr>
        <w:t>供应商</w:t>
      </w:r>
      <w:r>
        <w:rPr>
          <w:rFonts w:ascii="Times New Roman" w:hAnsi="Times New Roman"/>
          <w:color w:val="000000"/>
        </w:rPr>
        <w:t>应仔细阅读采购文件规定的所有内容，以保证能全面准确理解采购文件，并按照采购文件要求，详细编制投标文件，投标文件内容必须针对本次招标响应。</w:t>
      </w:r>
    </w:p>
    <w:p>
      <w:pPr>
        <w:pStyle w:val="34"/>
        <w:snapToGrid w:val="0"/>
        <w:spacing w:line="360" w:lineRule="auto"/>
        <w:ind w:firstLine="420"/>
        <w:rPr>
          <w:rFonts w:ascii="Times New Roman" w:hAnsi="Times New Roman"/>
          <w:bCs/>
          <w:color w:val="000000"/>
        </w:rPr>
      </w:pPr>
      <w:r>
        <w:rPr>
          <w:rFonts w:ascii="Times New Roman" w:hAnsi="Times New Roman"/>
          <w:color w:val="000000"/>
        </w:rPr>
        <w:t>3.1.2</w:t>
      </w:r>
      <w:r>
        <w:rPr>
          <w:rFonts w:hint="eastAsia" w:ascii="Times New Roman" w:hAnsi="Times New Roman"/>
          <w:color w:val="000000"/>
        </w:rPr>
        <w:t>供应商</w:t>
      </w:r>
      <w:r>
        <w:rPr>
          <w:rFonts w:ascii="Times New Roman" w:hAnsi="Times New Roman"/>
          <w:color w:val="000000"/>
        </w:rPr>
        <w:t>必须按采购文件的要求提供相关资料，并对采购文件中提出的所有内容要求给予实质性响应，须保证投标文件的准确、真实、明确</w:t>
      </w:r>
      <w:r>
        <w:rPr>
          <w:rFonts w:ascii="Times New Roman" w:hAnsi="Times New Roman"/>
          <w:bCs/>
          <w:color w:val="000000"/>
        </w:rPr>
        <w:t>。投标文件响应内容对采购文件要求如有偏离均应填写偏离表，如不填写，采购人有权视作投标文件完全响应采购文件要求。</w:t>
      </w:r>
    </w:p>
    <w:p>
      <w:pPr>
        <w:pStyle w:val="5"/>
        <w:spacing w:line="360" w:lineRule="auto"/>
        <w:ind w:firstLine="422"/>
        <w:rPr>
          <w:rFonts w:ascii="Times New Roman" w:hAnsi="Times New Roman"/>
          <w:color w:val="000000"/>
        </w:rPr>
      </w:pPr>
      <w:bookmarkStart w:id="88" w:name="_Toc32459"/>
      <w:r>
        <w:rPr>
          <w:rFonts w:ascii="Times New Roman" w:hAnsi="Times New Roman"/>
          <w:color w:val="000000"/>
        </w:rPr>
        <w:t>3.2 投标文件组成</w:t>
      </w:r>
      <w:bookmarkEnd w:id="88"/>
    </w:p>
    <w:p>
      <w:pPr>
        <w:pStyle w:val="34"/>
        <w:snapToGrid w:val="0"/>
        <w:spacing w:line="360" w:lineRule="auto"/>
        <w:ind w:firstLine="420"/>
        <w:rPr>
          <w:rFonts w:ascii="Times New Roman" w:hAnsi="Times New Roman"/>
          <w:color w:val="000000"/>
        </w:rPr>
      </w:pPr>
      <w:r>
        <w:rPr>
          <w:rFonts w:ascii="Times New Roman" w:hAnsi="Times New Roman"/>
          <w:color w:val="000000"/>
        </w:rPr>
        <w:t>3.2.1报价文件</w:t>
      </w:r>
    </w:p>
    <w:p>
      <w:pPr>
        <w:pStyle w:val="34"/>
        <w:snapToGrid w:val="0"/>
        <w:spacing w:line="360" w:lineRule="auto"/>
        <w:ind w:left="420" w:firstLine="0" w:firstLineChars="0"/>
        <w:rPr>
          <w:rFonts w:ascii="Times New Roman" w:hAnsi="Times New Roman"/>
          <w:color w:val="000000"/>
        </w:rPr>
      </w:pPr>
      <w:r>
        <w:rPr>
          <w:rFonts w:ascii="Times New Roman" w:hAnsi="Times New Roman"/>
          <w:color w:val="000000"/>
        </w:rPr>
        <w:t>（1）开标一览表；</w:t>
      </w:r>
    </w:p>
    <w:p>
      <w:pPr>
        <w:pStyle w:val="34"/>
        <w:tabs>
          <w:tab w:val="left" w:pos="454"/>
        </w:tabs>
        <w:snapToGrid w:val="0"/>
        <w:spacing w:line="360" w:lineRule="auto"/>
        <w:ind w:left="420" w:firstLine="0" w:firstLineChars="0"/>
        <w:rPr>
          <w:rFonts w:ascii="Times New Roman" w:hAnsi="Times New Roman"/>
          <w:color w:val="000000"/>
        </w:rPr>
      </w:pPr>
      <w:r>
        <w:rPr>
          <w:rFonts w:ascii="Times New Roman" w:hAnsi="Times New Roman"/>
          <w:color w:val="000000"/>
        </w:rPr>
        <w:t>（2）投标价格组成明细表；</w:t>
      </w:r>
    </w:p>
    <w:p>
      <w:pPr>
        <w:pStyle w:val="34"/>
        <w:tabs>
          <w:tab w:val="left" w:pos="454"/>
        </w:tabs>
        <w:snapToGrid w:val="0"/>
        <w:spacing w:line="360" w:lineRule="auto"/>
        <w:ind w:left="420" w:firstLine="0" w:firstLineChars="0"/>
        <w:rPr>
          <w:rFonts w:ascii="Times New Roman" w:hAnsi="Times New Roman"/>
          <w:color w:val="000000"/>
        </w:rPr>
      </w:pPr>
      <w:r>
        <w:rPr>
          <w:rFonts w:ascii="Times New Roman" w:hAnsi="Times New Roman"/>
          <w:color w:val="000000"/>
        </w:rPr>
        <w:t>（3）</w:t>
      </w:r>
      <w:r>
        <w:rPr>
          <w:rFonts w:hint="eastAsia" w:ascii="Times New Roman" w:hAnsi="Times New Roman"/>
          <w:color w:val="000000"/>
        </w:rPr>
        <w:t>供应商</w:t>
      </w:r>
      <w:r>
        <w:rPr>
          <w:rFonts w:ascii="Times New Roman" w:hAnsi="Times New Roman"/>
          <w:color w:val="000000"/>
        </w:rPr>
        <w:t>认为有必要提供的其它文件。</w:t>
      </w:r>
    </w:p>
    <w:p>
      <w:pPr>
        <w:pStyle w:val="34"/>
        <w:snapToGrid w:val="0"/>
        <w:spacing w:line="360" w:lineRule="auto"/>
        <w:ind w:firstLine="420"/>
        <w:rPr>
          <w:rFonts w:ascii="Times New Roman" w:hAnsi="Times New Roman"/>
          <w:color w:val="000000"/>
          <w:szCs w:val="21"/>
        </w:rPr>
      </w:pPr>
      <w:r>
        <w:rPr>
          <w:rFonts w:ascii="Times New Roman" w:hAnsi="Times New Roman"/>
          <w:color w:val="000000"/>
        </w:rPr>
        <w:t>3.2.2</w:t>
      </w:r>
      <w:r>
        <w:rPr>
          <w:rFonts w:hint="eastAsia" w:ascii="Times New Roman" w:hAnsi="Times New Roman"/>
          <w:color w:val="000000"/>
        </w:rPr>
        <w:t>资格文件</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（1）符合《中华人民共和国政府采购法》第二十二条规定的相关证明材料；</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各投标人须在投标文件中出具对应证明材料。（商业信誉可提前自查，投标文件中可不提供）</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a.具有独立承担民事责任能力的证明材料；</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投标人须在投标文件中出具符合以下情况的证明材料扫描件（五选一）：</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①　如投标人是企业（包括合伙企业），提供在工商部门注册的有效“企业法人营业执照”或“营业执照”；</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②　如投标人是事业单位，提供有效的“事业单位法人证书”；</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③　如投标人是非企业专业服务机构的，提供执业许可证等证明文件；</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④　如投标人是个体工商户，提供有效的“个体工商户营业执照”；</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⑤　如投标人是自然人，提供有效的自然人身份证明（居民身份证正反面或公安机关出具的临时居民身份证正反面或港澳台胞证或护照）。</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4"/>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b.符合参与政府采购活动资格条件的承诺函；</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c.商业信誉：</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对列入失信被执行人、重大税收违法案件当事人名单、政府采购严重违法失信行为记录名单的投标人，其投标将作无效标处理。</w:t>
      </w:r>
    </w:p>
    <w:p>
      <w:pPr>
        <w:pStyle w:val="34"/>
        <w:snapToGrid w:val="0"/>
        <w:spacing w:line="360" w:lineRule="auto"/>
        <w:ind w:firstLine="420"/>
        <w:rPr>
          <w:rFonts w:ascii="Times New Roman" w:hAnsi="Times New Roman"/>
          <w:color w:val="000000"/>
        </w:rPr>
      </w:pPr>
      <w:r>
        <w:rPr>
          <w:rFonts w:hint="eastAsia"/>
          <w:color w:val="000000"/>
        </w:rPr>
        <w:t>（2）落实政府采购政策需满足的资格要求：无</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（3）特定资格条件：无。</w:t>
      </w:r>
    </w:p>
    <w:p>
      <w:pPr>
        <w:pStyle w:val="34"/>
        <w:snapToGrid w:val="0"/>
        <w:spacing w:line="360" w:lineRule="auto"/>
        <w:ind w:firstLine="420"/>
        <w:rPr>
          <w:rFonts w:ascii="Times New Roman" w:hAnsi="Times New Roman"/>
          <w:color w:val="000000"/>
        </w:rPr>
      </w:pPr>
      <w:r>
        <w:rPr>
          <w:rFonts w:ascii="Times New Roman" w:hAnsi="Times New Roman"/>
          <w:color w:val="000000"/>
        </w:rPr>
        <w:t>3.2.</w:t>
      </w:r>
      <w:r>
        <w:rPr>
          <w:rFonts w:hint="eastAsia" w:ascii="Times New Roman" w:hAnsi="Times New Roman"/>
          <w:color w:val="000000"/>
        </w:rPr>
        <w:t>3</w:t>
      </w:r>
      <w:r>
        <w:rPr>
          <w:rFonts w:ascii="Times New Roman" w:hAnsi="Times New Roman"/>
          <w:color w:val="000000"/>
        </w:rPr>
        <w:t>商务技术文件</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w:t>
      </w:r>
      <w:r>
        <w:rPr>
          <w:rFonts w:ascii="Times New Roman" w:hAnsi="Times New Roman"/>
          <w:color w:val="000000"/>
        </w:rPr>
        <w:t>）投标函；</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2</w:t>
      </w:r>
      <w:r>
        <w:rPr>
          <w:rFonts w:ascii="Times New Roman" w:hAnsi="Times New Roman"/>
          <w:color w:val="000000"/>
        </w:rPr>
        <w:t>）法定代表人资格证明书；</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3</w:t>
      </w:r>
      <w:r>
        <w:rPr>
          <w:rFonts w:ascii="Times New Roman" w:hAnsi="Times New Roman"/>
          <w:color w:val="000000"/>
        </w:rPr>
        <w:t>）法定代表人授权委托书（法定代表人签署不需提供此书）；</w:t>
      </w:r>
    </w:p>
    <w:p>
      <w:pPr>
        <w:pStyle w:val="34"/>
        <w:snapToGrid w:val="0"/>
        <w:spacing w:line="360" w:lineRule="auto"/>
        <w:ind w:firstLine="840" w:firstLineChars="400"/>
        <w:rPr>
          <w:rFonts w:ascii="Times New Roman" w:hAnsi="Times New Roman"/>
          <w:color w:val="000000"/>
        </w:rPr>
      </w:pPr>
      <w:r>
        <w:rPr>
          <w:rFonts w:ascii="Times New Roman" w:hAnsi="Times New Roman"/>
          <w:color w:val="000000"/>
        </w:rPr>
        <w:t>法定代表人及授权代表身份证正反面</w:t>
      </w:r>
      <w:r>
        <w:rPr>
          <w:rFonts w:hint="eastAsia" w:ascii="Times New Roman" w:hAnsi="Times New Roman"/>
          <w:color w:val="000000"/>
        </w:rPr>
        <w:t>扫描</w:t>
      </w:r>
      <w:r>
        <w:rPr>
          <w:rFonts w:ascii="Times New Roman" w:hAnsi="Times New Roman"/>
          <w:color w:val="000000"/>
        </w:rPr>
        <w:t>件；</w:t>
      </w:r>
    </w:p>
    <w:p>
      <w:pPr>
        <w:pStyle w:val="34"/>
        <w:snapToGrid w:val="0"/>
        <w:spacing w:line="360" w:lineRule="auto"/>
        <w:ind w:left="420" w:leftChars="200" w:firstLine="420"/>
        <w:rPr>
          <w:rFonts w:ascii="Times New Roman" w:hAnsi="Times New Roman"/>
          <w:color w:val="000000"/>
        </w:rPr>
      </w:pPr>
      <w:r>
        <w:rPr>
          <w:rFonts w:ascii="Times New Roman" w:hAnsi="Times New Roman"/>
          <w:color w:val="000000"/>
        </w:rPr>
        <w:t>社保机构出具的投标截止日前6个月内授权代表的投标单位社保缴纳证明，任职不足6个月的可提供劳动合同证明文件；</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4</w:t>
      </w:r>
      <w:r>
        <w:rPr>
          <w:rFonts w:ascii="Times New Roman" w:hAnsi="Times New Roman"/>
          <w:color w:val="000000"/>
        </w:rPr>
        <w:t>）代理证明（或制造商出具的授权书）</w:t>
      </w:r>
    </w:p>
    <w:p>
      <w:pPr>
        <w:pStyle w:val="34"/>
        <w:snapToGrid w:val="0"/>
        <w:spacing w:line="360" w:lineRule="auto"/>
        <w:ind w:left="420" w:leftChars="200" w:firstLine="0" w:firstLineChars="0"/>
        <w:rPr>
          <w:rFonts w:ascii="Times New Roman" w:hAnsi="Times New Roman"/>
          <w:color w:val="000000"/>
        </w:rPr>
      </w:pPr>
      <w:r>
        <w:rPr>
          <w:rFonts w:ascii="Times New Roman" w:hAnsi="Times New Roman"/>
          <w:color w:val="000000"/>
        </w:rPr>
        <w:t>（</w:t>
      </w:r>
      <w:r>
        <w:rPr>
          <w:rFonts w:hint="eastAsia" w:ascii="Times New Roman" w:hAnsi="Times New Roman"/>
          <w:color w:val="000000"/>
        </w:rPr>
        <w:t>5</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为医疗器械生产企业的：第二类、第三类医疗器械生产企业提供《医疗器械生产许可证》、第一类医疗器械生产企业提供第一类医疗器械生产备案凭证；</w:t>
      </w:r>
      <w:r>
        <w:rPr>
          <w:rFonts w:hint="eastAsia" w:ascii="Times New Roman" w:hAnsi="Times New Roman"/>
          <w:color w:val="000000"/>
        </w:rPr>
        <w:t>供应商</w:t>
      </w:r>
      <w:r>
        <w:rPr>
          <w:rFonts w:ascii="Times New Roman" w:hAnsi="Times New Roman"/>
          <w:color w:val="000000"/>
        </w:rPr>
        <w:t>为医疗器械经营企业的：第三类医疗器械经营企业提供《医疗器械经营许可证》、第二类医疗器械经营企业提供第二类医疗器械经营备案凭证；（适用于按医疗器械管理的货物）；</w:t>
      </w:r>
    </w:p>
    <w:p>
      <w:pPr>
        <w:pStyle w:val="34"/>
        <w:snapToGrid w:val="0"/>
        <w:spacing w:line="360" w:lineRule="auto"/>
        <w:ind w:left="420" w:leftChars="200" w:firstLine="0" w:firstLineChars="0"/>
        <w:rPr>
          <w:rFonts w:ascii="Times New Roman" w:hAnsi="Times New Roman"/>
          <w:color w:val="000000"/>
        </w:rPr>
      </w:pPr>
      <w:r>
        <w:rPr>
          <w:rFonts w:ascii="Times New Roman" w:hAnsi="Times New Roman"/>
          <w:color w:val="000000"/>
        </w:rPr>
        <w:t>（</w:t>
      </w:r>
      <w:r>
        <w:rPr>
          <w:rFonts w:hint="eastAsia" w:ascii="Times New Roman" w:hAnsi="Times New Roman"/>
          <w:color w:val="000000"/>
        </w:rPr>
        <w:t>6</w:t>
      </w:r>
      <w:r>
        <w:rPr>
          <w:rFonts w:ascii="Times New Roman" w:hAnsi="Times New Roman"/>
          <w:color w:val="000000"/>
        </w:rPr>
        <w:t>）食品药品监督管理部门核发的完整有效的医疗器械注册或备案证明；（适用于按医疗器械管理的设备）</w:t>
      </w:r>
      <w:r>
        <w:rPr>
          <w:rFonts w:hint="eastAsia" w:ascii="Times New Roman" w:hAnsi="Times New Roman"/>
          <w:color w:val="000000"/>
        </w:rPr>
        <w:t>；</w:t>
      </w:r>
    </w:p>
    <w:p>
      <w:pPr>
        <w:pStyle w:val="34"/>
        <w:snapToGrid w:val="0"/>
        <w:spacing w:line="360" w:lineRule="auto"/>
        <w:ind w:left="420" w:leftChars="200" w:firstLine="0" w:firstLineChars="0"/>
        <w:rPr>
          <w:rFonts w:ascii="Times New Roman" w:hAnsi="Times New Roman"/>
          <w:color w:val="000000"/>
        </w:rPr>
      </w:pPr>
      <w:r>
        <w:rPr>
          <w:rFonts w:ascii="Times New Roman" w:hAnsi="Times New Roman"/>
          <w:color w:val="000000"/>
        </w:rPr>
        <w:t>（</w:t>
      </w:r>
      <w:r>
        <w:rPr>
          <w:rFonts w:hint="eastAsia" w:ascii="Times New Roman" w:hAnsi="Times New Roman"/>
          <w:color w:val="000000"/>
        </w:rPr>
        <w:t>7</w:t>
      </w:r>
      <w:r>
        <w:rPr>
          <w:rFonts w:ascii="Times New Roman" w:hAnsi="Times New Roman"/>
          <w:color w:val="000000"/>
        </w:rPr>
        <w:t>）</w:t>
      </w:r>
      <w:r>
        <w:rPr>
          <w:rFonts w:hint="eastAsia" w:ascii="Times New Roman" w:hAnsi="Times New Roman"/>
          <w:color w:val="000000"/>
        </w:rPr>
        <w:t>所投产品</w:t>
      </w:r>
      <w:r>
        <w:rPr>
          <w:rFonts w:ascii="Times New Roman" w:hAnsi="Times New Roman"/>
          <w:color w:val="000000"/>
        </w:rPr>
        <w:t>列入节能产品证明资料、</w:t>
      </w:r>
      <w:r>
        <w:rPr>
          <w:rFonts w:hint="eastAsia" w:ascii="Times New Roman" w:hAnsi="Times New Roman"/>
          <w:color w:val="000000"/>
        </w:rPr>
        <w:t>所投产品</w:t>
      </w:r>
      <w:r>
        <w:rPr>
          <w:rFonts w:ascii="Times New Roman" w:hAnsi="Times New Roman"/>
          <w:color w:val="000000"/>
        </w:rPr>
        <w:t>列入环境标志产品证明资料（如有）</w:t>
      </w:r>
      <w:r>
        <w:rPr>
          <w:rFonts w:hint="eastAsia" w:ascii="Times New Roman" w:hAnsi="Times New Roman"/>
          <w:color w:val="000000"/>
        </w:rPr>
        <w:t>，</w:t>
      </w:r>
      <w:r>
        <w:rPr>
          <w:rFonts w:hint="eastAsia" w:ascii="宋体" w:hAnsi="宋体" w:cs="宋体"/>
          <w:bCs/>
          <w:color w:val="000000"/>
          <w:szCs w:val="21"/>
        </w:rPr>
        <w:t>提供国家确定的认证机构出具的、处于有效期之内的节能产品、环境标志产品认证证书扫描件</w:t>
      </w:r>
      <w:r>
        <w:rPr>
          <w:rFonts w:hint="eastAsia" w:ascii="Times New Roman" w:hAnsi="Times New Roman"/>
          <w:color w:val="000000"/>
        </w:rPr>
        <w:t>；</w:t>
      </w:r>
    </w:p>
    <w:p>
      <w:pPr>
        <w:spacing w:line="360" w:lineRule="auto"/>
        <w:ind w:firstLine="420" w:firstLineChars="200"/>
        <w:rPr>
          <w:color w:val="000000"/>
        </w:rPr>
      </w:pPr>
      <w:r>
        <w:rPr>
          <w:color w:val="000000"/>
        </w:rPr>
        <w:t>（</w:t>
      </w:r>
      <w:r>
        <w:rPr>
          <w:rFonts w:hint="eastAsia"/>
          <w:color w:val="000000"/>
        </w:rPr>
        <w:t>8</w:t>
      </w:r>
      <w:r>
        <w:rPr>
          <w:color w:val="000000"/>
        </w:rPr>
        <w:t>）中小企业声明函（如有）</w:t>
      </w:r>
      <w:r>
        <w:rPr>
          <w:rFonts w:hint="eastAsia"/>
          <w:color w:val="000000"/>
        </w:rPr>
        <w:t>；</w:t>
      </w:r>
    </w:p>
    <w:p>
      <w:pPr>
        <w:pStyle w:val="34"/>
        <w:snapToGrid w:val="0"/>
        <w:spacing w:line="360" w:lineRule="auto"/>
        <w:ind w:left="420" w:leftChars="200" w:firstLine="0" w:firstLineChars="0"/>
        <w:rPr>
          <w:rFonts w:ascii="Times New Roman" w:hAnsi="Times New Roman"/>
          <w:color w:val="000000"/>
        </w:rPr>
      </w:pPr>
      <w:r>
        <w:rPr>
          <w:rFonts w:ascii="Times New Roman" w:hAnsi="Times New Roman"/>
          <w:color w:val="000000"/>
        </w:rPr>
        <w:t>（</w:t>
      </w:r>
      <w:r>
        <w:rPr>
          <w:rFonts w:hint="eastAsia" w:ascii="Times New Roman" w:hAnsi="Times New Roman"/>
          <w:color w:val="000000"/>
        </w:rPr>
        <w:t>9</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w:t>
      </w:r>
      <w:r>
        <w:rPr>
          <w:rFonts w:hint="eastAsia" w:ascii="Times New Roman" w:hAnsi="Times New Roman"/>
          <w:color w:val="000000"/>
        </w:rPr>
        <w:t>（如有）；</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10</w:t>
      </w:r>
      <w:r>
        <w:rPr>
          <w:rFonts w:ascii="Times New Roman" w:hAnsi="Times New Roman"/>
          <w:color w:val="000000"/>
        </w:rPr>
        <w:t>）残疾人福利性单位声明函（如有）</w:t>
      </w:r>
      <w:r>
        <w:rPr>
          <w:rFonts w:hint="eastAsia" w:ascii="Times New Roman" w:hAnsi="Times New Roman"/>
          <w:color w:val="000000"/>
        </w:rPr>
        <w:t>；</w:t>
      </w:r>
    </w:p>
    <w:p>
      <w:pPr>
        <w:pStyle w:val="34"/>
        <w:snapToGrid w:val="0"/>
        <w:spacing w:line="360" w:lineRule="auto"/>
        <w:ind w:firstLine="420"/>
        <w:rPr>
          <w:rFonts w:ascii="Times New Roman" w:hAnsi="Times New Roman"/>
          <w:color w:val="000000"/>
        </w:rPr>
      </w:pPr>
      <w:r>
        <w:rPr>
          <w:rFonts w:hint="eastAsia"/>
          <w:color w:val="000000"/>
          <w:szCs w:val="21"/>
        </w:rPr>
        <w:t>（11）投标核心产品为对省级以上主管部门认定的首台套产品，提供纳入《省推广应用指导目录》等证明材料</w:t>
      </w:r>
      <w:r>
        <w:rPr>
          <w:rFonts w:ascii="Times New Roman" w:hAnsi="Times New Roman"/>
          <w:color w:val="000000"/>
        </w:rPr>
        <w:t>（如有）</w:t>
      </w:r>
      <w:r>
        <w:rPr>
          <w:rFonts w:hint="eastAsia"/>
          <w:color w:val="000000"/>
          <w:szCs w:val="21"/>
        </w:rPr>
        <w:t>；</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12</w:t>
      </w:r>
      <w:r>
        <w:rPr>
          <w:rFonts w:ascii="Times New Roman" w:hAnsi="Times New Roman"/>
        </w:rPr>
        <w:t>）供货</w:t>
      </w:r>
      <w:r>
        <w:rPr>
          <w:rFonts w:hint="eastAsia" w:ascii="Times New Roman" w:hAnsi="Times New Roman"/>
        </w:rPr>
        <w:t>清单；</w:t>
      </w:r>
    </w:p>
    <w:p>
      <w:pPr>
        <w:pStyle w:val="34"/>
        <w:snapToGrid w:val="0"/>
        <w:spacing w:line="360" w:lineRule="auto"/>
        <w:ind w:firstLine="420"/>
        <w:rPr>
          <w:rFonts w:ascii="Times New Roman" w:hAnsi="Times New Roman"/>
        </w:rPr>
      </w:pPr>
      <w:r>
        <w:rPr>
          <w:rFonts w:hint="eastAsia" w:ascii="Times New Roman" w:hAnsi="Times New Roman"/>
        </w:rPr>
        <w:t>（13）</w:t>
      </w:r>
      <w:r>
        <w:rPr>
          <w:rFonts w:ascii="Times New Roman" w:hAnsi="Times New Roman"/>
        </w:rPr>
        <w:t>随机标准附件、备品备件、零配件、专用工具清单；</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14</w:t>
      </w:r>
      <w:r>
        <w:rPr>
          <w:rFonts w:ascii="Times New Roman" w:hAnsi="Times New Roman"/>
        </w:rPr>
        <w:t>）消耗品、易耗品价格清单；</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15</w:t>
      </w:r>
      <w:r>
        <w:rPr>
          <w:rFonts w:ascii="Times New Roman" w:hAnsi="Times New Roman"/>
        </w:rPr>
        <w:t>）保修价格，维修配件价格，维修服务费价格；</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16</w:t>
      </w:r>
      <w:r>
        <w:rPr>
          <w:rFonts w:ascii="Times New Roman" w:hAnsi="Times New Roman"/>
        </w:rPr>
        <w:t>）产品性能说明；</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17</w:t>
      </w:r>
      <w:r>
        <w:rPr>
          <w:rFonts w:ascii="Times New Roman" w:hAnsi="Times New Roman"/>
        </w:rPr>
        <w:t>）技术规格偏离表；</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18</w:t>
      </w:r>
      <w:r>
        <w:rPr>
          <w:rFonts w:ascii="Times New Roman" w:hAnsi="Times New Roman"/>
        </w:rPr>
        <w:t>）商务条款偏离表；</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19</w:t>
      </w:r>
      <w:r>
        <w:rPr>
          <w:rFonts w:ascii="Times New Roman" w:hAnsi="Times New Roman"/>
        </w:rPr>
        <w:t>）</w:t>
      </w:r>
      <w:r>
        <w:rPr>
          <w:rFonts w:hint="eastAsia"/>
        </w:rPr>
        <w:t>投标核心产品销售业绩：本次相同型号投标核心产品之一自2019年1月1日起</w:t>
      </w:r>
      <w:r>
        <w:t>（以合同签定时间为准）</w:t>
      </w:r>
      <w:r>
        <w:rPr>
          <w:rFonts w:hint="eastAsia"/>
        </w:rPr>
        <w:t>与不同的最终用户签订的销售合同，提供合同扫描件，加盖签章</w:t>
      </w:r>
      <w:r>
        <w:rPr>
          <w:rFonts w:ascii="Times New Roman" w:hAnsi="Times New Roman"/>
        </w:rPr>
        <w:t>；</w:t>
      </w:r>
    </w:p>
    <w:p>
      <w:pPr>
        <w:pStyle w:val="34"/>
        <w:snapToGrid w:val="0"/>
        <w:spacing w:line="360" w:lineRule="auto"/>
        <w:ind w:firstLine="420"/>
      </w:pPr>
      <w:r>
        <w:rPr>
          <w:rFonts w:hint="eastAsia"/>
        </w:rPr>
        <w:t>（20）安装调试方案，包括对场地环境的了解、人员的安排、时间进度的规划，对设备的调试进度安排，调试的步骤、措施，问题的解决方案等；</w:t>
      </w:r>
    </w:p>
    <w:p>
      <w:pPr>
        <w:pStyle w:val="34"/>
        <w:snapToGrid w:val="0"/>
        <w:spacing w:line="360" w:lineRule="auto"/>
        <w:ind w:firstLine="420"/>
      </w:pPr>
      <w:r>
        <w:rPr>
          <w:rFonts w:hint="eastAsia"/>
        </w:rPr>
        <w:t>（21）培训方案，包括但不限于培训对象、课时安排、师资力量安排等；</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22</w:t>
      </w:r>
      <w:r>
        <w:rPr>
          <w:rFonts w:ascii="Times New Roman" w:hAnsi="Times New Roman"/>
        </w:rPr>
        <w:t>）售后服务方案：包括但不限于服务响应时间、故障解决方案；售后服务机构备品备件储备情况；售后服务机构技术服务人员情况，提供姓名、工作经验、资质证书情况等；</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23</w:t>
      </w:r>
      <w:r>
        <w:rPr>
          <w:rFonts w:ascii="Times New Roman" w:hAnsi="Times New Roman"/>
        </w:rPr>
        <w:t>）投标机型的样本或彩页和原厂技术参数</w:t>
      </w:r>
      <w:r>
        <w:rPr>
          <w:rFonts w:hint="eastAsia" w:ascii="Times New Roman" w:hAnsi="Times New Roman"/>
        </w:rPr>
        <w:t>；</w:t>
      </w:r>
    </w:p>
    <w:p>
      <w:pPr>
        <w:pStyle w:val="34"/>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rPr>
        <w:t>4</w:t>
      </w:r>
      <w:r>
        <w:rPr>
          <w:rFonts w:ascii="Times New Roman" w:hAnsi="Times New Roman"/>
        </w:rPr>
        <w:t>）</w:t>
      </w:r>
      <w:r>
        <w:rPr>
          <w:rFonts w:hint="eastAsia" w:ascii="Times New Roman" w:hAnsi="Times New Roman"/>
        </w:rPr>
        <w:t>供应商</w:t>
      </w:r>
      <w:r>
        <w:rPr>
          <w:rFonts w:ascii="Times New Roman" w:hAnsi="Times New Roman"/>
        </w:rPr>
        <w:t>认为有必要提供的其它文件</w:t>
      </w:r>
      <w:r>
        <w:rPr>
          <w:rFonts w:hint="eastAsia" w:ascii="Times New Roman" w:hAnsi="Times New Roman"/>
        </w:rPr>
        <w:t>。</w:t>
      </w:r>
    </w:p>
    <w:p>
      <w:pPr>
        <w:pStyle w:val="34"/>
        <w:snapToGrid w:val="0"/>
        <w:spacing w:line="360" w:lineRule="auto"/>
        <w:ind w:firstLine="420"/>
        <w:rPr>
          <w:rFonts w:ascii="Times New Roman" w:hAnsi="Times New Roman"/>
        </w:rPr>
      </w:pPr>
      <w:r>
        <w:rPr>
          <w:rFonts w:hint="eastAsia" w:ascii="Times New Roman" w:hAnsi="Times New Roman"/>
        </w:rPr>
        <w:t>3.2.3演示视频文件</w:t>
      </w:r>
    </w:p>
    <w:p>
      <w:pPr>
        <w:pStyle w:val="34"/>
        <w:snapToGrid w:val="0"/>
        <w:spacing w:line="360" w:lineRule="auto"/>
        <w:ind w:firstLine="420"/>
        <w:rPr>
          <w:rFonts w:ascii="Times New Roman" w:hAnsi="Times New Roman"/>
        </w:rPr>
      </w:pPr>
      <w:r>
        <w:rPr>
          <w:rFonts w:hint="eastAsia" w:ascii="Times New Roman" w:hAnsi="Times New Roman"/>
        </w:rPr>
        <w:t>（1）投标人制作的演示视频内容应结合采购内容和需求以及商务技术文件中关于“演示部分”评分细则的要求。</w:t>
      </w:r>
    </w:p>
    <w:p>
      <w:pPr>
        <w:pStyle w:val="34"/>
        <w:snapToGrid w:val="0"/>
        <w:spacing w:line="360" w:lineRule="auto"/>
        <w:ind w:firstLine="420"/>
        <w:rPr>
          <w:rFonts w:ascii="Times New Roman" w:hAnsi="Times New Roman"/>
        </w:rPr>
      </w:pPr>
      <w:r>
        <w:rPr>
          <w:rFonts w:hint="eastAsia" w:ascii="Times New Roman" w:hAnsi="Times New Roman"/>
        </w:rPr>
        <w:t>（2）演示视频文件应为常用格式的视频文件，评标现场电脑操作系统为windows7，视频文件应能由系统自带windows media player播放器播放。</w:t>
      </w:r>
    </w:p>
    <w:p>
      <w:pPr>
        <w:pStyle w:val="34"/>
        <w:snapToGrid w:val="0"/>
        <w:spacing w:line="360" w:lineRule="auto"/>
        <w:ind w:firstLine="420"/>
        <w:rPr>
          <w:rFonts w:ascii="Times New Roman" w:hAnsi="Times New Roman"/>
        </w:rPr>
      </w:pPr>
      <w:r>
        <w:rPr>
          <w:rFonts w:hint="eastAsia" w:ascii="Times New Roman" w:hAnsi="Times New Roman"/>
        </w:rPr>
        <w:t>（3）演示视频文件应由投标人拟派技术人员负责演示与讲解工作，视频文件应由不少于2个镜头组成同一画面（可理解为“画中画”或“左右/上下分屏”）:</w:t>
      </w:r>
    </w:p>
    <w:p>
      <w:pPr>
        <w:pStyle w:val="34"/>
        <w:snapToGrid w:val="0"/>
        <w:spacing w:line="360" w:lineRule="auto"/>
        <w:ind w:firstLine="420"/>
        <w:rPr>
          <w:rFonts w:ascii="Times New Roman" w:hAnsi="Times New Roman"/>
        </w:rPr>
      </w:pPr>
      <w:r>
        <w:rPr>
          <w:rFonts w:hint="eastAsia" w:ascii="Times New Roman" w:hAnsi="Times New Roman"/>
        </w:rPr>
        <w:t>①镜头1：清晰呈现演示内容，以及系统桌面右下角时间；</w:t>
      </w:r>
    </w:p>
    <w:p>
      <w:pPr>
        <w:pStyle w:val="34"/>
        <w:snapToGrid w:val="0"/>
        <w:spacing w:line="360" w:lineRule="auto"/>
        <w:ind w:firstLine="420"/>
        <w:rPr>
          <w:rFonts w:ascii="Times New Roman" w:hAnsi="Times New Roman"/>
        </w:rPr>
      </w:pPr>
      <w:r>
        <w:rPr>
          <w:rFonts w:hint="eastAsia" w:ascii="Times New Roman" w:hAnsi="Times New Roman"/>
        </w:rPr>
        <w:t>②镜头2：技术人员操作、演示、讲解的过程；</w:t>
      </w:r>
    </w:p>
    <w:p>
      <w:pPr>
        <w:pStyle w:val="34"/>
        <w:snapToGrid w:val="0"/>
        <w:spacing w:line="360" w:lineRule="auto"/>
        <w:ind w:firstLine="420"/>
        <w:rPr>
          <w:rFonts w:ascii="Times New Roman" w:hAnsi="Times New Roman"/>
        </w:rPr>
      </w:pPr>
      <w:r>
        <w:rPr>
          <w:rFonts w:hint="eastAsia" w:ascii="Times New Roman" w:hAnsi="Times New Roman"/>
        </w:rPr>
        <w:t>③多个镜头使用同一个音轨，且时间轴应同步；</w:t>
      </w:r>
    </w:p>
    <w:p>
      <w:pPr>
        <w:pStyle w:val="34"/>
        <w:snapToGrid w:val="0"/>
        <w:spacing w:line="360" w:lineRule="auto"/>
        <w:ind w:firstLine="420"/>
        <w:rPr>
          <w:rFonts w:ascii="Times New Roman" w:hAnsi="Times New Roman"/>
        </w:rPr>
      </w:pPr>
      <w:r>
        <w:rPr>
          <w:rFonts w:hint="eastAsia" w:ascii="Times New Roman" w:hAnsi="Times New Roman"/>
        </w:rPr>
        <w:t>④单个镜头的演示视频应一镜到底，即：除字幕标注外，不得对演示过程视频进行任何形式的剪辑。</w:t>
      </w:r>
    </w:p>
    <w:p>
      <w:pPr>
        <w:pStyle w:val="34"/>
        <w:snapToGrid w:val="0"/>
        <w:spacing w:line="360" w:lineRule="auto"/>
        <w:ind w:firstLine="420"/>
        <w:rPr>
          <w:rFonts w:ascii="Times New Roman" w:hAnsi="Times New Roman"/>
        </w:rPr>
      </w:pPr>
      <w:r>
        <w:rPr>
          <w:rFonts w:hint="eastAsia" w:ascii="Times New Roman" w:hAnsi="Times New Roman"/>
        </w:rPr>
        <w:t>（4）演示视频文件并非强制性要求，投标人不提交演示视频文件或未能按照以上要求制作演示视频文件并非被认定为无效标的条件，仅在商务技术文件评审过程中由评标委员会评分量化。</w:t>
      </w:r>
    </w:p>
    <w:p>
      <w:pPr>
        <w:pStyle w:val="5"/>
        <w:spacing w:line="360" w:lineRule="auto"/>
        <w:ind w:firstLine="422"/>
        <w:rPr>
          <w:rFonts w:ascii="Times New Roman" w:hAnsi="Times New Roman"/>
          <w:color w:val="000000"/>
        </w:rPr>
      </w:pPr>
      <w:bookmarkStart w:id="89" w:name="_Toc30006"/>
      <w:r>
        <w:rPr>
          <w:rFonts w:ascii="Times New Roman" w:hAnsi="Times New Roman"/>
          <w:color w:val="000000"/>
        </w:rPr>
        <w:t>3.3 投标文件的编制</w:t>
      </w:r>
      <w:bookmarkEnd w:id="89"/>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3.3.1本项目实行网上投标。</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3.3.2</w:t>
      </w:r>
      <w:r>
        <w:rPr>
          <w:rFonts w:hint="eastAsia"/>
          <w:color w:val="000000"/>
          <w:szCs w:val="21"/>
        </w:rPr>
        <w:t>供应商应准备2种形式的投标文件：</w:t>
      </w:r>
      <w:r>
        <w:rPr>
          <w:rFonts w:hint="eastAsia" w:ascii="Times New Roman" w:hAnsi="Times New Roman"/>
          <w:color w:val="000000"/>
        </w:rPr>
        <w:t>电子加密投标文件、以介质存储的数据电文形式的备份投标文件。</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投标文件均由资格文件、报价文件、商务技术文件组成。</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（1）“电子加密投标文件”是指通过“政采云电子交易客户端”完成投标文件编制后生成并加密的数据电文形式的投标文件（后缀格式为.jmbs）</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3.3.3投标文件须按照采购文件要求加盖供应商电子签章（除此之外的投标专用章、合同章等均视为无效）。</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3.3.4投标人根据本项目采购内容和需求以及商务技术文件评审细则制作的演示视频文件。</w:t>
      </w:r>
    </w:p>
    <w:p>
      <w:pPr>
        <w:pStyle w:val="5"/>
        <w:spacing w:line="360" w:lineRule="auto"/>
        <w:ind w:firstLine="422"/>
        <w:rPr>
          <w:rFonts w:ascii="Times New Roman" w:hAnsi="Times New Roman"/>
          <w:color w:val="000000"/>
        </w:rPr>
      </w:pPr>
      <w:bookmarkStart w:id="90" w:name="_Toc14961"/>
      <w:r>
        <w:rPr>
          <w:rFonts w:ascii="Times New Roman" w:hAnsi="Times New Roman"/>
          <w:color w:val="000000"/>
        </w:rPr>
        <w:t>3.4 投标报价</w:t>
      </w:r>
      <w:bookmarkEnd w:id="90"/>
    </w:p>
    <w:p>
      <w:pPr>
        <w:pStyle w:val="34"/>
        <w:snapToGrid w:val="0"/>
        <w:spacing w:line="360" w:lineRule="auto"/>
        <w:ind w:firstLine="420"/>
        <w:rPr>
          <w:rFonts w:ascii="Times New Roman" w:hAnsi="Times New Roman"/>
          <w:color w:val="000000"/>
          <w:u w:val="thick"/>
        </w:rPr>
      </w:pPr>
      <w:r>
        <w:rPr>
          <w:rFonts w:ascii="Times New Roman" w:hAnsi="Times New Roman"/>
          <w:color w:val="000000"/>
        </w:rPr>
        <w:t>▲3.4.1</w:t>
      </w:r>
      <w:r>
        <w:rPr>
          <w:rFonts w:ascii="Times New Roman" w:hAnsi="Times New Roman"/>
          <w:b/>
          <w:color w:val="000000"/>
          <w:u w:val="single"/>
        </w:rPr>
        <w:t>本次投标报价为含税人民币价</w:t>
      </w:r>
      <w:r>
        <w:rPr>
          <w:rFonts w:ascii="Times New Roman" w:hAnsi="Times New Roman"/>
          <w:color w:val="000000"/>
          <w:u w:val="single"/>
        </w:rPr>
        <w:t>。</w:t>
      </w:r>
    </w:p>
    <w:p>
      <w:pPr>
        <w:pStyle w:val="34"/>
        <w:snapToGrid w:val="0"/>
        <w:spacing w:line="360" w:lineRule="auto"/>
        <w:ind w:firstLine="420"/>
        <w:rPr>
          <w:rFonts w:ascii="Times New Roman" w:hAnsi="Times New Roman"/>
          <w:color w:val="000000"/>
        </w:rPr>
      </w:pPr>
      <w:r>
        <w:rPr>
          <w:rFonts w:ascii="Times New Roman" w:hAnsi="Times New Roman"/>
          <w:color w:val="000000"/>
        </w:rPr>
        <w:t>3.4.2投标报价包括完成所有产品供货及履行所有规定服务所产生的全部费用。产品及服务须达到采购文件规定的质量标准及使用要求。</w:t>
      </w:r>
    </w:p>
    <w:p>
      <w:pPr>
        <w:pStyle w:val="34"/>
        <w:snapToGrid w:val="0"/>
        <w:spacing w:line="360" w:lineRule="auto"/>
        <w:ind w:firstLine="420"/>
        <w:rPr>
          <w:rFonts w:ascii="Times New Roman" w:hAnsi="Times New Roman"/>
          <w:b/>
          <w:bCs/>
          <w:color w:val="000000"/>
          <w:u w:val="thick"/>
        </w:rPr>
      </w:pPr>
      <w:r>
        <w:rPr>
          <w:rFonts w:ascii="Times New Roman" w:hAnsi="Times New Roman"/>
          <w:color w:val="000000"/>
        </w:rPr>
        <w:t>3.4.3报价应按不同费用构成分开填写，具体详见“投标文件格式”。</w:t>
      </w:r>
    </w:p>
    <w:p>
      <w:pPr>
        <w:pStyle w:val="34"/>
        <w:snapToGrid w:val="0"/>
        <w:spacing w:line="360" w:lineRule="auto"/>
        <w:ind w:firstLine="420"/>
        <w:rPr>
          <w:rFonts w:ascii="Times New Roman" w:hAnsi="Times New Roman"/>
          <w:color w:val="000000"/>
        </w:rPr>
      </w:pPr>
      <w:r>
        <w:rPr>
          <w:rFonts w:ascii="Times New Roman" w:hAnsi="Times New Roman"/>
          <w:color w:val="000000"/>
        </w:rPr>
        <w:t>▲3.4.4</w:t>
      </w:r>
      <w:r>
        <w:rPr>
          <w:rFonts w:ascii="Times New Roman" w:hAnsi="Times New Roman"/>
          <w:b/>
          <w:color w:val="000000"/>
          <w:u w:val="single"/>
        </w:rPr>
        <w:t>所投标项只允许有一个报价，不接受有选择报价的投标文件。</w:t>
      </w:r>
    </w:p>
    <w:p>
      <w:pPr>
        <w:pStyle w:val="5"/>
        <w:spacing w:line="360" w:lineRule="auto"/>
        <w:ind w:firstLine="422"/>
        <w:rPr>
          <w:rFonts w:ascii="Times New Roman" w:hAnsi="Times New Roman"/>
          <w:color w:val="000000"/>
        </w:rPr>
      </w:pPr>
      <w:bookmarkStart w:id="91" w:name="_Toc23607"/>
      <w:r>
        <w:rPr>
          <w:rFonts w:ascii="Times New Roman" w:hAnsi="Times New Roman"/>
          <w:color w:val="000000"/>
        </w:rPr>
        <w:t>3.5 投标保证金</w:t>
      </w:r>
      <w:bookmarkEnd w:id="91"/>
    </w:p>
    <w:p>
      <w:pPr>
        <w:pStyle w:val="34"/>
        <w:snapToGrid w:val="0"/>
        <w:spacing w:line="360" w:lineRule="auto"/>
        <w:ind w:firstLine="420"/>
        <w:rPr>
          <w:rFonts w:ascii="Times New Roman" w:hAnsi="Times New Roman"/>
          <w:color w:val="000000"/>
        </w:rPr>
      </w:pPr>
      <w:r>
        <w:rPr>
          <w:rFonts w:ascii="Times New Roman" w:hAnsi="Times New Roman"/>
          <w:color w:val="000000"/>
        </w:rPr>
        <w:t>3.5.1 本项目不收取投标保证金</w:t>
      </w:r>
      <w:r>
        <w:rPr>
          <w:rFonts w:hint="eastAsia" w:ascii="Times New Roman" w:hAnsi="Times New Roman"/>
          <w:color w:val="000000"/>
        </w:rPr>
        <w:t>。</w:t>
      </w:r>
    </w:p>
    <w:p>
      <w:pPr>
        <w:pStyle w:val="5"/>
        <w:spacing w:line="360" w:lineRule="auto"/>
        <w:ind w:firstLine="422"/>
        <w:rPr>
          <w:rFonts w:ascii="Times New Roman" w:hAnsi="Times New Roman"/>
          <w:color w:val="000000"/>
        </w:rPr>
      </w:pPr>
      <w:bookmarkStart w:id="92" w:name="_Toc8629"/>
      <w:r>
        <w:rPr>
          <w:rFonts w:ascii="Times New Roman" w:hAnsi="Times New Roman"/>
          <w:color w:val="000000"/>
        </w:rPr>
        <w:t>3.6 投标文件有效期</w:t>
      </w:r>
      <w:bookmarkEnd w:id="92"/>
    </w:p>
    <w:p>
      <w:pPr>
        <w:pStyle w:val="34"/>
        <w:snapToGrid w:val="0"/>
        <w:spacing w:line="360" w:lineRule="auto"/>
        <w:ind w:firstLine="420"/>
        <w:rPr>
          <w:rFonts w:ascii="Times New Roman" w:hAnsi="Times New Roman"/>
          <w:color w:val="000000"/>
        </w:rPr>
      </w:pPr>
      <w:r>
        <w:rPr>
          <w:rFonts w:ascii="Times New Roman" w:hAnsi="Times New Roman"/>
          <w:color w:val="000000"/>
        </w:rPr>
        <w:t>3.6.1 投标文件有效期按“</w:t>
      </w:r>
      <w:r>
        <w:rPr>
          <w:rFonts w:hint="eastAsia" w:ascii="Times New Roman" w:hAnsi="Times New Roman"/>
          <w:color w:val="000000"/>
        </w:rPr>
        <w:t>供应商</w:t>
      </w:r>
      <w:r>
        <w:rPr>
          <w:rFonts w:ascii="Times New Roman" w:hAnsi="Times New Roman"/>
          <w:color w:val="000000"/>
        </w:rPr>
        <w:t>须知前附表”规定，投标文件应在该有效期内保持有效。合同签订后，投标文件作为合同附件，投标文件有效期同合同有效期。</w:t>
      </w:r>
    </w:p>
    <w:p>
      <w:pPr>
        <w:pStyle w:val="34"/>
        <w:snapToGrid w:val="0"/>
        <w:spacing w:line="360" w:lineRule="auto"/>
        <w:ind w:firstLine="420"/>
        <w:rPr>
          <w:rFonts w:ascii="Times New Roman" w:hAnsi="Times New Roman"/>
          <w:color w:val="000000"/>
        </w:rPr>
      </w:pPr>
      <w:r>
        <w:rPr>
          <w:rFonts w:ascii="Times New Roman" w:hAnsi="Times New Roman"/>
          <w:color w:val="000000"/>
        </w:rPr>
        <w:t>3.6.2 在特殊情况下，采购人可与</w:t>
      </w:r>
      <w:r>
        <w:rPr>
          <w:rFonts w:hint="eastAsia" w:ascii="Times New Roman" w:hAnsi="Times New Roman"/>
          <w:color w:val="000000"/>
        </w:rPr>
        <w:t>供应商</w:t>
      </w:r>
      <w:r>
        <w:rPr>
          <w:rFonts w:ascii="Times New Roman" w:hAnsi="Times New Roman"/>
          <w:color w:val="000000"/>
        </w:rPr>
        <w:t>协商延长投标文件有效期，这种要求和答复均应以书面形式进行。</w:t>
      </w:r>
    </w:p>
    <w:p>
      <w:pPr>
        <w:pStyle w:val="34"/>
        <w:snapToGrid w:val="0"/>
        <w:spacing w:line="360" w:lineRule="auto"/>
        <w:ind w:firstLine="420"/>
        <w:rPr>
          <w:rFonts w:ascii="Times New Roman" w:hAnsi="Times New Roman"/>
          <w:color w:val="000000"/>
        </w:rPr>
      </w:pPr>
      <w:r>
        <w:rPr>
          <w:rFonts w:ascii="Times New Roman" w:hAnsi="Times New Roman"/>
          <w:color w:val="000000"/>
        </w:rPr>
        <w:t>3.6.3同意延长有效期的</w:t>
      </w:r>
      <w:r>
        <w:rPr>
          <w:rFonts w:hint="eastAsia" w:ascii="Times New Roman" w:hAnsi="Times New Roman"/>
          <w:color w:val="000000"/>
        </w:rPr>
        <w:t>供应商</w:t>
      </w:r>
      <w:r>
        <w:rPr>
          <w:rFonts w:ascii="Times New Roman" w:hAnsi="Times New Roman"/>
          <w:color w:val="000000"/>
        </w:rPr>
        <w:t>不能修改投标文件。</w:t>
      </w:r>
    </w:p>
    <w:p>
      <w:pPr>
        <w:spacing w:line="360" w:lineRule="auto"/>
        <w:ind w:firstLine="422" w:firstLineChars="200"/>
        <w:rPr>
          <w:b/>
          <w:bCs/>
        </w:rPr>
      </w:pPr>
      <w:bookmarkStart w:id="93" w:name="_Toc82873325"/>
      <w:bookmarkStart w:id="94" w:name="_Toc82338242"/>
      <w:r>
        <w:rPr>
          <w:b/>
          <w:bCs/>
        </w:rPr>
        <w:t>四、投标</w:t>
      </w:r>
      <w:bookmarkEnd w:id="93"/>
      <w:bookmarkEnd w:id="94"/>
    </w:p>
    <w:p>
      <w:pPr>
        <w:pStyle w:val="5"/>
        <w:spacing w:line="360" w:lineRule="auto"/>
        <w:ind w:firstLine="422"/>
        <w:rPr>
          <w:rFonts w:ascii="Times New Roman" w:hAnsi="Times New Roman"/>
          <w:color w:val="000000"/>
        </w:rPr>
      </w:pPr>
      <w:bookmarkStart w:id="95" w:name="_Toc4929"/>
      <w:r>
        <w:rPr>
          <w:rFonts w:ascii="Times New Roman" w:hAnsi="Times New Roman"/>
          <w:color w:val="000000"/>
        </w:rPr>
        <w:t>4.1 投标文件的</w:t>
      </w:r>
      <w:r>
        <w:rPr>
          <w:rFonts w:hint="eastAsia" w:ascii="Times New Roman" w:hAnsi="Times New Roman"/>
          <w:color w:val="000000"/>
        </w:rPr>
        <w:t>上传和递交</w:t>
      </w:r>
      <w:bookmarkEnd w:id="95"/>
    </w:p>
    <w:p>
      <w:pPr>
        <w:pStyle w:val="5"/>
        <w:spacing w:line="360" w:lineRule="auto"/>
        <w:ind w:firstLine="420"/>
        <w:rPr>
          <w:rFonts w:ascii="Times New Roman" w:hAnsi="Times New Roman"/>
          <w:b w:val="0"/>
          <w:bCs/>
          <w:color w:val="000000"/>
        </w:rPr>
      </w:pPr>
      <w:bookmarkStart w:id="96" w:name="_Toc28985"/>
      <w:r>
        <w:rPr>
          <w:rFonts w:hint="eastAsia" w:ascii="Times New Roman" w:hAnsi="Times New Roman"/>
          <w:b w:val="0"/>
          <w:bCs/>
          <w:color w:val="000000"/>
        </w:rPr>
        <w:t>见供应商须知前附表“投标文件的上传和递交”。</w:t>
      </w:r>
      <w:bookmarkEnd w:id="96"/>
    </w:p>
    <w:p>
      <w:pPr>
        <w:pStyle w:val="5"/>
        <w:spacing w:line="360" w:lineRule="auto"/>
        <w:ind w:firstLine="422"/>
        <w:rPr>
          <w:rFonts w:ascii="Times New Roman" w:hAnsi="Times New Roman"/>
          <w:color w:val="000000"/>
        </w:rPr>
      </w:pPr>
      <w:bookmarkStart w:id="97" w:name="_Toc5482"/>
      <w:r>
        <w:rPr>
          <w:rFonts w:ascii="Times New Roman" w:hAnsi="Times New Roman"/>
          <w:color w:val="000000"/>
        </w:rPr>
        <w:t>4.</w:t>
      </w:r>
      <w:r>
        <w:rPr>
          <w:rFonts w:hint="eastAsia" w:ascii="Times New Roman" w:hAnsi="Times New Roman"/>
          <w:color w:val="000000"/>
        </w:rPr>
        <w:t>2</w:t>
      </w:r>
      <w:r>
        <w:rPr>
          <w:rFonts w:ascii="Times New Roman" w:hAnsi="Times New Roman"/>
          <w:color w:val="000000"/>
        </w:rPr>
        <w:t xml:space="preserve"> 投标文件的修改和撤回</w:t>
      </w:r>
      <w:bookmarkEnd w:id="97"/>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4.2.2 从投标截止期至供应商在投标函格式中确定的投标有效期期满这段时间内，供应商不得撤回其投标。</w:t>
      </w:r>
    </w:p>
    <w:p>
      <w:pPr>
        <w:pStyle w:val="5"/>
        <w:spacing w:line="360" w:lineRule="auto"/>
        <w:ind w:firstLine="422"/>
        <w:rPr>
          <w:rFonts w:ascii="Times New Roman" w:hAnsi="Times New Roman"/>
          <w:color w:val="000000"/>
        </w:rPr>
      </w:pPr>
      <w:bookmarkStart w:id="98" w:name="_Toc11450"/>
      <w:r>
        <w:rPr>
          <w:rFonts w:ascii="Times New Roman" w:hAnsi="Times New Roman"/>
          <w:color w:val="000000"/>
        </w:rPr>
        <w:t>4.</w:t>
      </w:r>
      <w:r>
        <w:rPr>
          <w:rFonts w:hint="eastAsia" w:ascii="Times New Roman" w:hAnsi="Times New Roman"/>
          <w:color w:val="000000"/>
        </w:rPr>
        <w:t>3</w:t>
      </w:r>
      <w:r>
        <w:rPr>
          <w:rFonts w:ascii="Times New Roman" w:hAnsi="Times New Roman"/>
          <w:color w:val="000000"/>
        </w:rPr>
        <w:t xml:space="preserve"> 备选投标方案</w:t>
      </w:r>
      <w:bookmarkEnd w:id="98"/>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不得提交备选投标方案，否则，投标文件将被判定为无效标。</w:t>
      </w:r>
    </w:p>
    <w:p>
      <w:pPr>
        <w:pStyle w:val="5"/>
        <w:spacing w:line="360" w:lineRule="auto"/>
        <w:ind w:firstLine="422"/>
        <w:rPr>
          <w:rFonts w:ascii="Times New Roman" w:hAnsi="Times New Roman"/>
          <w:color w:val="000000"/>
        </w:rPr>
      </w:pPr>
      <w:bookmarkStart w:id="99" w:name="_Toc24723"/>
      <w:r>
        <w:rPr>
          <w:rFonts w:ascii="Times New Roman" w:hAnsi="Times New Roman"/>
          <w:color w:val="000000"/>
        </w:rPr>
        <w:t>4.</w:t>
      </w:r>
      <w:r>
        <w:rPr>
          <w:rFonts w:hint="eastAsia" w:ascii="Times New Roman" w:hAnsi="Times New Roman"/>
          <w:color w:val="000000"/>
        </w:rPr>
        <w:t>4</w:t>
      </w:r>
      <w:r>
        <w:rPr>
          <w:rFonts w:ascii="Times New Roman" w:hAnsi="Times New Roman"/>
          <w:color w:val="000000"/>
        </w:rPr>
        <w:t xml:space="preserve"> </w:t>
      </w:r>
      <w:r>
        <w:rPr>
          <w:rFonts w:hint="eastAsia" w:ascii="Times New Roman" w:hAnsi="Times New Roman"/>
          <w:color w:val="000000"/>
        </w:rPr>
        <w:t>供应商</w:t>
      </w:r>
      <w:r>
        <w:rPr>
          <w:rFonts w:ascii="Times New Roman" w:hAnsi="Times New Roman"/>
          <w:color w:val="000000"/>
        </w:rPr>
        <w:t>不足三家情况处理</w:t>
      </w:r>
      <w:bookmarkEnd w:id="99"/>
    </w:p>
    <w:p>
      <w:pPr>
        <w:pStyle w:val="34"/>
        <w:snapToGrid w:val="0"/>
        <w:spacing w:line="360" w:lineRule="auto"/>
        <w:ind w:firstLine="420"/>
        <w:rPr>
          <w:rFonts w:ascii="Times New Roman" w:hAnsi="Times New Roman"/>
          <w:color w:val="000000"/>
        </w:rPr>
      </w:pPr>
      <w:r>
        <w:rPr>
          <w:rFonts w:ascii="Times New Roman" w:hAnsi="Times New Roman"/>
          <w:color w:val="000000"/>
        </w:rPr>
        <w:t>投标截止时间后参加标项投标的供应商不足三家的，本标项作废标处理，重新组织采购</w:t>
      </w:r>
      <w:r>
        <w:rPr>
          <w:rFonts w:hint="eastAsia" w:ascii="Times New Roman" w:hAnsi="Times New Roman"/>
          <w:color w:val="000000"/>
        </w:rPr>
        <w:t>。</w:t>
      </w:r>
    </w:p>
    <w:p>
      <w:pPr>
        <w:spacing w:line="360" w:lineRule="auto"/>
        <w:ind w:firstLine="422" w:firstLineChars="200"/>
        <w:rPr>
          <w:b/>
          <w:bCs/>
        </w:rPr>
      </w:pPr>
      <w:bookmarkStart w:id="100" w:name="_Toc82338243"/>
      <w:bookmarkStart w:id="101" w:name="_Toc82873326"/>
      <w:r>
        <w:rPr>
          <w:b/>
          <w:bCs/>
        </w:rPr>
        <w:t>五、开标、评标</w:t>
      </w:r>
      <w:bookmarkEnd w:id="100"/>
      <w:bookmarkEnd w:id="101"/>
      <w:r>
        <w:rPr>
          <w:b/>
          <w:bCs/>
        </w:rPr>
        <w:t>及合同签订</w:t>
      </w:r>
    </w:p>
    <w:p>
      <w:pPr>
        <w:pStyle w:val="34"/>
        <w:snapToGrid w:val="0"/>
        <w:spacing w:line="360" w:lineRule="auto"/>
        <w:ind w:firstLine="420"/>
        <w:rPr>
          <w:rFonts w:ascii="Times New Roman" w:hAnsi="Times New Roman"/>
        </w:rPr>
      </w:pPr>
      <w:r>
        <w:rPr>
          <w:rFonts w:hint="eastAsia" w:ascii="Times New Roman" w:hAnsi="Times New Roman"/>
        </w:rPr>
        <w:t>5.1 开标准备</w:t>
      </w:r>
    </w:p>
    <w:p>
      <w:pPr>
        <w:pStyle w:val="34"/>
        <w:snapToGrid w:val="0"/>
        <w:spacing w:line="360" w:lineRule="auto"/>
        <w:ind w:firstLine="420"/>
        <w:rPr>
          <w:rFonts w:ascii="Times New Roman" w:hAnsi="Times New Roman"/>
        </w:rPr>
      </w:pPr>
      <w:r>
        <w:rPr>
          <w:rFonts w:hint="eastAsia" w:ascii="Times New Roman" w:hAnsi="Times New Roman"/>
        </w:rPr>
        <w:t>5.1.1 采购代理机构将按照采购文件规定的时间通过浙江政府采购网组织开标、开启</w:t>
      </w:r>
      <w:r>
        <w:rPr>
          <w:szCs w:val="21"/>
        </w:rPr>
        <w:t>电子加密投标文件</w:t>
      </w:r>
      <w:r>
        <w:rPr>
          <w:rFonts w:hint="eastAsia" w:ascii="Times New Roman" w:hAnsi="Times New Roman"/>
        </w:rPr>
        <w:t>，所有供应商均应当准时在线参加。供应商因未在线参加开标而导致</w:t>
      </w:r>
      <w:r>
        <w:rPr>
          <w:szCs w:val="21"/>
        </w:rPr>
        <w:t>电子加密投标文件</w:t>
      </w:r>
      <w:r>
        <w:rPr>
          <w:rFonts w:hint="eastAsia" w:ascii="Times New Roman" w:hAnsi="Times New Roman"/>
        </w:rPr>
        <w:t>无法按时解密等一切后果由供应商自己承担。</w:t>
      </w:r>
    </w:p>
    <w:p>
      <w:pPr>
        <w:pStyle w:val="34"/>
        <w:snapToGrid w:val="0"/>
        <w:spacing w:line="360" w:lineRule="auto"/>
        <w:ind w:firstLine="420"/>
        <w:rPr>
          <w:rFonts w:ascii="Times New Roman" w:hAnsi="Times New Roman"/>
        </w:rPr>
      </w:pPr>
      <w:r>
        <w:rPr>
          <w:rFonts w:hint="eastAsia" w:ascii="Times New Roman" w:hAnsi="Times New Roman"/>
        </w:rPr>
        <w:t>5.2 开标流程（两阶段）</w:t>
      </w:r>
    </w:p>
    <w:p>
      <w:pPr>
        <w:pStyle w:val="34"/>
        <w:snapToGrid w:val="0"/>
        <w:spacing w:line="360" w:lineRule="auto"/>
        <w:ind w:firstLine="420"/>
        <w:rPr>
          <w:rFonts w:ascii="Times New Roman" w:hAnsi="Times New Roman"/>
        </w:rPr>
      </w:pPr>
      <w:r>
        <w:rPr>
          <w:rFonts w:hint="eastAsia" w:ascii="Times New Roman" w:hAnsi="Times New Roman"/>
        </w:rPr>
        <w:t>5.2.1 开标第一阶段</w:t>
      </w:r>
    </w:p>
    <w:p>
      <w:pPr>
        <w:pStyle w:val="34"/>
        <w:snapToGrid w:val="0"/>
        <w:spacing w:line="360" w:lineRule="auto"/>
        <w:ind w:left="420" w:leftChars="200" w:firstLine="0" w:firstLineChars="0"/>
        <w:rPr>
          <w:rFonts w:ascii="Times New Roman" w:hAnsi="Times New Roman"/>
        </w:rPr>
      </w:pPr>
      <w:r>
        <w:rPr>
          <w:rFonts w:hint="eastAsia" w:ascii="Times New Roman" w:hAnsi="Times New Roman"/>
        </w:rPr>
        <w:t>（1）采购代理机构开始解密，供应商在规定的时间内自行进行</w:t>
      </w:r>
      <w:r>
        <w:rPr>
          <w:szCs w:val="21"/>
        </w:rPr>
        <w:t>电子加密投标文件</w:t>
      </w:r>
      <w:r>
        <w:rPr>
          <w:rFonts w:hint="eastAsia" w:ascii="Times New Roman" w:hAnsi="Times New Roman"/>
        </w:rPr>
        <w:t>解密。</w:t>
      </w:r>
    </w:p>
    <w:p>
      <w:pPr>
        <w:pStyle w:val="34"/>
        <w:snapToGrid w:val="0"/>
        <w:spacing w:line="360" w:lineRule="auto"/>
        <w:ind w:left="420" w:leftChars="200" w:firstLine="0" w:firstLineChars="0"/>
        <w:rPr>
          <w:rFonts w:ascii="Times New Roman" w:hAnsi="Times New Roman"/>
        </w:rPr>
      </w:pPr>
      <w:r>
        <w:rPr>
          <w:rFonts w:hint="eastAsia" w:ascii="Times New Roman" w:hAnsi="Times New Roman"/>
        </w:rPr>
        <w:t>（2）解密时间为开标后30分钟内。</w:t>
      </w:r>
    </w:p>
    <w:p>
      <w:pPr>
        <w:pStyle w:val="34"/>
        <w:snapToGrid w:val="0"/>
        <w:spacing w:line="360" w:lineRule="auto"/>
        <w:ind w:firstLine="420"/>
        <w:rPr>
          <w:rFonts w:ascii="Times New Roman" w:hAnsi="Times New Roman"/>
        </w:rPr>
      </w:pPr>
      <w:r>
        <w:rPr>
          <w:rFonts w:hint="eastAsia" w:ascii="Times New Roman" w:hAnsi="Times New Roman"/>
        </w:rPr>
        <w:t>（3）解密失败的异常处理：供应商在规定的时间内无法完成已递交的</w:t>
      </w:r>
      <w:r>
        <w:rPr>
          <w:szCs w:val="21"/>
        </w:rPr>
        <w:t>电子加密投标文件</w:t>
      </w:r>
      <w:r>
        <w:rPr>
          <w:rFonts w:hint="eastAsia" w:ascii="Times New Roman" w:hAnsi="Times New Roman"/>
        </w:rPr>
        <w:t>解密的，如已按规定递交了备份投标文件的，将由采购代理机构将备份投标文件上传至浙江政府采购网，上传成功后，原</w:t>
      </w:r>
      <w:r>
        <w:rPr>
          <w:szCs w:val="21"/>
        </w:rPr>
        <w:t>电子加密投标文件</w:t>
      </w:r>
      <w:r>
        <w:rPr>
          <w:rFonts w:hint="eastAsia" w:ascii="Times New Roman" w:hAnsi="Times New Roman"/>
        </w:rPr>
        <w:t>自动失效。</w:t>
      </w:r>
    </w:p>
    <w:p>
      <w:pPr>
        <w:pStyle w:val="34"/>
        <w:snapToGrid w:val="0"/>
        <w:spacing w:line="360" w:lineRule="auto"/>
        <w:ind w:firstLine="420"/>
        <w:rPr>
          <w:rFonts w:ascii="Times New Roman" w:hAnsi="Times New Roman"/>
        </w:rPr>
      </w:pPr>
      <w:r>
        <w:rPr>
          <w:rFonts w:hint="eastAsia" w:ascii="Times New Roman" w:hAnsi="Times New Roman"/>
        </w:rPr>
        <w:t>（4）第一阶段开标结束。</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（5）转入资格文件和商务技术文件评审。</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（6）商务技术文件开启后30分钟内，供应商通过邮件形式将经授权代表签署的《政府采购活动现场确认声明书》（格式见附件）扫描件发至代理机构经办人邮箱（邮箱地址：</w:t>
      </w:r>
      <w:r>
        <w:fldChar w:fldCharType="begin"/>
      </w:r>
      <w:r>
        <w:instrText xml:space="preserve"> HYPERLINK "mailto:815743236@qq.com" </w:instrText>
      </w:r>
      <w:r>
        <w:fldChar w:fldCharType="separate"/>
      </w:r>
      <w:r>
        <w:rPr>
          <w:rStyle w:val="24"/>
          <w:rFonts w:hint="default"/>
          <w:b/>
          <w:bCs/>
          <w:color w:val="auto"/>
          <w:sz w:val="21"/>
          <w:szCs w:val="21"/>
        </w:rPr>
        <w:t>627902545@qq.com</w:t>
      </w:r>
      <w:r>
        <w:rPr>
          <w:rStyle w:val="24"/>
          <w:rFonts w:hint="default"/>
          <w:b/>
          <w:bCs/>
          <w:color w:val="auto"/>
          <w:sz w:val="21"/>
          <w:szCs w:val="21"/>
        </w:rPr>
        <w:fldChar w:fldCharType="end"/>
      </w:r>
      <w:r>
        <w:rPr>
          <w:rFonts w:hint="eastAsia" w:ascii="Times New Roman" w:hAnsi="Times New Roman"/>
          <w:color w:val="000000"/>
        </w:rPr>
        <w:t>，联系人：赵女士）；</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说明：未按上述要求提供《政府采购活动现场确认声明书》的，视同</w:t>
      </w:r>
      <w:r>
        <w:rPr>
          <w:rFonts w:ascii="仿宋" w:hAnsi="仿宋"/>
          <w:color w:val="000000"/>
          <w:kern w:val="0"/>
          <w:szCs w:val="21"/>
        </w:rPr>
        <w:t>不存在</w:t>
      </w:r>
      <w:r>
        <w:rPr>
          <w:rFonts w:hint="eastAsia" w:ascii="Times New Roman" w:hAnsi="Times New Roman"/>
          <w:color w:val="000000"/>
        </w:rPr>
        <w:t>《声明书》中所涉及的利害关系。</w:t>
      </w:r>
    </w:p>
    <w:p>
      <w:pPr>
        <w:pStyle w:val="34"/>
        <w:snapToGrid w:val="0"/>
        <w:spacing w:line="360" w:lineRule="auto"/>
        <w:ind w:firstLine="420"/>
        <w:rPr>
          <w:rFonts w:ascii="Times New Roman" w:hAnsi="Times New Roman"/>
        </w:rPr>
      </w:pPr>
      <w:r>
        <w:rPr>
          <w:rFonts w:hint="eastAsia" w:ascii="Times New Roman" w:hAnsi="Times New Roman"/>
        </w:rPr>
        <w:t>5.2.2 开标第二阶段</w:t>
      </w:r>
    </w:p>
    <w:p>
      <w:pPr>
        <w:pStyle w:val="34"/>
        <w:snapToGrid w:val="0"/>
        <w:spacing w:line="360" w:lineRule="auto"/>
        <w:ind w:firstLine="420"/>
        <w:rPr>
          <w:rFonts w:ascii="Times New Roman" w:hAnsi="Times New Roman"/>
        </w:rPr>
      </w:pPr>
      <w:r>
        <w:rPr>
          <w:rFonts w:hint="eastAsia" w:ascii="Times New Roman" w:hAnsi="Times New Roman"/>
        </w:rPr>
        <w:t>（1）资格文件和商务技术文件评审结束后，进入开标大会第二阶段。公布无效供应商名称及理由，同时公布有效供应商的商务技术部分得分情况。</w:t>
      </w:r>
    </w:p>
    <w:p>
      <w:pPr>
        <w:pStyle w:val="34"/>
        <w:snapToGrid w:val="0"/>
        <w:spacing w:line="360" w:lineRule="auto"/>
        <w:ind w:firstLine="420"/>
        <w:rPr>
          <w:rFonts w:ascii="Times New Roman" w:hAnsi="Times New Roman"/>
        </w:rPr>
      </w:pPr>
      <w:r>
        <w:rPr>
          <w:rFonts w:hint="eastAsia" w:ascii="Times New Roman" w:hAnsi="Times New Roman"/>
        </w:rPr>
        <w:t>（2）开启有效供应商的报价文件，公布开标一览表有关内容。开标结束后，由评标委员会对报价的合理性、准确性等进行审查核实。</w:t>
      </w:r>
    </w:p>
    <w:p>
      <w:pPr>
        <w:pStyle w:val="5"/>
        <w:spacing w:line="360" w:lineRule="auto"/>
        <w:ind w:firstLine="420"/>
        <w:rPr>
          <w:rFonts w:ascii="Times New Roman" w:hAnsi="Times New Roman"/>
          <w:b w:val="0"/>
          <w:bCs/>
          <w:color w:val="000000"/>
        </w:rPr>
      </w:pPr>
      <w:bookmarkStart w:id="102" w:name="_Toc1886"/>
      <w:r>
        <w:rPr>
          <w:rFonts w:ascii="Times New Roman" w:hAnsi="Times New Roman"/>
          <w:b w:val="0"/>
          <w:bCs/>
          <w:color w:val="000000"/>
        </w:rPr>
        <w:t>5.3 投标文件初步评审</w:t>
      </w:r>
      <w:bookmarkEnd w:id="102"/>
    </w:p>
    <w:p>
      <w:pPr>
        <w:pStyle w:val="34"/>
        <w:snapToGrid w:val="0"/>
        <w:spacing w:line="360" w:lineRule="auto"/>
        <w:ind w:firstLine="420"/>
        <w:rPr>
          <w:rFonts w:ascii="Times New Roman" w:hAnsi="Times New Roman"/>
          <w:color w:val="000000"/>
        </w:rPr>
      </w:pPr>
      <w:r>
        <w:rPr>
          <w:rFonts w:ascii="Times New Roman" w:hAnsi="Times New Roman"/>
          <w:color w:val="000000"/>
        </w:rPr>
        <w:t>5.3.1采购人或采购代理机构将首先审查各供应商的资格条件是否满足采购文件的要求。</w:t>
      </w:r>
    </w:p>
    <w:p>
      <w:pPr>
        <w:pStyle w:val="34"/>
        <w:snapToGrid w:val="0"/>
        <w:spacing w:line="360" w:lineRule="auto"/>
        <w:ind w:firstLine="420"/>
        <w:rPr>
          <w:rFonts w:ascii="Times New Roman" w:hAnsi="Times New Roman"/>
          <w:color w:val="000000"/>
        </w:rPr>
      </w:pPr>
      <w:r>
        <w:rPr>
          <w:rFonts w:ascii="Times New Roman" w:hAnsi="Times New Roman"/>
          <w:color w:val="000000"/>
        </w:rPr>
        <w:t>5.3.2评标委员会将首先审查每份投标文件是否实质上响应了采购文件的要求，实质性响应的投标文件是指投标文件符合采购文件规定的实质性内容、条件和规定。</w:t>
      </w:r>
    </w:p>
    <w:p>
      <w:pPr>
        <w:pStyle w:val="34"/>
        <w:snapToGrid w:val="0"/>
        <w:spacing w:line="360" w:lineRule="auto"/>
        <w:ind w:firstLine="420"/>
        <w:rPr>
          <w:rFonts w:ascii="Times New Roman" w:hAnsi="Times New Roman"/>
          <w:color w:val="000000"/>
        </w:rPr>
      </w:pPr>
      <w:r>
        <w:rPr>
          <w:rFonts w:ascii="Times New Roman" w:hAnsi="Times New Roman"/>
          <w:color w:val="000000"/>
        </w:rPr>
        <w:t>5.3.3重大偏离或保留是指将会影响到采购文件规定的服务范围、质量标准，或会给合同中规定的采购人的权利和</w:t>
      </w:r>
      <w:r>
        <w:rPr>
          <w:rFonts w:hint="eastAsia" w:ascii="Times New Roman" w:hAnsi="Times New Roman"/>
          <w:color w:val="000000"/>
        </w:rPr>
        <w:t>供应商</w:t>
      </w:r>
      <w:r>
        <w:rPr>
          <w:rFonts w:ascii="Times New Roman" w:hAnsi="Times New Roman"/>
          <w:color w:val="000000"/>
        </w:rPr>
        <w:t>的责任造成实质性限制，而纠正这些偏离或保留将对其他提交了实质性响应的投标文件的</w:t>
      </w:r>
      <w:r>
        <w:rPr>
          <w:rFonts w:hint="eastAsia" w:ascii="Times New Roman" w:hAnsi="Times New Roman"/>
          <w:color w:val="000000"/>
        </w:rPr>
        <w:t>供应商</w:t>
      </w:r>
      <w:r>
        <w:rPr>
          <w:rFonts w:ascii="Times New Roman" w:hAnsi="Times New Roman"/>
          <w:color w:val="000000"/>
        </w:rPr>
        <w:t>产生不公平影响的。</w:t>
      </w:r>
    </w:p>
    <w:p>
      <w:pPr>
        <w:pStyle w:val="34"/>
        <w:snapToGrid w:val="0"/>
        <w:spacing w:line="360" w:lineRule="auto"/>
        <w:ind w:firstLine="420"/>
        <w:rPr>
          <w:rFonts w:ascii="Times New Roman" w:hAnsi="Times New Roman"/>
          <w:color w:val="000000"/>
        </w:rPr>
      </w:pPr>
      <w:r>
        <w:rPr>
          <w:rFonts w:ascii="Times New Roman" w:hAnsi="Times New Roman"/>
          <w:color w:val="000000"/>
        </w:rPr>
        <w:t>5.3.4细微偏离是指投标文件对采购文件的非实质性内容存在不完全响应或不响应。</w:t>
      </w:r>
    </w:p>
    <w:p>
      <w:pPr>
        <w:pStyle w:val="34"/>
        <w:snapToGrid w:val="0"/>
        <w:spacing w:line="360" w:lineRule="auto"/>
        <w:ind w:firstLine="420"/>
        <w:rPr>
          <w:rFonts w:ascii="Times New Roman" w:hAnsi="Times New Roman"/>
          <w:color w:val="000000"/>
        </w:rPr>
      </w:pPr>
      <w:r>
        <w:rPr>
          <w:rFonts w:ascii="Times New Roman" w:hAnsi="Times New Roman"/>
          <w:color w:val="000000"/>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rPr>
        <w:t>供应商</w:t>
      </w:r>
      <w:r>
        <w:rPr>
          <w:rFonts w:ascii="Times New Roman" w:hAnsi="Times New Roman"/>
          <w:color w:val="000000"/>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rPr>
        <w:t>供应商</w:t>
      </w:r>
      <w:r>
        <w:rPr>
          <w:rFonts w:ascii="Times New Roman" w:hAnsi="Times New Roman"/>
          <w:color w:val="000000"/>
        </w:rPr>
        <w:t>的评审。</w:t>
      </w:r>
    </w:p>
    <w:p>
      <w:pPr>
        <w:adjustRightInd w:val="0"/>
        <w:snapToGrid w:val="0"/>
        <w:spacing w:line="360" w:lineRule="auto"/>
        <w:ind w:firstLine="420" w:firstLineChars="200"/>
        <w:rPr>
          <w:color w:val="000000"/>
        </w:rPr>
      </w:pPr>
      <w:r>
        <w:rPr>
          <w:color w:val="000000"/>
        </w:rPr>
        <w:t>5.3.6初步评审工作内容</w:t>
      </w:r>
    </w:p>
    <w:p>
      <w:pPr>
        <w:spacing w:line="360" w:lineRule="auto"/>
        <w:ind w:firstLine="420" w:firstLineChars="200"/>
      </w:pPr>
      <w:r>
        <w:t>（1）资格性检查</w:t>
      </w:r>
    </w:p>
    <w:p>
      <w:pPr>
        <w:spacing w:line="360" w:lineRule="auto"/>
        <w:ind w:firstLine="420" w:firstLineChars="200"/>
      </w:pPr>
      <w:r>
        <w:t>依据法律法规及采购文件的规定，对投标文件中的提供的资格证明材料进行审查，以确定</w:t>
      </w:r>
      <w:r>
        <w:rPr>
          <w:rFonts w:hint="eastAsia"/>
        </w:rPr>
        <w:t>供应商</w:t>
      </w:r>
      <w:r>
        <w:t>是否具备投标资格。</w:t>
      </w:r>
    </w:p>
    <w:p>
      <w:pPr>
        <w:spacing w:line="360" w:lineRule="auto"/>
        <w:ind w:firstLine="420" w:firstLineChars="200"/>
      </w:pPr>
      <w:r>
        <w:t>（2）符合性检查</w:t>
      </w:r>
    </w:p>
    <w:p>
      <w:pPr>
        <w:spacing w:line="360" w:lineRule="auto"/>
        <w:ind w:firstLine="420" w:firstLineChars="200"/>
      </w:pPr>
      <w: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000000"/>
        </w:rPr>
      </w:pPr>
      <w:r>
        <w:rPr>
          <w:color w:val="000000"/>
        </w:rPr>
        <w:t>5.3.7除符合5.6款规定外，评标委员会对投标文件的判定，只依据投标文件内容本身和按采购文件规定提交资料，不依靠开标后的任何外来证明。如</w:t>
      </w:r>
      <w:r>
        <w:rPr>
          <w:rFonts w:hint="eastAsia"/>
          <w:color w:val="000000"/>
        </w:rPr>
        <w:t>供应商</w:t>
      </w:r>
      <w:r>
        <w:rPr>
          <w:color w:val="000000"/>
        </w:rPr>
        <w:t>提交的资质证明或其他内容不齐全，由此造成的后果由</w:t>
      </w:r>
      <w:r>
        <w:rPr>
          <w:rFonts w:hint="eastAsia"/>
          <w:color w:val="000000"/>
        </w:rPr>
        <w:t>供应商</w:t>
      </w:r>
      <w:r>
        <w:rPr>
          <w:color w:val="000000"/>
        </w:rPr>
        <w:t>自己负责。</w:t>
      </w:r>
    </w:p>
    <w:p>
      <w:pPr>
        <w:pStyle w:val="5"/>
        <w:spacing w:line="360" w:lineRule="auto"/>
        <w:ind w:firstLine="422"/>
        <w:rPr>
          <w:rFonts w:ascii="Times New Roman" w:hAnsi="Times New Roman"/>
          <w:color w:val="000000"/>
        </w:rPr>
      </w:pPr>
      <w:bookmarkStart w:id="103" w:name="_Toc31974"/>
      <w:r>
        <w:rPr>
          <w:rFonts w:ascii="Times New Roman" w:hAnsi="Times New Roman"/>
          <w:color w:val="000000"/>
        </w:rPr>
        <w:t>5.4 投标文件的澄清</w:t>
      </w:r>
      <w:bookmarkEnd w:id="103"/>
    </w:p>
    <w:p>
      <w:pPr>
        <w:pStyle w:val="34"/>
        <w:snapToGrid w:val="0"/>
        <w:spacing w:line="360" w:lineRule="auto"/>
        <w:ind w:firstLine="420"/>
        <w:rPr>
          <w:rFonts w:ascii="Times New Roman" w:hAnsi="Times New Roman"/>
          <w:color w:val="000000"/>
        </w:rPr>
      </w:pPr>
      <w:r>
        <w:rPr>
          <w:rFonts w:ascii="Times New Roman" w:hAnsi="Times New Roman"/>
          <w:color w:val="000000"/>
        </w:rPr>
        <w:t>5.4.1评标委员会可要求</w:t>
      </w:r>
      <w:r>
        <w:rPr>
          <w:rFonts w:hint="eastAsia" w:ascii="Times New Roman" w:hAnsi="Times New Roman"/>
          <w:color w:val="000000"/>
        </w:rPr>
        <w:t>供应商</w:t>
      </w:r>
      <w:r>
        <w:rPr>
          <w:rFonts w:ascii="Times New Roman" w:hAnsi="Times New Roman"/>
          <w:color w:val="000000"/>
        </w:rPr>
        <w:t>对投标文件中含义不明确、同类问题表述不一致、有明显的文字和计算错误的内容等进行澄清并做出书面答复。</w:t>
      </w:r>
    </w:p>
    <w:p>
      <w:pPr>
        <w:pStyle w:val="34"/>
        <w:snapToGrid w:val="0"/>
        <w:spacing w:line="360" w:lineRule="auto"/>
        <w:ind w:firstLine="420"/>
        <w:rPr>
          <w:rFonts w:ascii="Times New Roman" w:hAnsi="Times New Roman"/>
          <w:color w:val="000000"/>
        </w:rPr>
      </w:pPr>
      <w:r>
        <w:rPr>
          <w:rFonts w:ascii="Times New Roman" w:hAnsi="Times New Roman"/>
          <w:color w:val="000000"/>
        </w:rPr>
        <w:t xml:space="preserve">5.4.2 </w:t>
      </w:r>
      <w:r>
        <w:rPr>
          <w:rFonts w:hint="eastAsia" w:ascii="Times New Roman" w:hAnsi="Times New Roman"/>
          <w:color w:val="000000"/>
        </w:rPr>
        <w:t>供应商</w:t>
      </w:r>
      <w:r>
        <w:rPr>
          <w:rFonts w:ascii="Times New Roman" w:hAnsi="Times New Roman"/>
          <w:color w:val="000000"/>
        </w:rPr>
        <w:t>对投标文件的澄清不得超出投标文件的范围或者改变投标文件的实质性内容。</w:t>
      </w:r>
    </w:p>
    <w:p>
      <w:pPr>
        <w:pStyle w:val="5"/>
        <w:spacing w:line="360" w:lineRule="auto"/>
        <w:ind w:firstLine="422"/>
        <w:rPr>
          <w:rFonts w:ascii="Times New Roman" w:hAnsi="Times New Roman"/>
          <w:color w:val="000000"/>
        </w:rPr>
      </w:pPr>
      <w:bookmarkStart w:id="104" w:name="_Toc3011"/>
      <w:r>
        <w:rPr>
          <w:rFonts w:ascii="Times New Roman" w:hAnsi="Times New Roman"/>
          <w:color w:val="000000"/>
        </w:rPr>
        <w:t>5.5 错误修正</w:t>
      </w:r>
      <w:bookmarkEnd w:id="104"/>
    </w:p>
    <w:p>
      <w:pPr>
        <w:pStyle w:val="34"/>
        <w:snapToGrid w:val="0"/>
        <w:spacing w:line="360" w:lineRule="auto"/>
        <w:ind w:firstLine="420"/>
        <w:rPr>
          <w:rFonts w:ascii="Times New Roman" w:hAnsi="Times New Roman"/>
          <w:color w:val="000000"/>
        </w:rPr>
      </w:pPr>
      <w:r>
        <w:rPr>
          <w:rFonts w:ascii="Times New Roman" w:hAnsi="Times New Roman"/>
          <w:color w:val="000000"/>
        </w:rPr>
        <w:t>评标委员会将对确定为实质上响应采购文件要求的投标文件进行校核，看其在投标报价方面是否有计算、累计或表达上的错误，</w:t>
      </w:r>
      <w:r>
        <w:rPr>
          <w:rFonts w:ascii="Times New Roman" w:hAnsi="Times New Roman"/>
          <w:bCs/>
          <w:color w:val="000000"/>
        </w:rPr>
        <w:t>修正错误的原则及顺序如下：</w:t>
      </w:r>
    </w:p>
    <w:p>
      <w:pPr>
        <w:pStyle w:val="34"/>
        <w:snapToGrid w:val="0"/>
        <w:spacing w:line="360" w:lineRule="auto"/>
        <w:ind w:firstLine="420"/>
        <w:rPr>
          <w:rFonts w:ascii="Times New Roman" w:hAnsi="Times New Roman"/>
          <w:color w:val="000000"/>
        </w:rPr>
      </w:pPr>
      <w:r>
        <w:rPr>
          <w:rFonts w:ascii="Times New Roman" w:hAnsi="Times New Roman"/>
          <w:bCs/>
          <w:color w:val="000000"/>
        </w:rPr>
        <w:t>（1）</w:t>
      </w:r>
      <w:r>
        <w:rPr>
          <w:rFonts w:ascii="Times New Roman" w:hAnsi="Times New Roman"/>
          <w:color w:val="000000"/>
        </w:rPr>
        <w:t>正本与副本不一致时，以正本为准；</w:t>
      </w:r>
    </w:p>
    <w:p>
      <w:pPr>
        <w:pStyle w:val="34"/>
        <w:snapToGrid w:val="0"/>
        <w:spacing w:line="360" w:lineRule="auto"/>
        <w:ind w:firstLine="420"/>
        <w:rPr>
          <w:rFonts w:ascii="Times New Roman" w:hAnsi="Times New Roman"/>
          <w:color w:val="000000"/>
        </w:rPr>
      </w:pPr>
      <w:r>
        <w:rPr>
          <w:rFonts w:ascii="Times New Roman" w:hAnsi="Times New Roman"/>
          <w:color w:val="000000"/>
        </w:rPr>
        <w:t>（2）投标文件中开标一览表（报价表）内容与投标文件中相应内容不一致的，以开标一览表（报价表）为准；</w:t>
      </w:r>
    </w:p>
    <w:p>
      <w:pPr>
        <w:pStyle w:val="34"/>
        <w:snapToGrid w:val="0"/>
        <w:spacing w:line="360" w:lineRule="auto"/>
        <w:ind w:firstLine="420"/>
        <w:rPr>
          <w:rFonts w:ascii="Times New Roman" w:hAnsi="Times New Roman"/>
          <w:color w:val="000000"/>
        </w:rPr>
      </w:pPr>
      <w:r>
        <w:rPr>
          <w:rFonts w:ascii="Times New Roman" w:hAnsi="Times New Roman"/>
          <w:color w:val="000000"/>
        </w:rPr>
        <w:t>（3）大写金额和小写金额不一致的，以大写金额为准；</w:t>
      </w:r>
    </w:p>
    <w:p>
      <w:pPr>
        <w:pStyle w:val="34"/>
        <w:snapToGrid w:val="0"/>
        <w:spacing w:line="360" w:lineRule="auto"/>
        <w:ind w:firstLine="420"/>
        <w:rPr>
          <w:rFonts w:ascii="Times New Roman" w:hAnsi="Times New Roman"/>
          <w:color w:val="000000"/>
        </w:rPr>
      </w:pPr>
      <w:r>
        <w:rPr>
          <w:rFonts w:ascii="Times New Roman" w:hAnsi="Times New Roman"/>
          <w:color w:val="000000"/>
        </w:rPr>
        <w:t>（4）单价金额小数点或者百分比有明显错位的，以开标一览表的总价为准，并修改单价；</w:t>
      </w:r>
    </w:p>
    <w:p>
      <w:pPr>
        <w:pStyle w:val="34"/>
        <w:snapToGrid w:val="0"/>
        <w:spacing w:line="360" w:lineRule="auto"/>
        <w:ind w:firstLine="420"/>
        <w:rPr>
          <w:rFonts w:ascii="Times New Roman" w:hAnsi="Times New Roman"/>
          <w:color w:val="000000"/>
        </w:rPr>
      </w:pPr>
      <w:r>
        <w:rPr>
          <w:rFonts w:ascii="Times New Roman" w:hAnsi="Times New Roman"/>
          <w:color w:val="000000"/>
        </w:rPr>
        <w:t>（5）总价金额与按单价汇总金额不一致的，以单价金额计算结果为准。</w:t>
      </w:r>
    </w:p>
    <w:p>
      <w:pPr>
        <w:pStyle w:val="34"/>
        <w:snapToGrid w:val="0"/>
        <w:spacing w:line="360" w:lineRule="auto"/>
        <w:ind w:firstLine="420"/>
        <w:rPr>
          <w:rFonts w:ascii="Times New Roman" w:hAnsi="Times New Roman"/>
          <w:color w:val="000000"/>
        </w:rPr>
      </w:pPr>
      <w:r>
        <w:rPr>
          <w:rFonts w:ascii="Times New Roman" w:hAnsi="Times New Roman"/>
          <w:color w:val="000000"/>
        </w:rPr>
        <w:t>（6）如</w:t>
      </w:r>
      <w:r>
        <w:rPr>
          <w:rFonts w:ascii="Times New Roman" w:hAnsi="Times New Roman"/>
          <w:color w:val="000000"/>
          <w:szCs w:val="21"/>
        </w:rPr>
        <w:t>投标文件中报价明细表</w:t>
      </w:r>
      <w:r>
        <w:rPr>
          <w:rFonts w:ascii="Times New Roman" w:hAnsi="Times New Roman"/>
          <w:color w:val="000000"/>
        </w:rPr>
        <w:t>分项价格或单价有遗报，应视作已含在投标总价中；其投标总价在评标过程中不予调整。其分项价或单价由评标委员会在投标总价不变的前提下根据合理的原则对其予以确定；</w:t>
      </w:r>
    </w:p>
    <w:p>
      <w:pPr>
        <w:pStyle w:val="34"/>
        <w:snapToGrid w:val="0"/>
        <w:spacing w:line="360" w:lineRule="auto"/>
        <w:ind w:firstLine="420"/>
        <w:rPr>
          <w:rFonts w:ascii="Times New Roman" w:hAnsi="Times New Roman"/>
        </w:rPr>
      </w:pPr>
      <w:r>
        <w:rPr>
          <w:rFonts w:hint="eastAsia"/>
        </w:rPr>
        <w:t>（7）政采云平台填报的开标一览表中的价格与上传的报价文件中开标一览表的报价不一致的，以上传的报价文件为准。</w:t>
      </w:r>
    </w:p>
    <w:p>
      <w:pPr>
        <w:pStyle w:val="34"/>
        <w:snapToGrid w:val="0"/>
        <w:spacing w:line="360" w:lineRule="auto"/>
        <w:ind w:firstLine="420"/>
        <w:rPr>
          <w:rFonts w:ascii="Times New Roman" w:hAnsi="Times New Roman"/>
          <w:bCs/>
          <w:color w:val="000000"/>
        </w:rPr>
      </w:pPr>
      <w:r>
        <w:rPr>
          <w:rFonts w:ascii="Times New Roman" w:hAnsi="Times New Roman"/>
          <w:bCs/>
          <w:color w:val="000000"/>
        </w:rPr>
        <w:t>同时出现两种以上不一致的，按照前款规定的顺序修正。修正后的报价以澄清方式经</w:t>
      </w:r>
      <w:r>
        <w:rPr>
          <w:rFonts w:hint="eastAsia" w:ascii="Times New Roman" w:hAnsi="Times New Roman"/>
          <w:bCs/>
          <w:color w:val="000000"/>
        </w:rPr>
        <w:t>供应商</w:t>
      </w:r>
      <w:r>
        <w:rPr>
          <w:rFonts w:ascii="Times New Roman" w:hAnsi="Times New Roman"/>
          <w:bCs/>
          <w:color w:val="000000"/>
        </w:rPr>
        <w:t>确认后产生约束力，</w:t>
      </w:r>
      <w:r>
        <w:rPr>
          <w:rFonts w:hint="eastAsia" w:ascii="Times New Roman" w:hAnsi="Times New Roman"/>
          <w:bCs/>
          <w:color w:val="000000"/>
        </w:rPr>
        <w:t>供应商</w:t>
      </w:r>
      <w:r>
        <w:rPr>
          <w:rFonts w:ascii="Times New Roman" w:hAnsi="Times New Roman"/>
          <w:bCs/>
          <w:color w:val="000000"/>
        </w:rPr>
        <w:t>不确认的，其投标无效。</w:t>
      </w:r>
    </w:p>
    <w:p>
      <w:pPr>
        <w:pStyle w:val="5"/>
        <w:spacing w:line="360" w:lineRule="auto"/>
        <w:ind w:firstLine="422"/>
        <w:rPr>
          <w:rFonts w:ascii="Times New Roman" w:hAnsi="Times New Roman"/>
          <w:color w:val="000000"/>
        </w:rPr>
      </w:pPr>
      <w:bookmarkStart w:id="105" w:name="_Toc18752"/>
      <w:r>
        <w:rPr>
          <w:rFonts w:ascii="Times New Roman" w:hAnsi="Times New Roman"/>
          <w:color w:val="000000"/>
        </w:rPr>
        <w:t>5.6 合理报价澄清说明</w:t>
      </w:r>
      <w:bookmarkEnd w:id="105"/>
    </w:p>
    <w:p>
      <w:pPr>
        <w:pStyle w:val="34"/>
        <w:snapToGrid w:val="0"/>
        <w:spacing w:line="360" w:lineRule="auto"/>
        <w:ind w:firstLine="420"/>
        <w:rPr>
          <w:rFonts w:ascii="Times New Roman" w:hAnsi="Times New Roman"/>
          <w:color w:val="000000"/>
        </w:rPr>
      </w:pPr>
      <w:r>
        <w:rPr>
          <w:rFonts w:ascii="Times New Roman" w:hAnsi="Times New Roman"/>
          <w:color w:val="000000"/>
        </w:rPr>
        <w:t>评标委员会认为</w:t>
      </w:r>
      <w:r>
        <w:rPr>
          <w:rFonts w:hint="eastAsia" w:ascii="Times New Roman" w:hAnsi="Times New Roman"/>
          <w:color w:val="000000"/>
        </w:rPr>
        <w:t>供应商</w:t>
      </w:r>
      <w:r>
        <w:rPr>
          <w:rFonts w:ascii="Times New Roman" w:hAnsi="Times New Roman"/>
          <w:color w:val="000000"/>
        </w:rPr>
        <w:t>的报价明显低于其他通过符合性审查</w:t>
      </w:r>
      <w:r>
        <w:rPr>
          <w:rFonts w:hint="eastAsia" w:ascii="Times New Roman" w:hAnsi="Times New Roman"/>
          <w:color w:val="000000"/>
        </w:rPr>
        <w:t>供应商</w:t>
      </w:r>
      <w:r>
        <w:rPr>
          <w:rFonts w:ascii="Times New Roman" w:hAnsi="Times New Roman"/>
          <w:color w:val="000000"/>
        </w:rPr>
        <w:t>的报价，有可能影响产品质量或者不能诚信履约的，应当要求其在30分钟内提供书面说明，必要时提交相关证明材料；</w:t>
      </w:r>
      <w:r>
        <w:rPr>
          <w:rFonts w:hint="eastAsia" w:ascii="Times New Roman" w:hAnsi="Times New Roman"/>
          <w:color w:val="000000"/>
        </w:rPr>
        <w:t>供应商</w:t>
      </w:r>
      <w:r>
        <w:rPr>
          <w:rFonts w:ascii="Times New Roman" w:hAnsi="Times New Roman"/>
          <w:color w:val="000000"/>
        </w:rPr>
        <w:t>不能证明其报价合理性的，评标委员会应当将其作为无效投标处理。</w:t>
      </w:r>
    </w:p>
    <w:p>
      <w:pPr>
        <w:pStyle w:val="5"/>
        <w:spacing w:line="360" w:lineRule="auto"/>
        <w:ind w:firstLine="422"/>
        <w:rPr>
          <w:rFonts w:ascii="Times New Roman" w:hAnsi="Times New Roman"/>
          <w:color w:val="000000"/>
        </w:rPr>
      </w:pPr>
      <w:bookmarkStart w:id="106" w:name="_Toc26937"/>
      <w:r>
        <w:rPr>
          <w:rFonts w:ascii="Times New Roman" w:hAnsi="Times New Roman"/>
          <w:color w:val="000000"/>
        </w:rPr>
        <w:t>5.7 无效标</w:t>
      </w:r>
      <w:bookmarkEnd w:id="106"/>
    </w:p>
    <w:p>
      <w:pPr>
        <w:snapToGrid w:val="0"/>
        <w:spacing w:line="360" w:lineRule="auto"/>
        <w:ind w:firstLine="411" w:firstLineChars="196"/>
        <w:rPr>
          <w:color w:val="000000"/>
        </w:rPr>
      </w:pPr>
      <w:r>
        <w:rPr>
          <w:rFonts w:hint="eastAsia"/>
          <w:color w:val="000000"/>
        </w:rPr>
        <w:t>5.7.1</w:t>
      </w:r>
      <w:r>
        <w:rPr>
          <w:color w:val="000000"/>
        </w:rPr>
        <w:t>资格证明</w:t>
      </w:r>
      <w:r>
        <w:rPr>
          <w:rFonts w:hint="eastAsia"/>
          <w:color w:val="000000"/>
        </w:rPr>
        <w:t>文件</w:t>
      </w:r>
      <w:r>
        <w:rPr>
          <w:color w:val="000000"/>
        </w:rPr>
        <w:t>评审阶段：</w:t>
      </w:r>
    </w:p>
    <w:p>
      <w:pPr>
        <w:snapToGrid w:val="0"/>
        <w:spacing w:line="360" w:lineRule="auto"/>
        <w:ind w:firstLine="411" w:firstLineChars="196"/>
        <w:rPr>
          <w:color w:val="000000"/>
        </w:rPr>
      </w:pPr>
      <w:r>
        <w:rPr>
          <w:color w:val="000000"/>
        </w:rPr>
        <w:t>有下列情形之一的投标文件，经</w:t>
      </w:r>
      <w:r>
        <w:rPr>
          <w:rFonts w:hint="eastAsia"/>
          <w:color w:val="000000"/>
        </w:rPr>
        <w:t>采购人或采购代理机构</w:t>
      </w:r>
      <w:r>
        <w:rPr>
          <w:color w:val="000000"/>
        </w:rPr>
        <w:t>认定属实后将该投标文件作无效标处理：</w:t>
      </w:r>
    </w:p>
    <w:p>
      <w:pPr>
        <w:snapToGrid w:val="0"/>
        <w:spacing w:line="360" w:lineRule="auto"/>
        <w:ind w:firstLine="411" w:firstLineChars="196"/>
        <w:rPr>
          <w:color w:val="000000"/>
        </w:rPr>
      </w:pPr>
      <w:r>
        <w:rPr>
          <w:color w:val="000000"/>
        </w:rPr>
        <w:t>1）投标文件内容不能充分证明</w:t>
      </w:r>
      <w:r>
        <w:rPr>
          <w:rFonts w:hint="eastAsia"/>
          <w:color w:val="000000"/>
        </w:rPr>
        <w:t>供应商</w:t>
      </w:r>
      <w:r>
        <w:rPr>
          <w:color w:val="000000"/>
        </w:rPr>
        <w:t>符合投标资格条件的；</w:t>
      </w:r>
    </w:p>
    <w:p>
      <w:pPr>
        <w:snapToGrid w:val="0"/>
        <w:spacing w:line="360" w:lineRule="auto"/>
        <w:ind w:firstLine="411" w:firstLineChars="196"/>
        <w:rPr>
          <w:color w:val="000000"/>
        </w:rPr>
      </w:pPr>
      <w:r>
        <w:rPr>
          <w:rFonts w:hint="eastAsia"/>
          <w:color w:val="000000"/>
        </w:rPr>
        <w:t>5.7.2</w:t>
      </w:r>
      <w:r>
        <w:rPr>
          <w:color w:val="000000"/>
        </w:rPr>
        <w:t>商务技术</w:t>
      </w:r>
      <w:r>
        <w:rPr>
          <w:rFonts w:hint="eastAsia"/>
          <w:color w:val="000000"/>
        </w:rPr>
        <w:t>文件</w:t>
      </w:r>
      <w:r>
        <w:rPr>
          <w:color w:val="000000"/>
        </w:rPr>
        <w:t>评审阶段：</w:t>
      </w:r>
    </w:p>
    <w:p>
      <w:pPr>
        <w:spacing w:line="360" w:lineRule="auto"/>
        <w:ind w:firstLine="420" w:firstLineChars="200"/>
      </w:pPr>
      <w:r>
        <w:rPr>
          <w:color w:val="000000"/>
        </w:rPr>
        <w:t>有下列情形之一的投标文件，由评标委员会按少数服从多数原则进行认定，经认定属实后将该投标文件作无效标处理：</w:t>
      </w:r>
    </w:p>
    <w:p>
      <w:pPr>
        <w:snapToGrid w:val="0"/>
        <w:spacing w:line="360" w:lineRule="auto"/>
        <w:ind w:firstLine="420" w:firstLineChars="200"/>
        <w:rPr>
          <w:color w:val="000000"/>
        </w:rPr>
      </w:pPr>
      <w:r>
        <w:rPr>
          <w:rFonts w:hint="eastAsia"/>
          <w:color w:val="000000"/>
        </w:rPr>
        <w:t>1</w:t>
      </w:r>
      <w:r>
        <w:rPr>
          <w:color w:val="000000"/>
        </w:rPr>
        <w:t>）</w:t>
      </w:r>
      <w:r>
        <w:rPr>
          <w:color w:val="000000"/>
        </w:rPr>
        <w:tab/>
      </w:r>
      <w:r>
        <w:rPr>
          <w:rFonts w:hint="eastAsia"/>
          <w:color w:val="000000"/>
        </w:rPr>
        <w:t>供应商</w:t>
      </w:r>
      <w:r>
        <w:rPr>
          <w:color w:val="000000"/>
        </w:rPr>
        <w:t>提交两份或两份以上内容不同的投标方案，未声明哪一份有效的；</w:t>
      </w:r>
    </w:p>
    <w:p>
      <w:pPr>
        <w:snapToGrid w:val="0"/>
        <w:spacing w:line="360" w:lineRule="auto"/>
        <w:ind w:firstLine="420" w:firstLineChars="200"/>
        <w:rPr>
          <w:color w:val="000000"/>
        </w:rPr>
      </w:pPr>
      <w:r>
        <w:rPr>
          <w:rFonts w:hint="eastAsia"/>
          <w:color w:val="000000"/>
        </w:rPr>
        <w:t>2</w:t>
      </w:r>
      <w:r>
        <w:rPr>
          <w:color w:val="000000"/>
        </w:rPr>
        <w:t>）</w:t>
      </w:r>
      <w:r>
        <w:rPr>
          <w:color w:val="000000"/>
        </w:rPr>
        <w:tab/>
      </w:r>
      <w:r>
        <w:rPr>
          <w:color w:val="000000"/>
        </w:rPr>
        <w:t>投标文件非</w:t>
      </w:r>
      <w:r>
        <w:rPr>
          <w:rFonts w:hint="eastAsia"/>
          <w:color w:val="000000"/>
        </w:rPr>
        <w:t>供应商</w:t>
      </w:r>
      <w:r>
        <w:rPr>
          <w:color w:val="000000"/>
        </w:rPr>
        <w:t>法定代表人签署的，未提供或提供无效的法定代表人授权书；</w:t>
      </w:r>
    </w:p>
    <w:p>
      <w:pPr>
        <w:snapToGrid w:val="0"/>
        <w:spacing w:line="360" w:lineRule="auto"/>
        <w:ind w:firstLine="420" w:firstLineChars="200"/>
        <w:rPr>
          <w:color w:val="000000"/>
        </w:rPr>
      </w:pPr>
      <w:r>
        <w:rPr>
          <w:rFonts w:hint="eastAsia"/>
          <w:snapToGrid w:val="0"/>
          <w:color w:val="000000"/>
          <w:kern w:val="0"/>
        </w:rPr>
        <w:t>3</w:t>
      </w:r>
      <w:r>
        <w:rPr>
          <w:snapToGrid w:val="0"/>
          <w:color w:val="000000"/>
          <w:kern w:val="0"/>
        </w:rPr>
        <w:t>）</w:t>
      </w:r>
      <w:r>
        <w:rPr>
          <w:rFonts w:hint="eastAsia"/>
          <w:snapToGrid w:val="0"/>
          <w:color w:val="000000"/>
          <w:kern w:val="0"/>
        </w:rPr>
        <w:t xml:space="preserve"> </w:t>
      </w:r>
      <w:r>
        <w:rPr>
          <w:snapToGrid w:val="0"/>
          <w:color w:val="000000"/>
          <w:kern w:val="0"/>
        </w:rPr>
        <w:t>投标文件中法定代表人和授权代表身份证</w:t>
      </w:r>
      <w:r>
        <w:rPr>
          <w:rFonts w:hint="eastAsia"/>
          <w:snapToGrid w:val="0"/>
          <w:color w:val="000000"/>
          <w:kern w:val="0"/>
        </w:rPr>
        <w:t>扫描</w:t>
      </w:r>
      <w:r>
        <w:rPr>
          <w:snapToGrid w:val="0"/>
          <w:color w:val="000000"/>
          <w:kern w:val="0"/>
        </w:rPr>
        <w:t>件不齐全的；</w:t>
      </w:r>
    </w:p>
    <w:p>
      <w:pPr>
        <w:snapToGrid w:val="0"/>
        <w:spacing w:line="360" w:lineRule="auto"/>
        <w:ind w:firstLine="420" w:firstLineChars="200"/>
        <w:rPr>
          <w:color w:val="FF0000"/>
        </w:rPr>
      </w:pPr>
      <w:r>
        <w:rPr>
          <w:rFonts w:hint="eastAsia"/>
          <w:color w:val="000000"/>
        </w:rPr>
        <w:t>4</w:t>
      </w:r>
      <w:r>
        <w:rPr>
          <w:color w:val="000000"/>
        </w:rPr>
        <w:t>）</w:t>
      </w:r>
      <w:r>
        <w:rPr>
          <w:color w:val="000000"/>
        </w:rPr>
        <w:tab/>
      </w:r>
      <w:r>
        <w:rPr>
          <w:color w:val="000000"/>
        </w:rPr>
        <w:t>投标文件内容未按采购文件规定盖章的；</w:t>
      </w:r>
    </w:p>
    <w:p>
      <w:pPr>
        <w:snapToGrid w:val="0"/>
        <w:spacing w:line="360" w:lineRule="auto"/>
        <w:ind w:firstLine="420" w:firstLineChars="200"/>
        <w:rPr>
          <w:color w:val="000000"/>
        </w:rPr>
      </w:pPr>
      <w:r>
        <w:rPr>
          <w:rFonts w:hint="eastAsia"/>
          <w:color w:val="000000"/>
        </w:rPr>
        <w:t>5</w:t>
      </w:r>
      <w:r>
        <w:rPr>
          <w:color w:val="000000"/>
        </w:rPr>
        <w:t>）</w:t>
      </w:r>
      <w:r>
        <w:rPr>
          <w:color w:val="000000"/>
        </w:rPr>
        <w:tab/>
      </w:r>
      <w:r>
        <w:rPr>
          <w:color w:val="000000"/>
        </w:rPr>
        <w:t>投标文件内容不全或内容字迹模糊辨认不清的等而导致评标活动无法正常进行；</w:t>
      </w:r>
    </w:p>
    <w:p>
      <w:pPr>
        <w:snapToGrid w:val="0"/>
        <w:spacing w:line="360" w:lineRule="auto"/>
        <w:ind w:firstLine="420" w:firstLineChars="200"/>
        <w:rPr>
          <w:color w:val="000000"/>
        </w:rPr>
      </w:pPr>
      <w:r>
        <w:rPr>
          <w:rFonts w:hint="eastAsia"/>
          <w:color w:val="000000"/>
        </w:rPr>
        <w:t>6</w:t>
      </w:r>
      <w:r>
        <w:rPr>
          <w:color w:val="000000"/>
        </w:rPr>
        <w:t>）</w:t>
      </w:r>
      <w:r>
        <w:rPr>
          <w:color w:val="000000"/>
        </w:rPr>
        <w:tab/>
      </w:r>
      <w:r>
        <w:rPr>
          <w:rFonts w:hint="eastAsia"/>
          <w:color w:val="000000"/>
        </w:rPr>
        <w:t>供应商</w:t>
      </w:r>
      <w:r>
        <w:rPr>
          <w:color w:val="000000"/>
        </w:rPr>
        <w:t>未按采购文件变更通知更改投标文件的；</w:t>
      </w:r>
    </w:p>
    <w:p>
      <w:pPr>
        <w:snapToGrid w:val="0"/>
        <w:spacing w:line="360" w:lineRule="auto"/>
        <w:ind w:firstLine="420" w:firstLineChars="200"/>
        <w:rPr>
          <w:color w:val="000000"/>
        </w:rPr>
      </w:pPr>
      <w:r>
        <w:rPr>
          <w:rFonts w:hint="eastAsia"/>
          <w:color w:val="000000"/>
        </w:rPr>
        <w:t>7</w:t>
      </w:r>
      <w:r>
        <w:rPr>
          <w:color w:val="000000"/>
        </w:rPr>
        <w:t>）</w:t>
      </w:r>
      <w:r>
        <w:rPr>
          <w:color w:val="000000"/>
        </w:rPr>
        <w:tab/>
      </w:r>
      <w:r>
        <w:rPr>
          <w:color w:val="000000"/>
        </w:rPr>
        <w:t>未实质性响应采购文件中带“▲”条款要求的投标文件；</w:t>
      </w:r>
    </w:p>
    <w:p>
      <w:pPr>
        <w:snapToGrid w:val="0"/>
        <w:spacing w:line="360" w:lineRule="auto"/>
        <w:ind w:firstLine="420" w:firstLineChars="200"/>
        <w:rPr>
          <w:color w:val="000000"/>
        </w:rPr>
      </w:pPr>
      <w:r>
        <w:rPr>
          <w:rFonts w:hint="eastAsia"/>
          <w:color w:val="000000"/>
        </w:rPr>
        <w:t>8</w:t>
      </w:r>
      <w:r>
        <w:rPr>
          <w:color w:val="000000"/>
        </w:rPr>
        <w:t>）</w:t>
      </w:r>
      <w:r>
        <w:rPr>
          <w:snapToGrid w:val="0"/>
          <w:color w:val="000000"/>
          <w:kern w:val="0"/>
        </w:rPr>
        <w:t>投标有效期、交货期、</w:t>
      </w:r>
      <w:r>
        <w:rPr>
          <w:rFonts w:hint="eastAsia"/>
          <w:snapToGrid w:val="0"/>
          <w:color w:val="000000"/>
          <w:kern w:val="0"/>
        </w:rPr>
        <w:t>服务期、</w:t>
      </w:r>
      <w:r>
        <w:rPr>
          <w:snapToGrid w:val="0"/>
          <w:color w:val="000000"/>
          <w:kern w:val="0"/>
        </w:rPr>
        <w:t>质保期不能满足</w:t>
      </w:r>
      <w:r>
        <w:rPr>
          <w:rFonts w:hint="eastAsia"/>
          <w:snapToGrid w:val="0"/>
          <w:color w:val="000000"/>
          <w:kern w:val="0"/>
        </w:rPr>
        <w:t>采购文件</w:t>
      </w:r>
      <w:r>
        <w:rPr>
          <w:snapToGrid w:val="0"/>
          <w:color w:val="000000"/>
          <w:kern w:val="0"/>
        </w:rPr>
        <w:t>要求的；</w:t>
      </w:r>
    </w:p>
    <w:p>
      <w:pPr>
        <w:snapToGrid w:val="0"/>
        <w:spacing w:line="360" w:lineRule="auto"/>
        <w:ind w:firstLine="420" w:firstLineChars="200"/>
        <w:rPr>
          <w:color w:val="000000"/>
        </w:rPr>
      </w:pPr>
      <w:r>
        <w:rPr>
          <w:rFonts w:hint="eastAsia"/>
          <w:color w:val="000000"/>
        </w:rPr>
        <w:t>9</w:t>
      </w:r>
      <w:r>
        <w:rPr>
          <w:color w:val="000000"/>
        </w:rPr>
        <w:t>）</w:t>
      </w:r>
      <w:r>
        <w:rPr>
          <w:rFonts w:hint="eastAsia"/>
          <w:color w:val="000000" w:themeColor="text1"/>
          <w14:textFill>
            <w14:solidFill>
              <w14:schemeClr w14:val="tx1"/>
            </w14:solidFill>
          </w14:textFill>
        </w:rPr>
        <w:t>各投标人如实响应采购要求，提供《医疗器械注册证》、原厂主要技术规格表、国家药品监督管理部门认可的检测报告、产品彩页（彩页上需投标产品制造商或国内总代理或制造商在国内办事处盖红章）等材料，在技术响应中详细描述所投设备的投标技术、性能</w:t>
      </w:r>
      <w:r>
        <w:rPr>
          <w:color w:val="000000"/>
        </w:rPr>
        <w:t>；</w:t>
      </w:r>
    </w:p>
    <w:p>
      <w:pPr>
        <w:snapToGrid w:val="0"/>
        <w:spacing w:line="360" w:lineRule="auto"/>
        <w:ind w:firstLine="420" w:firstLineChars="200"/>
        <w:rPr>
          <w:color w:val="000000"/>
        </w:rPr>
      </w:pPr>
      <w:r>
        <w:rPr>
          <w:color w:val="000000"/>
        </w:rPr>
        <w:t>1</w:t>
      </w:r>
      <w:r>
        <w:rPr>
          <w:rFonts w:hint="eastAsia"/>
          <w:color w:val="000000"/>
        </w:rPr>
        <w:t>0</w:t>
      </w:r>
      <w:r>
        <w:rPr>
          <w:color w:val="000000"/>
        </w:rPr>
        <w:t>）投标文件附有采购人不能接受的条款；</w:t>
      </w:r>
    </w:p>
    <w:p>
      <w:pPr>
        <w:snapToGrid w:val="0"/>
        <w:spacing w:line="360" w:lineRule="auto"/>
        <w:ind w:firstLine="420" w:firstLineChars="200"/>
        <w:rPr>
          <w:color w:val="000000"/>
        </w:rPr>
      </w:pPr>
      <w:r>
        <w:rPr>
          <w:color w:val="000000"/>
        </w:rPr>
        <w:t>1</w:t>
      </w:r>
      <w:r>
        <w:rPr>
          <w:rFonts w:hint="eastAsia"/>
          <w:color w:val="000000"/>
        </w:rPr>
        <w:t>1</w:t>
      </w:r>
      <w:r>
        <w:rPr>
          <w:color w:val="000000"/>
        </w:rPr>
        <w:t>）</w:t>
      </w:r>
      <w:r>
        <w:rPr>
          <w:color w:val="000000"/>
        </w:rPr>
        <w:tab/>
      </w:r>
      <w:r>
        <w:rPr>
          <w:color w:val="000000"/>
        </w:rPr>
        <w:t>投标文件中提供了与采购无关的赠品、回扣或者其他商品、服务；</w:t>
      </w:r>
    </w:p>
    <w:p>
      <w:pPr>
        <w:snapToGrid w:val="0"/>
        <w:spacing w:line="360" w:lineRule="auto"/>
        <w:ind w:firstLine="420" w:firstLineChars="200"/>
        <w:rPr>
          <w:color w:val="000000"/>
        </w:rPr>
      </w:pPr>
      <w:r>
        <w:rPr>
          <w:color w:val="000000"/>
        </w:rPr>
        <w:t>1</w:t>
      </w:r>
      <w:r>
        <w:rPr>
          <w:rFonts w:hint="eastAsia"/>
          <w:color w:val="000000"/>
        </w:rPr>
        <w:t>2</w:t>
      </w:r>
      <w:r>
        <w:rPr>
          <w:color w:val="000000"/>
        </w:rPr>
        <w:t>）</w:t>
      </w:r>
      <w:r>
        <w:rPr>
          <w:rFonts w:hint="eastAsia"/>
          <w:color w:val="000000"/>
        </w:rPr>
        <w:t>供应商</w:t>
      </w:r>
      <w:r>
        <w:rPr>
          <w:color w:val="000000"/>
        </w:rPr>
        <w:t>串通投标，妨碍其他</w:t>
      </w:r>
      <w:r>
        <w:rPr>
          <w:rFonts w:hint="eastAsia"/>
          <w:color w:val="000000"/>
        </w:rPr>
        <w:t>供应商</w:t>
      </w:r>
      <w:r>
        <w:rPr>
          <w:color w:val="000000"/>
        </w:rPr>
        <w:t>的竞争行为，损害采购人或者其他</w:t>
      </w:r>
      <w:r>
        <w:rPr>
          <w:rFonts w:hint="eastAsia"/>
          <w:color w:val="000000"/>
        </w:rPr>
        <w:t>供应商</w:t>
      </w:r>
      <w:r>
        <w:rPr>
          <w:color w:val="000000"/>
        </w:rPr>
        <w:t>的合法权益；</w:t>
      </w:r>
    </w:p>
    <w:p>
      <w:pPr>
        <w:snapToGrid w:val="0"/>
        <w:spacing w:line="360" w:lineRule="auto"/>
        <w:ind w:firstLine="420" w:firstLineChars="200"/>
        <w:rPr>
          <w:color w:val="000000"/>
        </w:rPr>
      </w:pPr>
      <w:r>
        <w:rPr>
          <w:color w:val="000000"/>
        </w:rPr>
        <w:t>1</w:t>
      </w:r>
      <w:r>
        <w:rPr>
          <w:rFonts w:hint="eastAsia"/>
          <w:color w:val="000000"/>
        </w:rPr>
        <w:t>3</w:t>
      </w:r>
      <w:r>
        <w:rPr>
          <w:color w:val="000000"/>
        </w:rPr>
        <w:t>）违反国家及政府部门相关法律、法规、文件规定或经评标委员会认定的其他属于重大偏离。</w:t>
      </w:r>
    </w:p>
    <w:p>
      <w:pPr>
        <w:snapToGrid w:val="0"/>
        <w:spacing w:line="360" w:lineRule="auto"/>
        <w:ind w:firstLine="420" w:firstLineChars="200"/>
        <w:rPr>
          <w:color w:val="000000"/>
        </w:rPr>
      </w:pPr>
      <w:r>
        <w:rPr>
          <w:rFonts w:hint="eastAsia"/>
          <w:color w:val="000000"/>
        </w:rPr>
        <w:t>5.7.3</w:t>
      </w:r>
      <w:r>
        <w:rPr>
          <w:color w:val="000000"/>
        </w:rPr>
        <w:t>报价文件评审阶段：</w:t>
      </w:r>
    </w:p>
    <w:p>
      <w:pPr>
        <w:snapToGrid w:val="0"/>
        <w:spacing w:line="360" w:lineRule="auto"/>
        <w:ind w:firstLine="420" w:firstLineChars="200"/>
        <w:rPr>
          <w:color w:val="000000"/>
        </w:rPr>
      </w:pPr>
      <w:r>
        <w:rPr>
          <w:color w:val="000000"/>
        </w:rPr>
        <w:t>有下列情形之一的投标文件，由评标委员会按少数服从多数原则进行认定，经认定属实后将该投标文件作无效标处理：</w:t>
      </w:r>
    </w:p>
    <w:p>
      <w:pPr>
        <w:snapToGrid w:val="0"/>
        <w:spacing w:line="360" w:lineRule="auto"/>
        <w:ind w:firstLine="420" w:firstLineChars="200"/>
        <w:rPr>
          <w:color w:val="000000"/>
        </w:rPr>
      </w:pPr>
      <w:r>
        <w:rPr>
          <w:color w:val="000000"/>
        </w:rPr>
        <w:t>1）</w:t>
      </w:r>
      <w:r>
        <w:rPr>
          <w:color w:val="000000"/>
        </w:rPr>
        <w:tab/>
      </w:r>
      <w:r>
        <w:rPr>
          <w:rFonts w:hint="eastAsia"/>
          <w:color w:val="000000"/>
        </w:rPr>
        <w:t>供应商</w:t>
      </w:r>
      <w:r>
        <w:rPr>
          <w:color w:val="000000"/>
        </w:rPr>
        <w:t>提交两份或两份以上内容不同的投标报价，未声明哪一份有效的；</w:t>
      </w:r>
    </w:p>
    <w:p>
      <w:pPr>
        <w:snapToGrid w:val="0"/>
        <w:spacing w:line="360" w:lineRule="auto"/>
        <w:ind w:firstLine="420" w:firstLineChars="200"/>
        <w:rPr>
          <w:color w:val="000000"/>
        </w:rPr>
      </w:pPr>
      <w:r>
        <w:rPr>
          <w:color w:val="000000"/>
        </w:rPr>
        <w:t>2）</w:t>
      </w:r>
      <w:r>
        <w:rPr>
          <w:color w:val="000000"/>
        </w:rPr>
        <w:tab/>
      </w:r>
      <w:r>
        <w:rPr>
          <w:color w:val="000000"/>
        </w:rPr>
        <w:t>投标文件内容未按采购文件规定盖章的；</w:t>
      </w:r>
    </w:p>
    <w:p>
      <w:pPr>
        <w:snapToGrid w:val="0"/>
        <w:spacing w:line="360" w:lineRule="auto"/>
        <w:ind w:firstLine="420" w:firstLineChars="200"/>
        <w:rPr>
          <w:color w:val="000000"/>
        </w:rPr>
      </w:pPr>
      <w:r>
        <w:rPr>
          <w:color w:val="000000"/>
        </w:rPr>
        <w:t>3）</w:t>
      </w:r>
      <w:r>
        <w:rPr>
          <w:color w:val="000000"/>
        </w:rPr>
        <w:tab/>
      </w:r>
      <w:r>
        <w:rPr>
          <w:color w:val="000000"/>
        </w:rPr>
        <w:t>《开标一览表》和《投标价格组成明细表》内容不完整且不接受修正意见或字迹不能辨认的或未提供；</w:t>
      </w:r>
    </w:p>
    <w:p>
      <w:pPr>
        <w:snapToGrid w:val="0"/>
        <w:spacing w:line="360" w:lineRule="auto"/>
        <w:ind w:firstLine="420" w:firstLineChars="200"/>
        <w:rPr>
          <w:color w:val="000000"/>
        </w:rPr>
      </w:pPr>
      <w:r>
        <w:rPr>
          <w:color w:val="000000"/>
        </w:rPr>
        <w:t>4）</w:t>
      </w:r>
      <w:r>
        <w:rPr>
          <w:color w:val="000000"/>
        </w:rPr>
        <w:tab/>
      </w:r>
      <w:r>
        <w:rPr>
          <w:color w:val="000000"/>
        </w:rPr>
        <w:t>所投标项的投标报价超过采购文件规定的预算金额或最高限价；</w:t>
      </w:r>
    </w:p>
    <w:p>
      <w:pPr>
        <w:snapToGrid w:val="0"/>
        <w:spacing w:line="360" w:lineRule="auto"/>
        <w:ind w:firstLine="420" w:firstLineChars="200"/>
        <w:rPr>
          <w:color w:val="000000"/>
        </w:rPr>
      </w:pPr>
      <w:r>
        <w:rPr>
          <w:color w:val="000000"/>
        </w:rPr>
        <w:t>5）</w:t>
      </w:r>
      <w:r>
        <w:rPr>
          <w:color w:val="000000"/>
        </w:rPr>
        <w:tab/>
      </w:r>
      <w:r>
        <w:rPr>
          <w:color w:val="000000"/>
        </w:rPr>
        <w:t>《开标一览表》投标报价为零的，或其报价（大写）无法按正常书写方式进行报价唱标的或无投标报价的；</w:t>
      </w:r>
    </w:p>
    <w:p>
      <w:pPr>
        <w:snapToGrid w:val="0"/>
        <w:spacing w:line="360" w:lineRule="auto"/>
        <w:ind w:firstLine="420" w:firstLineChars="200"/>
        <w:rPr>
          <w:color w:val="000000"/>
        </w:rPr>
      </w:pPr>
      <w:r>
        <w:rPr>
          <w:rFonts w:hint="eastAsia"/>
          <w:color w:val="000000"/>
        </w:rPr>
        <w:t>6</w:t>
      </w:r>
      <w:r>
        <w:rPr>
          <w:color w:val="000000"/>
        </w:rPr>
        <w:t>）</w:t>
      </w:r>
      <w:r>
        <w:rPr>
          <w:rFonts w:hint="eastAsia"/>
          <w:color w:val="000000"/>
        </w:rPr>
        <w:t>投标人的报价明显低于其他通过符合性审查投标人的报价，有可能影响产品或服务质量或者不能诚信履约，未能按评标委员会要求其在评标现场合理的时间内提供书面说明及相关证明材料以证明其报价合理性的</w:t>
      </w:r>
      <w:r>
        <w:rPr>
          <w:color w:val="000000"/>
        </w:rPr>
        <w:t>；</w:t>
      </w:r>
    </w:p>
    <w:p>
      <w:pPr>
        <w:snapToGrid w:val="0"/>
        <w:spacing w:line="360" w:lineRule="auto"/>
        <w:ind w:firstLine="420" w:firstLineChars="200"/>
        <w:rPr>
          <w:color w:val="000000"/>
        </w:rPr>
      </w:pPr>
      <w:r>
        <w:rPr>
          <w:rFonts w:hint="eastAsia"/>
          <w:color w:val="000000"/>
        </w:rPr>
        <w:t>7</w:t>
      </w:r>
      <w:r>
        <w:rPr>
          <w:color w:val="000000"/>
        </w:rPr>
        <w:t>）投标文件内容不全或内容字迹模糊辨认不清的等而导致评标活动无法正常进行；</w:t>
      </w:r>
    </w:p>
    <w:p>
      <w:pPr>
        <w:snapToGrid w:val="0"/>
        <w:spacing w:line="360" w:lineRule="auto"/>
        <w:ind w:firstLine="420" w:firstLineChars="200"/>
        <w:rPr>
          <w:color w:val="000000"/>
        </w:rPr>
      </w:pPr>
      <w:r>
        <w:rPr>
          <w:rFonts w:hint="eastAsia"/>
          <w:color w:val="000000"/>
        </w:rPr>
        <w:t>8</w:t>
      </w:r>
      <w:r>
        <w:rPr>
          <w:color w:val="000000"/>
        </w:rPr>
        <w:t>）</w:t>
      </w:r>
      <w:r>
        <w:rPr>
          <w:color w:val="000000"/>
        </w:rPr>
        <w:tab/>
      </w:r>
      <w:r>
        <w:rPr>
          <w:rFonts w:hint="eastAsia"/>
          <w:color w:val="000000"/>
        </w:rPr>
        <w:t>供应商</w:t>
      </w:r>
      <w:r>
        <w:rPr>
          <w:color w:val="000000"/>
        </w:rPr>
        <w:t>未按采购文件变更通知更改投标文件的；</w:t>
      </w:r>
    </w:p>
    <w:p>
      <w:pPr>
        <w:snapToGrid w:val="0"/>
        <w:spacing w:line="360" w:lineRule="auto"/>
        <w:ind w:firstLine="420" w:firstLineChars="200"/>
        <w:rPr>
          <w:color w:val="000000"/>
        </w:rPr>
      </w:pPr>
      <w:r>
        <w:rPr>
          <w:rFonts w:hint="eastAsia"/>
          <w:color w:val="000000"/>
        </w:rPr>
        <w:t>9</w:t>
      </w:r>
      <w:r>
        <w:rPr>
          <w:color w:val="000000"/>
        </w:rPr>
        <w:t>）</w:t>
      </w:r>
      <w:r>
        <w:rPr>
          <w:color w:val="000000"/>
        </w:rPr>
        <w:tab/>
      </w:r>
      <w:r>
        <w:rPr>
          <w:color w:val="000000"/>
        </w:rPr>
        <w:t>未实质性响应采购文件中带“▲”条款要求的投标文件；</w:t>
      </w:r>
    </w:p>
    <w:p>
      <w:pPr>
        <w:snapToGrid w:val="0"/>
        <w:spacing w:line="360" w:lineRule="auto"/>
        <w:ind w:firstLine="420" w:firstLineChars="200"/>
        <w:rPr>
          <w:color w:val="000000"/>
        </w:rPr>
      </w:pPr>
      <w:r>
        <w:rPr>
          <w:color w:val="000000"/>
        </w:rPr>
        <w:t>1</w:t>
      </w:r>
      <w:r>
        <w:rPr>
          <w:rFonts w:hint="eastAsia"/>
          <w:color w:val="000000"/>
        </w:rPr>
        <w:t>0</w:t>
      </w:r>
      <w:r>
        <w:rPr>
          <w:color w:val="000000"/>
        </w:rPr>
        <w:t>）投标文件附有采购人不能接受的条款；</w:t>
      </w:r>
    </w:p>
    <w:p>
      <w:pPr>
        <w:snapToGrid w:val="0"/>
        <w:spacing w:line="360" w:lineRule="auto"/>
        <w:ind w:firstLine="420" w:firstLineChars="200"/>
        <w:rPr>
          <w:color w:val="000000"/>
        </w:rPr>
      </w:pPr>
      <w:r>
        <w:rPr>
          <w:rFonts w:hint="eastAsia"/>
          <w:color w:val="000000"/>
        </w:rPr>
        <w:t>11</w:t>
      </w:r>
      <w:r>
        <w:rPr>
          <w:color w:val="000000"/>
        </w:rPr>
        <w:t>）投标文件中提供了与采购无关的赠品、回扣或者其他商品、服务；</w:t>
      </w:r>
    </w:p>
    <w:p>
      <w:pPr>
        <w:snapToGrid w:val="0"/>
        <w:spacing w:line="360" w:lineRule="auto"/>
        <w:ind w:firstLine="420" w:firstLineChars="200"/>
        <w:rPr>
          <w:color w:val="000000"/>
        </w:rPr>
      </w:pPr>
      <w:r>
        <w:rPr>
          <w:color w:val="000000"/>
        </w:rPr>
        <w:t>1</w:t>
      </w:r>
      <w:r>
        <w:rPr>
          <w:rFonts w:hint="eastAsia"/>
          <w:color w:val="000000"/>
        </w:rPr>
        <w:t>2</w:t>
      </w:r>
      <w:r>
        <w:rPr>
          <w:color w:val="000000"/>
        </w:rPr>
        <w:t>）</w:t>
      </w:r>
      <w:r>
        <w:rPr>
          <w:rFonts w:hint="eastAsia"/>
          <w:color w:val="000000"/>
        </w:rPr>
        <w:t>供应商</w:t>
      </w:r>
      <w:r>
        <w:rPr>
          <w:color w:val="000000"/>
        </w:rPr>
        <w:t>串通投标，妨碍其他</w:t>
      </w:r>
      <w:r>
        <w:rPr>
          <w:rFonts w:hint="eastAsia"/>
          <w:color w:val="000000"/>
        </w:rPr>
        <w:t>供应商</w:t>
      </w:r>
      <w:r>
        <w:rPr>
          <w:color w:val="000000"/>
        </w:rPr>
        <w:t>的竞争行为，损害采购人或者其他</w:t>
      </w:r>
      <w:r>
        <w:rPr>
          <w:rFonts w:hint="eastAsia"/>
          <w:color w:val="000000"/>
        </w:rPr>
        <w:t>供应商</w:t>
      </w:r>
      <w:r>
        <w:rPr>
          <w:color w:val="000000"/>
        </w:rPr>
        <w:t>的合法权益；</w:t>
      </w:r>
    </w:p>
    <w:p>
      <w:pPr>
        <w:snapToGrid w:val="0"/>
        <w:spacing w:line="360" w:lineRule="auto"/>
        <w:ind w:firstLine="420" w:firstLineChars="200"/>
        <w:rPr>
          <w:color w:val="000000"/>
        </w:rPr>
      </w:pPr>
      <w:r>
        <w:rPr>
          <w:color w:val="000000"/>
        </w:rPr>
        <w:t>1</w:t>
      </w:r>
      <w:r>
        <w:rPr>
          <w:rFonts w:hint="eastAsia"/>
          <w:color w:val="000000"/>
        </w:rPr>
        <w:t>3</w:t>
      </w:r>
      <w:r>
        <w:rPr>
          <w:color w:val="000000"/>
        </w:rPr>
        <w:t>）违反国家及政府部门相关法律、法规、文件规定或经评标委员会认定的其他属于重大偏离。</w:t>
      </w:r>
    </w:p>
    <w:p>
      <w:pPr>
        <w:pStyle w:val="5"/>
        <w:spacing w:line="360" w:lineRule="auto"/>
        <w:ind w:firstLine="422"/>
        <w:rPr>
          <w:rFonts w:ascii="Times New Roman" w:hAnsi="Times New Roman"/>
          <w:color w:val="000000"/>
        </w:rPr>
      </w:pPr>
      <w:bookmarkStart w:id="107" w:name="_Toc31731"/>
      <w:r>
        <w:rPr>
          <w:rFonts w:ascii="Times New Roman" w:hAnsi="Times New Roman"/>
          <w:color w:val="000000"/>
        </w:rPr>
        <w:t>5.8 串通投标</w:t>
      </w:r>
      <w:bookmarkEnd w:id="107"/>
    </w:p>
    <w:p>
      <w:pPr>
        <w:pStyle w:val="34"/>
        <w:snapToGrid w:val="0"/>
        <w:spacing w:line="360" w:lineRule="auto"/>
        <w:ind w:firstLine="420"/>
        <w:rPr>
          <w:rFonts w:ascii="Times New Roman" w:hAnsi="Times New Roman"/>
          <w:color w:val="000000"/>
        </w:rPr>
      </w:pPr>
      <w:r>
        <w:rPr>
          <w:rFonts w:ascii="Times New Roman" w:hAnsi="Times New Roman"/>
          <w:color w:val="000000"/>
        </w:rPr>
        <w:t>有下列情形之一的，视为</w:t>
      </w:r>
      <w:r>
        <w:rPr>
          <w:rFonts w:hint="eastAsia" w:ascii="Times New Roman" w:hAnsi="Times New Roman"/>
          <w:color w:val="000000"/>
        </w:rPr>
        <w:t>供应商</w:t>
      </w:r>
      <w:r>
        <w:rPr>
          <w:rFonts w:ascii="Times New Roman" w:hAnsi="Times New Roman"/>
          <w:color w:val="000000"/>
        </w:rPr>
        <w:t>串通投标：</w:t>
      </w:r>
    </w:p>
    <w:p>
      <w:pPr>
        <w:pStyle w:val="34"/>
        <w:snapToGrid w:val="0"/>
        <w:spacing w:line="360" w:lineRule="auto"/>
        <w:ind w:firstLine="420"/>
        <w:rPr>
          <w:rFonts w:ascii="Times New Roman" w:hAnsi="Times New Roman"/>
          <w:color w:val="000000"/>
        </w:rPr>
      </w:pPr>
      <w:r>
        <w:rPr>
          <w:rFonts w:ascii="Times New Roman" w:hAnsi="Times New Roman"/>
          <w:color w:val="000000"/>
        </w:rPr>
        <w:t>1）不同</w:t>
      </w:r>
      <w:r>
        <w:rPr>
          <w:rFonts w:hint="eastAsia" w:ascii="Times New Roman" w:hAnsi="Times New Roman"/>
          <w:color w:val="000000"/>
        </w:rPr>
        <w:t>供应商</w:t>
      </w:r>
      <w:r>
        <w:rPr>
          <w:rFonts w:ascii="Times New Roman" w:hAnsi="Times New Roman"/>
          <w:color w:val="000000"/>
        </w:rPr>
        <w:t>的投标文件由同一单位或者个人编制；</w:t>
      </w:r>
    </w:p>
    <w:p>
      <w:pPr>
        <w:pStyle w:val="34"/>
        <w:snapToGrid w:val="0"/>
        <w:spacing w:line="360" w:lineRule="auto"/>
        <w:ind w:firstLine="420"/>
        <w:rPr>
          <w:rFonts w:ascii="Times New Roman" w:hAnsi="Times New Roman"/>
          <w:color w:val="000000"/>
        </w:rPr>
      </w:pPr>
      <w:r>
        <w:rPr>
          <w:rFonts w:ascii="Times New Roman" w:hAnsi="Times New Roman"/>
          <w:color w:val="000000"/>
        </w:rPr>
        <w:t>2）不同</w:t>
      </w:r>
      <w:r>
        <w:rPr>
          <w:rFonts w:hint="eastAsia" w:ascii="Times New Roman" w:hAnsi="Times New Roman"/>
          <w:color w:val="000000"/>
        </w:rPr>
        <w:t>供应商</w:t>
      </w:r>
      <w:r>
        <w:rPr>
          <w:rFonts w:ascii="Times New Roman" w:hAnsi="Times New Roman"/>
          <w:color w:val="000000"/>
        </w:rPr>
        <w:t>委托同一单位或者个人办理投标事宜；</w:t>
      </w:r>
    </w:p>
    <w:p>
      <w:pPr>
        <w:pStyle w:val="34"/>
        <w:snapToGrid w:val="0"/>
        <w:spacing w:line="360" w:lineRule="auto"/>
        <w:ind w:firstLine="420"/>
        <w:rPr>
          <w:rFonts w:ascii="Times New Roman" w:hAnsi="Times New Roman"/>
          <w:color w:val="000000"/>
        </w:rPr>
      </w:pPr>
      <w:r>
        <w:rPr>
          <w:rFonts w:ascii="Times New Roman" w:hAnsi="Times New Roman"/>
          <w:color w:val="000000"/>
        </w:rPr>
        <w:t>3）不同</w:t>
      </w:r>
      <w:r>
        <w:rPr>
          <w:rFonts w:hint="eastAsia" w:ascii="Times New Roman" w:hAnsi="Times New Roman"/>
          <w:color w:val="000000"/>
        </w:rPr>
        <w:t>供应商</w:t>
      </w:r>
      <w:r>
        <w:rPr>
          <w:rFonts w:ascii="Times New Roman" w:hAnsi="Times New Roman"/>
          <w:color w:val="000000"/>
        </w:rPr>
        <w:t>的投标文件载明的项目管理成员或者联系人员为同一人；</w:t>
      </w:r>
    </w:p>
    <w:p>
      <w:pPr>
        <w:pStyle w:val="34"/>
        <w:snapToGrid w:val="0"/>
        <w:spacing w:line="360" w:lineRule="auto"/>
        <w:ind w:firstLine="420"/>
        <w:rPr>
          <w:rFonts w:ascii="Times New Roman" w:hAnsi="Times New Roman"/>
          <w:color w:val="000000"/>
        </w:rPr>
      </w:pPr>
      <w:r>
        <w:rPr>
          <w:rFonts w:ascii="Times New Roman" w:hAnsi="Times New Roman"/>
          <w:color w:val="000000"/>
        </w:rPr>
        <w:t>4）不同</w:t>
      </w:r>
      <w:r>
        <w:rPr>
          <w:rFonts w:hint="eastAsia" w:ascii="Times New Roman" w:hAnsi="Times New Roman"/>
          <w:color w:val="000000"/>
        </w:rPr>
        <w:t>供应商</w:t>
      </w:r>
      <w:r>
        <w:rPr>
          <w:rFonts w:ascii="Times New Roman" w:hAnsi="Times New Roman"/>
          <w:color w:val="000000"/>
        </w:rPr>
        <w:t>的投标文件异常一致或者投标报价呈规律性差异；</w:t>
      </w:r>
    </w:p>
    <w:p>
      <w:pPr>
        <w:pStyle w:val="34"/>
        <w:snapToGrid w:val="0"/>
        <w:spacing w:line="360" w:lineRule="auto"/>
        <w:ind w:firstLine="420"/>
        <w:rPr>
          <w:rFonts w:ascii="Times New Roman" w:hAnsi="Times New Roman"/>
          <w:color w:val="000000"/>
        </w:rPr>
      </w:pPr>
      <w:r>
        <w:rPr>
          <w:rFonts w:ascii="Times New Roman" w:hAnsi="Times New Roman"/>
          <w:color w:val="000000"/>
        </w:rPr>
        <w:t>5）不同</w:t>
      </w:r>
      <w:r>
        <w:rPr>
          <w:rFonts w:hint="eastAsia" w:ascii="Times New Roman" w:hAnsi="Times New Roman"/>
          <w:color w:val="000000"/>
        </w:rPr>
        <w:t>供应商</w:t>
      </w:r>
      <w:r>
        <w:rPr>
          <w:rFonts w:ascii="Times New Roman" w:hAnsi="Times New Roman"/>
          <w:color w:val="000000"/>
        </w:rPr>
        <w:t>的投标文件相互混装。</w:t>
      </w:r>
    </w:p>
    <w:p>
      <w:pPr>
        <w:pStyle w:val="5"/>
        <w:spacing w:line="360" w:lineRule="auto"/>
        <w:ind w:firstLine="422"/>
        <w:rPr>
          <w:rFonts w:ascii="Times New Roman" w:hAnsi="Times New Roman"/>
          <w:color w:val="000000"/>
        </w:rPr>
      </w:pPr>
      <w:bookmarkStart w:id="108" w:name="_Toc14340"/>
      <w:r>
        <w:rPr>
          <w:rFonts w:ascii="Times New Roman" w:hAnsi="Times New Roman"/>
          <w:color w:val="000000"/>
        </w:rPr>
        <w:t>5.9 评标</w:t>
      </w:r>
      <w:bookmarkEnd w:id="108"/>
    </w:p>
    <w:p>
      <w:pPr>
        <w:pStyle w:val="34"/>
        <w:snapToGrid w:val="0"/>
        <w:spacing w:line="360" w:lineRule="auto"/>
        <w:ind w:firstLine="420"/>
        <w:rPr>
          <w:rFonts w:ascii="Times New Roman" w:hAnsi="Times New Roman"/>
          <w:color w:val="000000"/>
        </w:rPr>
      </w:pPr>
      <w:r>
        <w:rPr>
          <w:rFonts w:ascii="Times New Roman" w:hAnsi="Times New Roman"/>
          <w:color w:val="000000"/>
        </w:rPr>
        <w:t>5.9.1 采购人将按相关规定组织评标委员会，对投标文件进行审查、比较和评价。</w:t>
      </w:r>
    </w:p>
    <w:p>
      <w:pPr>
        <w:pStyle w:val="34"/>
        <w:snapToGrid w:val="0"/>
        <w:spacing w:line="360" w:lineRule="auto"/>
        <w:ind w:firstLine="420"/>
        <w:rPr>
          <w:rFonts w:ascii="Times New Roman" w:hAnsi="Times New Roman"/>
          <w:color w:val="000000"/>
        </w:rPr>
      </w:pPr>
      <w:r>
        <w:rPr>
          <w:rFonts w:ascii="Times New Roman" w:hAnsi="Times New Roman"/>
          <w:color w:val="000000"/>
        </w:rPr>
        <w:t>5.9.2评标办法</w:t>
      </w:r>
    </w:p>
    <w:p>
      <w:pPr>
        <w:pStyle w:val="34"/>
        <w:snapToGrid w:val="0"/>
        <w:spacing w:line="360" w:lineRule="auto"/>
        <w:ind w:firstLine="420"/>
        <w:rPr>
          <w:rFonts w:ascii="Times New Roman" w:hAnsi="Times New Roman"/>
          <w:color w:val="000000"/>
        </w:rPr>
      </w:pPr>
      <w:r>
        <w:rPr>
          <w:rFonts w:ascii="Times New Roman" w:hAnsi="Times New Roman"/>
          <w:color w:val="000000"/>
        </w:rPr>
        <w:t>评标办法详见第四章。</w:t>
      </w:r>
    </w:p>
    <w:p>
      <w:pPr>
        <w:pStyle w:val="5"/>
        <w:spacing w:line="360" w:lineRule="auto"/>
        <w:ind w:firstLine="422"/>
        <w:rPr>
          <w:rFonts w:ascii="Times New Roman" w:hAnsi="Times New Roman"/>
          <w:color w:val="000000"/>
        </w:rPr>
      </w:pPr>
      <w:bookmarkStart w:id="109" w:name="_Toc642"/>
      <w:r>
        <w:rPr>
          <w:rFonts w:ascii="Times New Roman" w:hAnsi="Times New Roman"/>
          <w:color w:val="000000"/>
        </w:rPr>
        <w:t>5.10 有效</w:t>
      </w:r>
      <w:r>
        <w:rPr>
          <w:rFonts w:hint="eastAsia" w:ascii="Times New Roman" w:hAnsi="Times New Roman"/>
          <w:color w:val="000000"/>
        </w:rPr>
        <w:t>供应商</w:t>
      </w:r>
      <w:r>
        <w:rPr>
          <w:rFonts w:ascii="Times New Roman" w:hAnsi="Times New Roman"/>
          <w:color w:val="000000"/>
        </w:rPr>
        <w:t>少于三家的情况处理</w:t>
      </w:r>
      <w:bookmarkEnd w:id="109"/>
    </w:p>
    <w:p>
      <w:pPr>
        <w:pStyle w:val="34"/>
        <w:snapToGrid w:val="0"/>
        <w:spacing w:line="360" w:lineRule="auto"/>
        <w:ind w:firstLine="420"/>
        <w:rPr>
          <w:rFonts w:ascii="Times New Roman" w:hAnsi="Times New Roman"/>
          <w:color w:val="000000"/>
        </w:rPr>
      </w:pPr>
      <w:r>
        <w:rPr>
          <w:rFonts w:ascii="Times New Roman" w:hAnsi="Times New Roman"/>
          <w:color w:val="000000"/>
        </w:rPr>
        <w:t>评审期间，出现符合资格条件的供应商或者对采购文件做出实质响应的供应商不足三家，本标项作废标处理，重新组织采购</w:t>
      </w:r>
      <w:r>
        <w:rPr>
          <w:rFonts w:hint="eastAsia" w:ascii="Times New Roman" w:hAnsi="Times New Roman"/>
          <w:color w:val="000000"/>
        </w:rPr>
        <w:t>。</w:t>
      </w:r>
    </w:p>
    <w:p>
      <w:pPr>
        <w:pStyle w:val="5"/>
        <w:spacing w:line="360" w:lineRule="auto"/>
        <w:ind w:firstLine="422"/>
        <w:rPr>
          <w:rFonts w:ascii="Times New Roman" w:hAnsi="Times New Roman"/>
          <w:color w:val="000000"/>
        </w:rPr>
      </w:pPr>
      <w:bookmarkStart w:id="110" w:name="_Toc21674"/>
      <w:r>
        <w:rPr>
          <w:rFonts w:ascii="Times New Roman" w:hAnsi="Times New Roman"/>
          <w:color w:val="000000"/>
        </w:rPr>
        <w:t>5.11 废标</w:t>
      </w:r>
      <w:bookmarkEnd w:id="110"/>
    </w:p>
    <w:p>
      <w:pPr>
        <w:pStyle w:val="34"/>
        <w:snapToGrid w:val="0"/>
        <w:spacing w:line="360" w:lineRule="auto"/>
        <w:ind w:firstLine="420"/>
        <w:rPr>
          <w:rFonts w:ascii="Times New Roman" w:hAnsi="Times New Roman"/>
          <w:color w:val="000000"/>
        </w:rPr>
      </w:pPr>
      <w:r>
        <w:rPr>
          <w:rFonts w:ascii="Times New Roman" w:hAnsi="Times New Roman"/>
          <w:color w:val="000000"/>
        </w:rPr>
        <w:t>在招标采购中，出现下列情形之一的，应予废标：</w:t>
      </w:r>
    </w:p>
    <w:p>
      <w:pPr>
        <w:pStyle w:val="34"/>
        <w:snapToGrid w:val="0"/>
        <w:spacing w:line="360" w:lineRule="auto"/>
        <w:ind w:firstLine="420"/>
        <w:rPr>
          <w:rFonts w:ascii="Times New Roman" w:hAnsi="Times New Roman"/>
          <w:color w:val="000000"/>
        </w:rPr>
      </w:pPr>
      <w:r>
        <w:rPr>
          <w:rFonts w:ascii="Times New Roman" w:hAnsi="Times New Roman"/>
          <w:color w:val="000000"/>
        </w:rPr>
        <w:t>（1）符合采购文件规定废标情形的；</w:t>
      </w:r>
    </w:p>
    <w:p>
      <w:pPr>
        <w:pStyle w:val="34"/>
        <w:snapToGrid w:val="0"/>
        <w:spacing w:line="360" w:lineRule="auto"/>
        <w:ind w:firstLine="420"/>
        <w:rPr>
          <w:rFonts w:ascii="Times New Roman" w:hAnsi="Times New Roman"/>
          <w:color w:val="000000"/>
        </w:rPr>
      </w:pPr>
      <w:r>
        <w:rPr>
          <w:rFonts w:ascii="Times New Roman" w:hAnsi="Times New Roman"/>
          <w:color w:val="000000"/>
        </w:rPr>
        <w:t>（2）出现影响采购公正的违法、违规行为的；</w:t>
      </w:r>
    </w:p>
    <w:p>
      <w:pPr>
        <w:pStyle w:val="34"/>
        <w:snapToGrid w:val="0"/>
        <w:spacing w:line="360" w:lineRule="auto"/>
        <w:ind w:firstLine="420"/>
        <w:rPr>
          <w:rFonts w:ascii="Times New Roman" w:hAnsi="Times New Roman"/>
          <w:color w:val="000000"/>
        </w:rPr>
      </w:pPr>
      <w:r>
        <w:rPr>
          <w:rFonts w:ascii="Times New Roman" w:hAnsi="Times New Roman"/>
          <w:color w:val="000000"/>
        </w:rPr>
        <w:t>（3）</w:t>
      </w:r>
      <w:r>
        <w:rPr>
          <w:rFonts w:hint="eastAsia" w:ascii="Times New Roman" w:hAnsi="Times New Roman"/>
          <w:color w:val="000000"/>
        </w:rPr>
        <w:t>供应商</w:t>
      </w:r>
      <w:r>
        <w:rPr>
          <w:rFonts w:ascii="Times New Roman" w:hAnsi="Times New Roman"/>
          <w:color w:val="000000"/>
        </w:rPr>
        <w:t>的报价均超过了采购预算，采购人不能支付的；</w:t>
      </w:r>
    </w:p>
    <w:p>
      <w:pPr>
        <w:pStyle w:val="34"/>
        <w:snapToGrid w:val="0"/>
        <w:spacing w:line="360" w:lineRule="auto"/>
        <w:ind w:firstLine="420"/>
        <w:rPr>
          <w:rFonts w:ascii="Times New Roman" w:hAnsi="Times New Roman"/>
          <w:color w:val="000000"/>
        </w:rPr>
      </w:pPr>
      <w:r>
        <w:rPr>
          <w:rFonts w:ascii="Times New Roman" w:hAnsi="Times New Roman"/>
          <w:color w:val="000000"/>
        </w:rPr>
        <w:t>（4）因重大变故，采购任务取消的；</w:t>
      </w:r>
    </w:p>
    <w:p>
      <w:pPr>
        <w:pStyle w:val="5"/>
        <w:spacing w:line="360" w:lineRule="auto"/>
        <w:ind w:firstLine="422"/>
        <w:rPr>
          <w:rFonts w:ascii="Times New Roman" w:hAnsi="Times New Roman"/>
          <w:color w:val="000000"/>
        </w:rPr>
      </w:pPr>
      <w:bookmarkStart w:id="111" w:name="_Toc62"/>
      <w:r>
        <w:rPr>
          <w:rFonts w:ascii="Times New Roman" w:hAnsi="Times New Roman"/>
          <w:color w:val="000000"/>
        </w:rPr>
        <w:t>5.12 确定采购结果</w:t>
      </w:r>
      <w:bookmarkEnd w:id="111"/>
    </w:p>
    <w:p>
      <w:pPr>
        <w:pStyle w:val="34"/>
        <w:snapToGrid w:val="0"/>
        <w:spacing w:line="360" w:lineRule="auto"/>
        <w:ind w:firstLine="420"/>
        <w:rPr>
          <w:rFonts w:ascii="Times New Roman" w:hAnsi="Times New Roman"/>
          <w:color w:val="000000"/>
        </w:rPr>
      </w:pPr>
      <w:r>
        <w:rPr>
          <w:rFonts w:ascii="Times New Roman" w:hAnsi="Times New Roman"/>
          <w:color w:val="000000"/>
          <w:szCs w:val="21"/>
        </w:rPr>
        <w:t>采购代理机构自评审结束之日起2个工作日内将评审报告送交采购人。采购人自收到评审报告之日起5个工作日内在评审报告推荐的中标候选人中按顺序确定中标人。</w:t>
      </w:r>
    </w:p>
    <w:p>
      <w:pPr>
        <w:pStyle w:val="5"/>
        <w:spacing w:line="360" w:lineRule="auto"/>
        <w:ind w:firstLine="422"/>
        <w:rPr>
          <w:rFonts w:ascii="Times New Roman" w:hAnsi="Times New Roman"/>
          <w:color w:val="000000"/>
        </w:rPr>
      </w:pPr>
      <w:bookmarkStart w:id="112" w:name="_Toc12937"/>
      <w:r>
        <w:rPr>
          <w:rFonts w:ascii="Times New Roman" w:hAnsi="Times New Roman"/>
          <w:color w:val="000000"/>
        </w:rPr>
        <w:t>5.13 结果公告</w:t>
      </w:r>
      <w:bookmarkEnd w:id="112"/>
    </w:p>
    <w:p>
      <w:pPr>
        <w:pStyle w:val="34"/>
        <w:snapToGrid w:val="0"/>
        <w:spacing w:line="360" w:lineRule="auto"/>
        <w:ind w:firstLine="420"/>
        <w:rPr>
          <w:rFonts w:ascii="Times New Roman" w:hAnsi="Times New Roman"/>
          <w:color w:val="000000"/>
          <w:szCs w:val="21"/>
        </w:rPr>
      </w:pPr>
      <w:r>
        <w:rPr>
          <w:rFonts w:ascii="Times New Roman" w:hAnsi="Times New Roman"/>
          <w:color w:val="000000"/>
          <w:szCs w:val="21"/>
        </w:rPr>
        <w:t>采购代理机构自中标人确定之日起2个工作日内，在省级以上财政部门指定的媒体上公告中标结果，在公告中标结果的同时，采购代理机构向中标人发出中标通知书。</w:t>
      </w:r>
    </w:p>
    <w:p>
      <w:pPr>
        <w:pStyle w:val="5"/>
        <w:spacing w:line="360" w:lineRule="auto"/>
        <w:ind w:firstLine="422"/>
        <w:rPr>
          <w:rFonts w:ascii="Times New Roman" w:hAnsi="Times New Roman"/>
          <w:color w:val="000000"/>
        </w:rPr>
      </w:pPr>
      <w:bookmarkStart w:id="113" w:name="_Toc27390"/>
      <w:r>
        <w:rPr>
          <w:rFonts w:ascii="Times New Roman" w:hAnsi="Times New Roman"/>
          <w:color w:val="000000"/>
        </w:rPr>
        <w:t>5.</w:t>
      </w:r>
      <w:r>
        <w:rPr>
          <w:rFonts w:ascii="Times New Roman" w:hAnsi="Times New Roman"/>
          <w:bCs/>
          <w:color w:val="000000"/>
        </w:rPr>
        <w:t xml:space="preserve">14 </w:t>
      </w:r>
      <w:r>
        <w:rPr>
          <w:rFonts w:ascii="Times New Roman" w:hAnsi="Times New Roman"/>
          <w:color w:val="000000"/>
        </w:rPr>
        <w:t>采购过程、采购结果质疑</w:t>
      </w:r>
      <w:bookmarkEnd w:id="113"/>
    </w:p>
    <w:p>
      <w:pPr>
        <w:pStyle w:val="34"/>
        <w:snapToGrid w:val="0"/>
        <w:spacing w:line="360" w:lineRule="auto"/>
        <w:ind w:firstLine="420"/>
        <w:rPr>
          <w:rFonts w:ascii="Times New Roman" w:hAnsi="Times New Roman"/>
          <w:color w:val="000000"/>
        </w:rPr>
      </w:pPr>
      <w:r>
        <w:rPr>
          <w:rFonts w:ascii="Times New Roman" w:hAnsi="Times New Roman"/>
          <w:color w:val="000000"/>
        </w:rPr>
        <w:t>5.14.1</w:t>
      </w:r>
      <w:r>
        <w:rPr>
          <w:rFonts w:hint="eastAsia" w:ascii="Times New Roman" w:hAnsi="Times New Roman"/>
          <w:color w:val="000000"/>
        </w:rPr>
        <w:t>供应商</w:t>
      </w:r>
      <w:r>
        <w:rPr>
          <w:rFonts w:ascii="Times New Roman" w:hAnsi="Times New Roman"/>
          <w:color w:val="000000"/>
        </w:rPr>
        <w:t>认为采购过程、采购结果使自己的合法权益受到损害的，</w:t>
      </w:r>
      <w:r>
        <w:rPr>
          <w:rFonts w:hint="eastAsia" w:ascii="Times New Roman" w:hAnsi="Times New Roman"/>
          <w:color w:val="000000"/>
        </w:rPr>
        <w:t>供应商</w:t>
      </w:r>
      <w:r>
        <w:rPr>
          <w:rFonts w:ascii="Times New Roman" w:hAnsi="Times New Roman"/>
          <w:color w:val="000000"/>
        </w:rPr>
        <w:t>可以提出书面质疑。</w:t>
      </w:r>
    </w:p>
    <w:p>
      <w:pPr>
        <w:pStyle w:val="34"/>
        <w:snapToGrid w:val="0"/>
        <w:spacing w:line="360" w:lineRule="auto"/>
        <w:ind w:firstLine="420"/>
        <w:rPr>
          <w:rFonts w:ascii="Times New Roman" w:hAnsi="Times New Roman"/>
          <w:color w:val="000000"/>
        </w:rPr>
      </w:pPr>
      <w:r>
        <w:rPr>
          <w:rFonts w:ascii="Times New Roman" w:hAnsi="Times New Roman"/>
          <w:color w:val="000000"/>
        </w:rPr>
        <w:t>5.14.2质疑书须包括以下内容：</w:t>
      </w:r>
    </w:p>
    <w:p>
      <w:pPr>
        <w:pStyle w:val="34"/>
        <w:snapToGrid w:val="0"/>
        <w:spacing w:line="360" w:lineRule="auto"/>
        <w:ind w:firstLine="420"/>
        <w:rPr>
          <w:rFonts w:ascii="Times New Roman" w:hAnsi="Times New Roman"/>
          <w:color w:val="000000"/>
        </w:rPr>
      </w:pPr>
      <w:r>
        <w:rPr>
          <w:rFonts w:ascii="Times New Roman" w:hAnsi="Times New Roman"/>
          <w:color w:val="000000"/>
        </w:rPr>
        <w:t>（一）供应商的姓名或者名称、地址、邮编、联系人及联系电话；</w:t>
      </w:r>
    </w:p>
    <w:p>
      <w:pPr>
        <w:pStyle w:val="34"/>
        <w:snapToGrid w:val="0"/>
        <w:spacing w:line="360" w:lineRule="auto"/>
        <w:ind w:firstLine="420"/>
        <w:rPr>
          <w:rFonts w:ascii="Times New Roman" w:hAnsi="Times New Roman"/>
          <w:color w:val="000000"/>
        </w:rPr>
      </w:pPr>
      <w:r>
        <w:rPr>
          <w:rFonts w:ascii="Times New Roman" w:hAnsi="Times New Roman"/>
          <w:color w:val="000000"/>
        </w:rPr>
        <w:t>（二）质疑项目的名称、编号；</w:t>
      </w:r>
    </w:p>
    <w:p>
      <w:pPr>
        <w:pStyle w:val="34"/>
        <w:snapToGrid w:val="0"/>
        <w:spacing w:line="360" w:lineRule="auto"/>
        <w:ind w:firstLine="420"/>
        <w:rPr>
          <w:rFonts w:ascii="Times New Roman" w:hAnsi="Times New Roman"/>
          <w:color w:val="000000"/>
        </w:rPr>
      </w:pPr>
      <w:r>
        <w:rPr>
          <w:rFonts w:ascii="Times New Roman" w:hAnsi="Times New Roman"/>
          <w:color w:val="000000"/>
        </w:rPr>
        <w:t>（三）具体、明确的质疑事项和与质疑事项相关的请求；</w:t>
      </w:r>
    </w:p>
    <w:p>
      <w:pPr>
        <w:pStyle w:val="34"/>
        <w:snapToGrid w:val="0"/>
        <w:spacing w:line="360" w:lineRule="auto"/>
        <w:ind w:firstLine="420"/>
        <w:rPr>
          <w:rFonts w:ascii="Times New Roman" w:hAnsi="Times New Roman"/>
          <w:color w:val="000000"/>
        </w:rPr>
      </w:pPr>
      <w:r>
        <w:rPr>
          <w:rFonts w:ascii="Times New Roman" w:hAnsi="Times New Roman"/>
          <w:color w:val="000000"/>
        </w:rPr>
        <w:t>（四）事实依据；</w:t>
      </w:r>
    </w:p>
    <w:p>
      <w:pPr>
        <w:pStyle w:val="34"/>
        <w:snapToGrid w:val="0"/>
        <w:spacing w:line="360" w:lineRule="auto"/>
        <w:ind w:firstLine="420"/>
        <w:rPr>
          <w:rFonts w:ascii="Times New Roman" w:hAnsi="Times New Roman"/>
          <w:color w:val="000000"/>
        </w:rPr>
      </w:pPr>
      <w:r>
        <w:rPr>
          <w:rFonts w:ascii="Times New Roman" w:hAnsi="Times New Roman"/>
          <w:color w:val="000000"/>
        </w:rPr>
        <w:t>（五）必要的法律依据；</w:t>
      </w:r>
    </w:p>
    <w:p>
      <w:pPr>
        <w:pStyle w:val="34"/>
        <w:snapToGrid w:val="0"/>
        <w:spacing w:line="360" w:lineRule="auto"/>
        <w:ind w:firstLine="420"/>
        <w:rPr>
          <w:rFonts w:ascii="Times New Roman" w:hAnsi="Times New Roman"/>
          <w:color w:val="000000"/>
        </w:rPr>
      </w:pPr>
      <w:r>
        <w:rPr>
          <w:rFonts w:ascii="Times New Roman" w:hAnsi="Times New Roman"/>
          <w:color w:val="000000"/>
        </w:rPr>
        <w:t>（六）提出质疑的日期。</w:t>
      </w:r>
    </w:p>
    <w:p>
      <w:pPr>
        <w:pStyle w:val="34"/>
        <w:snapToGrid w:val="0"/>
        <w:spacing w:line="360" w:lineRule="auto"/>
        <w:ind w:firstLine="420"/>
        <w:rPr>
          <w:rFonts w:ascii="Times New Roman" w:hAnsi="Times New Roman"/>
          <w:color w:val="000000"/>
        </w:rPr>
      </w:pPr>
      <w:r>
        <w:rPr>
          <w:rFonts w:ascii="Times New Roman" w:hAnsi="Times New Roman"/>
          <w:color w:val="000000"/>
        </w:rPr>
        <w:t>5.14.3采购过程的质疑期限自各采购程序环节结束之日起计算，7个工作日内向采购代理机构提出，逾期提出不予受理。</w:t>
      </w:r>
    </w:p>
    <w:p>
      <w:pPr>
        <w:pStyle w:val="34"/>
        <w:snapToGrid w:val="0"/>
        <w:spacing w:line="360" w:lineRule="auto"/>
        <w:ind w:firstLine="420"/>
        <w:rPr>
          <w:rFonts w:ascii="Times New Roman" w:hAnsi="Times New Roman"/>
          <w:color w:val="000000"/>
        </w:rPr>
      </w:pPr>
      <w:r>
        <w:rPr>
          <w:rFonts w:ascii="Times New Roman" w:hAnsi="Times New Roman"/>
          <w:color w:val="000000"/>
        </w:rPr>
        <w:t>采购结果的质疑期限自采购结果公告</w:t>
      </w:r>
      <w:r>
        <w:rPr>
          <w:rFonts w:ascii="Times New Roman" w:hAnsi="Times New Roman"/>
          <w:color w:val="000000"/>
          <w:szCs w:val="21"/>
        </w:rPr>
        <w:t>期限届满之日（自本公告发布之日起至第2日24时止）</w:t>
      </w:r>
      <w:r>
        <w:rPr>
          <w:rFonts w:ascii="Times New Roman" w:hAnsi="Times New Roman"/>
          <w:color w:val="000000"/>
        </w:rPr>
        <w:t>之日起计算，7个工作日内向采购代理机构提出，逾期提出不予受理。</w:t>
      </w:r>
    </w:p>
    <w:p>
      <w:pPr>
        <w:pStyle w:val="34"/>
        <w:snapToGrid w:val="0"/>
        <w:spacing w:line="360" w:lineRule="auto"/>
        <w:ind w:firstLine="420"/>
        <w:rPr>
          <w:rFonts w:ascii="Times New Roman" w:hAnsi="Times New Roman"/>
          <w:color w:val="000000"/>
        </w:rPr>
      </w:pPr>
      <w:r>
        <w:rPr>
          <w:rFonts w:ascii="Times New Roman" w:hAnsi="Times New Roman"/>
          <w:color w:val="000000"/>
        </w:rPr>
        <w:t>5.14.4质疑书中涉及的相关材料中有外文资料的，应当将与质疑相关的外文资料完整、客观、真实地翻译为中文，并注明翻译人员姓名、工作单位、联系方式等信息。</w:t>
      </w:r>
    </w:p>
    <w:p>
      <w:pPr>
        <w:pStyle w:val="34"/>
        <w:snapToGrid w:val="0"/>
        <w:spacing w:line="360" w:lineRule="auto"/>
        <w:ind w:firstLine="420"/>
        <w:rPr>
          <w:rFonts w:ascii="Times New Roman" w:hAnsi="Times New Roman"/>
          <w:color w:val="000000"/>
        </w:rPr>
      </w:pPr>
      <w:r>
        <w:rPr>
          <w:rFonts w:ascii="Times New Roman" w:hAnsi="Times New Roman"/>
          <w:color w:val="000000"/>
        </w:rPr>
        <w:t>5.14.5质疑书必须署名，供应商为自然人的，应当由本人签字；供应商为法人或者其他组织的，应当由法定代表人、主要负责人，或者其授权代表签字或者盖章，并加盖公章，否则不予受理。</w:t>
      </w:r>
    </w:p>
    <w:p>
      <w:pPr>
        <w:pStyle w:val="34"/>
        <w:snapToGrid w:val="0"/>
        <w:spacing w:line="360" w:lineRule="auto"/>
        <w:ind w:firstLine="420"/>
        <w:rPr>
          <w:rFonts w:ascii="Times New Roman" w:hAnsi="Times New Roman"/>
          <w:color w:val="000000"/>
        </w:rPr>
      </w:pPr>
      <w:r>
        <w:rPr>
          <w:rFonts w:ascii="Times New Roman" w:hAnsi="Times New Roman"/>
          <w:color w:val="000000"/>
        </w:rPr>
        <w:t>5.14.6质疑书以直接提交、传真或邮寄方式提交（一式三份）。</w:t>
      </w:r>
    </w:p>
    <w:p>
      <w:pPr>
        <w:pStyle w:val="34"/>
        <w:snapToGrid w:val="0"/>
        <w:spacing w:line="360" w:lineRule="auto"/>
        <w:ind w:firstLine="420"/>
        <w:rPr>
          <w:rFonts w:ascii="Times New Roman" w:hAnsi="Times New Roman"/>
          <w:color w:val="000000"/>
        </w:rPr>
      </w:pPr>
      <w:r>
        <w:rPr>
          <w:rFonts w:ascii="Times New Roman" w:hAnsi="Times New Roman"/>
          <w:color w:val="000000"/>
        </w:rPr>
        <w:t>5.14.7质疑书以传真形式提交后，同时须向采购代理机构提交质疑书原件，采购代理机构以收到原件之日作为收到质疑日。</w:t>
      </w:r>
    </w:p>
    <w:p>
      <w:pPr>
        <w:pStyle w:val="34"/>
        <w:snapToGrid w:val="0"/>
        <w:spacing w:line="360" w:lineRule="auto"/>
        <w:ind w:firstLine="420"/>
        <w:rPr>
          <w:rFonts w:ascii="Times New Roman" w:hAnsi="Times New Roman"/>
          <w:color w:val="000000"/>
        </w:rPr>
      </w:pPr>
      <w:r>
        <w:rPr>
          <w:rFonts w:ascii="Times New Roman" w:hAnsi="Times New Roman"/>
          <w:color w:val="000000"/>
        </w:rPr>
        <w:t>5.14.8供应商不得捏造事实、提供虚假材料或者以非法手段取得证明材料进行质疑。</w:t>
      </w:r>
    </w:p>
    <w:p>
      <w:pPr>
        <w:pStyle w:val="5"/>
        <w:spacing w:line="360" w:lineRule="auto"/>
        <w:ind w:firstLine="422"/>
        <w:rPr>
          <w:rFonts w:ascii="Times New Roman" w:hAnsi="Times New Roman"/>
          <w:color w:val="000000"/>
        </w:rPr>
      </w:pPr>
      <w:bookmarkStart w:id="114" w:name="_Toc18513"/>
      <w:r>
        <w:rPr>
          <w:rFonts w:ascii="Times New Roman" w:hAnsi="Times New Roman"/>
          <w:color w:val="000000"/>
        </w:rPr>
        <w:t>5.15 发出中标通知书</w:t>
      </w:r>
      <w:bookmarkEnd w:id="114"/>
    </w:p>
    <w:p>
      <w:pPr>
        <w:pStyle w:val="34"/>
        <w:snapToGrid w:val="0"/>
        <w:spacing w:line="360" w:lineRule="auto"/>
        <w:ind w:firstLine="420"/>
        <w:rPr>
          <w:rFonts w:ascii="Times New Roman" w:hAnsi="Times New Roman"/>
          <w:color w:val="000000"/>
        </w:rPr>
      </w:pPr>
      <w:r>
        <w:rPr>
          <w:rFonts w:ascii="Times New Roman" w:hAnsi="Times New Roman"/>
          <w:color w:val="000000"/>
        </w:rPr>
        <w:t>5.15.1采购人及采购代理机构将以书面形式向中标人发出中标通知书。中标通知书发出后，采购人不得违法改变中标结果，中标人无正当理由不得放弃中标。</w:t>
      </w:r>
    </w:p>
    <w:p>
      <w:pPr>
        <w:pStyle w:val="5"/>
        <w:spacing w:line="360" w:lineRule="auto"/>
        <w:ind w:firstLine="422"/>
        <w:rPr>
          <w:rFonts w:ascii="Times New Roman" w:hAnsi="Times New Roman"/>
          <w:color w:val="000000"/>
        </w:rPr>
      </w:pPr>
      <w:bookmarkStart w:id="115" w:name="_Toc32311"/>
      <w:r>
        <w:rPr>
          <w:rFonts w:ascii="Times New Roman" w:hAnsi="Times New Roman"/>
          <w:color w:val="000000"/>
        </w:rPr>
        <w:t>5.16 签订合同</w:t>
      </w:r>
      <w:bookmarkEnd w:id="115"/>
    </w:p>
    <w:p>
      <w:pPr>
        <w:pStyle w:val="34"/>
        <w:snapToGrid w:val="0"/>
        <w:spacing w:line="360" w:lineRule="auto"/>
        <w:ind w:firstLine="420"/>
        <w:rPr>
          <w:rFonts w:ascii="Times New Roman" w:hAnsi="Times New Roman"/>
          <w:color w:val="000000"/>
        </w:rPr>
      </w:pPr>
      <w:r>
        <w:rPr>
          <w:rFonts w:ascii="Times New Roman" w:hAnsi="Times New Roman"/>
          <w:color w:val="000000"/>
        </w:rPr>
        <w:t>5.16.1采购人应当自中标通知书发出之日起30日内，按照采购文件和中标人投标文件的规定，与中标人签订书面合同。所签订的合同不得对采购文件确定的事项和中标人投标文件作实质性修改。</w:t>
      </w:r>
    </w:p>
    <w:p>
      <w:pPr>
        <w:pStyle w:val="34"/>
        <w:snapToGrid w:val="0"/>
        <w:spacing w:line="360" w:lineRule="auto"/>
        <w:ind w:firstLine="420"/>
        <w:rPr>
          <w:rFonts w:ascii="Times New Roman" w:hAnsi="Times New Roman"/>
          <w:color w:val="000000"/>
        </w:rPr>
      </w:pPr>
      <w:r>
        <w:rPr>
          <w:rFonts w:ascii="Times New Roman" w:hAnsi="Times New Roman"/>
          <w:color w:val="000000"/>
        </w:rPr>
        <w:t>5.16.2采购文件及补充文件、中标人的投标文件及投标修改文件、评标过程中有关澄清文件和中标通知书均作为合同附件。</w:t>
      </w:r>
    </w:p>
    <w:p>
      <w:pPr>
        <w:pStyle w:val="34"/>
        <w:snapToGrid w:val="0"/>
        <w:spacing w:line="360" w:lineRule="auto"/>
        <w:ind w:firstLine="420"/>
        <w:rPr>
          <w:rFonts w:ascii="Times New Roman" w:hAnsi="Times New Roman"/>
          <w:color w:val="000000"/>
        </w:rPr>
      </w:pPr>
      <w:r>
        <w:rPr>
          <w:rFonts w:ascii="Times New Roman" w:hAnsi="Times New Roman"/>
          <w:color w:val="000000"/>
        </w:rPr>
        <w:t>5.16.3拒签合同的责任</w:t>
      </w:r>
    </w:p>
    <w:p>
      <w:pPr>
        <w:pStyle w:val="34"/>
        <w:snapToGrid w:val="0"/>
        <w:spacing w:line="360" w:lineRule="auto"/>
        <w:ind w:firstLine="420"/>
        <w:rPr>
          <w:rFonts w:ascii="Times New Roman" w:hAnsi="Times New Roman"/>
          <w:color w:val="000000"/>
        </w:rPr>
      </w:pPr>
      <w:r>
        <w:rPr>
          <w:rFonts w:ascii="Times New Roman" w:hAnsi="Times New Roman"/>
          <w:color w:val="000000"/>
        </w:rPr>
        <w:t>中标人接到中标通知书后，在规定时间内借故否认已经承诺的条件而拒签合同者，以投标违约处理，应赔偿采购人由此造成的直接经济损失。</w:t>
      </w:r>
    </w:p>
    <w:p>
      <w:pPr>
        <w:pStyle w:val="5"/>
        <w:spacing w:line="360" w:lineRule="auto"/>
        <w:ind w:firstLine="422"/>
        <w:rPr>
          <w:rFonts w:ascii="Times New Roman" w:hAnsi="Times New Roman"/>
          <w:color w:val="000000"/>
        </w:rPr>
      </w:pPr>
      <w:bookmarkStart w:id="116" w:name="_Toc3346"/>
      <w:r>
        <w:rPr>
          <w:rFonts w:ascii="Times New Roman" w:hAnsi="Times New Roman"/>
          <w:color w:val="000000"/>
        </w:rPr>
        <w:t>5.17 采购代理服务费</w:t>
      </w:r>
      <w:bookmarkEnd w:id="116"/>
    </w:p>
    <w:p>
      <w:pPr>
        <w:pStyle w:val="34"/>
        <w:snapToGrid w:val="0"/>
        <w:spacing w:line="360" w:lineRule="auto"/>
        <w:ind w:firstLine="420"/>
        <w:rPr>
          <w:rFonts w:ascii="Times New Roman" w:hAnsi="Times New Roman"/>
          <w:color w:val="000000"/>
        </w:rPr>
      </w:pPr>
      <w:r>
        <w:rPr>
          <w:rFonts w:ascii="Times New Roman" w:hAnsi="Times New Roman"/>
          <w:color w:val="000000"/>
        </w:rPr>
        <w:t>5.17.1 中标人须向采购代理机构按如下标准和规定交纳中标服务费。</w:t>
      </w:r>
    </w:p>
    <w:p>
      <w:pPr>
        <w:pStyle w:val="34"/>
        <w:snapToGrid w:val="0"/>
        <w:spacing w:line="360" w:lineRule="auto"/>
        <w:ind w:firstLine="420"/>
        <w:rPr>
          <w:rFonts w:ascii="Times New Roman" w:hAnsi="Times New Roman"/>
          <w:color w:val="000000"/>
        </w:rPr>
      </w:pPr>
      <w:r>
        <w:rPr>
          <w:rFonts w:ascii="Times New Roman" w:hAnsi="Times New Roman"/>
          <w:color w:val="000000"/>
        </w:rPr>
        <w:t>5.17.2 以</w:t>
      </w:r>
      <w:r>
        <w:rPr>
          <w:rFonts w:hint="eastAsia" w:ascii="Times New Roman" w:hAnsi="Times New Roman"/>
          <w:color w:val="000000"/>
        </w:rPr>
        <w:t>中标金额</w:t>
      </w:r>
      <w:r>
        <w:rPr>
          <w:rFonts w:ascii="Times New Roman" w:hAnsi="Times New Roman"/>
          <w:color w:val="000000"/>
        </w:rPr>
        <w:t>作为收费的计算基数。</w:t>
      </w:r>
    </w:p>
    <w:p>
      <w:pPr>
        <w:spacing w:line="360" w:lineRule="auto"/>
        <w:ind w:firstLine="420" w:firstLineChars="200"/>
        <w:rPr>
          <w:color w:val="000000"/>
        </w:rPr>
      </w:pPr>
      <w:r>
        <w:rPr>
          <w:color w:val="000000"/>
        </w:rPr>
        <w:t>5.17.3 中标服务费按计价[2002]1980号文规定收取</w:t>
      </w:r>
      <w:r>
        <w:rPr>
          <w:rFonts w:hint="eastAsia"/>
          <w:color w:val="000000"/>
        </w:rPr>
        <w:t>。</w:t>
      </w:r>
    </w:p>
    <w:p>
      <w:pPr>
        <w:pStyle w:val="3"/>
        <w:jc w:val="both"/>
      </w:pPr>
      <w:r>
        <w:rPr>
          <w:rFonts w:hint="eastAsia"/>
          <w:color w:val="000000"/>
        </w:rPr>
        <w:t>附表：</w:t>
      </w:r>
    </w:p>
    <w:p>
      <w:pPr>
        <w:pStyle w:val="3"/>
      </w:pPr>
      <w:r>
        <w:rPr>
          <w:rFonts w:hint="eastAsia"/>
        </w:rPr>
        <w:drawing>
          <wp:inline distT="0" distB="0" distL="114300" distR="114300">
            <wp:extent cx="5273040" cy="3150870"/>
            <wp:effectExtent l="0" t="0" r="3810" b="11430"/>
            <wp:docPr id="3" name="图片 3" descr="166124419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1244191836"/>
                    <pic:cNvPicPr>
                      <a:picLocks noChangeAspect="1"/>
                    </pic:cNvPicPr>
                  </pic:nvPicPr>
                  <pic:blipFill>
                    <a:blip r:embed="rId9" cstate="print"/>
                    <a:stretch>
                      <a:fillRect/>
                    </a:stretch>
                  </pic:blipFill>
                  <pic:spPr>
                    <a:xfrm>
                      <a:off x="0" y="0"/>
                      <a:ext cx="5273040" cy="3150870"/>
                    </a:xfrm>
                    <a:prstGeom prst="rect">
                      <a:avLst/>
                    </a:prstGeom>
                  </pic:spPr>
                </pic:pic>
              </a:graphicData>
            </a:graphic>
          </wp:inline>
        </w:drawing>
      </w:r>
    </w:p>
    <w:p>
      <w:pPr>
        <w:spacing w:line="360" w:lineRule="auto"/>
        <w:ind w:firstLine="480" w:firstLineChars="200"/>
        <w:rPr>
          <w:sz w:val="24"/>
        </w:rPr>
      </w:pPr>
    </w:p>
    <w:p>
      <w:pPr>
        <w:bidi w:val="0"/>
      </w:pPr>
      <w:bookmarkStart w:id="117" w:name="_Toc495317671"/>
      <w:bookmarkStart w:id="118" w:name="_Toc4541"/>
      <w:bookmarkStart w:id="119" w:name="_Toc109497190"/>
    </w:p>
    <w:p>
      <w:pPr>
        <w:bidi w:val="0"/>
      </w:pPr>
    </w:p>
    <w:p>
      <w:pPr>
        <w:bidi w:val="0"/>
      </w:pPr>
    </w:p>
    <w:p>
      <w:pPr>
        <w:pStyle w:val="3"/>
        <w:snapToGrid w:val="0"/>
        <w:spacing w:line="360" w:lineRule="auto"/>
      </w:pPr>
    </w:p>
    <w:p>
      <w:pPr>
        <w:pStyle w:val="3"/>
        <w:snapToGrid w:val="0"/>
        <w:spacing w:line="360" w:lineRule="auto"/>
      </w:pPr>
      <w:r>
        <w:t>第四章  评标办法</w:t>
      </w:r>
      <w:bookmarkEnd w:id="117"/>
      <w:bookmarkEnd w:id="118"/>
    </w:p>
    <w:p>
      <w:pPr>
        <w:adjustRightInd w:val="0"/>
        <w:snapToGrid w:val="0"/>
        <w:spacing w:line="360" w:lineRule="auto"/>
        <w:ind w:firstLine="420" w:firstLineChars="200"/>
        <w:rPr>
          <w:color w:val="000000"/>
        </w:rPr>
      </w:pPr>
      <w:r>
        <w:rPr>
          <w:color w:val="000000"/>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000000"/>
        </w:rPr>
      </w:pPr>
      <w:r>
        <w:rPr>
          <w:b/>
          <w:bCs/>
          <w:color w:val="000000"/>
        </w:rPr>
        <w:t>一、总则</w:t>
      </w:r>
    </w:p>
    <w:p>
      <w:pPr>
        <w:snapToGrid w:val="0"/>
        <w:spacing w:line="360" w:lineRule="auto"/>
        <w:ind w:firstLine="420" w:firstLineChars="200"/>
        <w:rPr>
          <w:color w:val="000000"/>
        </w:rPr>
      </w:pPr>
      <w:r>
        <w:rPr>
          <w:color w:val="000000"/>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000000"/>
        </w:rPr>
      </w:pPr>
      <w:r>
        <w:rPr>
          <w:color w:val="000000"/>
        </w:rPr>
        <w:t>对未中标人，评标委员会不作任何落标解释。</w:t>
      </w:r>
    </w:p>
    <w:p>
      <w:pPr>
        <w:snapToGrid w:val="0"/>
        <w:spacing w:line="360" w:lineRule="auto"/>
        <w:ind w:firstLine="420" w:firstLineChars="200"/>
        <w:rPr>
          <w:color w:val="000000"/>
        </w:rPr>
      </w:pPr>
      <w:r>
        <w:rPr>
          <w:color w:val="00000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000000"/>
        </w:rPr>
      </w:pPr>
      <w:r>
        <w:rPr>
          <w:b/>
          <w:bCs/>
          <w:color w:val="000000"/>
        </w:rPr>
        <w:t>二、评标组织</w:t>
      </w:r>
    </w:p>
    <w:p>
      <w:pPr>
        <w:snapToGrid w:val="0"/>
        <w:spacing w:line="360" w:lineRule="auto"/>
        <w:ind w:firstLine="420" w:firstLineChars="200"/>
        <w:rPr>
          <w:color w:val="000000"/>
        </w:rPr>
      </w:pPr>
      <w:r>
        <w:rPr>
          <w:color w:val="000000"/>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000000"/>
        </w:rPr>
      </w:pPr>
      <w:r>
        <w:rPr>
          <w:b/>
          <w:bCs/>
          <w:color w:val="000000"/>
        </w:rPr>
        <w:t>三、评标纪律</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1.评标是招标工作的重要环节，评标工作在评标委员会内独立进行。评标委员会将按照评标原则的要求，公正、平等地对待所有</w:t>
      </w:r>
      <w:r>
        <w:rPr>
          <w:rFonts w:hint="eastAsia"/>
          <w:snapToGrid w:val="0"/>
          <w:color w:val="000000"/>
          <w:kern w:val="0"/>
          <w:szCs w:val="21"/>
        </w:rPr>
        <w:t>供应商</w:t>
      </w:r>
      <w:r>
        <w:rPr>
          <w:snapToGrid w:val="0"/>
          <w:color w:val="000000"/>
          <w:kern w:val="0"/>
          <w:szCs w:val="21"/>
        </w:rPr>
        <w:t>。</w:t>
      </w:r>
    </w:p>
    <w:p>
      <w:pPr>
        <w:adjustRightInd w:val="0"/>
        <w:snapToGrid w:val="0"/>
        <w:spacing w:line="360" w:lineRule="auto"/>
        <w:ind w:firstLine="420" w:firstLineChars="200"/>
        <w:rPr>
          <w:snapToGrid w:val="0"/>
          <w:color w:val="000000"/>
          <w:kern w:val="0"/>
          <w:szCs w:val="21"/>
        </w:rPr>
      </w:pPr>
      <w:r>
        <w:rPr>
          <w:snapToGrid w:val="0"/>
          <w:color w:val="000000"/>
          <w:kern w:val="0"/>
          <w:szCs w:val="21"/>
        </w:rPr>
        <w:t>2.所有评标人员应忠于职守、廉洁自律、秉公办事、不徇私情。</w:t>
      </w:r>
    </w:p>
    <w:p>
      <w:pPr>
        <w:adjustRightInd w:val="0"/>
        <w:snapToGrid w:val="0"/>
        <w:spacing w:line="360" w:lineRule="auto"/>
        <w:ind w:firstLine="420" w:firstLineChars="200"/>
        <w:rPr>
          <w:snapToGrid w:val="0"/>
          <w:color w:val="000000"/>
          <w:kern w:val="0"/>
          <w:szCs w:val="21"/>
        </w:rPr>
      </w:pPr>
      <w:r>
        <w:rPr>
          <w:snapToGrid w:val="0"/>
          <w:color w:val="000000"/>
          <w:kern w:val="0"/>
          <w:szCs w:val="21"/>
        </w:rPr>
        <w:t>3.评标人员不得接受或参加</w:t>
      </w:r>
      <w:r>
        <w:rPr>
          <w:rFonts w:hint="eastAsia"/>
          <w:snapToGrid w:val="0"/>
          <w:color w:val="000000"/>
          <w:kern w:val="0"/>
          <w:szCs w:val="21"/>
        </w:rPr>
        <w:t>供应商</w:t>
      </w:r>
      <w:r>
        <w:rPr>
          <w:snapToGrid w:val="0"/>
          <w:color w:val="000000"/>
          <w:kern w:val="0"/>
          <w:szCs w:val="21"/>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000000"/>
          <w:kern w:val="0"/>
          <w:szCs w:val="21"/>
        </w:rPr>
      </w:pPr>
      <w:r>
        <w:rPr>
          <w:snapToGrid w:val="0"/>
          <w:color w:val="000000"/>
          <w:kern w:val="0"/>
          <w:szCs w:val="21"/>
        </w:rPr>
        <w:t>4.评标期间，评标人员不得随意出入评标地点、与外界通讯、会客等。</w:t>
      </w:r>
    </w:p>
    <w:p>
      <w:pPr>
        <w:adjustRightInd w:val="0"/>
        <w:snapToGrid w:val="0"/>
        <w:spacing w:line="360" w:lineRule="auto"/>
        <w:ind w:firstLine="420" w:firstLineChars="200"/>
        <w:rPr>
          <w:snapToGrid w:val="0"/>
          <w:color w:val="000000"/>
          <w:kern w:val="0"/>
          <w:szCs w:val="21"/>
        </w:rPr>
      </w:pPr>
      <w:r>
        <w:rPr>
          <w:snapToGrid w:val="0"/>
          <w:color w:val="000000"/>
          <w:kern w:val="0"/>
          <w:szCs w:val="21"/>
        </w:rPr>
        <w:t>5.在投标文件的审查、澄清、评价和比较以及授予合同的过程中，</w:t>
      </w:r>
      <w:r>
        <w:rPr>
          <w:rFonts w:hint="eastAsia"/>
          <w:snapToGrid w:val="0"/>
          <w:color w:val="000000"/>
          <w:kern w:val="0"/>
          <w:szCs w:val="21"/>
        </w:rPr>
        <w:t>供应商</w:t>
      </w:r>
      <w:r>
        <w:rPr>
          <w:snapToGrid w:val="0"/>
          <w:color w:val="000000"/>
          <w:kern w:val="0"/>
          <w:szCs w:val="21"/>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000000"/>
          <w:kern w:val="0"/>
          <w:szCs w:val="21"/>
        </w:rPr>
      </w:pPr>
      <w:r>
        <w:rPr>
          <w:snapToGrid w:val="0"/>
          <w:color w:val="000000"/>
          <w:kern w:val="0"/>
          <w:szCs w:val="21"/>
        </w:rPr>
        <w:t>6.为保证评标的公正性，在评标过程中，评标委员会成员不得与</w:t>
      </w:r>
      <w:r>
        <w:rPr>
          <w:rFonts w:hint="eastAsia"/>
          <w:snapToGrid w:val="0"/>
          <w:color w:val="000000"/>
          <w:kern w:val="0"/>
          <w:szCs w:val="21"/>
        </w:rPr>
        <w:t>供应商</w:t>
      </w:r>
      <w:r>
        <w:rPr>
          <w:snapToGrid w:val="0"/>
          <w:color w:val="000000"/>
          <w:kern w:val="0"/>
          <w:szCs w:val="21"/>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000000"/>
          <w:kern w:val="0"/>
          <w:szCs w:val="21"/>
        </w:rPr>
      </w:pPr>
      <w:r>
        <w:rPr>
          <w:snapToGrid w:val="0"/>
          <w:color w:val="000000"/>
          <w:kern w:val="0"/>
          <w:szCs w:val="21"/>
        </w:rPr>
        <w:t>7.评标过程中，评标专家对</w:t>
      </w:r>
      <w:r>
        <w:rPr>
          <w:rFonts w:hint="eastAsia"/>
          <w:snapToGrid w:val="0"/>
          <w:color w:val="000000"/>
          <w:kern w:val="0"/>
          <w:szCs w:val="21"/>
        </w:rPr>
        <w:t>供应商</w:t>
      </w:r>
      <w:r>
        <w:rPr>
          <w:snapToGrid w:val="0"/>
          <w:color w:val="000000"/>
          <w:kern w:val="0"/>
          <w:szCs w:val="21"/>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000000"/>
          <w:kern w:val="0"/>
          <w:szCs w:val="21"/>
        </w:rPr>
      </w:pPr>
      <w:r>
        <w:rPr>
          <w:snapToGrid w:val="0"/>
          <w:color w:val="000000"/>
          <w:kern w:val="0"/>
          <w:szCs w:val="21"/>
        </w:rPr>
        <w:t>8.评标结束后，各评标人员应将全部资料整理上交采购人，严禁将评标过程中的任何资料带出评标现场向</w:t>
      </w:r>
      <w:r>
        <w:rPr>
          <w:rFonts w:hint="eastAsia"/>
          <w:snapToGrid w:val="0"/>
          <w:color w:val="000000"/>
          <w:kern w:val="0"/>
          <w:szCs w:val="21"/>
        </w:rPr>
        <w:t>供应商</w:t>
      </w:r>
      <w:r>
        <w:rPr>
          <w:snapToGrid w:val="0"/>
          <w:color w:val="000000"/>
          <w:kern w:val="0"/>
          <w:szCs w:val="21"/>
        </w:rPr>
        <w:t>或其他单位提供。</w:t>
      </w:r>
    </w:p>
    <w:p>
      <w:pPr>
        <w:adjustRightInd w:val="0"/>
        <w:snapToGrid w:val="0"/>
        <w:spacing w:line="360" w:lineRule="auto"/>
        <w:ind w:firstLine="420" w:firstLineChars="200"/>
        <w:rPr>
          <w:snapToGrid w:val="0"/>
          <w:color w:val="000000"/>
          <w:kern w:val="0"/>
          <w:szCs w:val="21"/>
        </w:rPr>
      </w:pPr>
      <w:r>
        <w:rPr>
          <w:snapToGrid w:val="0"/>
          <w:color w:val="000000"/>
          <w:kern w:val="0"/>
          <w:szCs w:val="21"/>
        </w:rPr>
        <w:t>9.在中标结果公布前应对评标委员会成员名单予以保密。</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10.评标委员会对各</w:t>
      </w:r>
      <w:r>
        <w:rPr>
          <w:rFonts w:hint="eastAsia"/>
          <w:snapToGrid w:val="0"/>
          <w:color w:val="000000"/>
          <w:kern w:val="0"/>
          <w:szCs w:val="21"/>
        </w:rPr>
        <w:t>供应商</w:t>
      </w:r>
      <w:r>
        <w:rPr>
          <w:snapToGrid w:val="0"/>
          <w:color w:val="000000"/>
          <w:kern w:val="0"/>
          <w:szCs w:val="21"/>
        </w:rPr>
        <w:t>的商业秘密予以保密。</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12.在整个评标过程中，</w:t>
      </w:r>
      <w:r>
        <w:rPr>
          <w:rFonts w:hint="eastAsia"/>
          <w:snapToGrid w:val="0"/>
          <w:color w:val="000000"/>
          <w:kern w:val="0"/>
          <w:szCs w:val="21"/>
        </w:rPr>
        <w:t>供应商</w:t>
      </w:r>
      <w:r>
        <w:rPr>
          <w:snapToGrid w:val="0"/>
          <w:color w:val="000000"/>
          <w:kern w:val="0"/>
          <w:szCs w:val="21"/>
        </w:rPr>
        <w:t>企图影响招标结果的任何活动，可能导致其投标失败。如有违法行为，将依法追究其法律责任。</w:t>
      </w:r>
    </w:p>
    <w:p>
      <w:pPr>
        <w:adjustRightInd w:val="0"/>
        <w:snapToGrid w:val="0"/>
        <w:spacing w:line="360" w:lineRule="auto"/>
        <w:ind w:firstLine="422" w:firstLineChars="200"/>
        <w:rPr>
          <w:b/>
          <w:bCs/>
          <w:color w:val="000000"/>
        </w:rPr>
      </w:pPr>
      <w:r>
        <w:rPr>
          <w:b/>
          <w:bCs/>
          <w:color w:val="000000"/>
        </w:rPr>
        <w:t>四、评标程序</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1.本项目采用不公开方式评标，评标的依据为采购文件和投标文件。</w:t>
      </w:r>
    </w:p>
    <w:p>
      <w:pPr>
        <w:adjustRightInd w:val="0"/>
        <w:snapToGrid w:val="0"/>
        <w:spacing w:line="360" w:lineRule="auto"/>
        <w:ind w:firstLine="420" w:firstLineChars="200"/>
        <w:rPr>
          <w:snapToGrid w:val="0"/>
          <w:color w:val="000000"/>
          <w:kern w:val="0"/>
          <w:szCs w:val="21"/>
        </w:rPr>
      </w:pPr>
      <w:r>
        <w:rPr>
          <w:snapToGrid w:val="0"/>
          <w:color w:val="000000"/>
          <w:kern w:val="0"/>
          <w:szCs w:val="21"/>
        </w:rPr>
        <w:t>2.熟悉采购文件和评标办法。</w:t>
      </w:r>
    </w:p>
    <w:p>
      <w:pPr>
        <w:adjustRightInd w:val="0"/>
        <w:snapToGrid w:val="0"/>
        <w:spacing w:line="360" w:lineRule="auto"/>
        <w:ind w:firstLine="420" w:firstLineChars="200"/>
        <w:rPr>
          <w:snapToGrid w:val="0"/>
          <w:color w:val="000000"/>
          <w:kern w:val="0"/>
          <w:szCs w:val="21"/>
        </w:rPr>
      </w:pPr>
      <w:r>
        <w:rPr>
          <w:snapToGrid w:val="0"/>
          <w:color w:val="000000"/>
          <w:kern w:val="0"/>
          <w:szCs w:val="21"/>
        </w:rPr>
        <w:t>3.</w:t>
      </w:r>
      <w:r>
        <w:rPr>
          <w:rFonts w:hint="eastAsia"/>
          <w:snapToGrid w:val="0"/>
          <w:color w:val="000000"/>
          <w:kern w:val="0"/>
          <w:szCs w:val="21"/>
        </w:rPr>
        <w:t>采购代理机构</w:t>
      </w:r>
      <w:r>
        <w:rPr>
          <w:snapToGrid w:val="0"/>
          <w:color w:val="000000"/>
          <w:kern w:val="0"/>
          <w:szCs w:val="21"/>
        </w:rPr>
        <w:t>按照采购文件规定的时间、地点及程序组织评审。评审程序如下：</w:t>
      </w:r>
    </w:p>
    <w:p>
      <w:pPr>
        <w:adjustRightInd w:val="0"/>
        <w:snapToGrid w:val="0"/>
        <w:spacing w:line="360" w:lineRule="auto"/>
        <w:ind w:firstLine="420" w:firstLineChars="200"/>
        <w:rPr>
          <w:color w:val="000000"/>
          <w:szCs w:val="21"/>
        </w:rPr>
      </w:pPr>
      <w:r>
        <w:rPr>
          <w:color w:val="000000"/>
          <w:szCs w:val="21"/>
        </w:rPr>
        <w:t>1）开启评审场地的录音录像采集设备，并确保其正常运行。</w:t>
      </w:r>
    </w:p>
    <w:p>
      <w:pPr>
        <w:adjustRightInd w:val="0"/>
        <w:snapToGrid w:val="0"/>
        <w:spacing w:line="360" w:lineRule="auto"/>
        <w:ind w:firstLine="420" w:firstLineChars="200"/>
        <w:rPr>
          <w:color w:val="000000"/>
          <w:szCs w:val="21"/>
        </w:rPr>
      </w:pPr>
      <w:r>
        <w:rPr>
          <w:color w:val="000000"/>
          <w:szCs w:val="21"/>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000000"/>
          <w:szCs w:val="21"/>
        </w:rPr>
      </w:pPr>
      <w:r>
        <w:rPr>
          <w:color w:val="000000"/>
          <w:szCs w:val="21"/>
        </w:rPr>
        <w:t>3）介绍评审现场的人员情况，宣布评审工作纪律，告知评审人员应当回避情形；组织推选评审小组组长。</w:t>
      </w:r>
    </w:p>
    <w:p>
      <w:pPr>
        <w:adjustRightInd w:val="0"/>
        <w:snapToGrid w:val="0"/>
        <w:spacing w:line="360" w:lineRule="auto"/>
        <w:ind w:firstLine="420" w:firstLineChars="200"/>
        <w:rPr>
          <w:color w:val="000000"/>
          <w:szCs w:val="21"/>
        </w:rPr>
      </w:pPr>
      <w:r>
        <w:rPr>
          <w:color w:val="000000"/>
          <w:szCs w:val="21"/>
        </w:rPr>
        <w:t>4）通报报名参加本项目采购的</w:t>
      </w:r>
      <w:r>
        <w:rPr>
          <w:rFonts w:hint="eastAsia"/>
          <w:color w:val="000000"/>
          <w:szCs w:val="21"/>
        </w:rPr>
        <w:t>供应商</w:t>
      </w:r>
      <w:r>
        <w:rPr>
          <w:color w:val="000000"/>
          <w:szCs w:val="21"/>
        </w:rPr>
        <w:t>名单及资格预审情况（如有），宣读最终提交采购响应文件的</w:t>
      </w:r>
      <w:r>
        <w:rPr>
          <w:rFonts w:hint="eastAsia"/>
          <w:color w:val="000000"/>
          <w:szCs w:val="21"/>
        </w:rPr>
        <w:t>供应商</w:t>
      </w:r>
      <w:r>
        <w:rPr>
          <w:color w:val="000000"/>
          <w:szCs w:val="21"/>
        </w:rPr>
        <w:t>名单，组织评审小组各位成员签订《政府采购评审人员廉洁自律承诺书》。</w:t>
      </w:r>
    </w:p>
    <w:p>
      <w:pPr>
        <w:adjustRightInd w:val="0"/>
        <w:snapToGrid w:val="0"/>
        <w:spacing w:line="360" w:lineRule="auto"/>
        <w:ind w:firstLine="420" w:firstLineChars="200"/>
        <w:rPr>
          <w:color w:val="000000"/>
          <w:szCs w:val="21"/>
        </w:rPr>
      </w:pPr>
      <w:r>
        <w:rPr>
          <w:color w:val="000000"/>
          <w:szCs w:val="21"/>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000000"/>
          <w:szCs w:val="21"/>
        </w:rPr>
      </w:pPr>
      <w:r>
        <w:rPr>
          <w:color w:val="000000"/>
          <w:szCs w:val="21"/>
        </w:rPr>
        <w:t>6）评审小组组长组织评审人员独立评审。评审小组对拟认定为采购响应文件无效、</w:t>
      </w:r>
      <w:r>
        <w:rPr>
          <w:rFonts w:hint="eastAsia"/>
          <w:color w:val="000000"/>
          <w:szCs w:val="21"/>
        </w:rPr>
        <w:t>供应商</w:t>
      </w:r>
      <w:r>
        <w:rPr>
          <w:color w:val="000000"/>
          <w:szCs w:val="21"/>
        </w:rPr>
        <w:t>资格不符合的，应组织相关</w:t>
      </w:r>
      <w:r>
        <w:rPr>
          <w:rFonts w:hint="eastAsia"/>
          <w:color w:val="000000"/>
          <w:szCs w:val="21"/>
        </w:rPr>
        <w:t>供应商</w:t>
      </w:r>
      <w:r>
        <w:rPr>
          <w:color w:val="000000"/>
          <w:szCs w:val="21"/>
        </w:rPr>
        <w:t>代表进行陈述、澄清或申辩。</w:t>
      </w:r>
    </w:p>
    <w:p>
      <w:pPr>
        <w:adjustRightInd w:val="0"/>
        <w:snapToGrid w:val="0"/>
        <w:spacing w:line="360" w:lineRule="auto"/>
        <w:ind w:firstLine="420" w:firstLineChars="200"/>
        <w:rPr>
          <w:snapToGrid w:val="0"/>
          <w:color w:val="000000"/>
          <w:kern w:val="0"/>
          <w:szCs w:val="21"/>
        </w:rPr>
      </w:pPr>
      <w:r>
        <w:rPr>
          <w:snapToGrid w:val="0"/>
          <w:color w:val="000000"/>
          <w:kern w:val="0"/>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000000"/>
          <w:szCs w:val="21"/>
        </w:rPr>
      </w:pPr>
      <w:r>
        <w:rPr>
          <w:color w:val="00000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000000"/>
          <w:szCs w:val="21"/>
        </w:rPr>
      </w:pPr>
      <w:r>
        <w:rPr>
          <w:color w:val="000000"/>
          <w:szCs w:val="21"/>
        </w:rPr>
        <w:t>4.起草评审报告，所有评审人员须在评审报告上签字确认。</w:t>
      </w:r>
    </w:p>
    <w:p>
      <w:pPr>
        <w:adjustRightInd w:val="0"/>
        <w:snapToGrid w:val="0"/>
        <w:spacing w:line="360" w:lineRule="auto"/>
        <w:ind w:firstLine="420" w:firstLineChars="200"/>
        <w:rPr>
          <w:color w:val="000000"/>
          <w:szCs w:val="21"/>
        </w:rPr>
      </w:pPr>
      <w:r>
        <w:rPr>
          <w:color w:val="000000"/>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szCs w:val="21"/>
        </w:rPr>
        <w:t>采购文件</w:t>
      </w:r>
      <w:r>
        <w:rPr>
          <w:color w:val="000000"/>
          <w:szCs w:val="21"/>
        </w:rPr>
        <w:t>存在歧义、重大缺陷导致评标工作无法进行，或者</w:t>
      </w:r>
      <w:r>
        <w:rPr>
          <w:rFonts w:hint="eastAsia"/>
          <w:color w:val="000000"/>
          <w:szCs w:val="21"/>
        </w:rPr>
        <w:t>采购文件</w:t>
      </w:r>
      <w:r>
        <w:rPr>
          <w:color w:val="000000"/>
          <w:szCs w:val="21"/>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000000"/>
          <w:kern w:val="0"/>
          <w:szCs w:val="21"/>
        </w:rPr>
      </w:pPr>
      <w:r>
        <w:rPr>
          <w:snapToGrid w:val="0"/>
          <w:color w:val="000000"/>
          <w:kern w:val="0"/>
          <w:szCs w:val="21"/>
        </w:rPr>
        <w:t>评审报告是根据</w:t>
      </w:r>
      <w:r>
        <w:rPr>
          <w:color w:val="000000"/>
          <w:szCs w:val="21"/>
        </w:rPr>
        <w:t>评审人员</w:t>
      </w:r>
      <w:r>
        <w:rPr>
          <w:snapToGrid w:val="0"/>
          <w:color w:val="000000"/>
          <w:kern w:val="0"/>
          <w:szCs w:val="21"/>
        </w:rPr>
        <w:t>签字的原始评标记录和评标结果编写的报告，其主要内容包括：</w:t>
      </w:r>
    </w:p>
    <w:p>
      <w:pPr>
        <w:adjustRightInd w:val="0"/>
        <w:snapToGrid w:val="0"/>
        <w:spacing w:line="360" w:lineRule="auto"/>
        <w:ind w:firstLine="420" w:firstLineChars="200"/>
        <w:rPr>
          <w:color w:val="000000"/>
          <w:szCs w:val="21"/>
        </w:rPr>
      </w:pPr>
      <w:r>
        <w:rPr>
          <w:snapToGrid w:val="0"/>
          <w:color w:val="000000"/>
          <w:kern w:val="0"/>
          <w:szCs w:val="21"/>
        </w:rPr>
        <w:t>1）</w:t>
      </w:r>
      <w:r>
        <w:rPr>
          <w:color w:val="000000"/>
          <w:szCs w:val="21"/>
        </w:rPr>
        <w:t>采购项目基本情况：</w:t>
      </w:r>
      <w:r>
        <w:rPr>
          <w:rFonts w:hint="eastAsia"/>
          <w:color w:val="000000"/>
          <w:szCs w:val="21"/>
        </w:rPr>
        <w:t>采购代理机构</w:t>
      </w:r>
      <w:r>
        <w:rPr>
          <w:color w:val="000000"/>
          <w:szCs w:val="21"/>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000000"/>
          <w:szCs w:val="21"/>
        </w:rPr>
      </w:pPr>
      <w:r>
        <w:rPr>
          <w:color w:val="000000"/>
          <w:szCs w:val="21"/>
        </w:rPr>
        <w:t>2）评审小组组成；</w:t>
      </w:r>
    </w:p>
    <w:p>
      <w:pPr>
        <w:adjustRightInd w:val="0"/>
        <w:snapToGrid w:val="0"/>
        <w:spacing w:line="360" w:lineRule="auto"/>
        <w:ind w:firstLine="420" w:firstLineChars="200"/>
        <w:rPr>
          <w:color w:val="000000"/>
          <w:szCs w:val="21"/>
        </w:rPr>
      </w:pPr>
      <w:r>
        <w:rPr>
          <w:color w:val="000000"/>
          <w:szCs w:val="21"/>
        </w:rPr>
        <w:t>3）评审方法和标准；</w:t>
      </w:r>
    </w:p>
    <w:p>
      <w:pPr>
        <w:adjustRightInd w:val="0"/>
        <w:snapToGrid w:val="0"/>
        <w:spacing w:line="360" w:lineRule="auto"/>
        <w:ind w:firstLine="420" w:firstLineChars="200"/>
        <w:rPr>
          <w:color w:val="000000"/>
          <w:szCs w:val="21"/>
        </w:rPr>
      </w:pPr>
      <w:r>
        <w:rPr>
          <w:color w:val="000000"/>
          <w:szCs w:val="21"/>
        </w:rPr>
        <w:t>4）评审情况及说明；</w:t>
      </w:r>
    </w:p>
    <w:p>
      <w:pPr>
        <w:adjustRightInd w:val="0"/>
        <w:snapToGrid w:val="0"/>
        <w:spacing w:line="360" w:lineRule="auto"/>
        <w:ind w:firstLine="420" w:firstLineChars="200"/>
        <w:rPr>
          <w:color w:val="000000"/>
          <w:szCs w:val="21"/>
        </w:rPr>
      </w:pPr>
      <w:r>
        <w:rPr>
          <w:color w:val="000000"/>
          <w:szCs w:val="21"/>
        </w:rPr>
        <w:t>5）评标结果和中标候选人排序；</w:t>
      </w:r>
    </w:p>
    <w:p>
      <w:pPr>
        <w:adjustRightInd w:val="0"/>
        <w:snapToGrid w:val="0"/>
        <w:spacing w:line="360" w:lineRule="auto"/>
        <w:ind w:firstLine="420" w:firstLineChars="200"/>
        <w:rPr>
          <w:color w:val="000000"/>
        </w:rPr>
      </w:pPr>
      <w:r>
        <w:rPr>
          <w:color w:val="000000"/>
          <w:szCs w:val="21"/>
        </w:rPr>
        <w:t>6）评标委员会的授标建议。</w:t>
      </w:r>
    </w:p>
    <w:p>
      <w:pPr>
        <w:adjustRightInd w:val="0"/>
        <w:snapToGrid w:val="0"/>
        <w:spacing w:line="360" w:lineRule="auto"/>
        <w:ind w:firstLine="422" w:firstLineChars="200"/>
        <w:rPr>
          <w:b/>
          <w:bCs/>
          <w:color w:val="000000"/>
        </w:rPr>
      </w:pPr>
      <w:r>
        <w:rPr>
          <w:b/>
          <w:bCs/>
          <w:color w:val="000000"/>
        </w:rPr>
        <w:t>五、评标细则</w:t>
      </w:r>
    </w:p>
    <w:p>
      <w:pPr>
        <w:pStyle w:val="11"/>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1.本项目采用综合评分法（总分100分），评标委员会根据本评审办法进行评审，对各供应商的价格、商务、技术等评分因素在分值范围内进行各自打分。每个供应商最终得分=价格分+商务技术分。</w:t>
      </w:r>
    </w:p>
    <w:p>
      <w:pPr>
        <w:pStyle w:val="11"/>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2.评审时，评标委员会各成员应当独立对每个有效响应的文件进行评价、打分，然后汇总每个供应商每项评分因素的得分。</w:t>
      </w:r>
    </w:p>
    <w:p>
      <w:pPr>
        <w:pStyle w:val="11"/>
        <w:adjustRightInd w:val="0"/>
        <w:snapToGrid w:val="0"/>
        <w:spacing w:line="360" w:lineRule="auto"/>
        <w:ind w:firstLine="420" w:firstLineChars="200"/>
        <w:rPr>
          <w:rFonts w:ascii="Times New Roman"/>
          <w:color w:val="000000"/>
          <w:sz w:val="21"/>
          <w:szCs w:val="21"/>
          <w:highlight w:val="cyan"/>
        </w:rPr>
      </w:pPr>
      <w:r>
        <w:rPr>
          <w:rFonts w:ascii="Times New Roman"/>
          <w:color w:val="000000"/>
          <w:sz w:val="21"/>
          <w:szCs w:val="21"/>
        </w:rPr>
        <w:t>3.对供应商的价格分等客观评分项的评分应当一致，对其他需要借助专业知识评判的主观评分项，应当严格按照评分细则公正评分。</w:t>
      </w:r>
      <w:r>
        <w:rPr>
          <w:rFonts w:hint="eastAsia" w:ascii="Times New Roman"/>
          <w:color w:val="000000"/>
          <w:sz w:val="21"/>
          <w:szCs w:val="21"/>
        </w:rPr>
        <w:t>评审小组成员个人主观打分偏离所有评审小组成员主观打分平均值30%以上的，由评审委员会启动评分畸高、畸低行为认定程序。</w:t>
      </w:r>
    </w:p>
    <w:p>
      <w:pPr>
        <w:pStyle w:val="11"/>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4.采用综合评分法的，评标结果按评审后得分由高到低顺序排列。得分相同的，按投标报价由低到高顺序排列。得分且投标报价相同的并列。投标文件满足</w:t>
      </w:r>
      <w:r>
        <w:rPr>
          <w:rFonts w:hint="eastAsia" w:ascii="Times New Roman"/>
          <w:color w:val="000000"/>
          <w:sz w:val="21"/>
          <w:szCs w:val="21"/>
        </w:rPr>
        <w:t>采购文件</w:t>
      </w:r>
      <w:r>
        <w:rPr>
          <w:rFonts w:ascii="Times New Roman"/>
          <w:color w:val="000000"/>
          <w:sz w:val="21"/>
          <w:szCs w:val="21"/>
        </w:rPr>
        <w:t>全部实质性要求，且按照评审因素的量化指标评审得分最高的</w:t>
      </w:r>
      <w:r>
        <w:rPr>
          <w:rFonts w:hint="eastAsia" w:ascii="Times New Roman"/>
          <w:color w:val="000000"/>
          <w:sz w:val="21"/>
          <w:szCs w:val="21"/>
        </w:rPr>
        <w:t>供应商</w:t>
      </w:r>
      <w:r>
        <w:rPr>
          <w:rFonts w:ascii="Times New Roman"/>
          <w:color w:val="000000"/>
          <w:sz w:val="21"/>
          <w:szCs w:val="21"/>
        </w:rPr>
        <w:t>为排名第一的中标候选人。</w:t>
      </w:r>
    </w:p>
    <w:p>
      <w:pPr>
        <w:pStyle w:val="11"/>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5.评分因素及分值范围</w:t>
      </w:r>
    </w:p>
    <w:p>
      <w:pPr>
        <w:snapToGrid w:val="0"/>
        <w:spacing w:line="360" w:lineRule="auto"/>
        <w:ind w:firstLine="420" w:firstLineChars="200"/>
        <w:rPr>
          <w:color w:val="000000"/>
          <w:szCs w:val="21"/>
        </w:rPr>
      </w:pPr>
      <w:bookmarkStart w:id="120" w:name="_Toc345320402"/>
      <w:r>
        <w:rPr>
          <w:color w:val="000000"/>
          <w:szCs w:val="21"/>
        </w:rPr>
        <w:t>1）</w:t>
      </w:r>
      <w:r>
        <w:rPr>
          <w:b/>
          <w:bCs/>
          <w:color w:val="000000"/>
          <w:szCs w:val="21"/>
        </w:rPr>
        <w:t>商务技术分</w:t>
      </w:r>
      <w:bookmarkEnd w:id="120"/>
    </w:p>
    <w:p>
      <w:pPr>
        <w:pStyle w:val="17"/>
        <w:adjustRightInd w:val="0"/>
        <w:snapToGrid w:val="0"/>
        <w:spacing w:line="360" w:lineRule="auto"/>
        <w:ind w:firstLine="420"/>
        <w:rPr>
          <w:rFonts w:eastAsia="宋体"/>
          <w:sz w:val="21"/>
          <w:szCs w:val="21"/>
        </w:rPr>
      </w:pPr>
      <w:r>
        <w:rPr>
          <w:rFonts w:eastAsia="宋体"/>
          <w:sz w:val="21"/>
          <w:szCs w:val="21"/>
        </w:rPr>
        <w:t>该评分分值由评标委员会根据</w:t>
      </w:r>
      <w:r>
        <w:rPr>
          <w:rFonts w:hint="eastAsia" w:eastAsia="宋体"/>
          <w:sz w:val="21"/>
          <w:szCs w:val="21"/>
        </w:rPr>
        <w:t>评分细则</w:t>
      </w:r>
      <w:r>
        <w:rPr>
          <w:rFonts w:eastAsia="宋体"/>
          <w:sz w:val="21"/>
          <w:szCs w:val="21"/>
        </w:rPr>
        <w:t>在分值范围内独立打分（具体分值设定详见表格），小数点后保留一位小数。每个</w:t>
      </w:r>
      <w:r>
        <w:rPr>
          <w:rFonts w:hint="eastAsia" w:eastAsia="宋体"/>
          <w:sz w:val="21"/>
          <w:szCs w:val="21"/>
        </w:rPr>
        <w:t>供应商</w:t>
      </w:r>
      <w:r>
        <w:rPr>
          <w:rFonts w:eastAsia="宋体"/>
          <w:sz w:val="21"/>
          <w:szCs w:val="21"/>
        </w:rPr>
        <w:t>的最终得分为评标委员会打分汇总后的算术平均值</w:t>
      </w:r>
      <w:r>
        <w:rPr>
          <w:rFonts w:eastAsia="宋体"/>
          <w:kern w:val="0"/>
          <w:sz w:val="21"/>
          <w:szCs w:val="21"/>
        </w:rPr>
        <w:t>（小数点后保留二位小数，第三位四舍五入）</w:t>
      </w:r>
      <w:r>
        <w:rPr>
          <w:rFonts w:eastAsia="宋体"/>
          <w:sz w:val="21"/>
          <w:szCs w:val="21"/>
        </w:rPr>
        <w:t>。</w:t>
      </w:r>
    </w:p>
    <w:tbl>
      <w:tblPr>
        <w:tblStyle w:val="21"/>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pPr>
            <w:r>
              <w:t>序号</w:t>
            </w:r>
          </w:p>
        </w:tc>
        <w:tc>
          <w:tcPr>
            <w:tcW w:w="7305" w:type="dxa"/>
            <w:vAlign w:val="center"/>
          </w:tcPr>
          <w:p>
            <w:pPr>
              <w:spacing w:line="360" w:lineRule="auto"/>
              <w:jc w:val="center"/>
            </w:pPr>
            <w:r>
              <w:t>评分细则</w:t>
            </w:r>
          </w:p>
        </w:tc>
        <w:tc>
          <w:tcPr>
            <w:tcW w:w="801" w:type="dxa"/>
            <w:vAlign w:val="center"/>
          </w:tcPr>
          <w:p>
            <w:pPr>
              <w:spacing w:line="360" w:lineRule="auto"/>
              <w:jc w:val="center"/>
            </w:pPr>
            <w: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vAlign w:val="center"/>
          </w:tcPr>
          <w:p>
            <w:r>
              <w:rPr>
                <w:rFonts w:hint="eastAsia"/>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pPr>
            <w:r>
              <w:rPr>
                <w:rFonts w:hint="eastAsia"/>
              </w:rPr>
              <w:t>1</w:t>
            </w:r>
          </w:p>
        </w:tc>
        <w:tc>
          <w:tcPr>
            <w:tcW w:w="7305" w:type="dxa"/>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技术功能符合度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w:t>
            </w:r>
            <w:r>
              <w:rPr>
                <w:rFonts w:hint="eastAsia"/>
                <w:color w:val="000000" w:themeColor="text1"/>
                <w14:textFill>
                  <w14:solidFill>
                    <w14:schemeClr w14:val="tx1"/>
                  </w14:solidFill>
                </w14:textFill>
              </w:rPr>
              <w:t>第二章中“招标技术要求”</w:t>
            </w:r>
            <w:r>
              <w:rPr>
                <w:color w:val="000000" w:themeColor="text1"/>
                <w14:textFill>
                  <w14:solidFill>
                    <w14:schemeClr w14:val="tx1"/>
                  </w14:solidFill>
                </w14:textFill>
              </w:rPr>
              <w:t>的符合度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每</w:t>
            </w:r>
            <w:r>
              <w:rPr>
                <w:rFonts w:hint="eastAsia"/>
                <w:color w:val="000000" w:themeColor="text1"/>
                <w14:textFill>
                  <w14:solidFill>
                    <w14:schemeClr w14:val="tx1"/>
                  </w14:solidFill>
                </w14:textFill>
              </w:rPr>
              <w:t>一条带“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”标记的条款</w:t>
            </w:r>
            <w:r>
              <w:rPr>
                <w:color w:val="000000" w:themeColor="text1"/>
                <w14:textFill>
                  <w14:solidFill>
                    <w14:schemeClr w14:val="tx1"/>
                  </w14:solidFill>
                </w14:textFill>
              </w:rPr>
              <w:t>不满足</w:t>
            </w:r>
            <w:r>
              <w:rPr>
                <w:rFonts w:hint="eastAsia"/>
                <w:color w:val="000000" w:themeColor="text1"/>
                <w14:textFill>
                  <w14:solidFill>
                    <w14:schemeClr w14:val="tx1"/>
                  </w14:solidFill>
                </w14:textFill>
              </w:rPr>
              <w:t>采购文件要求</w:t>
            </w:r>
            <w:r>
              <w:rPr>
                <w:color w:val="000000" w:themeColor="text1"/>
                <w14:textFill>
                  <w14:solidFill>
                    <w14:schemeClr w14:val="tx1"/>
                  </w14:solidFill>
                </w14:textFill>
              </w:rPr>
              <w:t>扣</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分（每一项配置缺项和商务偏离视作一项功能偏离）。</w:t>
            </w:r>
          </w:p>
        </w:tc>
        <w:tc>
          <w:tcPr>
            <w:tcW w:w="801" w:type="dxa"/>
            <w:vAlign w:val="center"/>
          </w:tcPr>
          <w:p>
            <w:pPr>
              <w:spacing w:line="36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pPr>
            <w:r>
              <w:rPr>
                <w:rFonts w:hint="eastAsia"/>
              </w:rPr>
              <w:t>2</w:t>
            </w:r>
          </w:p>
        </w:tc>
        <w:tc>
          <w:tcPr>
            <w:tcW w:w="7305" w:type="dxa"/>
            <w:vAlign w:val="center"/>
          </w:tcPr>
          <w:p>
            <w:pPr>
              <w:spacing w:line="360" w:lineRule="auto"/>
              <w:rPr>
                <w:color w:val="000000"/>
              </w:rPr>
            </w:pPr>
            <w:r>
              <w:rPr>
                <w:rFonts w:hint="eastAsia"/>
                <w:color w:val="000000"/>
              </w:rPr>
              <w:t>投标核心产品销售业绩：评委对本次相同型号投标核心产品之一自2019年1月1日起</w:t>
            </w:r>
            <w:r>
              <w:rPr>
                <w:color w:val="000000"/>
              </w:rPr>
              <w:t>（以</w:t>
            </w:r>
            <w:r>
              <w:rPr>
                <w:rFonts w:hint="eastAsia"/>
                <w:color w:val="000000"/>
              </w:rPr>
              <w:t>合同签定时间为准）与不同的最终用户签订的销售合同评分，每提供一个合同扫描件得1分，最高3分。</w:t>
            </w:r>
          </w:p>
          <w:p>
            <w:pPr>
              <w:spacing w:line="360" w:lineRule="auto"/>
              <w:rPr>
                <w:color w:val="000000"/>
              </w:rPr>
            </w:pPr>
            <w:r>
              <w:rPr>
                <w:rFonts w:hint="eastAsia"/>
                <w:color w:val="000000"/>
              </w:rPr>
              <w:t>投标核心产品为对省级以上主管部门认定的首台套产品，自纳入《省推广应用指导目录》起三年内参加政府采购活动，视同已具备相应销售业绩，本项得满分。</w:t>
            </w:r>
          </w:p>
        </w:tc>
        <w:tc>
          <w:tcPr>
            <w:tcW w:w="801" w:type="dxa"/>
            <w:vAlign w:val="center"/>
          </w:tcPr>
          <w:p>
            <w:pPr>
              <w:spacing w:line="360" w:lineRule="auto"/>
              <w:jc w:val="center"/>
            </w:pPr>
            <w:r>
              <w:rPr>
                <w:rFonts w:hint="eastAsi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pPr>
            <w:r>
              <w:rPr>
                <w:rFonts w:hint="eastAsia"/>
              </w:rPr>
              <w:t>3</w:t>
            </w:r>
          </w:p>
        </w:tc>
        <w:tc>
          <w:tcPr>
            <w:tcW w:w="7305" w:type="dxa"/>
            <w:vAlign w:val="center"/>
          </w:tcPr>
          <w:p>
            <w:pPr>
              <w:spacing w:line="360" w:lineRule="auto"/>
              <w:rPr>
                <w:color w:val="000000"/>
              </w:rPr>
            </w:pPr>
            <w:r>
              <w:rPr>
                <w:color w:val="000000"/>
              </w:rPr>
              <w:t>环境标志产品、节能产品评审：</w:t>
            </w:r>
            <w:r>
              <w:rPr>
                <w:rFonts w:hint="eastAsia"/>
                <w:color w:val="000000"/>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扫描件。</w:t>
            </w:r>
          </w:p>
        </w:tc>
        <w:tc>
          <w:tcPr>
            <w:tcW w:w="801" w:type="dxa"/>
            <w:vAlign w:val="center"/>
          </w:tcPr>
          <w:p>
            <w:pPr>
              <w:spacing w:line="360" w:lineRule="auto"/>
              <w:jc w:val="center"/>
            </w:pPr>
            <w:r>
              <w:rPr>
                <w:rFonts w:hint="eastAsia"/>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vAlign w:val="center"/>
          </w:tcPr>
          <w:p>
            <w:r>
              <w:rPr>
                <w:rFonts w:hint="eastAsia"/>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rPr>
                <w:rFonts w:hint="eastAsia" w:eastAsia="宋体"/>
                <w:lang w:eastAsia="zh-CN"/>
              </w:rPr>
            </w:pPr>
            <w:r>
              <w:rPr>
                <w:rFonts w:hint="eastAsia"/>
                <w:lang w:val="en-US" w:eastAsia="zh-CN"/>
              </w:rPr>
              <w:t>4</w:t>
            </w:r>
          </w:p>
        </w:tc>
        <w:tc>
          <w:tcPr>
            <w:tcW w:w="7305" w:type="dxa"/>
            <w:vAlign w:val="center"/>
          </w:tcPr>
          <w:p>
            <w:pPr>
              <w:spacing w:line="360" w:lineRule="auto"/>
              <w:rPr>
                <w:color w:val="auto"/>
                <w:highlight w:val="none"/>
                <w:shd w:val="clear" w:color="auto" w:fill="auto"/>
              </w:rPr>
            </w:pPr>
            <w:r>
              <w:rPr>
                <w:rFonts w:hint="eastAsia"/>
                <w:color w:val="auto"/>
                <w:highlight w:val="none"/>
                <w:shd w:val="clear" w:color="auto" w:fill="auto"/>
                <w:lang w:val="en-US" w:eastAsia="zh-CN"/>
              </w:rPr>
              <w:t>投标货物的性能：评委根据所投产品的使用功能描述及操作的流畅性与项目需求的符合性进行打分，完全符合得2-3分，基本符合得1-2分，不符合得0-1分。</w:t>
            </w:r>
          </w:p>
        </w:tc>
        <w:tc>
          <w:tcPr>
            <w:tcW w:w="801" w:type="dxa"/>
            <w:vAlign w:val="center"/>
          </w:tcPr>
          <w:p>
            <w:pPr>
              <w:spacing w:line="360" w:lineRule="auto"/>
              <w:jc w:val="center"/>
              <w:rPr>
                <w:color w:val="auto"/>
              </w:rPr>
            </w:pPr>
            <w:r>
              <w:rPr>
                <w:rFonts w:hint="eastAsia"/>
                <w:color w:val="auto"/>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5</w:t>
            </w:r>
          </w:p>
        </w:tc>
        <w:tc>
          <w:tcPr>
            <w:tcW w:w="7305" w:type="dxa"/>
            <w:vAlign w:val="center"/>
          </w:tcPr>
          <w:p>
            <w:pPr>
              <w:spacing w:line="360" w:lineRule="auto"/>
              <w:rPr>
                <w:rFonts w:hint="eastAsia" w:ascii="Times New Roman" w:hAnsi="Times New Roman" w:eastAsia="宋体" w:cs="Times New Roman"/>
                <w:kern w:val="2"/>
                <w:sz w:val="21"/>
                <w:szCs w:val="24"/>
                <w:highlight w:val="none"/>
                <w:shd w:val="clear" w:color="auto" w:fill="auto"/>
                <w:lang w:val="en-US" w:eastAsia="zh-CN" w:bidi="ar-SA"/>
              </w:rPr>
            </w:pPr>
            <w:r>
              <w:rPr>
                <w:rFonts w:hint="eastAsia"/>
                <w:highlight w:val="none"/>
                <w:shd w:val="clear" w:color="auto" w:fill="auto"/>
                <w:lang w:val="en-US" w:eastAsia="zh-CN"/>
              </w:rPr>
              <w:t>运行方案：包括但不限于</w:t>
            </w:r>
            <w:r>
              <w:rPr>
                <w:rFonts w:hint="eastAsia"/>
                <w:highlight w:val="none"/>
                <w:shd w:val="clear" w:color="auto" w:fill="auto"/>
              </w:rPr>
              <w:t>消耗品或易耗品</w:t>
            </w:r>
            <w:r>
              <w:rPr>
                <w:rFonts w:hint="eastAsia"/>
                <w:highlight w:val="none"/>
                <w:shd w:val="clear" w:color="auto" w:fill="auto"/>
                <w:lang w:val="en-US" w:eastAsia="zh-CN"/>
              </w:rPr>
              <w:t>替换收费方案、运行故障排查及解决方案</w:t>
            </w:r>
            <w:r>
              <w:rPr>
                <w:rFonts w:hint="eastAsia"/>
                <w:highlight w:val="none"/>
                <w:shd w:val="clear" w:color="auto" w:fill="auto"/>
                <w:lang w:eastAsia="zh-CN"/>
              </w:rPr>
              <w:t>，</w:t>
            </w:r>
            <w:r>
              <w:rPr>
                <w:rFonts w:hint="eastAsia"/>
                <w:highlight w:val="none"/>
                <w:shd w:val="clear" w:color="auto" w:fill="auto"/>
                <w:lang w:val="en-US" w:eastAsia="zh-CN"/>
              </w:rPr>
              <w:t>运行方案完全满足要求</w:t>
            </w:r>
            <w:r>
              <w:rPr>
                <w:rFonts w:hint="eastAsia"/>
                <w:highlight w:val="none"/>
                <w:shd w:val="clear" w:color="auto" w:fill="auto"/>
              </w:rPr>
              <w:t>得</w:t>
            </w:r>
            <w:r>
              <w:rPr>
                <w:rFonts w:hint="eastAsia"/>
                <w:highlight w:val="none"/>
                <w:shd w:val="clear" w:color="auto" w:fill="auto"/>
                <w:lang w:val="en-US" w:eastAsia="zh-CN"/>
              </w:rPr>
              <w:t>1-</w:t>
            </w:r>
            <w:r>
              <w:rPr>
                <w:rFonts w:hint="eastAsia"/>
                <w:highlight w:val="none"/>
                <w:shd w:val="clear" w:color="auto" w:fill="auto"/>
              </w:rPr>
              <w:t>2分，</w:t>
            </w:r>
            <w:r>
              <w:rPr>
                <w:rFonts w:hint="eastAsia"/>
                <w:highlight w:val="none"/>
                <w:shd w:val="clear" w:color="auto" w:fill="auto"/>
                <w:lang w:val="en-US" w:eastAsia="zh-CN"/>
              </w:rPr>
              <w:t>运行方案基本满足要求</w:t>
            </w:r>
            <w:r>
              <w:rPr>
                <w:rFonts w:hint="eastAsia"/>
                <w:highlight w:val="none"/>
                <w:shd w:val="clear" w:color="auto" w:fill="auto"/>
              </w:rPr>
              <w:t>得</w:t>
            </w:r>
            <w:r>
              <w:rPr>
                <w:rFonts w:hint="eastAsia"/>
                <w:highlight w:val="none"/>
                <w:shd w:val="clear" w:color="auto" w:fill="auto"/>
                <w:lang w:val="en-US" w:eastAsia="zh-CN"/>
              </w:rPr>
              <w:t>0.5-</w:t>
            </w:r>
            <w:r>
              <w:rPr>
                <w:rFonts w:hint="eastAsia"/>
                <w:highlight w:val="none"/>
                <w:shd w:val="clear" w:color="auto" w:fill="auto"/>
              </w:rPr>
              <w:t>1分，</w:t>
            </w:r>
            <w:r>
              <w:rPr>
                <w:rFonts w:hint="eastAsia"/>
                <w:highlight w:val="none"/>
                <w:shd w:val="clear" w:color="auto" w:fill="auto"/>
                <w:lang w:val="en-US" w:eastAsia="zh-CN"/>
              </w:rPr>
              <w:t>运行方案不满足要求</w:t>
            </w:r>
            <w:r>
              <w:rPr>
                <w:rFonts w:hint="eastAsia"/>
                <w:highlight w:val="none"/>
                <w:shd w:val="clear" w:color="auto" w:fill="auto"/>
              </w:rPr>
              <w:t>得</w:t>
            </w:r>
            <w:r>
              <w:rPr>
                <w:rFonts w:hint="eastAsia"/>
                <w:highlight w:val="none"/>
                <w:shd w:val="clear" w:color="auto" w:fill="auto"/>
                <w:lang w:val="en-US" w:eastAsia="zh-CN"/>
              </w:rPr>
              <w:t>0-</w:t>
            </w:r>
            <w:r>
              <w:rPr>
                <w:rFonts w:hint="eastAsia"/>
                <w:highlight w:val="none"/>
                <w:shd w:val="clear" w:color="auto" w:fill="auto"/>
              </w:rPr>
              <w:t>0.5分，无</w:t>
            </w:r>
            <w:r>
              <w:rPr>
                <w:rFonts w:hint="eastAsia"/>
                <w:highlight w:val="none"/>
                <w:shd w:val="clear" w:color="auto" w:fill="auto"/>
                <w:lang w:val="en-US" w:eastAsia="zh-CN"/>
              </w:rPr>
              <w:t>方案</w:t>
            </w:r>
            <w:r>
              <w:rPr>
                <w:rFonts w:hint="eastAsia"/>
                <w:highlight w:val="none"/>
                <w:shd w:val="clear" w:color="auto" w:fill="auto"/>
              </w:rPr>
              <w:t>得0分。</w:t>
            </w:r>
          </w:p>
        </w:tc>
        <w:tc>
          <w:tcPr>
            <w:tcW w:w="801" w:type="dxa"/>
            <w:vAlign w:val="center"/>
          </w:tcPr>
          <w:p>
            <w:pPr>
              <w:spacing w:line="360" w:lineRule="auto"/>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rPr>
                <w:rFonts w:hint="eastAsia" w:eastAsia="宋体"/>
                <w:lang w:eastAsia="zh-CN"/>
              </w:rPr>
            </w:pPr>
            <w:r>
              <w:rPr>
                <w:rFonts w:hint="eastAsia"/>
                <w:lang w:val="en-US" w:eastAsia="zh-CN"/>
              </w:rPr>
              <w:t>6</w:t>
            </w:r>
          </w:p>
        </w:tc>
        <w:tc>
          <w:tcPr>
            <w:tcW w:w="7305" w:type="dxa"/>
            <w:vAlign w:val="center"/>
          </w:tcPr>
          <w:p>
            <w:pPr>
              <w:spacing w:line="360" w:lineRule="auto"/>
              <w:rPr>
                <w:highlight w:val="none"/>
                <w:shd w:val="clear" w:color="auto" w:fill="auto"/>
              </w:rPr>
            </w:pPr>
            <w:r>
              <w:rPr>
                <w:rFonts w:hint="eastAsia"/>
                <w:highlight w:val="none"/>
                <w:shd w:val="clear" w:color="auto" w:fill="auto"/>
              </w:rPr>
              <w:t>维修</w:t>
            </w:r>
            <w:r>
              <w:rPr>
                <w:rFonts w:hint="eastAsia"/>
                <w:highlight w:val="none"/>
                <w:shd w:val="clear" w:color="auto" w:fill="auto"/>
                <w:lang w:val="en-US" w:eastAsia="zh-CN"/>
              </w:rPr>
              <w:t>方案</w:t>
            </w:r>
            <w:r>
              <w:rPr>
                <w:rFonts w:hint="eastAsia"/>
                <w:highlight w:val="none"/>
                <w:shd w:val="clear" w:color="auto" w:fill="auto"/>
              </w:rPr>
              <w:t>：包括</w:t>
            </w:r>
            <w:r>
              <w:rPr>
                <w:rFonts w:hint="eastAsia"/>
                <w:highlight w:val="none"/>
                <w:shd w:val="clear" w:color="auto" w:fill="auto"/>
                <w:lang w:val="en-US" w:eastAsia="zh-CN"/>
              </w:rPr>
              <w:t>但不限于</w:t>
            </w:r>
            <w:r>
              <w:rPr>
                <w:rFonts w:hint="eastAsia"/>
                <w:highlight w:val="none"/>
                <w:shd w:val="clear" w:color="auto" w:fill="auto"/>
              </w:rPr>
              <w:t>保修</w:t>
            </w:r>
            <w:r>
              <w:rPr>
                <w:rFonts w:hint="eastAsia"/>
                <w:highlight w:val="none"/>
                <w:shd w:val="clear" w:color="auto" w:fill="auto"/>
                <w:lang w:val="en-US" w:eastAsia="zh-CN"/>
              </w:rPr>
              <w:t>方案</w:t>
            </w:r>
            <w:r>
              <w:rPr>
                <w:rFonts w:hint="eastAsia"/>
                <w:highlight w:val="none"/>
                <w:shd w:val="clear" w:color="auto" w:fill="auto"/>
              </w:rPr>
              <w:t>、设备配件</w:t>
            </w:r>
            <w:r>
              <w:rPr>
                <w:rFonts w:hint="eastAsia"/>
                <w:highlight w:val="none"/>
                <w:shd w:val="clear" w:color="auto" w:fill="auto"/>
                <w:lang w:val="en-US" w:eastAsia="zh-CN"/>
              </w:rPr>
              <w:t>维修收费方案</w:t>
            </w:r>
            <w:r>
              <w:rPr>
                <w:rFonts w:hint="eastAsia"/>
                <w:highlight w:val="none"/>
                <w:shd w:val="clear" w:color="auto" w:fill="auto"/>
              </w:rPr>
              <w:t>、维修服务</w:t>
            </w:r>
            <w:r>
              <w:rPr>
                <w:rFonts w:hint="eastAsia"/>
                <w:highlight w:val="none"/>
                <w:shd w:val="clear" w:color="auto" w:fill="auto"/>
                <w:lang w:val="en-US" w:eastAsia="zh-CN"/>
              </w:rPr>
              <w:t>收费方案</w:t>
            </w:r>
            <w:r>
              <w:rPr>
                <w:rFonts w:hint="eastAsia"/>
                <w:highlight w:val="none"/>
                <w:shd w:val="clear" w:color="auto" w:fill="auto"/>
              </w:rPr>
              <w:t>。</w:t>
            </w:r>
            <w:r>
              <w:rPr>
                <w:rFonts w:hint="eastAsia"/>
                <w:highlight w:val="none"/>
                <w:shd w:val="clear" w:color="auto" w:fill="auto"/>
                <w:lang w:val="en-US" w:eastAsia="zh-CN"/>
              </w:rPr>
              <w:t>维修方案完全满足要求</w:t>
            </w:r>
            <w:r>
              <w:rPr>
                <w:rFonts w:hint="eastAsia"/>
                <w:highlight w:val="none"/>
                <w:shd w:val="clear" w:color="auto" w:fill="auto"/>
              </w:rPr>
              <w:t>得</w:t>
            </w:r>
            <w:r>
              <w:rPr>
                <w:rFonts w:hint="eastAsia"/>
                <w:highlight w:val="none"/>
                <w:shd w:val="clear" w:color="auto" w:fill="auto"/>
                <w:lang w:val="en-US" w:eastAsia="zh-CN"/>
              </w:rPr>
              <w:t>1-</w:t>
            </w:r>
            <w:r>
              <w:rPr>
                <w:rFonts w:hint="eastAsia"/>
                <w:highlight w:val="none"/>
                <w:shd w:val="clear" w:color="auto" w:fill="auto"/>
              </w:rPr>
              <w:t>2分，</w:t>
            </w:r>
            <w:r>
              <w:rPr>
                <w:rFonts w:hint="eastAsia"/>
                <w:highlight w:val="none"/>
                <w:shd w:val="clear" w:color="auto" w:fill="auto"/>
                <w:lang w:val="en-US" w:eastAsia="zh-CN"/>
              </w:rPr>
              <w:t>维修方案基本满足要求</w:t>
            </w:r>
            <w:r>
              <w:rPr>
                <w:rFonts w:hint="eastAsia"/>
                <w:highlight w:val="none"/>
                <w:shd w:val="clear" w:color="auto" w:fill="auto"/>
              </w:rPr>
              <w:t>得</w:t>
            </w:r>
            <w:r>
              <w:rPr>
                <w:rFonts w:hint="eastAsia"/>
                <w:highlight w:val="none"/>
                <w:shd w:val="clear" w:color="auto" w:fill="auto"/>
                <w:lang w:val="en-US" w:eastAsia="zh-CN"/>
              </w:rPr>
              <w:t>0.5-</w:t>
            </w:r>
            <w:r>
              <w:rPr>
                <w:rFonts w:hint="eastAsia"/>
                <w:highlight w:val="none"/>
                <w:shd w:val="clear" w:color="auto" w:fill="auto"/>
              </w:rPr>
              <w:t>1分，</w:t>
            </w:r>
            <w:r>
              <w:rPr>
                <w:rFonts w:hint="eastAsia"/>
                <w:highlight w:val="none"/>
                <w:shd w:val="clear" w:color="auto" w:fill="auto"/>
                <w:lang w:val="en-US" w:eastAsia="zh-CN"/>
              </w:rPr>
              <w:t>维修方案不满足要求</w:t>
            </w:r>
            <w:r>
              <w:rPr>
                <w:rFonts w:hint="eastAsia"/>
                <w:highlight w:val="none"/>
                <w:shd w:val="clear" w:color="auto" w:fill="auto"/>
              </w:rPr>
              <w:t>得</w:t>
            </w:r>
            <w:r>
              <w:rPr>
                <w:rFonts w:hint="eastAsia"/>
                <w:highlight w:val="none"/>
                <w:shd w:val="clear" w:color="auto" w:fill="auto"/>
                <w:lang w:val="en-US" w:eastAsia="zh-CN"/>
              </w:rPr>
              <w:t>0-</w:t>
            </w:r>
            <w:r>
              <w:rPr>
                <w:rFonts w:hint="eastAsia"/>
                <w:highlight w:val="none"/>
                <w:shd w:val="clear" w:color="auto" w:fill="auto"/>
              </w:rPr>
              <w:t>0.5分，无</w:t>
            </w:r>
            <w:r>
              <w:rPr>
                <w:rFonts w:hint="eastAsia"/>
                <w:highlight w:val="none"/>
                <w:shd w:val="clear" w:color="auto" w:fill="auto"/>
                <w:lang w:val="en-US" w:eastAsia="zh-CN"/>
              </w:rPr>
              <w:t>方案</w:t>
            </w:r>
            <w:r>
              <w:rPr>
                <w:rFonts w:hint="eastAsia"/>
                <w:highlight w:val="none"/>
                <w:shd w:val="clear" w:color="auto" w:fill="auto"/>
              </w:rPr>
              <w:t>得0分。</w:t>
            </w:r>
          </w:p>
        </w:tc>
        <w:tc>
          <w:tcPr>
            <w:tcW w:w="801" w:type="dxa"/>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rPr>
                <w:rFonts w:hint="eastAsia" w:eastAsia="宋体"/>
                <w:lang w:eastAsia="zh-CN"/>
              </w:rPr>
            </w:pPr>
            <w:r>
              <w:rPr>
                <w:rFonts w:hint="eastAsia"/>
                <w:lang w:val="en-US" w:eastAsia="zh-CN"/>
              </w:rPr>
              <w:t>7</w:t>
            </w:r>
          </w:p>
        </w:tc>
        <w:tc>
          <w:tcPr>
            <w:tcW w:w="7305" w:type="dxa"/>
            <w:vAlign w:val="center"/>
          </w:tcPr>
          <w:p>
            <w:pPr>
              <w:spacing w:line="360" w:lineRule="auto"/>
              <w:rPr>
                <w:highlight w:val="none"/>
                <w:shd w:val="clear" w:color="auto" w:fill="auto"/>
              </w:rPr>
            </w:pPr>
            <w:r>
              <w:rPr>
                <w:highlight w:val="none"/>
                <w:shd w:val="clear" w:color="auto" w:fill="auto"/>
              </w:rPr>
              <w:t>售后服务方案：</w:t>
            </w:r>
          </w:p>
        </w:tc>
        <w:tc>
          <w:tcPr>
            <w:tcW w:w="801" w:type="dxa"/>
            <w:vAlign w:val="center"/>
          </w:tcPr>
          <w:p>
            <w:pPr>
              <w:spacing w:line="360" w:lineRule="auto"/>
              <w:jc w:val="cente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rPr>
                <w:color w:val="auto"/>
              </w:rPr>
            </w:pPr>
            <w:r>
              <w:rPr>
                <w:rFonts w:hint="eastAsia"/>
                <w:color w:val="auto"/>
                <w:lang w:val="en-US" w:eastAsia="zh-CN"/>
              </w:rPr>
              <w:t>7</w:t>
            </w:r>
            <w:r>
              <w:rPr>
                <w:rFonts w:hint="eastAsia"/>
                <w:color w:val="auto"/>
              </w:rPr>
              <w:t>.1</w:t>
            </w:r>
          </w:p>
        </w:tc>
        <w:tc>
          <w:tcPr>
            <w:tcW w:w="7305" w:type="dxa"/>
            <w:vAlign w:val="center"/>
          </w:tcPr>
          <w:p>
            <w:pPr>
              <w:spacing w:line="360" w:lineRule="auto"/>
              <w:rPr>
                <w:color w:val="auto"/>
                <w:highlight w:val="none"/>
                <w:shd w:val="clear" w:color="auto" w:fill="auto"/>
              </w:rPr>
            </w:pPr>
            <w:r>
              <w:rPr>
                <w:color w:val="auto"/>
                <w:highlight w:val="none"/>
                <w:shd w:val="clear" w:color="auto" w:fill="auto"/>
              </w:rPr>
              <w:t>售后服务方案，包括但不限于服务响应时间、故障解决方案</w:t>
            </w:r>
            <w:r>
              <w:rPr>
                <w:rFonts w:hint="eastAsia"/>
                <w:color w:val="auto"/>
                <w:highlight w:val="none"/>
                <w:shd w:val="clear" w:color="auto" w:fill="auto"/>
              </w:rPr>
              <w:t>，</w:t>
            </w:r>
            <w:r>
              <w:rPr>
                <w:rFonts w:hint="eastAsia"/>
                <w:color w:val="auto"/>
                <w:highlight w:val="none"/>
                <w:shd w:val="clear" w:color="auto" w:fill="auto"/>
                <w:lang w:val="en-US" w:eastAsia="zh-CN"/>
              </w:rPr>
              <w:t>售后服务方案完全满足要求</w:t>
            </w:r>
            <w:r>
              <w:rPr>
                <w:color w:val="auto"/>
                <w:highlight w:val="none"/>
                <w:shd w:val="clear" w:color="auto" w:fill="auto"/>
              </w:rPr>
              <w:t>得</w:t>
            </w:r>
            <w:r>
              <w:rPr>
                <w:rFonts w:hint="eastAsia"/>
                <w:color w:val="auto"/>
                <w:highlight w:val="none"/>
                <w:shd w:val="clear" w:color="auto" w:fill="auto"/>
                <w:lang w:val="en-US" w:eastAsia="zh-CN"/>
              </w:rPr>
              <w:t>0.5-1</w:t>
            </w:r>
            <w:r>
              <w:rPr>
                <w:color w:val="auto"/>
                <w:highlight w:val="none"/>
                <w:shd w:val="clear" w:color="auto" w:fill="auto"/>
              </w:rPr>
              <w:t>分，</w:t>
            </w:r>
            <w:r>
              <w:rPr>
                <w:rFonts w:hint="eastAsia"/>
                <w:color w:val="auto"/>
                <w:highlight w:val="none"/>
                <w:shd w:val="clear" w:color="auto" w:fill="auto"/>
                <w:lang w:val="en-US" w:eastAsia="zh-CN"/>
              </w:rPr>
              <w:t>售后服务方案基本满足要求</w:t>
            </w:r>
            <w:r>
              <w:rPr>
                <w:color w:val="auto"/>
                <w:highlight w:val="none"/>
                <w:shd w:val="clear" w:color="auto" w:fill="auto"/>
              </w:rPr>
              <w:t>得</w:t>
            </w:r>
            <w:r>
              <w:rPr>
                <w:rFonts w:hint="eastAsia"/>
                <w:color w:val="auto"/>
                <w:highlight w:val="none"/>
                <w:shd w:val="clear" w:color="auto" w:fill="auto"/>
                <w:lang w:val="en-US" w:eastAsia="zh-CN"/>
              </w:rPr>
              <w:t>0-0.5</w:t>
            </w:r>
            <w:r>
              <w:rPr>
                <w:color w:val="auto"/>
                <w:highlight w:val="none"/>
                <w:shd w:val="clear" w:color="auto" w:fill="auto"/>
              </w:rPr>
              <w:t>分</w:t>
            </w:r>
            <w:r>
              <w:rPr>
                <w:rFonts w:hint="eastAsia"/>
                <w:color w:val="auto"/>
                <w:highlight w:val="none"/>
                <w:shd w:val="clear" w:color="auto" w:fill="auto"/>
              </w:rPr>
              <w:t>，</w:t>
            </w:r>
            <w:r>
              <w:rPr>
                <w:rFonts w:hint="eastAsia"/>
                <w:color w:val="auto"/>
                <w:highlight w:val="none"/>
                <w:shd w:val="clear" w:color="auto" w:fill="auto"/>
                <w:lang w:val="en-US" w:eastAsia="zh-CN"/>
              </w:rPr>
              <w:t>售后服务方案不满足或</w:t>
            </w:r>
            <w:r>
              <w:rPr>
                <w:rFonts w:hint="eastAsia"/>
                <w:color w:val="auto"/>
                <w:highlight w:val="none"/>
                <w:shd w:val="clear" w:color="auto" w:fill="auto"/>
              </w:rPr>
              <w:t>无解决方案得0分。</w:t>
            </w:r>
          </w:p>
        </w:tc>
        <w:tc>
          <w:tcPr>
            <w:tcW w:w="801" w:type="dxa"/>
            <w:vAlign w:val="center"/>
          </w:tcPr>
          <w:p>
            <w:pPr>
              <w:spacing w:line="360" w:lineRule="auto"/>
              <w:jc w:val="center"/>
              <w:rPr>
                <w:color w:val="auto"/>
              </w:rPr>
            </w:pPr>
            <w:r>
              <w:rPr>
                <w:rFonts w:hint="eastAsia"/>
                <w:color w:val="auto"/>
                <w:highlight w:val="none"/>
                <w:lang w:val="en-US" w:eastAsia="zh-CN"/>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rPr>
                <w:color w:val="auto"/>
              </w:rPr>
            </w:pPr>
            <w:r>
              <w:rPr>
                <w:rFonts w:hint="eastAsia"/>
                <w:color w:val="auto"/>
                <w:lang w:val="en-US" w:eastAsia="zh-CN"/>
              </w:rPr>
              <w:t>7</w:t>
            </w:r>
            <w:r>
              <w:rPr>
                <w:rFonts w:hint="eastAsia"/>
                <w:color w:val="auto"/>
              </w:rPr>
              <w:t>.2</w:t>
            </w:r>
          </w:p>
        </w:tc>
        <w:tc>
          <w:tcPr>
            <w:tcW w:w="7305" w:type="dxa"/>
            <w:vAlign w:val="center"/>
          </w:tcPr>
          <w:p>
            <w:pPr>
              <w:spacing w:line="360" w:lineRule="auto"/>
              <w:rPr>
                <w:color w:val="auto"/>
                <w:highlight w:val="none"/>
                <w:shd w:val="clear" w:color="auto" w:fill="auto"/>
              </w:rPr>
            </w:pPr>
            <w:r>
              <w:rPr>
                <w:color w:val="auto"/>
                <w:highlight w:val="none"/>
                <w:shd w:val="clear" w:color="auto" w:fill="auto"/>
              </w:rPr>
              <w:t>售后服务机构技术服务人员情况，提供姓名、工作经验、资质证书情况</w:t>
            </w:r>
            <w:r>
              <w:rPr>
                <w:rFonts w:hint="eastAsia"/>
                <w:color w:val="auto"/>
                <w:highlight w:val="none"/>
                <w:shd w:val="clear" w:color="auto" w:fill="auto"/>
              </w:rPr>
              <w:t>，</w:t>
            </w:r>
            <w:r>
              <w:rPr>
                <w:color w:val="auto"/>
                <w:highlight w:val="none"/>
                <w:shd w:val="clear" w:color="auto" w:fill="auto"/>
              </w:rPr>
              <w:t>人员配备充足</w:t>
            </w:r>
            <w:r>
              <w:rPr>
                <w:rFonts w:hint="eastAsia"/>
                <w:color w:val="auto"/>
                <w:highlight w:val="none"/>
                <w:shd w:val="clear" w:color="auto" w:fill="auto"/>
              </w:rPr>
              <w:t>售后服务</w:t>
            </w:r>
            <w:r>
              <w:rPr>
                <w:color w:val="auto"/>
                <w:highlight w:val="none"/>
                <w:shd w:val="clear" w:color="auto" w:fill="auto"/>
              </w:rPr>
              <w:t>经验丰富得</w:t>
            </w:r>
            <w:r>
              <w:rPr>
                <w:rFonts w:hint="eastAsia"/>
                <w:color w:val="auto"/>
                <w:highlight w:val="none"/>
                <w:shd w:val="clear" w:color="auto" w:fill="auto"/>
              </w:rPr>
              <w:t>1-2</w:t>
            </w:r>
            <w:r>
              <w:rPr>
                <w:color w:val="auto"/>
                <w:highlight w:val="none"/>
                <w:shd w:val="clear" w:color="auto" w:fill="auto"/>
              </w:rPr>
              <w:t>分，人员配备</w:t>
            </w:r>
            <w:r>
              <w:rPr>
                <w:rFonts w:hint="eastAsia"/>
                <w:color w:val="auto"/>
                <w:highlight w:val="none"/>
                <w:shd w:val="clear" w:color="auto" w:fill="auto"/>
              </w:rPr>
              <w:t>和售后服务</w:t>
            </w:r>
            <w:r>
              <w:rPr>
                <w:rFonts w:hint="eastAsia"/>
                <w:color w:val="auto"/>
                <w:highlight w:val="none"/>
                <w:shd w:val="clear" w:color="auto" w:fill="auto"/>
                <w:lang w:val="en-US" w:eastAsia="zh-CN"/>
              </w:rPr>
              <w:t>基本满足要求</w:t>
            </w:r>
            <w:r>
              <w:rPr>
                <w:color w:val="auto"/>
                <w:highlight w:val="none"/>
                <w:shd w:val="clear" w:color="auto" w:fill="auto"/>
              </w:rPr>
              <w:t>得</w:t>
            </w:r>
            <w:r>
              <w:rPr>
                <w:rFonts w:hint="eastAsia"/>
                <w:color w:val="auto"/>
                <w:highlight w:val="none"/>
                <w:shd w:val="clear" w:color="auto" w:fill="auto"/>
              </w:rPr>
              <w:t>0.5-1</w:t>
            </w:r>
            <w:r>
              <w:rPr>
                <w:color w:val="auto"/>
                <w:highlight w:val="none"/>
                <w:shd w:val="clear" w:color="auto" w:fill="auto"/>
              </w:rPr>
              <w:t>分，人员配备</w:t>
            </w:r>
            <w:r>
              <w:rPr>
                <w:rFonts w:hint="eastAsia"/>
                <w:color w:val="auto"/>
                <w:highlight w:val="none"/>
                <w:shd w:val="clear" w:color="auto" w:fill="auto"/>
              </w:rPr>
              <w:t>不足售后服务</w:t>
            </w:r>
            <w:r>
              <w:rPr>
                <w:color w:val="auto"/>
                <w:highlight w:val="none"/>
                <w:shd w:val="clear" w:color="auto" w:fill="auto"/>
              </w:rPr>
              <w:t>经验</w:t>
            </w:r>
            <w:r>
              <w:rPr>
                <w:rFonts w:hint="eastAsia"/>
                <w:color w:val="auto"/>
                <w:highlight w:val="none"/>
                <w:shd w:val="clear" w:color="auto" w:fill="auto"/>
              </w:rPr>
              <w:t>差0-0.5</w:t>
            </w:r>
            <w:r>
              <w:rPr>
                <w:color w:val="auto"/>
                <w:highlight w:val="none"/>
                <w:shd w:val="clear" w:color="auto" w:fill="auto"/>
              </w:rPr>
              <w:t>分，</w:t>
            </w:r>
            <w:r>
              <w:rPr>
                <w:rFonts w:hint="eastAsia"/>
                <w:color w:val="auto"/>
                <w:highlight w:val="none"/>
                <w:shd w:val="clear" w:color="auto" w:fill="auto"/>
              </w:rPr>
              <w:t>无</w:t>
            </w:r>
            <w:r>
              <w:rPr>
                <w:color w:val="auto"/>
                <w:highlight w:val="none"/>
                <w:shd w:val="clear" w:color="auto" w:fill="auto"/>
              </w:rPr>
              <w:t>人员配备得</w:t>
            </w:r>
            <w:r>
              <w:rPr>
                <w:rFonts w:hint="eastAsia"/>
                <w:color w:val="auto"/>
                <w:highlight w:val="none"/>
                <w:shd w:val="clear" w:color="auto" w:fill="auto"/>
              </w:rPr>
              <w:t>0</w:t>
            </w:r>
            <w:r>
              <w:rPr>
                <w:color w:val="auto"/>
                <w:highlight w:val="none"/>
                <w:shd w:val="clear" w:color="auto" w:fill="auto"/>
              </w:rPr>
              <w:t>分</w:t>
            </w:r>
            <w:r>
              <w:rPr>
                <w:rFonts w:hint="eastAsia"/>
                <w:color w:val="auto"/>
                <w:highlight w:val="none"/>
                <w:shd w:val="clear" w:color="auto" w:fill="auto"/>
              </w:rPr>
              <w:t>。</w:t>
            </w:r>
          </w:p>
        </w:tc>
        <w:tc>
          <w:tcPr>
            <w:tcW w:w="801" w:type="dxa"/>
            <w:vAlign w:val="center"/>
          </w:tcPr>
          <w:p>
            <w:pPr>
              <w:spacing w:line="360" w:lineRule="auto"/>
              <w:jc w:val="center"/>
              <w:rPr>
                <w:color w:val="auto"/>
              </w:rPr>
            </w:pPr>
            <w:r>
              <w:rPr>
                <w:rFonts w:hint="eastAsia"/>
                <w:color w:val="auto"/>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rPr>
                <w:color w:val="auto"/>
              </w:rPr>
            </w:pPr>
            <w:r>
              <w:rPr>
                <w:rFonts w:hint="eastAsia"/>
                <w:color w:val="auto"/>
                <w:lang w:val="en-US" w:eastAsia="zh-CN"/>
              </w:rPr>
              <w:t>7</w:t>
            </w:r>
            <w:r>
              <w:rPr>
                <w:rFonts w:hint="eastAsia"/>
                <w:color w:val="auto"/>
              </w:rPr>
              <w:t>.3</w:t>
            </w:r>
          </w:p>
        </w:tc>
        <w:tc>
          <w:tcPr>
            <w:tcW w:w="7305" w:type="dxa"/>
            <w:vAlign w:val="center"/>
          </w:tcPr>
          <w:p>
            <w:pPr>
              <w:spacing w:line="360" w:lineRule="auto"/>
              <w:rPr>
                <w:color w:val="auto"/>
                <w:highlight w:val="none"/>
                <w:shd w:val="clear" w:color="auto" w:fill="auto"/>
              </w:rPr>
            </w:pPr>
            <w:r>
              <w:rPr>
                <w:rFonts w:hint="eastAsia"/>
                <w:color w:val="auto"/>
                <w:highlight w:val="none"/>
                <w:shd w:val="clear" w:color="auto" w:fill="auto"/>
              </w:rPr>
              <w:t>安装调试方案，包括对场地环境的了解、人员的安排、时间进度的规划，对设备的调试进度安排，调试的步骤、措施，问题的解决方案等，</w:t>
            </w:r>
            <w:r>
              <w:rPr>
                <w:color w:val="auto"/>
                <w:highlight w:val="none"/>
                <w:shd w:val="clear" w:color="auto" w:fill="auto"/>
              </w:rPr>
              <w:t>方案</w:t>
            </w:r>
            <w:r>
              <w:rPr>
                <w:rFonts w:hint="eastAsia"/>
                <w:color w:val="auto"/>
                <w:highlight w:val="none"/>
                <w:shd w:val="clear" w:color="auto" w:fill="auto"/>
              </w:rPr>
              <w:t>考虑充分措施</w:t>
            </w:r>
            <w:r>
              <w:rPr>
                <w:rFonts w:hint="eastAsia"/>
                <w:color w:val="auto"/>
                <w:highlight w:val="none"/>
                <w:shd w:val="clear" w:color="auto" w:fill="auto"/>
                <w:lang w:val="en-US" w:eastAsia="zh-CN"/>
              </w:rPr>
              <w:t>合理</w:t>
            </w:r>
            <w:r>
              <w:rPr>
                <w:rFonts w:hint="eastAsia"/>
                <w:color w:val="auto"/>
                <w:highlight w:val="none"/>
                <w:shd w:val="clear" w:color="auto" w:fill="auto"/>
              </w:rPr>
              <w:t>得1-2分，方案、措施</w:t>
            </w:r>
            <w:r>
              <w:rPr>
                <w:rFonts w:hint="eastAsia"/>
                <w:color w:val="auto"/>
                <w:highlight w:val="none"/>
                <w:shd w:val="clear" w:color="auto" w:fill="auto"/>
                <w:lang w:val="en-US" w:eastAsia="zh-CN"/>
              </w:rPr>
              <w:t>基本合理</w:t>
            </w:r>
            <w:r>
              <w:rPr>
                <w:color w:val="auto"/>
                <w:highlight w:val="none"/>
                <w:shd w:val="clear" w:color="auto" w:fill="auto"/>
              </w:rPr>
              <w:t>得</w:t>
            </w:r>
            <w:r>
              <w:rPr>
                <w:rFonts w:hint="eastAsia"/>
                <w:color w:val="auto"/>
                <w:highlight w:val="none"/>
                <w:shd w:val="clear" w:color="auto" w:fill="auto"/>
              </w:rPr>
              <w:t>0-1</w:t>
            </w:r>
            <w:r>
              <w:rPr>
                <w:color w:val="auto"/>
                <w:highlight w:val="none"/>
                <w:shd w:val="clear" w:color="auto" w:fill="auto"/>
              </w:rPr>
              <w:t>分，</w:t>
            </w:r>
            <w:r>
              <w:rPr>
                <w:rFonts w:hint="eastAsia"/>
                <w:color w:val="auto"/>
                <w:highlight w:val="none"/>
                <w:shd w:val="clear" w:color="auto" w:fill="auto"/>
              </w:rPr>
              <w:t>无</w:t>
            </w:r>
            <w:r>
              <w:rPr>
                <w:color w:val="auto"/>
                <w:highlight w:val="none"/>
                <w:shd w:val="clear" w:color="auto" w:fill="auto"/>
              </w:rPr>
              <w:t>方案得0分</w:t>
            </w:r>
            <w:r>
              <w:rPr>
                <w:rFonts w:hint="eastAsia"/>
                <w:color w:val="auto"/>
                <w:highlight w:val="none"/>
                <w:shd w:val="clear" w:color="auto" w:fill="auto"/>
              </w:rPr>
              <w:t>。</w:t>
            </w:r>
          </w:p>
        </w:tc>
        <w:tc>
          <w:tcPr>
            <w:tcW w:w="801" w:type="dxa"/>
            <w:vAlign w:val="center"/>
          </w:tcPr>
          <w:p>
            <w:pPr>
              <w:spacing w:line="360" w:lineRule="auto"/>
              <w:jc w:val="center"/>
              <w:rPr>
                <w:color w:val="auto"/>
              </w:rPr>
            </w:pPr>
            <w:r>
              <w:rPr>
                <w:rFonts w:hint="eastAsia"/>
                <w:color w:val="auto"/>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rPr>
                <w:color w:val="auto"/>
              </w:rPr>
            </w:pPr>
            <w:r>
              <w:rPr>
                <w:rFonts w:hint="eastAsia"/>
                <w:color w:val="auto"/>
                <w:lang w:val="en-US" w:eastAsia="zh-CN"/>
              </w:rPr>
              <w:t>7</w:t>
            </w:r>
            <w:r>
              <w:rPr>
                <w:rFonts w:hint="eastAsia"/>
                <w:color w:val="auto"/>
              </w:rPr>
              <w:t>.4</w:t>
            </w:r>
          </w:p>
        </w:tc>
        <w:tc>
          <w:tcPr>
            <w:tcW w:w="7305" w:type="dxa"/>
            <w:vAlign w:val="center"/>
          </w:tcPr>
          <w:p>
            <w:pPr>
              <w:spacing w:line="360" w:lineRule="auto"/>
              <w:rPr>
                <w:color w:val="auto"/>
                <w:highlight w:val="none"/>
                <w:shd w:val="clear" w:color="auto" w:fill="auto"/>
              </w:rPr>
            </w:pPr>
            <w:r>
              <w:rPr>
                <w:color w:val="auto"/>
                <w:highlight w:val="none"/>
                <w:shd w:val="clear" w:color="auto" w:fill="auto"/>
              </w:rPr>
              <w:t>售后服务机构备品备件储备情况</w:t>
            </w:r>
            <w:r>
              <w:rPr>
                <w:rFonts w:hint="eastAsia"/>
                <w:color w:val="auto"/>
                <w:highlight w:val="none"/>
                <w:shd w:val="clear" w:color="auto" w:fill="auto"/>
              </w:rPr>
              <w:t>，</w:t>
            </w:r>
            <w:r>
              <w:rPr>
                <w:color w:val="auto"/>
                <w:highlight w:val="none"/>
                <w:shd w:val="clear" w:color="auto" w:fill="auto"/>
              </w:rPr>
              <w:t>储备</w:t>
            </w:r>
            <w:r>
              <w:rPr>
                <w:rFonts w:hint="eastAsia"/>
                <w:color w:val="auto"/>
                <w:highlight w:val="none"/>
                <w:shd w:val="clear" w:color="auto" w:fill="auto"/>
              </w:rPr>
              <w:t>能充分满足售后服务要求得</w:t>
            </w:r>
            <w:r>
              <w:rPr>
                <w:rFonts w:hint="eastAsia"/>
                <w:color w:val="auto"/>
                <w:highlight w:val="none"/>
                <w:shd w:val="clear" w:color="auto" w:fill="auto"/>
                <w:lang w:val="en-US" w:eastAsia="zh-CN"/>
              </w:rPr>
              <w:t>0.5-1</w:t>
            </w:r>
            <w:r>
              <w:rPr>
                <w:color w:val="auto"/>
                <w:highlight w:val="none"/>
                <w:shd w:val="clear" w:color="auto" w:fill="auto"/>
              </w:rPr>
              <w:t>分，储备</w:t>
            </w:r>
            <w:r>
              <w:rPr>
                <w:rFonts w:hint="eastAsia"/>
                <w:color w:val="auto"/>
                <w:highlight w:val="none"/>
                <w:shd w:val="clear" w:color="auto" w:fill="auto"/>
              </w:rPr>
              <w:t>基本能满足售后服务要求得</w:t>
            </w:r>
            <w:r>
              <w:rPr>
                <w:rFonts w:hint="eastAsia"/>
                <w:color w:val="auto"/>
                <w:highlight w:val="none"/>
                <w:shd w:val="clear" w:color="auto" w:fill="auto"/>
                <w:lang w:val="en-US" w:eastAsia="zh-CN"/>
              </w:rPr>
              <w:t>0-0.5</w:t>
            </w:r>
            <w:r>
              <w:rPr>
                <w:color w:val="auto"/>
                <w:highlight w:val="none"/>
                <w:shd w:val="clear" w:color="auto" w:fill="auto"/>
              </w:rPr>
              <w:t>分</w:t>
            </w:r>
            <w:r>
              <w:rPr>
                <w:rFonts w:hint="eastAsia"/>
                <w:color w:val="auto"/>
                <w:highlight w:val="none"/>
                <w:shd w:val="clear" w:color="auto" w:fill="auto"/>
              </w:rPr>
              <w:t>，</w:t>
            </w:r>
            <w:r>
              <w:rPr>
                <w:color w:val="auto"/>
                <w:highlight w:val="none"/>
                <w:shd w:val="clear" w:color="auto" w:fill="auto"/>
              </w:rPr>
              <w:t>储备</w:t>
            </w:r>
            <w:r>
              <w:rPr>
                <w:rFonts w:hint="eastAsia"/>
                <w:color w:val="auto"/>
                <w:highlight w:val="none"/>
                <w:shd w:val="clear" w:color="auto" w:fill="auto"/>
              </w:rPr>
              <w:t>不能满足售后服务要求</w:t>
            </w:r>
            <w:r>
              <w:rPr>
                <w:rFonts w:hint="eastAsia"/>
                <w:color w:val="auto"/>
                <w:highlight w:val="none"/>
                <w:shd w:val="clear" w:color="auto" w:fill="auto"/>
                <w:lang w:val="en-US" w:eastAsia="zh-CN"/>
              </w:rPr>
              <w:t>或</w:t>
            </w:r>
            <w:r>
              <w:rPr>
                <w:rFonts w:hint="eastAsia"/>
                <w:color w:val="auto"/>
                <w:highlight w:val="none"/>
                <w:shd w:val="clear" w:color="auto" w:fill="auto"/>
              </w:rPr>
              <w:t>无备品备件储备得0分。</w:t>
            </w:r>
          </w:p>
        </w:tc>
        <w:tc>
          <w:tcPr>
            <w:tcW w:w="801" w:type="dxa"/>
            <w:vAlign w:val="center"/>
          </w:tcPr>
          <w:p>
            <w:pPr>
              <w:spacing w:line="360" w:lineRule="auto"/>
              <w:jc w:val="center"/>
              <w:rPr>
                <w:color w:val="auto"/>
              </w:rPr>
            </w:pPr>
            <w:r>
              <w:rPr>
                <w:rFonts w:hint="eastAsia"/>
                <w:color w:val="auto"/>
                <w:highlight w:val="none"/>
                <w:lang w:val="en-US" w:eastAsia="zh-CN"/>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pPr>
              <w:spacing w:line="360" w:lineRule="auto"/>
              <w:jc w:val="center"/>
              <w:rPr>
                <w:color w:val="auto"/>
              </w:rPr>
            </w:pPr>
            <w:r>
              <w:rPr>
                <w:rFonts w:hint="eastAsia"/>
                <w:color w:val="auto"/>
                <w:lang w:val="en-US" w:eastAsia="zh-CN"/>
              </w:rPr>
              <w:t>7</w:t>
            </w:r>
            <w:r>
              <w:rPr>
                <w:rFonts w:hint="eastAsia"/>
                <w:color w:val="auto"/>
              </w:rPr>
              <w:t>.5</w:t>
            </w:r>
          </w:p>
        </w:tc>
        <w:tc>
          <w:tcPr>
            <w:tcW w:w="7305" w:type="dxa"/>
            <w:vAlign w:val="center"/>
          </w:tcPr>
          <w:p>
            <w:pPr>
              <w:spacing w:line="360" w:lineRule="auto"/>
              <w:rPr>
                <w:color w:val="auto"/>
                <w:highlight w:val="none"/>
                <w:shd w:val="clear" w:color="auto" w:fill="auto"/>
              </w:rPr>
            </w:pPr>
            <w:r>
              <w:rPr>
                <w:rFonts w:hint="eastAsia"/>
                <w:color w:val="auto"/>
                <w:highlight w:val="none"/>
                <w:shd w:val="clear" w:color="auto" w:fill="auto"/>
              </w:rPr>
              <w:t>培训方案，包括但不限于培训对象、课时安排、师资力量安排等，</w:t>
            </w:r>
            <w:r>
              <w:rPr>
                <w:color w:val="auto"/>
                <w:highlight w:val="none"/>
                <w:shd w:val="clear" w:color="auto" w:fill="auto"/>
              </w:rPr>
              <w:t>方案</w:t>
            </w:r>
            <w:r>
              <w:rPr>
                <w:rFonts w:hint="eastAsia"/>
                <w:color w:val="auto"/>
                <w:highlight w:val="none"/>
                <w:shd w:val="clear" w:color="auto" w:fill="auto"/>
              </w:rPr>
              <w:t>考虑充分</w:t>
            </w:r>
            <w:r>
              <w:rPr>
                <w:rFonts w:hint="eastAsia"/>
                <w:color w:val="auto"/>
                <w:highlight w:val="none"/>
                <w:shd w:val="clear" w:color="auto" w:fill="auto"/>
                <w:lang w:val="en-US" w:eastAsia="zh-CN"/>
              </w:rPr>
              <w:t>有针对性完全满足项目需求</w:t>
            </w:r>
            <w:r>
              <w:rPr>
                <w:rFonts w:hint="eastAsia"/>
                <w:color w:val="auto"/>
                <w:highlight w:val="none"/>
                <w:shd w:val="clear" w:color="auto" w:fill="auto"/>
              </w:rPr>
              <w:t>得</w:t>
            </w:r>
            <w:r>
              <w:rPr>
                <w:rFonts w:hint="eastAsia"/>
                <w:color w:val="auto"/>
                <w:highlight w:val="none"/>
                <w:shd w:val="clear" w:color="auto" w:fill="auto"/>
                <w:lang w:val="en-US" w:eastAsia="zh-CN"/>
              </w:rPr>
              <w:t>0.5-1</w:t>
            </w:r>
            <w:r>
              <w:rPr>
                <w:rFonts w:hint="eastAsia"/>
                <w:color w:val="auto"/>
                <w:highlight w:val="none"/>
                <w:shd w:val="clear" w:color="auto" w:fill="auto"/>
              </w:rPr>
              <w:t>分，方案</w:t>
            </w:r>
            <w:r>
              <w:rPr>
                <w:color w:val="auto"/>
                <w:highlight w:val="none"/>
                <w:shd w:val="clear" w:color="auto" w:fill="auto"/>
              </w:rPr>
              <w:t>合理</w:t>
            </w:r>
            <w:r>
              <w:rPr>
                <w:rFonts w:hint="eastAsia"/>
                <w:color w:val="auto"/>
                <w:highlight w:val="none"/>
                <w:shd w:val="clear" w:color="auto" w:fill="auto"/>
                <w:lang w:val="en-US" w:eastAsia="zh-CN"/>
              </w:rPr>
              <w:t>基本满足项目需求</w:t>
            </w:r>
            <w:r>
              <w:rPr>
                <w:color w:val="auto"/>
                <w:highlight w:val="none"/>
                <w:shd w:val="clear" w:color="auto" w:fill="auto"/>
              </w:rPr>
              <w:t>得</w:t>
            </w:r>
            <w:r>
              <w:rPr>
                <w:rFonts w:hint="eastAsia"/>
                <w:color w:val="auto"/>
                <w:highlight w:val="none"/>
                <w:shd w:val="clear" w:color="auto" w:fill="auto"/>
                <w:lang w:val="en-US" w:eastAsia="zh-CN"/>
              </w:rPr>
              <w:t>0-0.5</w:t>
            </w:r>
            <w:r>
              <w:rPr>
                <w:color w:val="auto"/>
                <w:highlight w:val="none"/>
                <w:shd w:val="clear" w:color="auto" w:fill="auto"/>
              </w:rPr>
              <w:t>分，</w:t>
            </w:r>
            <w:r>
              <w:rPr>
                <w:rFonts w:hint="eastAsia"/>
                <w:color w:val="auto"/>
                <w:highlight w:val="none"/>
                <w:shd w:val="clear" w:color="auto" w:fill="auto"/>
              </w:rPr>
              <w:t>无</w:t>
            </w:r>
            <w:r>
              <w:rPr>
                <w:color w:val="auto"/>
                <w:highlight w:val="none"/>
                <w:shd w:val="clear" w:color="auto" w:fill="auto"/>
              </w:rPr>
              <w:t>方案得0分</w:t>
            </w:r>
            <w:r>
              <w:rPr>
                <w:rFonts w:hint="eastAsia"/>
                <w:color w:val="auto"/>
                <w:highlight w:val="none"/>
                <w:shd w:val="clear" w:color="auto" w:fill="auto"/>
              </w:rPr>
              <w:t>。</w:t>
            </w:r>
          </w:p>
        </w:tc>
        <w:tc>
          <w:tcPr>
            <w:tcW w:w="801" w:type="dxa"/>
            <w:vAlign w:val="center"/>
          </w:tcPr>
          <w:p>
            <w:pPr>
              <w:spacing w:line="360" w:lineRule="auto"/>
              <w:jc w:val="center"/>
              <w:rPr>
                <w:rFonts w:hint="eastAsia" w:eastAsia="宋体"/>
                <w:color w:val="auto"/>
                <w:lang w:eastAsia="zh-CN"/>
              </w:rPr>
            </w:pPr>
            <w:r>
              <w:rPr>
                <w:rFonts w:hint="eastAsia"/>
                <w:color w:val="auto"/>
                <w:highlight w:val="none"/>
                <w:lang w:val="en-US" w:eastAsia="zh-CN"/>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vAlign w:val="center"/>
          </w:tcPr>
          <w:p>
            <w:pPr>
              <w:spacing w:line="360" w:lineRule="auto"/>
              <w:jc w:val="left"/>
            </w:pPr>
            <w:r>
              <w:rPr>
                <w:rFonts w:hint="eastAsia"/>
                <w:b/>
                <w:bCs/>
              </w:rPr>
              <w:t>所有扫描件和证明材料都需加盖公章，若未加盖公章则不计分。</w:t>
            </w:r>
          </w:p>
        </w:tc>
      </w:tr>
    </w:tbl>
    <w:p>
      <w:pPr>
        <w:pStyle w:val="17"/>
        <w:adjustRightInd w:val="0"/>
        <w:snapToGrid w:val="0"/>
        <w:spacing w:line="360" w:lineRule="auto"/>
        <w:ind w:firstLine="420"/>
        <w:rPr>
          <w:rFonts w:eastAsia="宋体"/>
          <w:sz w:val="21"/>
          <w:szCs w:val="21"/>
        </w:rPr>
      </w:pPr>
      <w:r>
        <w:rPr>
          <w:rFonts w:eastAsia="宋体"/>
          <w:sz w:val="21"/>
          <w:szCs w:val="21"/>
        </w:rPr>
        <w:t>2）</w:t>
      </w:r>
      <w:r>
        <w:rPr>
          <w:rFonts w:eastAsia="宋体"/>
          <w:b/>
          <w:sz w:val="21"/>
          <w:szCs w:val="21"/>
        </w:rPr>
        <w:t>价格分</w:t>
      </w:r>
    </w:p>
    <w:p>
      <w:pPr>
        <w:widowControl/>
        <w:snapToGrid w:val="0"/>
        <w:spacing w:line="360" w:lineRule="auto"/>
        <w:ind w:firstLine="420" w:firstLineChars="200"/>
        <w:rPr>
          <w:color w:val="000000"/>
          <w:kern w:val="0"/>
          <w:szCs w:val="21"/>
        </w:rPr>
      </w:pPr>
      <w:r>
        <w:rPr>
          <w:color w:val="000000"/>
          <w:kern w:val="0"/>
          <w:szCs w:val="21"/>
        </w:rPr>
        <w:t>价格评分将在有效</w:t>
      </w:r>
      <w:r>
        <w:rPr>
          <w:rFonts w:hint="eastAsia"/>
          <w:color w:val="000000"/>
          <w:kern w:val="0"/>
          <w:szCs w:val="21"/>
        </w:rPr>
        <w:t>供应商</w:t>
      </w:r>
      <w:r>
        <w:rPr>
          <w:color w:val="000000"/>
          <w:kern w:val="0"/>
          <w:szCs w:val="21"/>
        </w:rPr>
        <w:t>范围内进行，最高得</w:t>
      </w:r>
      <w:r>
        <w:rPr>
          <w:rFonts w:hint="eastAsia"/>
          <w:color w:val="000000"/>
          <w:kern w:val="0"/>
          <w:szCs w:val="21"/>
        </w:rPr>
        <w:t>30</w:t>
      </w:r>
      <w:r>
        <w:rPr>
          <w:color w:val="000000"/>
          <w:kern w:val="0"/>
          <w:szCs w:val="21"/>
        </w:rPr>
        <w:t>分，最低得0分（小数点后保留二位小数，第三位四舍五入）。满足采购文件要求且投标价格最低的</w:t>
      </w:r>
      <w:r>
        <w:rPr>
          <w:b/>
          <w:color w:val="000000"/>
          <w:kern w:val="0"/>
          <w:szCs w:val="21"/>
          <w:u w:val="thick"/>
        </w:rPr>
        <w:t>投标报价</w:t>
      </w:r>
      <w:r>
        <w:rPr>
          <w:color w:val="000000"/>
          <w:kern w:val="0"/>
          <w:szCs w:val="21"/>
        </w:rPr>
        <w:t>为</w:t>
      </w:r>
      <w:r>
        <w:rPr>
          <w:b/>
          <w:color w:val="000000"/>
          <w:kern w:val="0"/>
          <w:szCs w:val="21"/>
          <w:u w:val="thick"/>
        </w:rPr>
        <w:t>评标基准价</w:t>
      </w:r>
      <w:r>
        <w:rPr>
          <w:color w:val="000000"/>
          <w:kern w:val="0"/>
          <w:szCs w:val="21"/>
        </w:rPr>
        <w:t>，</w:t>
      </w:r>
      <w:r>
        <w:rPr>
          <w:rFonts w:hint="eastAsia"/>
          <w:color w:val="000000"/>
          <w:kern w:val="0"/>
          <w:szCs w:val="21"/>
        </w:rPr>
        <w:t>供应商</w:t>
      </w:r>
      <w:r>
        <w:rPr>
          <w:color w:val="000000"/>
          <w:kern w:val="0"/>
          <w:szCs w:val="21"/>
        </w:rPr>
        <w:t>的价格分统一按照下列公式计算：</w:t>
      </w:r>
    </w:p>
    <w:p>
      <w:pPr>
        <w:widowControl/>
        <w:snapToGrid w:val="0"/>
        <w:spacing w:line="360" w:lineRule="auto"/>
        <w:ind w:firstLine="420" w:firstLineChars="200"/>
        <w:rPr>
          <w:color w:val="000000"/>
          <w:kern w:val="0"/>
          <w:szCs w:val="21"/>
        </w:rPr>
      </w:pPr>
      <w:r>
        <w:rPr>
          <w:color w:val="000000"/>
          <w:kern w:val="0"/>
          <w:szCs w:val="21"/>
        </w:rPr>
        <w:t>投标报价得分=（</w:t>
      </w:r>
      <w:r>
        <w:rPr>
          <w:b/>
          <w:color w:val="000000"/>
          <w:kern w:val="0"/>
          <w:szCs w:val="21"/>
          <w:u w:val="thick"/>
        </w:rPr>
        <w:t>评标基准价</w:t>
      </w:r>
      <w:r>
        <w:rPr>
          <w:color w:val="000000"/>
          <w:kern w:val="0"/>
          <w:szCs w:val="21"/>
        </w:rPr>
        <w:t>/</w:t>
      </w:r>
      <w:r>
        <w:rPr>
          <w:b/>
          <w:color w:val="000000"/>
          <w:kern w:val="0"/>
          <w:szCs w:val="21"/>
          <w:u w:val="thick"/>
        </w:rPr>
        <w:t>投标报价</w:t>
      </w:r>
      <w:r>
        <w:rPr>
          <w:color w:val="000000"/>
          <w:kern w:val="0"/>
          <w:szCs w:val="21"/>
        </w:rPr>
        <w:t>）×</w:t>
      </w:r>
      <w:r>
        <w:rPr>
          <w:rFonts w:hint="eastAsia"/>
          <w:color w:val="000000"/>
          <w:kern w:val="0"/>
          <w:szCs w:val="21"/>
        </w:rPr>
        <w:t>30</w:t>
      </w:r>
      <w:r>
        <w:rPr>
          <w:color w:val="000000"/>
          <w:kern w:val="0"/>
          <w:szCs w:val="21"/>
        </w:rPr>
        <w:t>%×100</w:t>
      </w:r>
    </w:p>
    <w:p>
      <w:pPr>
        <w:widowControl/>
        <w:snapToGrid w:val="0"/>
        <w:spacing w:line="360" w:lineRule="auto"/>
        <w:ind w:firstLine="422" w:firstLineChars="200"/>
        <w:rPr>
          <w:b/>
          <w:color w:val="000000"/>
          <w:szCs w:val="21"/>
        </w:rPr>
      </w:pPr>
      <w:r>
        <w:rPr>
          <w:b/>
          <w:color w:val="000000"/>
          <w:szCs w:val="21"/>
        </w:rPr>
        <w:t>扶持政策说明：</w:t>
      </w:r>
    </w:p>
    <w:p>
      <w:pPr>
        <w:widowControl/>
        <w:snapToGrid w:val="0"/>
        <w:spacing w:line="360" w:lineRule="auto"/>
        <w:ind w:firstLine="420" w:firstLineChars="200"/>
        <w:rPr>
          <w:color w:val="000000"/>
          <w:szCs w:val="21"/>
        </w:rPr>
      </w:pPr>
      <w:r>
        <w:rPr>
          <w:color w:val="000000"/>
          <w:szCs w:val="21"/>
        </w:rPr>
        <w:t>（1）根据</w:t>
      </w:r>
      <w:r>
        <w:rPr>
          <w:rFonts w:hint="eastAsia"/>
          <w:color w:val="000000"/>
          <w:szCs w:val="21"/>
        </w:rPr>
        <w:t>《政府采购促进中小企业发展管理办法》（财库（2020）46号）</w:t>
      </w:r>
      <w:r>
        <w:rPr>
          <w:color w:val="000000"/>
          <w:szCs w:val="21"/>
        </w:rPr>
        <w:t>的规定，</w:t>
      </w:r>
      <w:r>
        <w:rPr>
          <w:rFonts w:hint="eastAsia"/>
          <w:color w:val="000000"/>
          <w:szCs w:val="21"/>
        </w:rPr>
        <w:t>对符合规定的小微企业（含小型企业）</w:t>
      </w:r>
      <w:r>
        <w:rPr>
          <w:color w:val="000000"/>
          <w:szCs w:val="21"/>
        </w:rPr>
        <w:t>，其投标报价扣除</w:t>
      </w:r>
      <w:r>
        <w:rPr>
          <w:rFonts w:hint="eastAsia"/>
          <w:color w:val="000000"/>
          <w:szCs w:val="21"/>
        </w:rPr>
        <w:t>20%</w:t>
      </w:r>
      <w:r>
        <w:rPr>
          <w:color w:val="000000"/>
          <w:szCs w:val="21"/>
        </w:rPr>
        <w:t>后参与评审。</w:t>
      </w:r>
    </w:p>
    <w:p>
      <w:pPr>
        <w:widowControl/>
        <w:snapToGrid w:val="0"/>
        <w:spacing w:line="360" w:lineRule="auto"/>
        <w:ind w:firstLine="420" w:firstLineChars="200"/>
        <w:rPr>
          <w:color w:val="000000"/>
          <w:szCs w:val="21"/>
        </w:rPr>
      </w:pPr>
      <w:r>
        <w:rPr>
          <w:color w:val="000000"/>
          <w:szCs w:val="21"/>
        </w:rPr>
        <w:t>（2）根据《关于政府采购支持监狱企业发展有关问题的通知》（财库[2014]68号）的规定，监狱企业</w:t>
      </w:r>
      <w:r>
        <w:rPr>
          <w:rFonts w:hint="eastAsia"/>
          <w:color w:val="000000"/>
          <w:szCs w:val="21"/>
        </w:rPr>
        <w:t>视同小型、微型企业，</w:t>
      </w:r>
      <w:r>
        <w:rPr>
          <w:color w:val="000000"/>
          <w:szCs w:val="21"/>
          <w:shd w:val="clear" w:color="auto" w:fill="FFFFFF"/>
        </w:rPr>
        <w:t>享受预留份额、评审中价格扣除等促进中小企业发展的政府采购政策。</w:t>
      </w:r>
    </w:p>
    <w:p>
      <w:pPr>
        <w:widowControl/>
        <w:snapToGrid w:val="0"/>
        <w:spacing w:line="360" w:lineRule="auto"/>
        <w:ind w:firstLine="420" w:firstLineChars="200"/>
        <w:rPr>
          <w:color w:val="000000"/>
          <w:szCs w:val="21"/>
          <w:shd w:val="clear" w:color="auto" w:fill="FFFFFF"/>
        </w:rPr>
      </w:pPr>
      <w:r>
        <w:rPr>
          <w:color w:val="000000"/>
          <w:szCs w:val="21"/>
        </w:rPr>
        <w:t>（3）根据《财政部、民政部、中国残疾人联合会关于促进残疾人就业政府采购政策的通知》（财库〔2017〕141号）的规定，</w:t>
      </w:r>
      <w:r>
        <w:rPr>
          <w:color w:val="000000"/>
          <w:szCs w:val="21"/>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color w:val="000000"/>
          <w:szCs w:val="21"/>
        </w:rPr>
      </w:pPr>
      <w:r>
        <w:rPr>
          <w:color w:val="000000"/>
          <w:szCs w:val="21"/>
        </w:rPr>
        <w:t>上述（1），（2），（3）政策不重复计算。</w:t>
      </w:r>
    </w:p>
    <w:p>
      <w:pPr>
        <w:widowControl/>
        <w:adjustRightInd w:val="0"/>
        <w:snapToGrid w:val="0"/>
        <w:spacing w:line="360" w:lineRule="auto"/>
        <w:ind w:firstLine="420" w:firstLineChars="200"/>
        <w:rPr>
          <w:color w:val="000000"/>
          <w:szCs w:val="21"/>
        </w:rPr>
      </w:pPr>
      <w:r>
        <w:rPr>
          <w:color w:val="000000"/>
          <w:szCs w:val="21"/>
        </w:rPr>
        <w:t>此项由评标委员会集体核实后统一打分。</w:t>
      </w:r>
    </w:p>
    <w:p>
      <w:pPr>
        <w:pStyle w:val="17"/>
        <w:adjustRightInd w:val="0"/>
        <w:snapToGrid w:val="0"/>
        <w:spacing w:line="360" w:lineRule="auto"/>
        <w:ind w:firstLine="422"/>
        <w:rPr>
          <w:rFonts w:eastAsia="宋体"/>
          <w:b/>
          <w:bCs/>
          <w:sz w:val="21"/>
          <w:szCs w:val="21"/>
        </w:rPr>
      </w:pPr>
      <w:r>
        <w:rPr>
          <w:rFonts w:eastAsia="宋体"/>
          <w:b/>
          <w:bCs/>
          <w:sz w:val="21"/>
          <w:szCs w:val="21"/>
        </w:rPr>
        <w:t>六、询标</w:t>
      </w:r>
    </w:p>
    <w:p>
      <w:pPr>
        <w:pStyle w:val="17"/>
        <w:adjustRightInd w:val="0"/>
        <w:snapToGrid w:val="0"/>
        <w:spacing w:line="360" w:lineRule="auto"/>
        <w:ind w:firstLine="420"/>
        <w:rPr>
          <w:rFonts w:eastAsia="宋体"/>
          <w:sz w:val="21"/>
          <w:szCs w:val="21"/>
        </w:rPr>
      </w:pPr>
      <w:r>
        <w:rPr>
          <w:rFonts w:eastAsia="宋体"/>
          <w:sz w:val="21"/>
          <w:szCs w:val="21"/>
        </w:rPr>
        <w:t>对投标文件中存在含义不清楚的内容，必要时评标委员会要求</w:t>
      </w:r>
      <w:r>
        <w:rPr>
          <w:rFonts w:hint="eastAsia" w:eastAsia="宋体"/>
          <w:sz w:val="21"/>
          <w:szCs w:val="21"/>
        </w:rPr>
        <w:t>供应商</w:t>
      </w:r>
      <w:r>
        <w:rPr>
          <w:rFonts w:eastAsia="宋体"/>
          <w:sz w:val="21"/>
          <w:szCs w:val="21"/>
        </w:rPr>
        <w:t>作必要的澄清、说明或补正。询标记录需</w:t>
      </w:r>
      <w:r>
        <w:rPr>
          <w:rFonts w:hint="eastAsia" w:eastAsia="宋体"/>
          <w:sz w:val="21"/>
          <w:szCs w:val="21"/>
        </w:rPr>
        <w:t>供应商</w:t>
      </w:r>
      <w:r>
        <w:rPr>
          <w:rFonts w:eastAsia="宋体"/>
          <w:sz w:val="21"/>
          <w:szCs w:val="21"/>
        </w:rPr>
        <w:t>授权代表签字确认，它将作为投标文件的一部分。</w:t>
      </w:r>
    </w:p>
    <w:p>
      <w:pPr>
        <w:adjustRightInd w:val="0"/>
        <w:snapToGrid w:val="0"/>
        <w:spacing w:line="360" w:lineRule="auto"/>
        <w:ind w:firstLine="422" w:firstLineChars="200"/>
        <w:rPr>
          <w:b/>
          <w:bCs/>
          <w:color w:val="000000"/>
          <w:szCs w:val="21"/>
        </w:rPr>
      </w:pPr>
      <w:r>
        <w:rPr>
          <w:b/>
          <w:bCs/>
          <w:color w:val="000000"/>
          <w:szCs w:val="21"/>
        </w:rPr>
        <w:t>七、修改评标结果</w:t>
      </w:r>
    </w:p>
    <w:p>
      <w:pPr>
        <w:adjustRightInd w:val="0"/>
        <w:snapToGrid w:val="0"/>
        <w:spacing w:line="360" w:lineRule="auto"/>
        <w:ind w:firstLine="420" w:firstLineChars="200"/>
        <w:rPr>
          <w:b/>
          <w:bCs/>
          <w:color w:val="000000"/>
          <w:szCs w:val="21"/>
        </w:rPr>
      </w:pPr>
      <w:r>
        <w:rPr>
          <w:rStyle w:val="39"/>
          <w:rFonts w:hint="default" w:ascii="Times New Roman" w:hAnsi="Times New Roman"/>
          <w:sz w:val="21"/>
          <w:szCs w:val="21"/>
        </w:rPr>
        <w:t>评标结果汇总完成后，除下列情形外，任何人不得修改评标结果：</w:t>
      </w:r>
    </w:p>
    <w:p>
      <w:pPr>
        <w:adjustRightInd w:val="0"/>
        <w:snapToGrid w:val="0"/>
        <w:spacing w:line="360" w:lineRule="auto"/>
        <w:ind w:firstLine="420" w:firstLineChars="200"/>
        <w:rPr>
          <w:rStyle w:val="39"/>
          <w:rFonts w:hint="default" w:ascii="Times New Roman" w:hAnsi="Times New Roman"/>
          <w:sz w:val="21"/>
          <w:szCs w:val="21"/>
        </w:rPr>
      </w:pPr>
      <w:r>
        <w:rPr>
          <w:rStyle w:val="39"/>
          <w:rFonts w:hint="default" w:ascii="Times New Roman" w:hAnsi="Times New Roman"/>
          <w:sz w:val="21"/>
          <w:szCs w:val="21"/>
        </w:rPr>
        <w:t>（一）分值汇总计算错误的</w:t>
      </w:r>
    </w:p>
    <w:p>
      <w:pPr>
        <w:adjustRightInd w:val="0"/>
        <w:snapToGrid w:val="0"/>
        <w:spacing w:line="360" w:lineRule="auto"/>
        <w:ind w:firstLine="420" w:firstLineChars="200"/>
        <w:rPr>
          <w:rStyle w:val="39"/>
          <w:rFonts w:hint="default" w:ascii="Times New Roman" w:hAnsi="Times New Roman"/>
          <w:sz w:val="21"/>
          <w:szCs w:val="21"/>
        </w:rPr>
      </w:pPr>
      <w:r>
        <w:rPr>
          <w:rStyle w:val="39"/>
          <w:rFonts w:hint="default" w:ascii="Times New Roman" w:hAnsi="Times New Roman"/>
          <w:sz w:val="21"/>
          <w:szCs w:val="21"/>
        </w:rPr>
        <w:t>（二）分项评分超出评分标准范围的；</w:t>
      </w:r>
    </w:p>
    <w:p>
      <w:pPr>
        <w:adjustRightInd w:val="0"/>
        <w:snapToGrid w:val="0"/>
        <w:spacing w:line="360" w:lineRule="auto"/>
        <w:ind w:firstLine="420" w:firstLineChars="200"/>
        <w:rPr>
          <w:rStyle w:val="39"/>
          <w:rFonts w:hint="default" w:ascii="Times New Roman" w:hAnsi="Times New Roman"/>
          <w:sz w:val="21"/>
          <w:szCs w:val="21"/>
        </w:rPr>
      </w:pPr>
      <w:r>
        <w:rPr>
          <w:rStyle w:val="39"/>
          <w:rFonts w:hint="default" w:ascii="Times New Roman" w:hAnsi="Times New Roman"/>
          <w:sz w:val="21"/>
          <w:szCs w:val="21"/>
        </w:rPr>
        <w:t>（三）评标委员会成员对客观评审因素评分不一致的；</w:t>
      </w:r>
    </w:p>
    <w:p>
      <w:pPr>
        <w:spacing w:line="360" w:lineRule="auto"/>
        <w:ind w:firstLine="420" w:firstLineChars="200"/>
        <w:rPr>
          <w:lang w:val="zh-CN"/>
        </w:rPr>
      </w:pPr>
      <w:r>
        <w:rPr>
          <w:rStyle w:val="39"/>
          <w:rFonts w:hint="default" w:ascii="Times New Roman" w:hAnsi="Times New Roman"/>
          <w:sz w:val="21"/>
          <w:szCs w:val="21"/>
        </w:rPr>
        <w:t>（四）经评标委员会认定评分畸高、畸低的。</w:t>
      </w:r>
    </w:p>
    <w:p>
      <w:pPr>
        <w:pStyle w:val="3"/>
        <w:snapToGrid w:val="0"/>
        <w:rPr>
          <w:sz w:val="32"/>
          <w:szCs w:val="32"/>
        </w:rPr>
      </w:pPr>
      <w:bookmarkStart w:id="121" w:name="_Toc82873328"/>
      <w:bookmarkStart w:id="122" w:name="_Toc495317672"/>
      <w:bookmarkStart w:id="123" w:name="_Toc82338245"/>
      <w:bookmarkStart w:id="124" w:name="_Toc211745569"/>
    </w:p>
    <w:p>
      <w:pPr>
        <w:pStyle w:val="3"/>
        <w:snapToGrid w:val="0"/>
        <w:rPr>
          <w:sz w:val="32"/>
          <w:szCs w:val="32"/>
        </w:rPr>
      </w:pPr>
    </w:p>
    <w:p>
      <w:pPr>
        <w:rPr>
          <w:sz w:val="32"/>
          <w:szCs w:val="32"/>
        </w:rPr>
      </w:pPr>
    </w:p>
    <w:p>
      <w:pPr>
        <w:pStyle w:val="20"/>
        <w:ind w:firstLine="624"/>
        <w:rPr>
          <w:rFonts w:ascii="Times New Roman" w:hAnsi="Times New Roman"/>
          <w:sz w:val="32"/>
          <w:szCs w:val="32"/>
        </w:rPr>
      </w:pPr>
    </w:p>
    <w:p>
      <w:pPr>
        <w:pStyle w:val="3"/>
        <w:snapToGrid w:val="0"/>
        <w:jc w:val="both"/>
        <w:rPr>
          <w:sz w:val="32"/>
          <w:szCs w:val="32"/>
        </w:rPr>
      </w:pPr>
    </w:p>
    <w:p>
      <w:pPr>
        <w:pStyle w:val="3"/>
        <w:snapToGrid w:val="0"/>
        <w:jc w:val="both"/>
        <w:rPr>
          <w:sz w:val="32"/>
          <w:szCs w:val="32"/>
        </w:rPr>
      </w:pPr>
      <w:bookmarkStart w:id="125" w:name="_Toc714"/>
    </w:p>
    <w:p>
      <w:pPr>
        <w:bidi w:val="0"/>
      </w:pPr>
    </w:p>
    <w:p>
      <w:pPr>
        <w:pStyle w:val="3"/>
        <w:snapToGrid w:val="0"/>
        <w:rPr>
          <w:sz w:val="32"/>
          <w:szCs w:val="32"/>
        </w:rPr>
      </w:pPr>
      <w:r>
        <w:rPr>
          <w:sz w:val="32"/>
          <w:szCs w:val="32"/>
        </w:rPr>
        <w:t>第五章  采购合同</w:t>
      </w:r>
      <w:bookmarkEnd w:id="121"/>
      <w:bookmarkEnd w:id="122"/>
      <w:bookmarkEnd w:id="123"/>
      <w:bookmarkEnd w:id="124"/>
      <w:bookmarkEnd w:id="125"/>
    </w:p>
    <w:p>
      <w:pPr>
        <w:pStyle w:val="4"/>
        <w:jc w:val="center"/>
      </w:pPr>
      <w:bookmarkStart w:id="126" w:name="_Toc29368"/>
      <w:bookmarkStart w:id="127" w:name="_Toc18010"/>
      <w:r>
        <w:rPr>
          <w:rFonts w:hint="eastAsia" w:ascii="Times New Roman" w:hAnsi="Times New Roman" w:eastAsia="宋体"/>
        </w:rPr>
        <w:t>（仅供参考）</w:t>
      </w:r>
      <w:bookmarkEnd w:id="126"/>
      <w:bookmarkEnd w:id="127"/>
    </w:p>
    <w:p>
      <w:pPr>
        <w:pStyle w:val="17"/>
        <w:adjustRightInd w:val="0"/>
        <w:snapToGrid w:val="0"/>
        <w:spacing w:line="360" w:lineRule="auto"/>
        <w:ind w:firstLine="0" w:firstLineChars="0"/>
        <w:rPr>
          <w:rFonts w:eastAsia="宋体"/>
          <w:sz w:val="21"/>
          <w:szCs w:val="21"/>
        </w:rPr>
      </w:pPr>
    </w:p>
    <w:bookmarkEnd w:id="119"/>
    <w:p>
      <w:pPr>
        <w:pStyle w:val="10"/>
        <w:snapToGrid w:val="0"/>
        <w:spacing w:before="156" w:after="156" w:line="360" w:lineRule="auto"/>
        <w:rPr>
          <w:rFonts w:ascii="Times New Roman" w:hAnsi="Times New Roman"/>
          <w:color w:val="000000"/>
          <w:sz w:val="21"/>
          <w:szCs w:val="21"/>
        </w:rPr>
      </w:pPr>
      <w:bookmarkStart w:id="128" w:name="_Toc178680317"/>
      <w:bookmarkStart w:id="129" w:name="_Toc193863928"/>
      <w:bookmarkStart w:id="130" w:name="_Toc193863929"/>
      <w:r>
        <w:rPr>
          <w:rFonts w:ascii="Times New Roman" w:hAnsi="Times New Roman"/>
          <w:color w:val="000000"/>
          <w:sz w:val="21"/>
          <w:szCs w:val="21"/>
        </w:rPr>
        <w:t>项目名称：</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项目编号：</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甲方：（买方）</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乙方：（卖方）</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甲、乙双方根据</w:t>
      </w:r>
      <w:r>
        <w:rPr>
          <w:rFonts w:ascii="Times New Roman" w:hAnsi="Times New Roman"/>
          <w:color w:val="000000"/>
          <w:sz w:val="21"/>
          <w:szCs w:val="21"/>
          <w:u w:val="single"/>
        </w:rPr>
        <w:t xml:space="preserve">（项目名称，项目编号） </w:t>
      </w:r>
      <w:r>
        <w:rPr>
          <w:rFonts w:ascii="Times New Roman" w:hAnsi="Times New Roman"/>
          <w:color w:val="000000"/>
          <w:sz w:val="21"/>
          <w:szCs w:val="21"/>
        </w:rPr>
        <w:t>的结果，签署本合同。</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一、货物内容</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1.货物名称：</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2.型号规格：</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3.技术参数：</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4.数量（单位）：</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二、合同金额</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本合同金额为（大写）：</w:t>
      </w:r>
      <w:r>
        <w:rPr>
          <w:rFonts w:ascii="Times New Roman" w:hAnsi="Times New Roman"/>
          <w:color w:val="000000"/>
          <w:sz w:val="21"/>
          <w:szCs w:val="21"/>
          <w:u w:val="single"/>
        </w:rPr>
        <w:t xml:space="preserve">          </w:t>
      </w:r>
      <w:r>
        <w:rPr>
          <w:rFonts w:ascii="Times New Roman" w:hAnsi="Times New Roman"/>
          <w:color w:val="000000"/>
          <w:sz w:val="21"/>
          <w:szCs w:val="21"/>
        </w:rPr>
        <w:t>元（￥</w:t>
      </w:r>
      <w:r>
        <w:rPr>
          <w:rFonts w:ascii="Times New Roman" w:hAnsi="Times New Roman"/>
          <w:color w:val="000000"/>
          <w:sz w:val="21"/>
          <w:szCs w:val="21"/>
          <w:u w:val="single"/>
        </w:rPr>
        <w:t xml:space="preserve">         </w:t>
      </w:r>
      <w:r>
        <w:rPr>
          <w:rFonts w:ascii="Times New Roman" w:hAnsi="Times New Roman"/>
          <w:color w:val="000000"/>
          <w:sz w:val="21"/>
          <w:szCs w:val="21"/>
        </w:rPr>
        <w:t>元）人民币。</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三、技术资料</w:t>
      </w:r>
    </w:p>
    <w:p>
      <w:pPr>
        <w:pStyle w:val="10"/>
        <w:snapToGrid w:val="0"/>
        <w:spacing w:before="156" w:after="156"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1.乙方应按采购文件规定的时间向甲方提供使用货物的有关技术资料。</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四、知识产权</w:t>
      </w:r>
    </w:p>
    <w:p>
      <w:pPr>
        <w:pStyle w:val="10"/>
        <w:snapToGrid w:val="0"/>
        <w:spacing w:before="156" w:after="156" w:line="360" w:lineRule="auto"/>
        <w:rPr>
          <w:rFonts w:ascii="Times New Roman" w:hAnsi="Times New Roman"/>
          <w:bCs/>
          <w:color w:val="000000"/>
          <w:sz w:val="21"/>
          <w:szCs w:val="21"/>
        </w:rPr>
      </w:pPr>
      <w:r>
        <w:rPr>
          <w:rFonts w:ascii="Times New Roman" w:hAnsi="Times New Roman"/>
          <w:color w:val="000000"/>
          <w:sz w:val="21"/>
          <w:szCs w:val="21"/>
        </w:rPr>
        <w:t>乙方应保证所提供的货物或其任何一部分均不会侵犯任何第三方的知识产权</w:t>
      </w:r>
      <w:r>
        <w:rPr>
          <w:rFonts w:ascii="Times New Roman" w:hAnsi="Times New Roman"/>
          <w:bCs/>
          <w:color w:val="000000"/>
          <w:sz w:val="21"/>
          <w:szCs w:val="21"/>
        </w:rPr>
        <w:t>。</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u w:val="single"/>
        </w:rPr>
      </w:pPr>
      <w:r>
        <w:rPr>
          <w:rFonts w:ascii="Times New Roman" w:hAnsi="Times New Roman"/>
          <w:color w:val="000000"/>
          <w:sz w:val="21"/>
          <w:szCs w:val="21"/>
        </w:rPr>
        <w:t>五、产权担保</w:t>
      </w:r>
    </w:p>
    <w:p>
      <w:pPr>
        <w:pStyle w:val="10"/>
        <w:snapToGrid w:val="0"/>
        <w:spacing w:before="156" w:after="156" w:line="360" w:lineRule="auto"/>
        <w:ind w:left="357" w:hanging="357" w:hangingChars="170"/>
        <w:rPr>
          <w:rFonts w:ascii="Times New Roman" w:hAnsi="Times New Roman"/>
          <w:color w:val="000000"/>
          <w:sz w:val="21"/>
          <w:szCs w:val="21"/>
          <w:u w:val="single"/>
        </w:rPr>
      </w:pPr>
      <w:r>
        <w:rPr>
          <w:rFonts w:ascii="Times New Roman" w:hAnsi="Times New Roman"/>
          <w:color w:val="000000"/>
          <w:sz w:val="21"/>
          <w:szCs w:val="21"/>
        </w:rPr>
        <w:t>乙方保证所交付的货物的所有权完全属于乙方且无任何抵押、查封等产权瑕疵。</w:t>
      </w:r>
    </w:p>
    <w:p>
      <w:pPr>
        <w:pStyle w:val="10"/>
        <w:snapToGrid w:val="0"/>
        <w:spacing w:before="156" w:after="156" w:line="360" w:lineRule="auto"/>
        <w:ind w:left="357" w:hanging="357" w:hangingChars="170"/>
        <w:rPr>
          <w:rFonts w:ascii="Times New Roman" w:hAnsi="Times New Roman"/>
          <w:color w:val="000000"/>
          <w:sz w:val="21"/>
          <w:szCs w:val="21"/>
        </w:rPr>
      </w:pPr>
    </w:p>
    <w:p>
      <w:pPr>
        <w:pStyle w:val="10"/>
        <w:snapToGrid w:val="0"/>
        <w:spacing w:before="156" w:after="156" w:line="360" w:lineRule="auto"/>
        <w:ind w:left="357" w:hanging="357" w:hangingChars="170"/>
        <w:rPr>
          <w:rFonts w:ascii="Times New Roman" w:hAnsi="Times New Roman"/>
          <w:color w:val="000000"/>
          <w:sz w:val="21"/>
          <w:szCs w:val="21"/>
        </w:rPr>
      </w:pPr>
      <w:r>
        <w:rPr>
          <w:rFonts w:ascii="Times New Roman" w:hAnsi="Times New Roman"/>
          <w:color w:val="000000"/>
          <w:sz w:val="21"/>
          <w:szCs w:val="21"/>
        </w:rPr>
        <w:t>六、履约保证金</w:t>
      </w:r>
    </w:p>
    <w:p>
      <w:pPr>
        <w:pStyle w:val="10"/>
        <w:snapToGrid w:val="0"/>
        <w:spacing w:before="156" w:after="156" w:line="360" w:lineRule="auto"/>
        <w:ind w:left="357" w:hanging="357" w:hangingChars="170"/>
        <w:rPr>
          <w:rFonts w:ascii="Times New Roman" w:hAnsi="Times New Roman"/>
          <w:color w:val="000000"/>
          <w:sz w:val="21"/>
          <w:szCs w:val="21"/>
        </w:rPr>
      </w:pPr>
      <w:r>
        <w:rPr>
          <w:rFonts w:ascii="Times New Roman" w:hAnsi="Times New Roman"/>
          <w:color w:val="000000"/>
          <w:sz w:val="21"/>
          <w:szCs w:val="21"/>
        </w:rPr>
        <w:t>乙方交纳人民币</w:t>
      </w:r>
      <w:r>
        <w:rPr>
          <w:rFonts w:ascii="Times New Roman" w:hAnsi="Times New Roman"/>
          <w:color w:val="000000"/>
          <w:sz w:val="21"/>
          <w:szCs w:val="21"/>
          <w:u w:val="single"/>
        </w:rPr>
        <w:t xml:space="preserve">        </w:t>
      </w:r>
      <w:r>
        <w:rPr>
          <w:rFonts w:ascii="Times New Roman" w:hAnsi="Times New Roman"/>
          <w:color w:val="000000"/>
          <w:sz w:val="21"/>
          <w:szCs w:val="21"/>
        </w:rPr>
        <w:t>元作为本合同的履约保证金。</w:t>
      </w:r>
    </w:p>
    <w:p>
      <w:pPr>
        <w:pStyle w:val="10"/>
        <w:snapToGrid w:val="0"/>
        <w:spacing w:before="156" w:after="156" w:line="360" w:lineRule="auto"/>
        <w:ind w:left="357" w:hanging="357" w:hangingChars="170"/>
        <w:rPr>
          <w:rFonts w:ascii="Times New Roman" w:hAnsi="Times New Roman"/>
          <w:color w:val="000000"/>
          <w:sz w:val="21"/>
          <w:szCs w:val="21"/>
        </w:rPr>
      </w:pPr>
    </w:p>
    <w:p>
      <w:pPr>
        <w:pStyle w:val="10"/>
        <w:snapToGrid w:val="0"/>
        <w:spacing w:before="156" w:after="156" w:line="360" w:lineRule="auto"/>
        <w:ind w:left="357" w:hanging="357" w:hangingChars="170"/>
        <w:rPr>
          <w:rFonts w:ascii="Times New Roman" w:hAnsi="Times New Roman"/>
          <w:color w:val="000000"/>
          <w:sz w:val="21"/>
          <w:szCs w:val="21"/>
        </w:rPr>
      </w:pPr>
      <w:r>
        <w:rPr>
          <w:rFonts w:ascii="Times New Roman" w:hAnsi="Times New Roman"/>
          <w:color w:val="000000"/>
          <w:sz w:val="21"/>
          <w:szCs w:val="21"/>
        </w:rPr>
        <w:t>七、转包或分包</w:t>
      </w:r>
    </w:p>
    <w:p>
      <w:pPr>
        <w:snapToGrid w:val="0"/>
        <w:spacing w:line="360" w:lineRule="auto"/>
        <w:rPr>
          <w:color w:val="000000"/>
          <w:szCs w:val="21"/>
        </w:rPr>
      </w:pPr>
      <w:r>
        <w:rPr>
          <w:color w:val="000000"/>
          <w:szCs w:val="21"/>
        </w:rPr>
        <w:t>1.本合同范围的货物，应由乙方直接供应，不得转让他人供应；</w:t>
      </w:r>
    </w:p>
    <w:p>
      <w:pPr>
        <w:snapToGrid w:val="0"/>
        <w:spacing w:line="360" w:lineRule="auto"/>
        <w:rPr>
          <w:color w:val="000000"/>
          <w:szCs w:val="21"/>
        </w:rPr>
      </w:pPr>
      <w:r>
        <w:rPr>
          <w:color w:val="000000"/>
          <w:szCs w:val="21"/>
        </w:rPr>
        <w:t>2.除非得到甲方的书面同意，乙方不得将本合同范围的货物全部或部分分包给他人供应；</w:t>
      </w:r>
    </w:p>
    <w:p>
      <w:pPr>
        <w:snapToGrid w:val="0"/>
        <w:spacing w:line="360" w:lineRule="auto"/>
        <w:rPr>
          <w:color w:val="000000"/>
          <w:szCs w:val="21"/>
        </w:rPr>
      </w:pPr>
      <w:r>
        <w:rPr>
          <w:color w:val="000000"/>
          <w:szCs w:val="21"/>
        </w:rPr>
        <w:t>3.如有转让和未经甲方同意的分包行为，甲方有权解除合同，没收履约保证金并追究乙方的违约责任。</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八、质保期</w:t>
      </w:r>
    </w:p>
    <w:p>
      <w:pPr>
        <w:pStyle w:val="10"/>
        <w:snapToGrid w:val="0"/>
        <w:spacing w:before="156" w:after="156"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1.质保期</w:t>
      </w:r>
      <w:r>
        <w:rPr>
          <w:rFonts w:ascii="Times New Roman" w:hAnsi="Times New Roman"/>
          <w:color w:val="000000"/>
          <w:sz w:val="21"/>
          <w:szCs w:val="21"/>
          <w:u w:val="single"/>
        </w:rPr>
        <w:t xml:space="preserve">      </w:t>
      </w:r>
      <w:r>
        <w:rPr>
          <w:rFonts w:ascii="Times New Roman" w:hAnsi="Times New Roman"/>
          <w:color w:val="000000"/>
          <w:sz w:val="21"/>
          <w:szCs w:val="21"/>
        </w:rPr>
        <w:t>年。（自交货验收合格之日起计）</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九、交货期、交货方式及交货地点</w:t>
      </w:r>
    </w:p>
    <w:p>
      <w:pPr>
        <w:pStyle w:val="10"/>
        <w:snapToGrid w:val="0"/>
        <w:spacing w:before="156" w:after="156" w:line="360" w:lineRule="auto"/>
        <w:rPr>
          <w:rFonts w:ascii="Times New Roman" w:hAnsi="Times New Roman"/>
          <w:bCs/>
          <w:color w:val="000000"/>
          <w:sz w:val="21"/>
          <w:szCs w:val="21"/>
        </w:rPr>
      </w:pPr>
      <w:r>
        <w:rPr>
          <w:rFonts w:ascii="Times New Roman" w:hAnsi="Times New Roman"/>
          <w:bCs/>
          <w:color w:val="000000"/>
          <w:sz w:val="21"/>
          <w:szCs w:val="21"/>
        </w:rPr>
        <w:t>1. 交货期：</w:t>
      </w:r>
    </w:p>
    <w:p>
      <w:pPr>
        <w:pStyle w:val="10"/>
        <w:snapToGrid w:val="0"/>
        <w:spacing w:before="156" w:after="156" w:line="360" w:lineRule="auto"/>
        <w:rPr>
          <w:rFonts w:ascii="Times New Roman" w:hAnsi="Times New Roman"/>
          <w:bCs/>
          <w:color w:val="000000"/>
          <w:sz w:val="21"/>
          <w:szCs w:val="21"/>
        </w:rPr>
      </w:pPr>
      <w:r>
        <w:rPr>
          <w:rFonts w:ascii="Times New Roman" w:hAnsi="Times New Roman"/>
          <w:bCs/>
          <w:color w:val="000000"/>
          <w:sz w:val="21"/>
          <w:szCs w:val="21"/>
        </w:rPr>
        <w:t>2. 交货方式：</w:t>
      </w:r>
    </w:p>
    <w:p>
      <w:pPr>
        <w:pStyle w:val="10"/>
        <w:snapToGrid w:val="0"/>
        <w:spacing w:before="156" w:after="156" w:line="360" w:lineRule="auto"/>
        <w:rPr>
          <w:rFonts w:ascii="Times New Roman" w:hAnsi="Times New Roman"/>
          <w:color w:val="000000"/>
          <w:sz w:val="21"/>
          <w:szCs w:val="21"/>
        </w:rPr>
      </w:pPr>
      <w:r>
        <w:rPr>
          <w:rFonts w:ascii="Times New Roman" w:hAnsi="Times New Roman"/>
          <w:bCs/>
          <w:color w:val="000000"/>
          <w:sz w:val="21"/>
          <w:szCs w:val="21"/>
        </w:rPr>
        <w:t>3. 交货地点：</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十、货款支付</w:t>
      </w:r>
    </w:p>
    <w:p>
      <w:pPr>
        <w:pStyle w:val="10"/>
        <w:snapToGrid w:val="0"/>
        <w:spacing w:before="156" w:after="156" w:line="360" w:lineRule="auto"/>
        <w:rPr>
          <w:rFonts w:ascii="Times New Roman" w:hAnsi="Times New Roman"/>
          <w:bCs/>
          <w:color w:val="000000"/>
          <w:sz w:val="21"/>
          <w:szCs w:val="21"/>
          <w:u w:val="single"/>
        </w:rPr>
      </w:pPr>
      <w:r>
        <w:rPr>
          <w:rFonts w:ascii="Times New Roman" w:hAnsi="Times New Roman"/>
          <w:bCs/>
          <w:color w:val="000000"/>
          <w:sz w:val="21"/>
          <w:szCs w:val="21"/>
        </w:rPr>
        <w:t>1.付款方式：</w:t>
      </w:r>
      <w:r>
        <w:rPr>
          <w:rFonts w:hint="eastAsia" w:ascii="Times New Roman" w:hAnsi="Times New Roman"/>
          <w:bCs/>
          <w:color w:val="000000"/>
          <w:sz w:val="21"/>
          <w:szCs w:val="21"/>
          <w:u w:val="single"/>
        </w:rPr>
        <w:t xml:space="preserve">                  </w:t>
      </w:r>
      <w:r>
        <w:rPr>
          <w:rFonts w:hint="eastAsia" w:ascii="Times New Roman" w:hAnsi="Times New Roman"/>
          <w:bCs/>
          <w:color w:val="000000"/>
          <w:sz w:val="21"/>
          <w:szCs w:val="21"/>
        </w:rPr>
        <w:t>。</w:t>
      </w:r>
    </w:p>
    <w:p>
      <w:pPr>
        <w:pStyle w:val="10"/>
        <w:snapToGrid w:val="0"/>
        <w:spacing w:before="156" w:after="156" w:line="360" w:lineRule="auto"/>
        <w:rPr>
          <w:rFonts w:ascii="Times New Roman" w:hAnsi="Times New Roman"/>
          <w:bCs/>
          <w:color w:val="000000"/>
          <w:sz w:val="21"/>
          <w:szCs w:val="21"/>
        </w:rPr>
      </w:pPr>
      <w:r>
        <w:rPr>
          <w:rFonts w:ascii="Times New Roman" w:hAnsi="Times New Roman"/>
          <w:bCs/>
          <w:color w:val="000000"/>
          <w:sz w:val="21"/>
          <w:szCs w:val="21"/>
        </w:rPr>
        <w:t>2.</w:t>
      </w:r>
      <w:r>
        <w:rPr>
          <w:rFonts w:ascii="Times New Roman" w:hAnsi="Times New Roman"/>
          <w:color w:val="000000"/>
          <w:sz w:val="21"/>
          <w:szCs w:val="21"/>
        </w:rPr>
        <w:t>当采购数量与实际使用数量不一致时，乙方应根据实际使用量供货，合同的最终结算金额按实际使用量乘以成交单价进行计算。</w:t>
      </w:r>
    </w:p>
    <w:p>
      <w:pPr>
        <w:snapToGrid w:val="0"/>
        <w:spacing w:line="360" w:lineRule="auto"/>
        <w:rPr>
          <w:color w:val="000000"/>
          <w:szCs w:val="21"/>
        </w:rPr>
      </w:pPr>
    </w:p>
    <w:p>
      <w:pPr>
        <w:snapToGrid w:val="0"/>
        <w:spacing w:line="360" w:lineRule="auto"/>
        <w:rPr>
          <w:color w:val="000000"/>
          <w:szCs w:val="21"/>
        </w:rPr>
      </w:pPr>
      <w:r>
        <w:rPr>
          <w:color w:val="000000"/>
          <w:szCs w:val="21"/>
        </w:rPr>
        <w:t>十一、税费</w:t>
      </w:r>
    </w:p>
    <w:p>
      <w:pPr>
        <w:snapToGrid w:val="0"/>
        <w:spacing w:line="360" w:lineRule="auto"/>
        <w:rPr>
          <w:color w:val="000000"/>
          <w:szCs w:val="21"/>
        </w:rPr>
      </w:pPr>
      <w:r>
        <w:rPr>
          <w:color w:val="000000"/>
          <w:szCs w:val="21"/>
        </w:rPr>
        <w:t>本合同执行中相关的一切税费均由乙方负担。</w:t>
      </w:r>
    </w:p>
    <w:p>
      <w:pPr>
        <w:pStyle w:val="10"/>
        <w:snapToGrid w:val="0"/>
        <w:spacing w:before="156" w:after="156" w:line="360" w:lineRule="auto"/>
        <w:ind w:left="359" w:hanging="359" w:hangingChars="171"/>
        <w:rPr>
          <w:rFonts w:ascii="Times New Roman" w:hAnsi="Times New Roman"/>
          <w:color w:val="000000"/>
          <w:sz w:val="21"/>
          <w:szCs w:val="21"/>
        </w:rPr>
      </w:pPr>
    </w:p>
    <w:p>
      <w:pPr>
        <w:pStyle w:val="10"/>
        <w:snapToGrid w:val="0"/>
        <w:spacing w:before="156" w:after="156"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十二、质量保证及售后服务</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1.乙方应按采购文件规定的货物性能、技术要求、质量标准向甲方提供未经使用的全新产品。2.乙方提供的货物在质保期内因货物本身的质量问题发生故障，乙方应负责免费更换。对达不到技术要求者，根据实际情况，经双方协商，可按以下办法处理：</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（1）更换：由乙方承担所发生的全部费用。</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（2）贬值处理：由甲乙双方合议定价。</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（3）退货处理：乙方应退还甲方支付的合同款，同时应承担该货物的直接费用（运输、保险、检验、货款利息及银行手续费等）。</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3.如在使用过程中发生质量问题，乙方在接到甲方通知后在</w:t>
      </w:r>
      <w:r>
        <w:rPr>
          <w:rFonts w:ascii="Times New Roman" w:hAnsi="Times New Roman"/>
          <w:color w:val="000000"/>
          <w:sz w:val="21"/>
          <w:szCs w:val="21"/>
          <w:u w:val="single"/>
        </w:rPr>
        <w:t xml:space="preserve">     </w:t>
      </w:r>
      <w:r>
        <w:rPr>
          <w:rFonts w:ascii="Times New Roman" w:hAnsi="Times New Roman"/>
          <w:color w:val="000000"/>
          <w:sz w:val="21"/>
          <w:szCs w:val="21"/>
        </w:rPr>
        <w:t>小时内到达甲方现场。</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4.在质保期内，乙方应对货物出现的质量及安全问题负责处理解决并承担一切费用。</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5.上述的货物免费保修期为</w:t>
      </w:r>
      <w:r>
        <w:rPr>
          <w:rFonts w:ascii="Times New Roman" w:hAnsi="Times New Roman"/>
          <w:color w:val="000000"/>
          <w:sz w:val="21"/>
          <w:szCs w:val="21"/>
          <w:u w:val="single"/>
        </w:rPr>
        <w:t xml:space="preserve">     </w:t>
      </w:r>
      <w:r>
        <w:rPr>
          <w:rFonts w:ascii="Times New Roman" w:hAnsi="Times New Roman"/>
          <w:color w:val="000000"/>
          <w:sz w:val="21"/>
          <w:szCs w:val="21"/>
        </w:rPr>
        <w:t>年，因人为因素出现的故障不在免费保修范围内。超过保修期的机器设备，终生维修，维修时只收部件成本费。</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十三、调试和验收</w:t>
      </w:r>
    </w:p>
    <w:p>
      <w:pPr>
        <w:pStyle w:val="10"/>
        <w:snapToGrid w:val="0"/>
        <w:spacing w:before="156" w:after="156" w:line="360" w:lineRule="auto"/>
        <w:jc w:val="left"/>
        <w:rPr>
          <w:rFonts w:ascii="Times New Roman" w:hAnsi="Times New Roman"/>
          <w:color w:val="000000"/>
          <w:sz w:val="21"/>
          <w:szCs w:val="21"/>
        </w:rPr>
      </w:pPr>
      <w:r>
        <w:rPr>
          <w:rFonts w:ascii="Times New Roman" w:hAnsi="Times New Roman"/>
          <w:color w:val="000000"/>
          <w:sz w:val="21"/>
          <w:szCs w:val="21"/>
        </w:rPr>
        <w:t>1.甲方对乙方提交的货物依据采购文件上的技术规格要求和国家有关质量标准进行现场初步验收，外观、说明书符合采购文件技术要求的，给予签收，初步验收不合格的不予签收。货到后，甲方需在</w:t>
      </w:r>
      <w:r>
        <w:rPr>
          <w:rFonts w:ascii="Times New Roman" w:hAnsi="Times New Roman"/>
          <w:color w:val="000000"/>
          <w:sz w:val="21"/>
          <w:szCs w:val="21"/>
          <w:u w:val="single"/>
        </w:rPr>
        <w:t xml:space="preserve">     </w:t>
      </w:r>
      <w:r>
        <w:rPr>
          <w:rFonts w:ascii="Times New Roman" w:hAnsi="Times New Roman"/>
          <w:color w:val="000000"/>
          <w:sz w:val="21"/>
          <w:szCs w:val="21"/>
        </w:rPr>
        <w:t>个工作日内验收。</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2.乙方交货前应对产品作出全面检查和对验收文件进行整理，并列出清单，作为甲方收货验收和使用的技术条件依据，检验的结果应随货物交甲方。</w:t>
      </w:r>
    </w:p>
    <w:p>
      <w:pPr>
        <w:pStyle w:val="10"/>
        <w:snapToGrid w:val="0"/>
        <w:spacing w:before="156" w:after="156" w:line="360" w:lineRule="auto"/>
        <w:rPr>
          <w:rFonts w:ascii="Times New Roman" w:hAnsi="Times New Roman"/>
          <w:color w:val="000000"/>
          <w:sz w:val="21"/>
          <w:szCs w:val="21"/>
          <w:u w:val="single"/>
        </w:rPr>
      </w:pPr>
      <w:r>
        <w:rPr>
          <w:rFonts w:ascii="Times New Roman" w:hAnsi="Times New Roman"/>
          <w:color w:val="000000"/>
          <w:sz w:val="21"/>
          <w:szCs w:val="21"/>
        </w:rPr>
        <w:t>3.甲方对乙方提供的货物在使用前进行调试时，乙方需负责安装并培训甲方的使用操作人员，并协助甲方一起调试，直到符合技术要求，甲方才做最终验收。</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4.对技术复杂的货物，甲方应请国家认可的专业检测机构参与初步验收及最终验收，并由其出具质量检测报告。</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5.验收时乙方必须在现场，验收完毕后作出验收结果报告；验收费用由乙方负责。</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十四、货物包装、发运及运输</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1.乙方应在货物发运前对其进行满足运输距离、防潮、防震、防锈和防破损装卸等要求包装，以保证货物安全运达甲方指定地点。</w:t>
      </w:r>
    </w:p>
    <w:p>
      <w:pPr>
        <w:pStyle w:val="10"/>
        <w:snapToGrid w:val="0"/>
        <w:spacing w:before="156" w:after="156"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2.使用说明书、质量检验证明书、随配附件和工具以及清单一并附于货物内。</w:t>
      </w:r>
    </w:p>
    <w:p>
      <w:pPr>
        <w:pStyle w:val="10"/>
        <w:snapToGrid w:val="0"/>
        <w:spacing w:before="156" w:after="156"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3.乙方在货物发运手续办理完毕后24小时内或货到甲方48小时前通知甲方，以准备接货。</w:t>
      </w:r>
    </w:p>
    <w:p>
      <w:pPr>
        <w:pStyle w:val="10"/>
        <w:snapToGrid w:val="0"/>
        <w:spacing w:before="156" w:after="156"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4.货物在交付甲方前发生的风险均由乙方负责。</w:t>
      </w:r>
    </w:p>
    <w:p>
      <w:pPr>
        <w:pStyle w:val="10"/>
        <w:snapToGrid w:val="0"/>
        <w:spacing w:before="156" w:after="156" w:line="360" w:lineRule="auto"/>
        <w:ind w:right="26"/>
        <w:rPr>
          <w:rFonts w:ascii="Times New Roman" w:hAnsi="Times New Roman"/>
          <w:color w:val="000000"/>
          <w:sz w:val="21"/>
          <w:szCs w:val="21"/>
        </w:rPr>
      </w:pPr>
      <w:r>
        <w:rPr>
          <w:rFonts w:ascii="Times New Roman" w:hAnsi="Times New Roman"/>
          <w:color w:val="000000"/>
          <w:sz w:val="21"/>
          <w:szCs w:val="21"/>
        </w:rPr>
        <w:t>5.货物在规定的交付期限内由乙方送达甲方指定的地点视为交付，乙方同时需通知甲方货物已送达。</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十五、违约责任</w:t>
      </w:r>
    </w:p>
    <w:p>
      <w:pPr>
        <w:pStyle w:val="10"/>
        <w:snapToGrid w:val="0"/>
        <w:spacing w:before="156" w:after="156"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1.甲方无正当理由拒收货物的，甲方向乙方偿付拒收货款总值的百分之五违约金。</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2.甲方无故逾期验收和办理货款支付手续的，甲方应按逾期付款总额每日万分之五向乙方支付违约金。</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十六、不可抗力事件处理</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1.在合同有效期内，任何一方因不可抗力事件导致不能履行合同，则合同履行期可延长，其延长期与不可抗力影响期相同。</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2.不可抗力事件发生后，应立即通知对方，并寄送有关权威机构出具的证明。</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3.不可抗力事件延续120天以上，双方应通过友好协商，确定是否继续履行合同。</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十七、诉讼</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双方在执行合同中所发生的一切争议，应通过协商解决。如协商不成，可向甲方所在地法院起诉。</w:t>
      </w:r>
    </w:p>
    <w:p>
      <w:pPr>
        <w:pStyle w:val="10"/>
        <w:snapToGrid w:val="0"/>
        <w:spacing w:before="156" w:after="156" w:line="360" w:lineRule="auto"/>
        <w:rPr>
          <w:rFonts w:ascii="Times New Roman" w:hAnsi="Times New Roman"/>
          <w:color w:val="000000"/>
          <w:sz w:val="21"/>
          <w:szCs w:val="21"/>
        </w:rPr>
      </w:pP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十八、合同生效及其它</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1.合同经双方法定代表人或授权代表签字并加盖单位公章后生效。</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2.合同执行中涉及采购资金和采购内容修改或补充的，须经财政部门审批，并签书面补充协议报政府采购监督管理部门备案，方可作为主合同不可分割的一部分。</w:t>
      </w:r>
    </w:p>
    <w:p>
      <w:pPr>
        <w:pStyle w:val="10"/>
        <w:snapToGrid w:val="0"/>
        <w:spacing w:before="156" w:after="156"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3.本合同未尽事宜，遵照《</w:t>
      </w:r>
      <w:r>
        <w:rPr>
          <w:rFonts w:hint="eastAsia" w:ascii="Times New Roman" w:hAnsi="Times New Roman"/>
          <w:color w:val="000000"/>
          <w:sz w:val="21"/>
          <w:szCs w:val="21"/>
        </w:rPr>
        <w:t>中华人民共和国民法典</w:t>
      </w:r>
      <w:r>
        <w:rPr>
          <w:rFonts w:ascii="Times New Roman" w:hAnsi="Times New Roman"/>
          <w:color w:val="000000"/>
          <w:sz w:val="21"/>
          <w:szCs w:val="21"/>
        </w:rPr>
        <w:t>》有关条文执行。</w:t>
      </w:r>
    </w:p>
    <w:p>
      <w:pPr>
        <w:pStyle w:val="10"/>
        <w:snapToGrid w:val="0"/>
        <w:spacing w:before="156" w:after="156"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4.本合同正本一式</w:t>
      </w:r>
      <w:r>
        <w:rPr>
          <w:rFonts w:hint="eastAsia" w:ascii="Times New Roman" w:hAnsi="Times New Roman"/>
          <w:color w:val="000000"/>
          <w:sz w:val="21"/>
          <w:szCs w:val="21"/>
          <w:u w:val="single"/>
        </w:rPr>
        <w:t xml:space="preserve">    </w:t>
      </w:r>
      <w:r>
        <w:rPr>
          <w:rFonts w:ascii="Times New Roman" w:hAnsi="Times New Roman"/>
          <w:color w:val="000000"/>
          <w:sz w:val="21"/>
          <w:szCs w:val="21"/>
        </w:rPr>
        <w:t>份，具有同等法律效力，甲乙双方各执一份；副本</w:t>
      </w:r>
      <w:r>
        <w:rPr>
          <w:rFonts w:ascii="Times New Roman" w:hAnsi="Times New Roman"/>
          <w:color w:val="000000"/>
          <w:sz w:val="21"/>
          <w:szCs w:val="21"/>
          <w:u w:val="single"/>
        </w:rPr>
        <w:t xml:space="preserve">    </w:t>
      </w:r>
      <w:r>
        <w:rPr>
          <w:rFonts w:ascii="Times New Roman" w:hAnsi="Times New Roman"/>
          <w:color w:val="000000"/>
          <w:sz w:val="21"/>
          <w:szCs w:val="21"/>
        </w:rPr>
        <w:t>份，（用途）。</w:t>
      </w:r>
    </w:p>
    <w:p>
      <w:pPr>
        <w:pStyle w:val="10"/>
        <w:snapToGrid w:val="0"/>
        <w:spacing w:before="156" w:after="156" w:line="360" w:lineRule="auto"/>
        <w:ind w:left="420" w:hanging="420" w:hangingChars="200"/>
        <w:rPr>
          <w:rFonts w:ascii="Times New Roman" w:hAnsi="Times New Roman"/>
          <w:color w:val="000000"/>
          <w:sz w:val="21"/>
          <w:szCs w:val="21"/>
        </w:rPr>
      </w:pPr>
    </w:p>
    <w:p>
      <w:pPr>
        <w:pStyle w:val="10"/>
        <w:snapToGrid w:val="0"/>
        <w:spacing w:before="156" w:after="156"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 xml:space="preserve">甲方：                                   乙方： </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 xml:space="preserve">地址：                                   地址： </w:t>
      </w:r>
    </w:p>
    <w:p>
      <w:pPr>
        <w:pStyle w:val="1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法定（授权）代表人：                     法定（授权）代表人：</w:t>
      </w:r>
    </w:p>
    <w:p>
      <w:pPr>
        <w:widowControl/>
        <w:jc w:val="left"/>
        <w:rPr>
          <w:sz w:val="24"/>
        </w:rPr>
      </w:pPr>
      <w:r>
        <w:rPr>
          <w:color w:val="000000"/>
          <w:szCs w:val="21"/>
        </w:rPr>
        <w:t>签字日期：      年  月  日               签字日期：      年  月  日</w:t>
      </w:r>
    </w:p>
    <w:p>
      <w:pPr>
        <w:rPr>
          <w:rFonts w:ascii="宋体" w:hAnsi="宋体"/>
          <w:sz w:val="24"/>
          <w:u w:val="single"/>
        </w:rPr>
      </w:pPr>
    </w:p>
    <w:p>
      <w:pPr>
        <w:ind w:firstLine="480" w:firstLineChars="200"/>
        <w:rPr>
          <w:rFonts w:ascii="宋体" w:hAnsi="宋体"/>
          <w:sz w:val="24"/>
          <w:u w:val="single"/>
        </w:rPr>
      </w:pPr>
    </w:p>
    <w:p>
      <w:pPr>
        <w:widowControl/>
        <w:jc w:val="left"/>
        <w:rPr>
          <w:sz w:val="24"/>
        </w:rPr>
      </w:pPr>
    </w:p>
    <w:bookmarkEnd w:id="128"/>
    <w:bookmarkEnd w:id="129"/>
    <w:bookmarkEnd w:id="130"/>
    <w:p>
      <w:pPr>
        <w:rPr>
          <w:sz w:val="24"/>
        </w:rPr>
      </w:pPr>
    </w:p>
    <w:p>
      <w:pPr>
        <w:pStyle w:val="3"/>
      </w:pPr>
    </w:p>
    <w:p>
      <w:pPr>
        <w:rPr>
          <w:sz w:val="24"/>
        </w:rPr>
      </w:pPr>
    </w:p>
    <w:p>
      <w:pPr>
        <w:pStyle w:val="3"/>
      </w:pPr>
    </w:p>
    <w:p>
      <w:pPr>
        <w:rPr>
          <w:sz w:val="24"/>
        </w:rPr>
      </w:pPr>
    </w:p>
    <w:p>
      <w:pPr>
        <w:pStyle w:val="3"/>
      </w:pPr>
    </w:p>
    <w:p>
      <w:pPr>
        <w:rPr>
          <w:sz w:val="24"/>
        </w:rPr>
      </w:pPr>
    </w:p>
    <w:p>
      <w:pPr>
        <w:pStyle w:val="3"/>
      </w:pPr>
    </w:p>
    <w:p>
      <w:pPr>
        <w:rPr>
          <w:sz w:val="24"/>
        </w:rPr>
      </w:pPr>
    </w:p>
    <w:p>
      <w:pPr>
        <w:pStyle w:val="3"/>
      </w:pPr>
    </w:p>
    <w:p>
      <w:pPr>
        <w:rPr>
          <w:sz w:val="24"/>
        </w:rPr>
      </w:pPr>
    </w:p>
    <w:p>
      <w:pPr>
        <w:pStyle w:val="3"/>
      </w:pPr>
    </w:p>
    <w:p>
      <w:pPr>
        <w:rPr>
          <w:sz w:val="24"/>
        </w:rPr>
      </w:pPr>
    </w:p>
    <w:p>
      <w:pPr>
        <w:pStyle w:val="3"/>
      </w:pPr>
    </w:p>
    <w:p>
      <w:pPr>
        <w:rPr>
          <w:sz w:val="24"/>
        </w:rPr>
      </w:pPr>
    </w:p>
    <w:p>
      <w:pPr>
        <w:pStyle w:val="3"/>
      </w:pPr>
    </w:p>
    <w:p>
      <w:pPr>
        <w:rPr>
          <w:sz w:val="24"/>
        </w:rPr>
      </w:pPr>
    </w:p>
    <w:p>
      <w:pPr>
        <w:pStyle w:val="3"/>
      </w:pPr>
    </w:p>
    <w:p>
      <w:pPr>
        <w:rPr>
          <w:sz w:val="24"/>
        </w:rPr>
      </w:pPr>
    </w:p>
    <w:p>
      <w:pPr>
        <w:pStyle w:val="3"/>
      </w:pPr>
    </w:p>
    <w:p>
      <w:pPr>
        <w:pStyle w:val="3"/>
        <w:snapToGrid w:val="0"/>
        <w:spacing w:line="360" w:lineRule="auto"/>
        <w:jc w:val="both"/>
        <w:rPr>
          <w:sz w:val="32"/>
          <w:szCs w:val="32"/>
        </w:rPr>
      </w:pPr>
      <w:bookmarkStart w:id="131" w:name="_Toc211745570"/>
      <w:bookmarkStart w:id="132" w:name="_Toc495317673"/>
    </w:p>
    <w:p>
      <w:pPr>
        <w:pStyle w:val="20"/>
        <w:ind w:left="0" w:leftChars="0" w:firstLine="0" w:firstLineChars="0"/>
      </w:pPr>
    </w:p>
    <w:p>
      <w:pPr>
        <w:pStyle w:val="3"/>
        <w:snapToGrid w:val="0"/>
        <w:spacing w:line="360" w:lineRule="auto"/>
        <w:rPr>
          <w:sz w:val="32"/>
          <w:szCs w:val="32"/>
        </w:rPr>
      </w:pPr>
      <w:bookmarkStart w:id="133" w:name="_Toc1495"/>
      <w:r>
        <w:rPr>
          <w:sz w:val="32"/>
          <w:szCs w:val="32"/>
        </w:rPr>
        <w:t>第六章  投标文件格式</w:t>
      </w:r>
      <w:bookmarkEnd w:id="131"/>
      <w:bookmarkEnd w:id="132"/>
      <w:bookmarkEnd w:id="133"/>
    </w:p>
    <w:p>
      <w:pPr>
        <w:snapToGrid w:val="0"/>
        <w:spacing w:line="360" w:lineRule="auto"/>
        <w:jc w:val="center"/>
        <w:rPr>
          <w:color w:val="000000"/>
        </w:rPr>
      </w:pPr>
      <w:r>
        <w:rPr>
          <w:color w:val="000000"/>
          <w:sz w:val="32"/>
          <w:szCs w:val="32"/>
        </w:rPr>
        <w:t>（未提供格式的由</w:t>
      </w:r>
      <w:r>
        <w:rPr>
          <w:rFonts w:hint="eastAsia"/>
          <w:color w:val="000000"/>
          <w:sz w:val="32"/>
          <w:szCs w:val="32"/>
        </w:rPr>
        <w:t>供应商</w:t>
      </w:r>
      <w:r>
        <w:rPr>
          <w:color w:val="000000"/>
          <w:sz w:val="32"/>
          <w:szCs w:val="32"/>
        </w:rPr>
        <w:t>自拟）</w:t>
      </w:r>
    </w:p>
    <w:p>
      <w:pPr>
        <w:snapToGrid w:val="0"/>
        <w:spacing w:line="300" w:lineRule="auto"/>
        <w:jc w:val="center"/>
        <w:rPr>
          <w:color w:val="000000"/>
        </w:rPr>
      </w:pPr>
    </w:p>
    <w:p>
      <w:pPr>
        <w:pStyle w:val="4"/>
        <w:ind w:firstLine="422"/>
        <w:rPr>
          <w:rFonts w:ascii="Times New Roman" w:hAnsi="Times New Roman"/>
          <w:color w:val="000000"/>
        </w:rPr>
      </w:pPr>
      <w:bookmarkStart w:id="134" w:name="_Toc19882"/>
      <w:bookmarkStart w:id="135" w:name="_Toc437953145"/>
      <w:bookmarkStart w:id="136" w:name="_Toc345575534"/>
      <w:r>
        <w:rPr>
          <w:rFonts w:ascii="Times New Roman" w:hAnsi="Times New Roman"/>
          <w:color w:val="000000"/>
        </w:rPr>
        <w:t>报价文件封面</w:t>
      </w:r>
      <w:bookmarkEnd w:id="134"/>
      <w:bookmarkEnd w:id="135"/>
      <w:bookmarkEnd w:id="136"/>
    </w:p>
    <w:p>
      <w:pPr>
        <w:tabs>
          <w:tab w:val="left" w:pos="2580"/>
          <w:tab w:val="left" w:pos="5940"/>
        </w:tabs>
        <w:autoSpaceDE w:val="0"/>
        <w:autoSpaceDN w:val="0"/>
        <w:adjustRightInd w:val="0"/>
        <w:snapToGrid w:val="0"/>
        <w:spacing w:line="300" w:lineRule="auto"/>
        <w:ind w:right="-20"/>
        <w:jc w:val="right"/>
        <w:rPr>
          <w:color w:val="000000"/>
          <w:kern w:val="0"/>
          <w:sz w:val="28"/>
        </w:rPr>
      </w:pPr>
    </w:p>
    <w:p>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r>
        <w:rPr>
          <w:color w:val="000000"/>
          <w:kern w:val="0"/>
          <w:sz w:val="24"/>
          <w:u w:val="single"/>
        </w:rPr>
        <w:t xml:space="preserve">               </w:t>
      </w: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（报价文件）</w:t>
      </w:r>
    </w:p>
    <w:p>
      <w:pPr>
        <w:autoSpaceDE w:val="0"/>
        <w:autoSpaceDN w:val="0"/>
        <w:adjustRightInd w:val="0"/>
        <w:snapToGrid w:val="0"/>
        <w:spacing w:line="300" w:lineRule="auto"/>
        <w:jc w:val="left"/>
        <w:rPr>
          <w:color w:val="000000"/>
          <w:kern w:val="0"/>
          <w:sz w:val="16"/>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（盖单位公章</w:t>
      </w:r>
      <w:r>
        <w:rPr>
          <w:rFonts w:hint="eastAsia"/>
          <w:color w:val="000000"/>
          <w:kern w:val="0"/>
          <w:sz w:val="28"/>
        </w:rPr>
        <w:t>或电子签章</w:t>
      </w:r>
      <w:r>
        <w:rPr>
          <w:color w:val="000000"/>
          <w:kern w:val="0"/>
          <w:sz w:val="28"/>
        </w:rPr>
        <w:t>）</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t>目录</w:t>
      </w:r>
    </w:p>
    <w:p>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（1）开标一览表；</w:t>
      </w:r>
    </w:p>
    <w:p>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（2）投标价格组成明细表；</w:t>
      </w:r>
    </w:p>
    <w:p>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（3）</w:t>
      </w:r>
      <w:r>
        <w:rPr>
          <w:rFonts w:hint="eastAsia"/>
          <w:color w:val="000000"/>
          <w:kern w:val="0"/>
          <w:sz w:val="24"/>
        </w:rPr>
        <w:t>供应商</w:t>
      </w:r>
      <w:r>
        <w:rPr>
          <w:color w:val="000000"/>
          <w:kern w:val="0"/>
          <w:sz w:val="24"/>
        </w:rPr>
        <w:t>认为有必要提供的其它文件。</w:t>
      </w:r>
    </w:p>
    <w:p>
      <w:pPr>
        <w:snapToGrid w:val="0"/>
        <w:spacing w:line="300" w:lineRule="auto"/>
        <w:jc w:val="center"/>
        <w:rPr>
          <w:color w:val="000000"/>
        </w:rPr>
      </w:pPr>
    </w:p>
    <w:p>
      <w:pPr>
        <w:pStyle w:val="4"/>
        <w:rPr>
          <w:rFonts w:ascii="Times New Roman" w:hAnsi="Times New Roman"/>
          <w:color w:val="000000"/>
        </w:rPr>
      </w:pPr>
      <w:r>
        <w:rPr>
          <w:rFonts w:ascii="Times New Roman" w:hAnsi="Times New Roman"/>
          <w:color w:val="000000"/>
        </w:rPr>
        <w:br w:type="page"/>
      </w:r>
      <w:bookmarkStart w:id="137" w:name="_Toc345575539"/>
      <w:bookmarkStart w:id="138" w:name="_Toc336683579"/>
      <w:bookmarkStart w:id="139" w:name="_Toc14193"/>
      <w:r>
        <w:rPr>
          <w:rFonts w:ascii="Times New Roman" w:hAnsi="Times New Roman"/>
          <w:color w:val="000000"/>
          <w:sz w:val="24"/>
          <w:szCs w:val="24"/>
        </w:rPr>
        <w:t>1、开标一览表格式</w:t>
      </w:r>
      <w:bookmarkEnd w:id="137"/>
      <w:bookmarkEnd w:id="138"/>
      <w:bookmarkEnd w:id="139"/>
    </w:p>
    <w:p>
      <w:pPr>
        <w:snapToGrid w:val="0"/>
        <w:spacing w:line="300" w:lineRule="auto"/>
        <w:jc w:val="center"/>
        <w:rPr>
          <w:b/>
          <w:bCs/>
          <w:color w:val="000000"/>
          <w:sz w:val="32"/>
          <w:szCs w:val="32"/>
        </w:rPr>
      </w:pPr>
      <w:r>
        <w:rPr>
          <w:b/>
          <w:bCs/>
          <w:color w:val="000000"/>
          <w:sz w:val="32"/>
          <w:szCs w:val="32"/>
        </w:rPr>
        <w:t>开标一览表</w:t>
      </w:r>
    </w:p>
    <w:p>
      <w:r>
        <w:t>项目名称：</w:t>
      </w:r>
    </w:p>
    <w:p/>
    <w:p>
      <w:r>
        <w:t>招标项目编号：</w:t>
      </w:r>
    </w:p>
    <w:p/>
    <w:p>
      <w:r>
        <w:t>价格单位：元人民币</w:t>
      </w:r>
    </w:p>
    <w:p/>
    <w:tbl>
      <w:tblPr>
        <w:tblStyle w:val="21"/>
        <w:tblW w:w="707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28"/>
        <w:gridCol w:w="1848"/>
        <w:gridCol w:w="1602"/>
        <w:gridCol w:w="13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228" w:type="dxa"/>
            <w:vAlign w:val="center"/>
          </w:tcPr>
          <w:p>
            <w:pPr>
              <w:jc w:val="center"/>
            </w:pPr>
            <w:r>
              <w:t>标项内容</w:t>
            </w:r>
          </w:p>
        </w:tc>
        <w:tc>
          <w:tcPr>
            <w:tcW w:w="1848" w:type="dxa"/>
            <w:vAlign w:val="center"/>
          </w:tcPr>
          <w:p>
            <w:pPr>
              <w:jc w:val="center"/>
            </w:pPr>
            <w:r>
              <w:t>投标总价</w:t>
            </w:r>
          </w:p>
        </w:tc>
        <w:tc>
          <w:tcPr>
            <w:tcW w:w="1602" w:type="dxa"/>
            <w:vAlign w:val="center"/>
          </w:tcPr>
          <w:p>
            <w:pPr>
              <w:jc w:val="center"/>
            </w:pPr>
            <w:r>
              <w:rPr>
                <w:rFonts w:hint="eastAsia"/>
              </w:rPr>
              <w:t>交货期</w:t>
            </w:r>
          </w:p>
        </w:tc>
        <w:tc>
          <w:tcPr>
            <w:tcW w:w="1399" w:type="dxa"/>
            <w:vAlign w:val="center"/>
          </w:tcPr>
          <w:p>
            <w:pPr>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2228" w:type="dxa"/>
            <w:vAlign w:val="center"/>
          </w:tcPr>
          <w:p/>
        </w:tc>
        <w:tc>
          <w:tcPr>
            <w:tcW w:w="1848" w:type="dxa"/>
            <w:vAlign w:val="center"/>
          </w:tcPr>
          <w:p>
            <w:r>
              <w:t xml:space="preserve">小写：                        </w:t>
            </w:r>
          </w:p>
          <w:p/>
          <w:p>
            <w:r>
              <w:t xml:space="preserve">大写： </w:t>
            </w:r>
          </w:p>
        </w:tc>
        <w:tc>
          <w:tcPr>
            <w:tcW w:w="1602" w:type="dxa"/>
            <w:vAlign w:val="center"/>
          </w:tcPr>
          <w:p>
            <w:r>
              <w:t xml:space="preserve">                       </w:t>
            </w:r>
          </w:p>
        </w:tc>
        <w:tc>
          <w:tcPr>
            <w:tcW w:w="1399" w:type="dxa"/>
            <w:vAlign w:val="center"/>
          </w:tcPr>
          <w:p/>
        </w:tc>
      </w:tr>
    </w:tbl>
    <w:p>
      <w:pPr>
        <w:pStyle w:val="10"/>
        <w:adjustRightInd w:val="0"/>
        <w:snapToGrid w:val="0"/>
        <w:spacing w:before="156" w:after="156" w:line="300" w:lineRule="auto"/>
        <w:rPr>
          <w:rFonts w:ascii="Times New Roman" w:hAnsi="Times New Roman"/>
          <w:color w:val="000000"/>
        </w:rPr>
      </w:pPr>
    </w:p>
    <w:p>
      <w:pPr>
        <w:adjustRightInd w:val="0"/>
        <w:snapToGrid w:val="0"/>
        <w:spacing w:line="360" w:lineRule="auto"/>
        <w:ind w:firstLine="420" w:firstLineChars="200"/>
        <w:rPr>
          <w:color w:val="000000"/>
        </w:rPr>
      </w:pPr>
      <w:r>
        <w:rPr>
          <w:color w:val="000000"/>
        </w:rPr>
        <w:t>注：</w:t>
      </w:r>
    </w:p>
    <w:p>
      <w:pPr>
        <w:adjustRightInd w:val="0"/>
        <w:snapToGrid w:val="0"/>
        <w:spacing w:line="360" w:lineRule="auto"/>
        <w:ind w:firstLine="420" w:firstLineChars="200"/>
        <w:rPr>
          <w:color w:val="000000"/>
        </w:rPr>
      </w:pPr>
      <w:r>
        <w:rPr>
          <w:color w:val="000000"/>
        </w:rPr>
        <w:t>1、具体价格明细详见《投标价格组成明细表》。</w:t>
      </w:r>
    </w:p>
    <w:p>
      <w:pPr>
        <w:adjustRightInd w:val="0"/>
        <w:snapToGrid w:val="0"/>
        <w:spacing w:line="360" w:lineRule="auto"/>
        <w:ind w:firstLine="420" w:firstLineChars="200"/>
        <w:rPr>
          <w:color w:val="000000"/>
        </w:rPr>
      </w:pPr>
      <w:r>
        <w:rPr>
          <w:color w:val="000000"/>
        </w:rPr>
        <w:t>2、大写金额与小写金额不一致时，以大写金额为准。</w:t>
      </w:r>
    </w:p>
    <w:p>
      <w:pPr>
        <w:adjustRightInd w:val="0"/>
        <w:snapToGrid w:val="0"/>
        <w:spacing w:line="360" w:lineRule="auto"/>
        <w:ind w:firstLine="420" w:firstLineChars="200"/>
        <w:rPr>
          <w:color w:val="000000"/>
        </w:rPr>
      </w:pPr>
      <w:r>
        <w:rPr>
          <w:color w:val="000000"/>
        </w:rPr>
        <w:t>3、开标一览表上任何超出采购文件的优惠内容均不计入评标。</w:t>
      </w:r>
    </w:p>
    <w:p>
      <w:r>
        <w:rPr>
          <w:rFonts w:hint="eastAsia"/>
        </w:rPr>
        <w:t xml:space="preserve">    4、投标总价为符合采购文件要求的所有相关费用。</w:t>
      </w:r>
    </w:p>
    <w:p>
      <w:pPr>
        <w:adjustRightInd w:val="0"/>
        <w:snapToGrid w:val="0"/>
        <w:spacing w:line="360" w:lineRule="auto"/>
        <w:ind w:firstLine="420" w:firstLineChars="200"/>
        <w:rPr>
          <w:color w:val="000000"/>
        </w:rPr>
      </w:pPr>
    </w:p>
    <w:p>
      <w:pPr>
        <w:adjustRightInd w:val="0"/>
        <w:snapToGrid w:val="0"/>
        <w:spacing w:line="360" w:lineRule="auto"/>
        <w:ind w:firstLine="420" w:firstLineChars="200"/>
        <w:rPr>
          <w:color w:val="000000"/>
        </w:rPr>
      </w:pPr>
      <w:r>
        <w:rPr>
          <w:rFonts w:hint="eastAsia"/>
          <w:color w:val="000000"/>
        </w:rPr>
        <w:t>供应商</w:t>
      </w:r>
      <w:r>
        <w:rPr>
          <w:color w:val="000000"/>
        </w:rPr>
        <w:t>全称（</w:t>
      </w:r>
      <w:r>
        <w:rPr>
          <w:rFonts w:hint="eastAsia"/>
          <w:color w:val="000000"/>
        </w:rPr>
        <w:t>盖单位公章或电子签章</w:t>
      </w:r>
      <w:r>
        <w:rPr>
          <w:color w:val="000000"/>
        </w:rPr>
        <w:t>）：</w:t>
      </w:r>
    </w:p>
    <w:p>
      <w:pPr>
        <w:adjustRightInd w:val="0"/>
        <w:snapToGrid w:val="0"/>
        <w:spacing w:line="360" w:lineRule="auto"/>
        <w:ind w:firstLine="420" w:firstLineChars="200"/>
        <w:rPr>
          <w:color w:val="000000"/>
          <w:u w:val="single"/>
        </w:rPr>
      </w:pPr>
      <w:r>
        <w:rPr>
          <w:color w:val="000000"/>
        </w:rPr>
        <w:t>日</w:t>
      </w:r>
      <w:r>
        <w:rPr>
          <w:rFonts w:hint="eastAsia"/>
          <w:color w:val="000000"/>
        </w:rPr>
        <w:t xml:space="preserve">  </w:t>
      </w:r>
      <w:r>
        <w:rPr>
          <w:color w:val="000000"/>
        </w:rPr>
        <w:t xml:space="preserve">期：  </w:t>
      </w:r>
      <w:r>
        <w:rPr>
          <w:color w:val="000000"/>
          <w:kern w:val="0"/>
          <w:szCs w:val="21"/>
        </w:rPr>
        <w:t>年  月  日</w:t>
      </w:r>
    </w:p>
    <w:p>
      <w:pPr>
        <w:pStyle w:val="4"/>
        <w:spacing w:line="360" w:lineRule="auto"/>
        <w:rPr>
          <w:rFonts w:ascii="Times New Roman" w:hAnsi="Times New Roman"/>
          <w:color w:val="000000"/>
        </w:rPr>
      </w:pPr>
      <w:r>
        <w:rPr>
          <w:rFonts w:ascii="Times New Roman" w:hAnsi="Times New Roman"/>
          <w:color w:val="000000"/>
        </w:rPr>
        <w:br w:type="page"/>
      </w:r>
      <w:bookmarkStart w:id="140" w:name="_Toc10215"/>
      <w:bookmarkStart w:id="141" w:name="_Toc345575540"/>
      <w:bookmarkStart w:id="142" w:name="_Toc336683580"/>
      <w:r>
        <w:rPr>
          <w:rFonts w:ascii="Times New Roman" w:hAnsi="Times New Roman"/>
          <w:color w:val="000000"/>
          <w:sz w:val="24"/>
          <w:szCs w:val="24"/>
        </w:rPr>
        <w:t>2、投标价格组成明细表格式</w:t>
      </w:r>
      <w:bookmarkEnd w:id="140"/>
      <w:bookmarkEnd w:id="141"/>
      <w:bookmarkEnd w:id="142"/>
    </w:p>
    <w:p>
      <w:pPr>
        <w:snapToGrid w:val="0"/>
        <w:spacing w:line="360" w:lineRule="auto"/>
        <w:jc w:val="center"/>
        <w:rPr>
          <w:b/>
          <w:bCs/>
          <w:color w:val="000000"/>
          <w:sz w:val="32"/>
          <w:szCs w:val="32"/>
        </w:rPr>
      </w:pPr>
      <w:r>
        <w:rPr>
          <w:b/>
          <w:bCs/>
          <w:color w:val="000000"/>
          <w:sz w:val="32"/>
          <w:szCs w:val="32"/>
        </w:rPr>
        <w:t>投标价格组成明细表</w:t>
      </w:r>
    </w:p>
    <w:p>
      <w:pPr>
        <w:snapToGrid w:val="0"/>
        <w:spacing w:line="360" w:lineRule="auto"/>
        <w:rPr>
          <w:color w:val="000000"/>
          <w:u w:val="single"/>
        </w:rPr>
      </w:pPr>
      <w:r>
        <w:rPr>
          <w:color w:val="000000"/>
        </w:rPr>
        <w:t>项目名称：</w:t>
      </w:r>
    </w:p>
    <w:p>
      <w:pPr>
        <w:snapToGrid w:val="0"/>
        <w:spacing w:line="360" w:lineRule="auto"/>
        <w:rPr>
          <w:color w:val="000000"/>
          <w:u w:val="single"/>
        </w:rPr>
      </w:pPr>
      <w:r>
        <w:rPr>
          <w:color w:val="000000"/>
        </w:rPr>
        <w:t>招标项目编号：</w:t>
      </w:r>
    </w:p>
    <w:p>
      <w:pPr>
        <w:snapToGrid w:val="0"/>
        <w:spacing w:line="360" w:lineRule="auto"/>
        <w:rPr>
          <w:color w:val="000000"/>
        </w:rPr>
      </w:pPr>
      <w:r>
        <w:rPr>
          <w:color w:val="000000"/>
        </w:rPr>
        <w:t>标项内容：</w:t>
      </w:r>
    </w:p>
    <w:p>
      <w:pPr>
        <w:snapToGrid w:val="0"/>
        <w:spacing w:line="360" w:lineRule="auto"/>
        <w:rPr>
          <w:color w:val="000000"/>
        </w:rPr>
      </w:pPr>
      <w:r>
        <w:rPr>
          <w:color w:val="000000"/>
        </w:rPr>
        <w:t>价格单位：元人民币</w:t>
      </w:r>
    </w:p>
    <w:tbl>
      <w:tblPr>
        <w:tblStyle w:val="21"/>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500"/>
        <w:gridCol w:w="1064"/>
        <w:gridCol w:w="682"/>
        <w:gridCol w:w="709"/>
        <w:gridCol w:w="2045"/>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vAlign w:val="center"/>
          </w:tcPr>
          <w:p>
            <w:pPr>
              <w:spacing w:line="360" w:lineRule="auto"/>
              <w:jc w:val="center"/>
            </w:pPr>
            <w:r>
              <w:t>序号</w:t>
            </w:r>
          </w:p>
        </w:tc>
        <w:tc>
          <w:tcPr>
            <w:tcW w:w="1500" w:type="dxa"/>
            <w:vAlign w:val="center"/>
          </w:tcPr>
          <w:p>
            <w:pPr>
              <w:spacing w:line="360" w:lineRule="auto"/>
              <w:jc w:val="center"/>
            </w:pPr>
            <w:r>
              <w:t>设备材料名称</w:t>
            </w:r>
          </w:p>
        </w:tc>
        <w:tc>
          <w:tcPr>
            <w:tcW w:w="1064" w:type="dxa"/>
            <w:vAlign w:val="center"/>
          </w:tcPr>
          <w:p>
            <w:pPr>
              <w:spacing w:line="360" w:lineRule="auto"/>
              <w:jc w:val="center"/>
            </w:pPr>
            <w:r>
              <w:t>规格型号</w:t>
            </w:r>
          </w:p>
        </w:tc>
        <w:tc>
          <w:tcPr>
            <w:tcW w:w="682" w:type="dxa"/>
            <w:vAlign w:val="center"/>
          </w:tcPr>
          <w:p>
            <w:pPr>
              <w:spacing w:line="360" w:lineRule="auto"/>
              <w:jc w:val="center"/>
            </w:pPr>
            <w:r>
              <w:t>数量</w:t>
            </w:r>
          </w:p>
        </w:tc>
        <w:tc>
          <w:tcPr>
            <w:tcW w:w="709" w:type="dxa"/>
            <w:vAlign w:val="center"/>
          </w:tcPr>
          <w:p>
            <w:pPr>
              <w:spacing w:line="360" w:lineRule="auto"/>
              <w:jc w:val="center"/>
            </w:pPr>
            <w:r>
              <w:t>单位</w:t>
            </w:r>
          </w:p>
        </w:tc>
        <w:tc>
          <w:tcPr>
            <w:tcW w:w="2045" w:type="dxa"/>
            <w:vAlign w:val="center"/>
          </w:tcPr>
          <w:p>
            <w:pPr>
              <w:spacing w:line="360" w:lineRule="auto"/>
              <w:jc w:val="center"/>
            </w:pPr>
            <w:r>
              <w:t>制造商/产地/品牌</w:t>
            </w:r>
          </w:p>
        </w:tc>
        <w:tc>
          <w:tcPr>
            <w:tcW w:w="937" w:type="dxa"/>
            <w:vAlign w:val="center"/>
          </w:tcPr>
          <w:p>
            <w:pPr>
              <w:spacing w:line="360" w:lineRule="auto"/>
              <w:jc w:val="center"/>
            </w:pPr>
            <w:r>
              <w:t>单价</w:t>
            </w:r>
          </w:p>
        </w:tc>
        <w:tc>
          <w:tcPr>
            <w:tcW w:w="976" w:type="dxa"/>
            <w:vAlign w:val="center"/>
          </w:tcPr>
          <w:p>
            <w:pPr>
              <w:spacing w:line="360" w:lineRule="auto"/>
              <w:jc w:val="center"/>
            </w:pPr>
            <w:r>
              <w:t>合价</w:t>
            </w:r>
          </w:p>
        </w:tc>
        <w:tc>
          <w:tcPr>
            <w:tcW w:w="816" w:type="dxa"/>
            <w:vAlign w:val="center"/>
          </w:tcPr>
          <w:p>
            <w:pPr>
              <w:spacing w:line="36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vAlign w:val="center"/>
          </w:tcPr>
          <w:p>
            <w:pPr>
              <w:spacing w:line="360" w:lineRule="auto"/>
              <w:jc w:val="center"/>
            </w:pPr>
            <w:r>
              <w:t>1</w:t>
            </w:r>
          </w:p>
        </w:tc>
        <w:tc>
          <w:tcPr>
            <w:tcW w:w="1500" w:type="dxa"/>
            <w:vAlign w:val="center"/>
          </w:tcPr>
          <w:p>
            <w:pPr>
              <w:spacing w:line="360" w:lineRule="auto"/>
            </w:pPr>
          </w:p>
        </w:tc>
        <w:tc>
          <w:tcPr>
            <w:tcW w:w="1064" w:type="dxa"/>
            <w:vAlign w:val="center"/>
          </w:tcPr>
          <w:p>
            <w:pPr>
              <w:spacing w:line="360" w:lineRule="auto"/>
            </w:pPr>
          </w:p>
        </w:tc>
        <w:tc>
          <w:tcPr>
            <w:tcW w:w="682" w:type="dxa"/>
            <w:vAlign w:val="center"/>
          </w:tcPr>
          <w:p>
            <w:pPr>
              <w:spacing w:line="360" w:lineRule="auto"/>
            </w:pPr>
          </w:p>
        </w:tc>
        <w:tc>
          <w:tcPr>
            <w:tcW w:w="709" w:type="dxa"/>
            <w:vAlign w:val="center"/>
          </w:tcPr>
          <w:p>
            <w:pPr>
              <w:spacing w:line="360" w:lineRule="auto"/>
            </w:pPr>
          </w:p>
        </w:tc>
        <w:tc>
          <w:tcPr>
            <w:tcW w:w="2045" w:type="dxa"/>
            <w:vAlign w:val="center"/>
          </w:tcPr>
          <w:p>
            <w:pPr>
              <w:spacing w:line="360" w:lineRule="auto"/>
            </w:pPr>
          </w:p>
        </w:tc>
        <w:tc>
          <w:tcPr>
            <w:tcW w:w="937" w:type="dxa"/>
            <w:vAlign w:val="center"/>
          </w:tcPr>
          <w:p>
            <w:pPr>
              <w:spacing w:line="360" w:lineRule="auto"/>
            </w:pPr>
          </w:p>
        </w:tc>
        <w:tc>
          <w:tcPr>
            <w:tcW w:w="976" w:type="dxa"/>
            <w:vAlign w:val="center"/>
          </w:tcPr>
          <w:p>
            <w:pPr>
              <w:spacing w:line="360" w:lineRule="auto"/>
            </w:pPr>
          </w:p>
        </w:tc>
        <w:tc>
          <w:tcPr>
            <w:tcW w:w="816" w:type="dxa"/>
            <w:vAlign w:val="center"/>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vAlign w:val="center"/>
          </w:tcPr>
          <w:p>
            <w:pPr>
              <w:spacing w:line="360" w:lineRule="auto"/>
              <w:jc w:val="center"/>
            </w:pPr>
            <w:r>
              <w:t>2</w:t>
            </w:r>
          </w:p>
        </w:tc>
        <w:tc>
          <w:tcPr>
            <w:tcW w:w="1500" w:type="dxa"/>
            <w:vAlign w:val="center"/>
          </w:tcPr>
          <w:p>
            <w:pPr>
              <w:spacing w:line="360" w:lineRule="auto"/>
            </w:pPr>
          </w:p>
        </w:tc>
        <w:tc>
          <w:tcPr>
            <w:tcW w:w="1064" w:type="dxa"/>
            <w:vAlign w:val="center"/>
          </w:tcPr>
          <w:p>
            <w:pPr>
              <w:spacing w:line="360" w:lineRule="auto"/>
            </w:pPr>
          </w:p>
        </w:tc>
        <w:tc>
          <w:tcPr>
            <w:tcW w:w="682" w:type="dxa"/>
            <w:vAlign w:val="center"/>
          </w:tcPr>
          <w:p>
            <w:pPr>
              <w:spacing w:line="360" w:lineRule="auto"/>
            </w:pPr>
          </w:p>
        </w:tc>
        <w:tc>
          <w:tcPr>
            <w:tcW w:w="709" w:type="dxa"/>
            <w:vAlign w:val="center"/>
          </w:tcPr>
          <w:p>
            <w:pPr>
              <w:spacing w:line="360" w:lineRule="auto"/>
            </w:pPr>
          </w:p>
        </w:tc>
        <w:tc>
          <w:tcPr>
            <w:tcW w:w="2045" w:type="dxa"/>
            <w:vAlign w:val="center"/>
          </w:tcPr>
          <w:p>
            <w:pPr>
              <w:spacing w:line="360" w:lineRule="auto"/>
            </w:pPr>
          </w:p>
        </w:tc>
        <w:tc>
          <w:tcPr>
            <w:tcW w:w="937" w:type="dxa"/>
            <w:vAlign w:val="center"/>
          </w:tcPr>
          <w:p>
            <w:pPr>
              <w:spacing w:line="360" w:lineRule="auto"/>
            </w:pPr>
          </w:p>
        </w:tc>
        <w:tc>
          <w:tcPr>
            <w:tcW w:w="976" w:type="dxa"/>
            <w:vAlign w:val="center"/>
          </w:tcPr>
          <w:p>
            <w:pPr>
              <w:spacing w:line="360" w:lineRule="auto"/>
            </w:pPr>
          </w:p>
        </w:tc>
        <w:tc>
          <w:tcPr>
            <w:tcW w:w="816" w:type="dxa"/>
            <w:vAlign w:val="center"/>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vAlign w:val="center"/>
          </w:tcPr>
          <w:p>
            <w:pPr>
              <w:spacing w:line="360" w:lineRule="auto"/>
              <w:jc w:val="center"/>
            </w:pPr>
            <w:r>
              <w:t>3</w:t>
            </w:r>
          </w:p>
        </w:tc>
        <w:tc>
          <w:tcPr>
            <w:tcW w:w="1500" w:type="dxa"/>
            <w:vAlign w:val="center"/>
          </w:tcPr>
          <w:p>
            <w:pPr>
              <w:spacing w:line="360" w:lineRule="auto"/>
            </w:pPr>
          </w:p>
        </w:tc>
        <w:tc>
          <w:tcPr>
            <w:tcW w:w="1064" w:type="dxa"/>
            <w:vAlign w:val="center"/>
          </w:tcPr>
          <w:p>
            <w:pPr>
              <w:spacing w:line="360" w:lineRule="auto"/>
            </w:pPr>
          </w:p>
        </w:tc>
        <w:tc>
          <w:tcPr>
            <w:tcW w:w="682" w:type="dxa"/>
            <w:vAlign w:val="center"/>
          </w:tcPr>
          <w:p>
            <w:pPr>
              <w:spacing w:line="360" w:lineRule="auto"/>
            </w:pPr>
          </w:p>
        </w:tc>
        <w:tc>
          <w:tcPr>
            <w:tcW w:w="709" w:type="dxa"/>
            <w:vAlign w:val="center"/>
          </w:tcPr>
          <w:p>
            <w:pPr>
              <w:spacing w:line="360" w:lineRule="auto"/>
            </w:pPr>
          </w:p>
        </w:tc>
        <w:tc>
          <w:tcPr>
            <w:tcW w:w="2045" w:type="dxa"/>
            <w:vAlign w:val="center"/>
          </w:tcPr>
          <w:p>
            <w:pPr>
              <w:spacing w:line="360" w:lineRule="auto"/>
            </w:pPr>
          </w:p>
        </w:tc>
        <w:tc>
          <w:tcPr>
            <w:tcW w:w="937" w:type="dxa"/>
            <w:vAlign w:val="center"/>
          </w:tcPr>
          <w:p>
            <w:pPr>
              <w:spacing w:line="360" w:lineRule="auto"/>
            </w:pPr>
          </w:p>
        </w:tc>
        <w:tc>
          <w:tcPr>
            <w:tcW w:w="976" w:type="dxa"/>
            <w:vAlign w:val="center"/>
          </w:tcPr>
          <w:p>
            <w:pPr>
              <w:spacing w:line="360" w:lineRule="auto"/>
            </w:pPr>
          </w:p>
        </w:tc>
        <w:tc>
          <w:tcPr>
            <w:tcW w:w="816" w:type="dxa"/>
            <w:vAlign w:val="center"/>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vAlign w:val="center"/>
          </w:tcPr>
          <w:p>
            <w:pPr>
              <w:spacing w:line="360" w:lineRule="auto"/>
            </w:pPr>
          </w:p>
        </w:tc>
        <w:tc>
          <w:tcPr>
            <w:tcW w:w="1500" w:type="dxa"/>
            <w:vAlign w:val="center"/>
          </w:tcPr>
          <w:p>
            <w:pPr>
              <w:spacing w:line="360" w:lineRule="auto"/>
            </w:pPr>
          </w:p>
        </w:tc>
        <w:tc>
          <w:tcPr>
            <w:tcW w:w="1064" w:type="dxa"/>
            <w:vAlign w:val="center"/>
          </w:tcPr>
          <w:p>
            <w:pPr>
              <w:spacing w:line="360" w:lineRule="auto"/>
            </w:pPr>
          </w:p>
        </w:tc>
        <w:tc>
          <w:tcPr>
            <w:tcW w:w="682" w:type="dxa"/>
            <w:vAlign w:val="center"/>
          </w:tcPr>
          <w:p>
            <w:pPr>
              <w:spacing w:line="360" w:lineRule="auto"/>
            </w:pPr>
          </w:p>
        </w:tc>
        <w:tc>
          <w:tcPr>
            <w:tcW w:w="709" w:type="dxa"/>
            <w:vAlign w:val="center"/>
          </w:tcPr>
          <w:p>
            <w:pPr>
              <w:spacing w:line="360" w:lineRule="auto"/>
            </w:pPr>
          </w:p>
        </w:tc>
        <w:tc>
          <w:tcPr>
            <w:tcW w:w="2045" w:type="dxa"/>
            <w:vAlign w:val="center"/>
          </w:tcPr>
          <w:p>
            <w:pPr>
              <w:spacing w:line="360" w:lineRule="auto"/>
            </w:pPr>
          </w:p>
        </w:tc>
        <w:tc>
          <w:tcPr>
            <w:tcW w:w="937" w:type="dxa"/>
            <w:vAlign w:val="center"/>
          </w:tcPr>
          <w:p>
            <w:pPr>
              <w:spacing w:line="360" w:lineRule="auto"/>
            </w:pPr>
          </w:p>
        </w:tc>
        <w:tc>
          <w:tcPr>
            <w:tcW w:w="976" w:type="dxa"/>
            <w:vAlign w:val="center"/>
          </w:tcPr>
          <w:p>
            <w:pPr>
              <w:spacing w:line="360" w:lineRule="auto"/>
            </w:pPr>
          </w:p>
        </w:tc>
        <w:tc>
          <w:tcPr>
            <w:tcW w:w="816" w:type="dxa"/>
            <w:vAlign w:val="center"/>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vAlign w:val="center"/>
          </w:tcPr>
          <w:p>
            <w:pPr>
              <w:spacing w:line="360" w:lineRule="auto"/>
            </w:pPr>
          </w:p>
        </w:tc>
        <w:tc>
          <w:tcPr>
            <w:tcW w:w="8729" w:type="dxa"/>
            <w:gridSpan w:val="8"/>
            <w:vAlign w:val="center"/>
          </w:tcPr>
          <w:p>
            <w:pPr>
              <w:spacing w:line="360" w:lineRule="auto"/>
            </w:pPr>
            <w:r>
              <w:t>投标总价：</w:t>
            </w:r>
          </w:p>
        </w:tc>
      </w:tr>
    </w:tbl>
    <w:p>
      <w:pPr>
        <w:pStyle w:val="10"/>
        <w:adjustRightInd w:val="0"/>
        <w:snapToGrid w:val="0"/>
        <w:spacing w:before="156" w:after="156" w:line="360" w:lineRule="auto"/>
        <w:rPr>
          <w:rFonts w:ascii="Times New Roman" w:hAnsi="Times New Roman"/>
          <w:color w:val="000000"/>
          <w:sz w:val="21"/>
          <w:szCs w:val="21"/>
        </w:rPr>
      </w:pPr>
      <w:r>
        <w:rPr>
          <w:rFonts w:ascii="Times New Roman" w:hAnsi="Times New Roman"/>
          <w:color w:val="000000"/>
          <w:sz w:val="21"/>
          <w:szCs w:val="21"/>
        </w:rPr>
        <w:t>报价说明：</w:t>
      </w:r>
    </w:p>
    <w:p>
      <w:pPr>
        <w:pStyle w:val="10"/>
        <w:adjustRightInd w:val="0"/>
        <w:snapToGrid w:val="0"/>
        <w:spacing w:before="156" w:after="156" w:line="360" w:lineRule="auto"/>
        <w:ind w:firstLine="480"/>
        <w:rPr>
          <w:rFonts w:ascii="Times New Roman" w:hAnsi="Times New Roman"/>
          <w:color w:val="000000"/>
          <w:sz w:val="21"/>
          <w:szCs w:val="21"/>
        </w:rPr>
      </w:pPr>
      <w:r>
        <w:rPr>
          <w:rFonts w:ascii="Times New Roman" w:hAnsi="Times New Roman"/>
          <w:color w:val="000000"/>
          <w:sz w:val="21"/>
          <w:szCs w:val="21"/>
        </w:rPr>
        <w:t>1）本项目价格包括设备费及相关服务费。</w:t>
      </w:r>
    </w:p>
    <w:p>
      <w:pPr>
        <w:pStyle w:val="10"/>
        <w:adjustRightInd w:val="0"/>
        <w:snapToGrid w:val="0"/>
        <w:spacing w:before="156" w:after="156" w:line="360" w:lineRule="auto"/>
        <w:ind w:firstLine="480"/>
        <w:rPr>
          <w:rFonts w:ascii="Times New Roman" w:hAnsi="Times New Roman"/>
          <w:color w:val="000000"/>
          <w:sz w:val="21"/>
          <w:szCs w:val="21"/>
        </w:rPr>
      </w:pPr>
      <w:r>
        <w:rPr>
          <w:rFonts w:ascii="Times New Roman" w:hAnsi="Times New Roman"/>
          <w:color w:val="000000"/>
          <w:sz w:val="21"/>
          <w:szCs w:val="21"/>
        </w:rPr>
        <w:t>2）设备费包括设备本体、随机配送（备品备件、另配件、专用工具）的所有费用。</w:t>
      </w:r>
    </w:p>
    <w:p>
      <w:pPr>
        <w:pStyle w:val="10"/>
        <w:adjustRightInd w:val="0"/>
        <w:snapToGrid w:val="0"/>
        <w:spacing w:before="156" w:after="156" w:line="360" w:lineRule="auto"/>
        <w:ind w:firstLine="480"/>
        <w:rPr>
          <w:rFonts w:ascii="Times New Roman" w:hAnsi="Times New Roman"/>
          <w:color w:val="000000"/>
          <w:sz w:val="21"/>
          <w:szCs w:val="21"/>
        </w:rPr>
      </w:pPr>
      <w:r>
        <w:rPr>
          <w:rFonts w:ascii="Times New Roman" w:hAnsi="Times New Roman"/>
          <w:color w:val="000000"/>
          <w:sz w:val="21"/>
          <w:szCs w:val="21"/>
        </w:rPr>
        <w:t>3）相关服务费包括运杂费、保险费、到货验收、保管、安装、调试、试运行、检验、验收合格、交付使用、保修期内的售后服务及采购文件规定的其他费用等所涉及全部费用。</w:t>
      </w:r>
    </w:p>
    <w:p>
      <w:pPr>
        <w:pStyle w:val="10"/>
        <w:adjustRightInd w:val="0"/>
        <w:snapToGrid w:val="0"/>
        <w:spacing w:before="156" w:after="156" w:line="360" w:lineRule="auto"/>
        <w:ind w:firstLine="480"/>
        <w:rPr>
          <w:rFonts w:ascii="Times New Roman" w:hAnsi="Times New Roman"/>
          <w:color w:val="000000"/>
          <w:sz w:val="21"/>
          <w:szCs w:val="21"/>
        </w:rPr>
      </w:pPr>
      <w:r>
        <w:rPr>
          <w:rFonts w:ascii="Times New Roman" w:hAnsi="Times New Roman"/>
          <w:color w:val="000000"/>
          <w:sz w:val="21"/>
          <w:szCs w:val="21"/>
        </w:rPr>
        <w:t>4）本项目为交钥匙项目，除甲方提供合同约定的配合内容外，其他均由乙方完成。所产生费用均应在上表中体现合计费用结转至开标一览表。</w:t>
      </w:r>
    </w:p>
    <w:p>
      <w:pPr>
        <w:pStyle w:val="10"/>
        <w:adjustRightInd w:val="0"/>
        <w:snapToGrid w:val="0"/>
        <w:spacing w:before="156" w:after="156" w:line="360" w:lineRule="auto"/>
        <w:ind w:firstLine="480"/>
        <w:rPr>
          <w:rFonts w:ascii="Times New Roman" w:hAnsi="Times New Roman"/>
          <w:color w:val="000000"/>
          <w:sz w:val="21"/>
          <w:szCs w:val="21"/>
        </w:rPr>
      </w:pPr>
      <w:r>
        <w:rPr>
          <w:rFonts w:ascii="Times New Roman" w:hAnsi="Times New Roman"/>
          <w:color w:val="000000"/>
          <w:sz w:val="21"/>
          <w:szCs w:val="21"/>
        </w:rPr>
        <w:t>5）表中不得有给予采购人的赠品、回扣或者与本项目采购无关的其他商品、服务。</w:t>
      </w:r>
    </w:p>
    <w:p>
      <w:pPr>
        <w:pStyle w:val="10"/>
        <w:adjustRightInd w:val="0"/>
        <w:snapToGrid w:val="0"/>
        <w:spacing w:before="156" w:after="156" w:line="360" w:lineRule="auto"/>
        <w:ind w:firstLine="480"/>
        <w:rPr>
          <w:rFonts w:ascii="Times New Roman" w:hAnsi="Times New Roman"/>
          <w:color w:val="000000"/>
          <w:sz w:val="21"/>
          <w:szCs w:val="21"/>
        </w:rPr>
      </w:pPr>
      <w:r>
        <w:rPr>
          <w:rFonts w:ascii="Times New Roman" w:hAnsi="Times New Roman"/>
          <w:color w:val="000000"/>
          <w:sz w:val="21"/>
          <w:szCs w:val="21"/>
        </w:rPr>
        <w:t>6）各分项报价应合理，且不得低于成本。</w:t>
      </w:r>
    </w:p>
    <w:p>
      <w:pPr>
        <w:pStyle w:val="10"/>
        <w:adjustRightInd w:val="0"/>
        <w:snapToGrid w:val="0"/>
        <w:spacing w:before="156" w:after="156" w:line="360" w:lineRule="auto"/>
        <w:ind w:firstLine="480"/>
        <w:rPr>
          <w:rFonts w:ascii="Times New Roman" w:hAnsi="Times New Roman"/>
          <w:color w:val="000000"/>
          <w:sz w:val="21"/>
          <w:szCs w:val="21"/>
        </w:rPr>
      </w:pPr>
      <w:r>
        <w:rPr>
          <w:rFonts w:ascii="Times New Roman" w:hAnsi="Times New Roman"/>
          <w:color w:val="000000"/>
          <w:sz w:val="21"/>
          <w:szCs w:val="21"/>
        </w:rPr>
        <w:t>7）表格可扩展。</w:t>
      </w:r>
    </w:p>
    <w:p>
      <w:pPr>
        <w:pStyle w:val="10"/>
        <w:adjustRightInd w:val="0"/>
        <w:snapToGrid w:val="0"/>
        <w:spacing w:before="156" w:after="156" w:line="360" w:lineRule="auto"/>
        <w:ind w:firstLine="480"/>
        <w:rPr>
          <w:rFonts w:ascii="Times New Roman" w:hAnsi="Times New Roman"/>
          <w:color w:val="000000"/>
          <w:sz w:val="21"/>
          <w:szCs w:val="21"/>
        </w:rPr>
      </w:pPr>
      <w:r>
        <w:rPr>
          <w:rFonts w:hint="eastAsia" w:ascii="Times New Roman" w:hAnsi="Times New Roman"/>
          <w:color w:val="000000"/>
          <w:sz w:val="21"/>
          <w:szCs w:val="21"/>
        </w:rPr>
        <w:t>8）此表投标总价应与开标一览表中投标总价完全一致。</w:t>
      </w:r>
    </w:p>
    <w:p>
      <w:pPr>
        <w:pStyle w:val="10"/>
        <w:adjustRightInd w:val="0"/>
        <w:snapToGrid w:val="0"/>
        <w:spacing w:before="156" w:after="156" w:line="300" w:lineRule="auto"/>
        <w:ind w:firstLine="2940" w:firstLineChars="1400"/>
        <w:rPr>
          <w:rFonts w:ascii="Times New Roman" w:hAnsi="Times New Roman"/>
          <w:color w:val="000000"/>
          <w:sz w:val="21"/>
          <w:szCs w:val="21"/>
        </w:rPr>
      </w:pPr>
      <w:r>
        <w:rPr>
          <w:rFonts w:hint="eastAsia" w:ascii="Times New Roman" w:hAnsi="Times New Roman"/>
          <w:color w:val="000000"/>
          <w:sz w:val="21"/>
          <w:szCs w:val="21"/>
        </w:rPr>
        <w:t>供应商</w:t>
      </w:r>
      <w:r>
        <w:rPr>
          <w:rFonts w:ascii="Times New Roman" w:hAnsi="Times New Roman"/>
          <w:color w:val="000000"/>
          <w:sz w:val="21"/>
          <w:szCs w:val="21"/>
        </w:rPr>
        <w:t>全称（</w:t>
      </w:r>
      <w:r>
        <w:rPr>
          <w:rFonts w:hint="eastAsia" w:ascii="Times New Roman" w:hAnsi="Times New Roman"/>
          <w:color w:val="000000"/>
          <w:sz w:val="21"/>
          <w:szCs w:val="21"/>
        </w:rPr>
        <w:t>盖单位公章或电子签章</w:t>
      </w:r>
      <w:r>
        <w:rPr>
          <w:rFonts w:ascii="Times New Roman" w:hAnsi="Times New Roman"/>
          <w:color w:val="000000"/>
          <w:sz w:val="21"/>
          <w:szCs w:val="21"/>
        </w:rPr>
        <w:t>）：</w:t>
      </w:r>
    </w:p>
    <w:p>
      <w:pPr>
        <w:pStyle w:val="10"/>
        <w:adjustRightInd w:val="0"/>
        <w:snapToGrid w:val="0"/>
        <w:spacing w:before="156" w:after="156" w:line="300" w:lineRule="auto"/>
        <w:ind w:firstLine="2994" w:firstLineChars="1426"/>
        <w:rPr>
          <w:rFonts w:ascii="Times New Roman" w:hAnsi="Times New Roman"/>
          <w:color w:val="000000"/>
          <w:kern w:val="0"/>
          <w:szCs w:val="21"/>
        </w:rPr>
      </w:pPr>
      <w:r>
        <w:rPr>
          <w:rFonts w:ascii="Times New Roman" w:hAnsi="Times New Roman"/>
          <w:color w:val="000000"/>
          <w:sz w:val="21"/>
          <w:szCs w:val="21"/>
        </w:rPr>
        <w:t>日</w:t>
      </w:r>
      <w:r>
        <w:rPr>
          <w:rFonts w:hint="eastAsia" w:ascii="Times New Roman" w:hAnsi="Times New Roman"/>
          <w:color w:val="000000"/>
          <w:sz w:val="21"/>
          <w:szCs w:val="21"/>
        </w:rPr>
        <w:t xml:space="preserve">  </w:t>
      </w:r>
      <w:r>
        <w:rPr>
          <w:rFonts w:ascii="Times New Roman" w:hAnsi="Times New Roman"/>
          <w:color w:val="000000"/>
          <w:sz w:val="21"/>
          <w:szCs w:val="21"/>
        </w:rPr>
        <w:t xml:space="preserve">期：  </w:t>
      </w:r>
      <w:r>
        <w:rPr>
          <w:rFonts w:ascii="Times New Roman" w:hAnsi="Times New Roman"/>
          <w:color w:val="000000"/>
          <w:kern w:val="0"/>
          <w:sz w:val="21"/>
          <w:szCs w:val="21"/>
        </w:rPr>
        <w:t>年  月  日</w:t>
      </w:r>
    </w:p>
    <w:p>
      <w:pPr>
        <w:pStyle w:val="4"/>
        <w:rPr>
          <w:rFonts w:ascii="Times New Roman" w:hAnsi="Times New Roman"/>
          <w:color w:val="000000"/>
          <w:kern w:val="0"/>
          <w:szCs w:val="21"/>
        </w:rPr>
      </w:pPr>
      <w:r>
        <w:rPr>
          <w:rFonts w:ascii="Times New Roman" w:hAnsi="Times New Roman"/>
          <w:color w:val="000000"/>
          <w:kern w:val="0"/>
          <w:szCs w:val="21"/>
        </w:rPr>
        <w:br w:type="page"/>
      </w:r>
      <w:bookmarkStart w:id="143" w:name="_Toc30033"/>
      <w:r>
        <w:rPr>
          <w:sz w:val="24"/>
          <w:szCs w:val="24"/>
        </w:rPr>
        <w:t>3、</w:t>
      </w:r>
      <w:r>
        <w:rPr>
          <w:sz w:val="24"/>
          <w:szCs w:val="24"/>
        </w:rPr>
        <w:tab/>
      </w:r>
      <w:r>
        <w:rPr>
          <w:rFonts w:hint="eastAsia"/>
          <w:sz w:val="24"/>
          <w:szCs w:val="24"/>
        </w:rPr>
        <w:t>供应商</w:t>
      </w:r>
      <w:r>
        <w:rPr>
          <w:sz w:val="24"/>
          <w:szCs w:val="24"/>
        </w:rPr>
        <w:t>认为有必要提供的其它文件</w:t>
      </w:r>
      <w:bookmarkEnd w:id="143"/>
    </w:p>
    <w:p>
      <w:pPr>
        <w:pStyle w:val="4"/>
        <w:ind w:firstLine="630" w:firstLineChars="196"/>
        <w:rPr>
          <w:rFonts w:ascii="Times New Roman" w:hAnsi="Times New Roman"/>
          <w:color w:val="000000"/>
        </w:rPr>
      </w:pPr>
      <w:r>
        <w:rPr>
          <w:rFonts w:ascii="Times New Roman" w:hAnsi="Times New Roman"/>
          <w:color w:val="000000"/>
          <w:kern w:val="0"/>
          <w:szCs w:val="21"/>
        </w:rPr>
        <w:br w:type="page"/>
      </w:r>
      <w:bookmarkStart w:id="144" w:name="_Toc30753"/>
      <w:bookmarkStart w:id="145" w:name="_Toc437953149"/>
      <w:bookmarkStart w:id="146" w:name="_Toc336683578"/>
      <w:bookmarkStart w:id="147" w:name="_Toc345575538"/>
      <w:r>
        <w:rPr>
          <w:rFonts w:hint="eastAsia" w:ascii="Times New Roman" w:hAnsi="Times New Roman"/>
          <w:color w:val="000000"/>
          <w:kern w:val="0"/>
        </w:rPr>
        <w:t>资格文件</w:t>
      </w:r>
      <w:r>
        <w:rPr>
          <w:rFonts w:ascii="Times New Roman" w:hAnsi="Times New Roman"/>
          <w:color w:val="000000"/>
          <w:kern w:val="0"/>
        </w:rPr>
        <w:t>封面</w:t>
      </w:r>
      <w:bookmarkEnd w:id="144"/>
      <w:bookmarkEnd w:id="145"/>
    </w:p>
    <w:p>
      <w:pPr>
        <w:tabs>
          <w:tab w:val="left" w:pos="2580"/>
          <w:tab w:val="left" w:pos="5940"/>
        </w:tabs>
        <w:autoSpaceDE w:val="0"/>
        <w:autoSpaceDN w:val="0"/>
        <w:adjustRightInd w:val="0"/>
        <w:snapToGrid w:val="0"/>
        <w:spacing w:line="300" w:lineRule="auto"/>
        <w:ind w:right="-20" w:firstLine="735" w:firstLineChars="350"/>
        <w:rPr>
          <w:color w:val="000000"/>
        </w:rPr>
      </w:pPr>
    </w:p>
    <w:p>
      <w:pPr>
        <w:tabs>
          <w:tab w:val="left" w:pos="2580"/>
          <w:tab w:val="left" w:pos="5940"/>
        </w:tabs>
        <w:autoSpaceDE w:val="0"/>
        <w:autoSpaceDN w:val="0"/>
        <w:adjustRightInd w:val="0"/>
        <w:snapToGrid w:val="0"/>
        <w:spacing w:line="300" w:lineRule="auto"/>
        <w:ind w:right="-20"/>
        <w:jc w:val="right"/>
        <w:rPr>
          <w:color w:val="000000"/>
          <w:kern w:val="0"/>
          <w:sz w:val="28"/>
        </w:rPr>
      </w:pPr>
    </w:p>
    <w:p>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r>
        <w:rPr>
          <w:color w:val="000000"/>
          <w:kern w:val="0"/>
          <w:sz w:val="24"/>
          <w:u w:val="single"/>
        </w:rPr>
        <w:t xml:space="preserve">               </w:t>
      </w: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w:t>
      </w:r>
      <w:r>
        <w:rPr>
          <w:rFonts w:hint="eastAsia"/>
          <w:color w:val="000000"/>
          <w:kern w:val="0"/>
          <w:sz w:val="52"/>
        </w:rPr>
        <w:t>资格文件</w:t>
      </w:r>
      <w:r>
        <w:rPr>
          <w:color w:val="000000"/>
          <w:kern w:val="0"/>
          <w:sz w:val="52"/>
        </w:rPr>
        <w:t>）</w:t>
      </w:r>
    </w:p>
    <w:p>
      <w:pPr>
        <w:autoSpaceDE w:val="0"/>
        <w:autoSpaceDN w:val="0"/>
        <w:adjustRightInd w:val="0"/>
        <w:snapToGrid w:val="0"/>
        <w:spacing w:line="300" w:lineRule="auto"/>
        <w:jc w:val="left"/>
        <w:rPr>
          <w:color w:val="000000"/>
          <w:kern w:val="0"/>
          <w:sz w:val="16"/>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w:t>
      </w:r>
      <w:r>
        <w:rPr>
          <w:rFonts w:hint="eastAsia"/>
          <w:color w:val="000000"/>
          <w:kern w:val="0"/>
          <w:sz w:val="28"/>
        </w:rPr>
        <w:t>盖单位公章或电子签章</w:t>
      </w:r>
      <w:r>
        <w:rPr>
          <w:color w:val="000000"/>
          <w:kern w:val="0"/>
          <w:sz w:val="28"/>
        </w:rPr>
        <w:t>）</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t>目录</w:t>
      </w:r>
    </w:p>
    <w:bookmarkEnd w:id="146"/>
    <w:bookmarkEnd w:id="147"/>
    <w:p>
      <w:pPr>
        <w:pStyle w:val="34"/>
        <w:snapToGrid w:val="0"/>
        <w:spacing w:line="360" w:lineRule="auto"/>
        <w:ind w:firstLine="420"/>
        <w:rPr>
          <w:rFonts w:ascii="Times New Roman" w:hAnsi="Times New Roman"/>
          <w:color w:val="000000"/>
        </w:rPr>
      </w:pPr>
      <w:r>
        <w:rPr>
          <w:rFonts w:hint="eastAsia" w:ascii="Times New Roman" w:hAnsi="Times New Roman"/>
          <w:color w:val="000000"/>
        </w:rPr>
        <w:t>（1）符合《中华人民共和国政府采购法》第二十二条规定的相关证明材料；</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各投标人须在投标文件中出具对应证明材料。（商业信誉可提前自查，投标文件中可不提供）</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a.具有独立承担民事责任能力的证明材料；</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投标人须在投标文件中出具符合以下情况的证明材料扫描件（五选一）：</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①　如投标人是企业（包括合伙企业），提供在工商部门注册的有效“企业法人营业执照”或“营业执照”；</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②　如投标人是事业单位，提供有效的“事业单位法人证书”；</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③　如投标人是非企业专业服务机构的，提供执业许可证等证明文件；</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④　如投标人是个体工商户，提供有效的“个体工商户营业执照”；</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⑤　如投标人是自然人，提供有效的自然人身份证明（居民身份证正反面或公安机关出具的临时居民身份证正反面或港澳台胞证或护照）。</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b.符合参与政府采购活动资格条件的承诺函；</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c.商业信誉：</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对列入失信被执行人、重大税收违法案件当事人名单、政府采购严重违法失信行为记录名单的投标人，其投标将作无效标处理。</w:t>
      </w:r>
    </w:p>
    <w:p>
      <w:pPr>
        <w:pStyle w:val="34"/>
        <w:snapToGrid w:val="0"/>
        <w:spacing w:line="360" w:lineRule="auto"/>
        <w:ind w:firstLine="420"/>
        <w:rPr>
          <w:rFonts w:ascii="Times New Roman" w:hAnsi="Times New Roman"/>
          <w:color w:val="000000"/>
        </w:rPr>
      </w:pPr>
      <w:r>
        <w:rPr>
          <w:rFonts w:hint="eastAsia"/>
          <w:color w:val="000000"/>
        </w:rPr>
        <w:t>（2）落实政府采购政策需满足的资格要求：无</w:t>
      </w:r>
    </w:p>
    <w:p>
      <w:pPr>
        <w:pStyle w:val="34"/>
        <w:snapToGrid w:val="0"/>
        <w:spacing w:line="360" w:lineRule="auto"/>
        <w:ind w:firstLine="420"/>
        <w:rPr>
          <w:rFonts w:ascii="宋体" w:hAnsi="宋体" w:cs="宋体"/>
          <w:bCs/>
          <w:color w:val="000000"/>
          <w:szCs w:val="21"/>
        </w:rPr>
      </w:pPr>
      <w:r>
        <w:rPr>
          <w:rFonts w:hint="eastAsia" w:ascii="Times New Roman" w:hAnsi="Times New Roman"/>
          <w:color w:val="000000"/>
        </w:rPr>
        <w:t>（3）特定资格条件：无。</w:t>
      </w:r>
      <w:r>
        <w:rPr>
          <w:rFonts w:ascii="Times New Roman" w:hAnsi="Times New Roman"/>
          <w:color w:val="000000"/>
        </w:rPr>
        <w:br w:type="page"/>
      </w:r>
      <w:r>
        <w:rPr>
          <w:rFonts w:hint="eastAsia" w:ascii="宋体" w:hAnsi="宋体" w:cs="宋体"/>
          <w:bCs/>
          <w:color w:val="000000"/>
          <w:szCs w:val="21"/>
        </w:rPr>
        <w:t>基本资格条件相关证明材料</w:t>
      </w:r>
    </w:p>
    <w:p>
      <w:pPr>
        <w:pStyle w:val="19"/>
        <w:numPr>
          <w:ilvl w:val="0"/>
          <w:numId w:val="5"/>
        </w:numPr>
        <w:tabs>
          <w:tab w:val="left" w:pos="630"/>
          <w:tab w:val="left" w:pos="840"/>
          <w:tab w:val="left" w:pos="1050"/>
        </w:tabs>
        <w:adjustRightInd w:val="0"/>
        <w:snapToGrid w:val="0"/>
        <w:spacing w:before="0" w:beforeAutospacing="0" w:after="0" w:afterAutospacing="0" w:line="360" w:lineRule="auto"/>
        <w:ind w:hanging="5"/>
        <w:rPr>
          <w:rFonts w:cs="宋体"/>
          <w:bCs/>
          <w:color w:val="000000"/>
          <w:sz w:val="21"/>
          <w:szCs w:val="21"/>
        </w:rPr>
      </w:pPr>
      <w:r>
        <w:rPr>
          <w:rFonts w:hint="eastAsia" w:cs="宋体"/>
          <w:bCs/>
          <w:color w:val="000000"/>
          <w:sz w:val="21"/>
          <w:szCs w:val="21"/>
        </w:rPr>
        <w:t>具有独立承担民事责任能力的证明材料：</w:t>
      </w:r>
    </w:p>
    <w:p>
      <w:pPr>
        <w:pStyle w:val="19"/>
        <w:tabs>
          <w:tab w:val="left" w:pos="630"/>
          <w:tab w:val="left" w:pos="840"/>
          <w:tab w:val="left" w:pos="1050"/>
        </w:tabs>
        <w:adjustRightInd w:val="0"/>
        <w:snapToGrid w:val="0"/>
        <w:spacing w:before="0" w:beforeAutospacing="0" w:after="0" w:afterAutospacing="0" w:line="360" w:lineRule="auto"/>
        <w:ind w:left="420"/>
        <w:rPr>
          <w:rFonts w:cs="宋体"/>
          <w:bCs/>
          <w:color w:val="000000"/>
          <w:sz w:val="21"/>
          <w:szCs w:val="21"/>
        </w:rPr>
      </w:pPr>
      <w:r>
        <w:rPr>
          <w:rFonts w:hint="eastAsia" w:cs="宋体"/>
          <w:bCs/>
          <w:color w:val="000000"/>
          <w:sz w:val="21"/>
          <w:szCs w:val="21"/>
        </w:rPr>
        <w:t>投标人须在投标文件中出具符合以下情况的证明材料扫描件（五选一）：</w:t>
      </w:r>
    </w:p>
    <w:p>
      <w:pPr>
        <w:pStyle w:val="19"/>
        <w:numPr>
          <w:ilvl w:val="0"/>
          <w:numId w:val="6"/>
        </w:numPr>
        <w:tabs>
          <w:tab w:val="left" w:pos="312"/>
        </w:tabs>
        <w:adjustRightInd w:val="0"/>
        <w:snapToGrid w:val="0"/>
        <w:spacing w:before="0" w:beforeAutospacing="0" w:after="0" w:afterAutospacing="0" w:line="360" w:lineRule="auto"/>
        <w:ind w:firstLine="420" w:firstLineChars="200"/>
        <w:rPr>
          <w:rFonts w:cs="宋体"/>
          <w:bCs/>
          <w:color w:val="000000"/>
          <w:sz w:val="21"/>
          <w:szCs w:val="21"/>
        </w:rPr>
      </w:pPr>
      <w:r>
        <w:rPr>
          <w:rFonts w:hint="eastAsia" w:cs="宋体"/>
          <w:bCs/>
          <w:color w:val="000000"/>
          <w:sz w:val="21"/>
          <w:szCs w:val="21"/>
        </w:rPr>
        <w:t>如投标人是企业（包括合伙企业），提供在工商部门注册的有效“企业法人营业执照”或“营业执照”；</w:t>
      </w:r>
    </w:p>
    <w:p>
      <w:pPr>
        <w:pStyle w:val="19"/>
        <w:numPr>
          <w:ilvl w:val="0"/>
          <w:numId w:val="6"/>
        </w:numPr>
        <w:tabs>
          <w:tab w:val="left" w:pos="312"/>
        </w:tabs>
        <w:adjustRightInd w:val="0"/>
        <w:snapToGrid w:val="0"/>
        <w:spacing w:before="0" w:beforeAutospacing="0" w:after="0" w:afterAutospacing="0" w:line="360" w:lineRule="auto"/>
        <w:ind w:firstLine="420" w:firstLineChars="200"/>
        <w:rPr>
          <w:rFonts w:cs="宋体"/>
          <w:bCs/>
          <w:color w:val="000000"/>
          <w:sz w:val="21"/>
          <w:szCs w:val="21"/>
        </w:rPr>
      </w:pPr>
      <w:r>
        <w:rPr>
          <w:rFonts w:hint="eastAsia" w:cs="宋体"/>
          <w:bCs/>
          <w:color w:val="000000"/>
          <w:sz w:val="21"/>
          <w:szCs w:val="21"/>
        </w:rPr>
        <w:t>如投标人是事业单位，提供有效的“事业单位法人证书”；</w:t>
      </w:r>
    </w:p>
    <w:p>
      <w:pPr>
        <w:pStyle w:val="19"/>
        <w:numPr>
          <w:ilvl w:val="0"/>
          <w:numId w:val="6"/>
        </w:numPr>
        <w:tabs>
          <w:tab w:val="left" w:pos="312"/>
        </w:tabs>
        <w:adjustRightInd w:val="0"/>
        <w:snapToGrid w:val="0"/>
        <w:spacing w:before="0" w:beforeAutospacing="0" w:after="0" w:afterAutospacing="0" w:line="360" w:lineRule="auto"/>
        <w:ind w:firstLine="420" w:firstLineChars="200"/>
        <w:rPr>
          <w:rFonts w:cs="宋体"/>
          <w:bCs/>
          <w:color w:val="000000"/>
          <w:sz w:val="21"/>
          <w:szCs w:val="21"/>
        </w:rPr>
      </w:pPr>
      <w:r>
        <w:rPr>
          <w:rFonts w:hint="eastAsia" w:cs="宋体"/>
          <w:bCs/>
          <w:color w:val="000000"/>
          <w:sz w:val="21"/>
          <w:szCs w:val="21"/>
        </w:rPr>
        <w:t>如投标人是非企业专业服务机构的，提供执业许可证等证明文件；</w:t>
      </w:r>
    </w:p>
    <w:p>
      <w:pPr>
        <w:pStyle w:val="19"/>
        <w:numPr>
          <w:ilvl w:val="0"/>
          <w:numId w:val="6"/>
        </w:numPr>
        <w:tabs>
          <w:tab w:val="left" w:pos="312"/>
        </w:tabs>
        <w:adjustRightInd w:val="0"/>
        <w:snapToGrid w:val="0"/>
        <w:spacing w:before="0" w:beforeAutospacing="0" w:after="0" w:afterAutospacing="0" w:line="360" w:lineRule="auto"/>
        <w:ind w:firstLine="420" w:firstLineChars="200"/>
        <w:rPr>
          <w:rFonts w:cs="宋体"/>
          <w:bCs/>
          <w:color w:val="000000"/>
          <w:sz w:val="21"/>
          <w:szCs w:val="21"/>
        </w:rPr>
      </w:pPr>
      <w:r>
        <w:rPr>
          <w:rFonts w:hint="eastAsia" w:cs="宋体"/>
          <w:bCs/>
          <w:color w:val="000000"/>
          <w:sz w:val="21"/>
          <w:szCs w:val="21"/>
        </w:rPr>
        <w:t>如投标人是个体工商户，提供有效的“个体工商户营业执照”；</w:t>
      </w:r>
    </w:p>
    <w:p>
      <w:pPr>
        <w:pStyle w:val="19"/>
        <w:numPr>
          <w:ilvl w:val="0"/>
          <w:numId w:val="6"/>
        </w:numPr>
        <w:tabs>
          <w:tab w:val="left" w:pos="312"/>
        </w:tabs>
        <w:adjustRightInd w:val="0"/>
        <w:snapToGrid w:val="0"/>
        <w:spacing w:before="0" w:beforeAutospacing="0" w:after="0" w:afterAutospacing="0" w:line="360" w:lineRule="auto"/>
        <w:ind w:firstLine="420" w:firstLineChars="200"/>
        <w:rPr>
          <w:rFonts w:cs="宋体"/>
          <w:bCs/>
          <w:color w:val="000000"/>
          <w:sz w:val="21"/>
          <w:szCs w:val="21"/>
        </w:rPr>
      </w:pPr>
      <w:r>
        <w:rPr>
          <w:rFonts w:hint="eastAsia" w:cs="宋体"/>
          <w:bCs/>
          <w:color w:val="000000"/>
          <w:sz w:val="21"/>
          <w:szCs w:val="21"/>
        </w:rPr>
        <w:t>如投标人是自然人，提供有效的自然人身份证明（居民身份证正反面或公安机关出具的临时居民身份证正反面或港澳台胞证或护照）。</w:t>
      </w:r>
    </w:p>
    <w:p>
      <w:pPr>
        <w:pStyle w:val="19"/>
        <w:tabs>
          <w:tab w:val="left" w:pos="312"/>
        </w:tabs>
        <w:adjustRightInd w:val="0"/>
        <w:snapToGrid w:val="0"/>
        <w:spacing w:before="0" w:beforeAutospacing="0" w:after="0" w:afterAutospacing="0" w:line="360" w:lineRule="auto"/>
        <w:rPr>
          <w:rFonts w:cs="宋体"/>
          <w:bCs/>
          <w:color w:val="000000"/>
          <w:sz w:val="21"/>
          <w:szCs w:val="21"/>
        </w:rPr>
      </w:pPr>
    </w:p>
    <w:p>
      <w:pPr>
        <w:pStyle w:val="19"/>
        <w:tabs>
          <w:tab w:val="left" w:pos="312"/>
        </w:tabs>
        <w:adjustRightInd w:val="0"/>
        <w:snapToGrid w:val="0"/>
        <w:spacing w:before="0" w:beforeAutospacing="0" w:after="0" w:afterAutospacing="0" w:line="360" w:lineRule="auto"/>
        <w:ind w:left="420" w:leftChars="200"/>
        <w:rPr>
          <w:rFonts w:cs="宋体"/>
          <w:color w:val="000000"/>
          <w:sz w:val="21"/>
          <w:szCs w:val="21"/>
        </w:rPr>
      </w:pPr>
      <w:r>
        <w:rPr>
          <w:rFonts w:hint="eastAsia" w:cs="宋体"/>
          <w:b/>
          <w:bCs/>
          <w:color w:val="000000"/>
          <w:sz w:val="21"/>
          <w:szCs w:val="21"/>
        </w:rPr>
        <w:br w:type="page"/>
      </w:r>
    </w:p>
    <w:p>
      <w:pPr>
        <w:pStyle w:val="19"/>
        <w:numPr>
          <w:ilvl w:val="0"/>
          <w:numId w:val="5"/>
        </w:numPr>
        <w:tabs>
          <w:tab w:val="left" w:pos="630"/>
          <w:tab w:val="left" w:pos="840"/>
          <w:tab w:val="left" w:pos="1050"/>
        </w:tabs>
        <w:adjustRightInd w:val="0"/>
        <w:snapToGrid w:val="0"/>
        <w:spacing w:before="0" w:beforeAutospacing="0" w:after="0" w:afterAutospacing="0" w:line="360" w:lineRule="auto"/>
        <w:ind w:hanging="5"/>
        <w:rPr>
          <w:rFonts w:cs="宋体"/>
          <w:color w:val="000000"/>
          <w:sz w:val="21"/>
          <w:szCs w:val="21"/>
        </w:rPr>
      </w:pPr>
      <w:r>
        <w:rPr>
          <w:rFonts w:hint="eastAsia" w:cs="宋体"/>
          <w:color w:val="000000"/>
          <w:sz w:val="21"/>
          <w:szCs w:val="21"/>
        </w:rPr>
        <w:t>符合参与政府采购活动资格条件的承诺函：</w:t>
      </w:r>
    </w:p>
    <w:p>
      <w:pPr>
        <w:pStyle w:val="19"/>
        <w:adjustRightInd w:val="0"/>
        <w:snapToGrid w:val="0"/>
        <w:spacing w:before="0" w:beforeAutospacing="0" w:after="0" w:afterAutospacing="0" w:line="360" w:lineRule="auto"/>
        <w:ind w:left="420" w:leftChars="200"/>
        <w:rPr>
          <w:rFonts w:cs="宋体"/>
          <w:color w:val="000000"/>
          <w:sz w:val="21"/>
          <w:szCs w:val="21"/>
        </w:rPr>
      </w:pPr>
    </w:p>
    <w:p>
      <w:pPr>
        <w:pStyle w:val="19"/>
        <w:adjustRightInd w:val="0"/>
        <w:snapToGrid w:val="0"/>
        <w:spacing w:before="0" w:beforeAutospacing="0" w:after="0" w:afterAutospacing="0" w:line="360" w:lineRule="auto"/>
        <w:jc w:val="center"/>
        <w:rPr>
          <w:rFonts w:cs="宋体"/>
          <w:color w:val="000000"/>
          <w:sz w:val="32"/>
          <w:szCs w:val="32"/>
        </w:rPr>
      </w:pPr>
      <w:r>
        <w:rPr>
          <w:rFonts w:hint="eastAsia" w:cs="宋体"/>
          <w:color w:val="000000"/>
          <w:sz w:val="32"/>
          <w:szCs w:val="32"/>
        </w:rPr>
        <w:t>承诺函</w:t>
      </w:r>
    </w:p>
    <w:p>
      <w:pPr>
        <w:spacing w:line="480" w:lineRule="auto"/>
        <w:rPr>
          <w:rFonts w:ascii="宋体" w:hAnsi="宋体" w:cs="宋体"/>
          <w:color w:val="000000"/>
          <w:szCs w:val="21"/>
          <w:u w:val="single"/>
        </w:rPr>
      </w:pPr>
    </w:p>
    <w:p>
      <w:pPr>
        <w:spacing w:line="480" w:lineRule="auto"/>
        <w:rPr>
          <w:rFonts w:ascii="宋体" w:hAnsi="宋体" w:cs="宋体"/>
          <w:color w:val="000000"/>
          <w:szCs w:val="21"/>
          <w:u w:val="single"/>
        </w:rPr>
      </w:pPr>
      <w:r>
        <w:rPr>
          <w:rFonts w:hint="eastAsia" w:ascii="宋体" w:hAnsi="宋体" w:cs="宋体"/>
          <w:color w:val="000000"/>
          <w:szCs w:val="21"/>
          <w:u w:val="single"/>
        </w:rPr>
        <w:t>（采购人）：</w:t>
      </w:r>
    </w:p>
    <w:p>
      <w:pPr>
        <w:pStyle w:val="19"/>
        <w:spacing w:beforeAutospacing="0" w:afterAutospacing="0" w:line="480" w:lineRule="auto"/>
        <w:ind w:firstLine="840" w:firstLineChars="400"/>
        <w:rPr>
          <w:rFonts w:cs="宋体"/>
          <w:color w:val="000000"/>
          <w:sz w:val="21"/>
          <w:szCs w:val="21"/>
        </w:rPr>
      </w:pPr>
    </w:p>
    <w:p>
      <w:pPr>
        <w:pStyle w:val="19"/>
        <w:shd w:val="clear" w:color="auto" w:fill="FFFFFF"/>
        <w:spacing w:beforeAutospacing="0" w:afterAutospacing="0" w:line="480" w:lineRule="auto"/>
        <w:ind w:firstLine="420" w:firstLineChars="200"/>
        <w:rPr>
          <w:rFonts w:cs="宋体"/>
          <w:color w:val="000000"/>
          <w:sz w:val="21"/>
          <w:szCs w:val="21"/>
        </w:rPr>
      </w:pPr>
      <w:r>
        <w:rPr>
          <w:rFonts w:hint="eastAsia" w:cs="宋体"/>
          <w:color w:val="000000"/>
          <w:sz w:val="21"/>
          <w:szCs w:val="21"/>
        </w:rPr>
        <w:t>我方</w:t>
      </w:r>
      <w:r>
        <w:rPr>
          <w:rFonts w:hint="eastAsia" w:cs="宋体"/>
          <w:color w:val="000000"/>
          <w:sz w:val="21"/>
          <w:szCs w:val="21"/>
          <w:u w:val="single"/>
        </w:rPr>
        <w:t xml:space="preserve">    </w:t>
      </w:r>
      <w:r>
        <w:rPr>
          <w:rFonts w:hint="eastAsia" w:cs="宋体"/>
          <w:i/>
          <w:iCs/>
          <w:color w:val="000000"/>
          <w:sz w:val="21"/>
          <w:szCs w:val="21"/>
          <w:u w:val="single"/>
        </w:rPr>
        <w:t>（投标人全称）</w:t>
      </w:r>
      <w:r>
        <w:rPr>
          <w:rFonts w:hint="eastAsia" w:cs="宋体"/>
          <w:color w:val="000000"/>
          <w:sz w:val="21"/>
          <w:szCs w:val="21"/>
          <w:u w:val="single"/>
        </w:rPr>
        <w:t xml:space="preserve">  </w:t>
      </w:r>
      <w:r>
        <w:rPr>
          <w:rFonts w:hint="eastAsia" w:cs="宋体"/>
          <w:color w:val="000000"/>
          <w:sz w:val="21"/>
          <w:szCs w:val="21"/>
        </w:rPr>
        <w:t>参与</w:t>
      </w:r>
      <w:r>
        <w:rPr>
          <w:rFonts w:hint="eastAsia" w:cs="宋体"/>
          <w:color w:val="000000"/>
          <w:sz w:val="21"/>
          <w:szCs w:val="21"/>
          <w:u w:val="single"/>
        </w:rPr>
        <w:t xml:space="preserve">    </w:t>
      </w:r>
      <w:r>
        <w:rPr>
          <w:rFonts w:hint="eastAsia" w:cs="宋体"/>
          <w:i/>
          <w:iCs/>
          <w:color w:val="000000"/>
          <w:sz w:val="21"/>
          <w:szCs w:val="21"/>
          <w:u w:val="single"/>
        </w:rPr>
        <w:t xml:space="preserve">  （项目名称）   </w:t>
      </w:r>
      <w:r>
        <w:rPr>
          <w:rFonts w:hint="eastAsia" w:cs="宋体"/>
          <w:color w:val="000000"/>
          <w:sz w:val="21"/>
          <w:szCs w:val="21"/>
        </w:rPr>
        <w:t>政府采购活动，针对《中华人民共和国政府采购法》第二十二条所述条件做如下承诺：</w:t>
      </w:r>
    </w:p>
    <w:p>
      <w:pPr>
        <w:pStyle w:val="19"/>
        <w:numPr>
          <w:ilvl w:val="0"/>
          <w:numId w:val="7"/>
        </w:numPr>
        <w:shd w:val="clear" w:color="auto" w:fill="FFFFFF"/>
        <w:spacing w:beforeAutospacing="0" w:afterAutospacing="0" w:line="480" w:lineRule="auto"/>
        <w:ind w:firstLine="420" w:firstLineChars="200"/>
        <w:rPr>
          <w:rFonts w:cs="宋体"/>
          <w:color w:val="000000"/>
          <w:sz w:val="21"/>
          <w:szCs w:val="21"/>
        </w:rPr>
      </w:pPr>
      <w:r>
        <w:rPr>
          <w:rFonts w:hint="eastAsia" w:cs="宋体"/>
          <w:color w:val="000000"/>
          <w:sz w:val="21"/>
          <w:szCs w:val="21"/>
        </w:rPr>
        <w:t>我方具有良好的商业信誉和健全的财务会计制度；</w:t>
      </w:r>
    </w:p>
    <w:p>
      <w:pPr>
        <w:pStyle w:val="19"/>
        <w:numPr>
          <w:ilvl w:val="0"/>
          <w:numId w:val="7"/>
        </w:numPr>
        <w:shd w:val="clear" w:color="auto" w:fill="FFFFFF"/>
        <w:spacing w:beforeAutospacing="0" w:afterAutospacing="0" w:line="480" w:lineRule="auto"/>
        <w:ind w:firstLine="420" w:firstLineChars="200"/>
        <w:rPr>
          <w:rFonts w:cs="宋体"/>
          <w:color w:val="000000"/>
          <w:sz w:val="21"/>
          <w:szCs w:val="21"/>
        </w:rPr>
      </w:pPr>
      <w:r>
        <w:rPr>
          <w:rFonts w:hint="eastAsia" w:cs="宋体"/>
          <w:color w:val="000000"/>
          <w:sz w:val="21"/>
          <w:szCs w:val="21"/>
        </w:rPr>
        <w:t>我方具有履行本项目合同所必需的设备和专业技术能力；</w:t>
      </w:r>
    </w:p>
    <w:p>
      <w:pPr>
        <w:pStyle w:val="19"/>
        <w:numPr>
          <w:ilvl w:val="0"/>
          <w:numId w:val="7"/>
        </w:numPr>
        <w:shd w:val="clear" w:color="auto" w:fill="FFFFFF"/>
        <w:spacing w:beforeAutospacing="0" w:afterAutospacing="0" w:line="480" w:lineRule="auto"/>
        <w:ind w:firstLine="420" w:firstLineChars="200"/>
        <w:rPr>
          <w:rFonts w:cs="宋体"/>
          <w:color w:val="000000"/>
          <w:sz w:val="21"/>
          <w:szCs w:val="21"/>
        </w:rPr>
      </w:pPr>
      <w:r>
        <w:rPr>
          <w:rFonts w:hint="eastAsia" w:cs="宋体"/>
          <w:color w:val="000000"/>
          <w:sz w:val="21"/>
          <w:szCs w:val="21"/>
        </w:rPr>
        <w:t>我方没有缴纳税收和社会保障等方面的失信记录；</w:t>
      </w:r>
    </w:p>
    <w:p>
      <w:pPr>
        <w:pStyle w:val="19"/>
        <w:numPr>
          <w:ilvl w:val="0"/>
          <w:numId w:val="7"/>
        </w:numPr>
        <w:shd w:val="clear" w:color="auto" w:fill="FFFFFF"/>
        <w:spacing w:beforeAutospacing="0" w:afterAutospacing="0" w:line="480" w:lineRule="auto"/>
        <w:ind w:firstLine="420" w:firstLineChars="200"/>
        <w:rPr>
          <w:rFonts w:cs="宋体"/>
          <w:color w:val="000000"/>
          <w:sz w:val="21"/>
          <w:szCs w:val="21"/>
        </w:rPr>
      </w:pPr>
      <w:r>
        <w:rPr>
          <w:rFonts w:hint="eastAsia" w:cs="宋体"/>
          <w:color w:val="000000"/>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19"/>
        <w:spacing w:beforeAutospacing="0" w:afterAutospacing="0" w:line="480" w:lineRule="auto"/>
        <w:ind w:firstLine="420" w:firstLineChars="200"/>
        <w:rPr>
          <w:rFonts w:cs="宋体"/>
          <w:color w:val="000000"/>
          <w:sz w:val="21"/>
          <w:szCs w:val="21"/>
        </w:rPr>
      </w:pPr>
      <w:r>
        <w:rPr>
          <w:rFonts w:hint="eastAsia" w:cs="宋体"/>
          <w:color w:val="000000"/>
          <w:sz w:val="21"/>
          <w:szCs w:val="21"/>
        </w:rPr>
        <w:t>我方对上述承诺内容的真实性负责。如有虚假，将依法承担相应责任。</w:t>
      </w:r>
    </w:p>
    <w:p>
      <w:pPr>
        <w:pStyle w:val="19"/>
        <w:spacing w:beforeAutospacing="0" w:afterAutospacing="0" w:line="480" w:lineRule="auto"/>
        <w:ind w:firstLine="420" w:firstLineChars="200"/>
        <w:rPr>
          <w:rFonts w:cs="宋体"/>
          <w:color w:val="000000"/>
          <w:sz w:val="21"/>
          <w:szCs w:val="21"/>
        </w:rPr>
      </w:pPr>
    </w:p>
    <w:p>
      <w:pPr>
        <w:pStyle w:val="19"/>
        <w:spacing w:beforeAutospacing="0" w:afterAutospacing="0" w:line="480" w:lineRule="auto"/>
        <w:ind w:firstLine="422" w:firstLineChars="200"/>
        <w:rPr>
          <w:rFonts w:cs="宋体"/>
          <w:b/>
          <w:bCs/>
          <w:color w:val="000000"/>
          <w:sz w:val="21"/>
          <w:szCs w:val="21"/>
        </w:rPr>
      </w:pPr>
    </w:p>
    <w:p>
      <w:pPr>
        <w:pStyle w:val="19"/>
        <w:spacing w:beforeAutospacing="0" w:afterAutospacing="0" w:line="480" w:lineRule="auto"/>
        <w:ind w:firstLine="420" w:firstLineChars="200"/>
        <w:rPr>
          <w:rFonts w:cs="宋体"/>
          <w:color w:val="000000"/>
          <w:sz w:val="21"/>
          <w:szCs w:val="21"/>
        </w:rPr>
      </w:pPr>
      <w:r>
        <w:rPr>
          <w:rFonts w:hint="eastAsia" w:cs="宋体"/>
          <w:color w:val="000000"/>
          <w:sz w:val="21"/>
          <w:szCs w:val="21"/>
        </w:rPr>
        <w:t>供应商名称（盖单位公章或电子签章）：</w:t>
      </w:r>
    </w:p>
    <w:p>
      <w:pPr>
        <w:pStyle w:val="4"/>
        <w:ind w:firstLine="411" w:firstLineChars="196"/>
        <w:rPr>
          <w:rFonts w:ascii="Times New Roman" w:hAnsi="Times New Roman"/>
          <w:color w:val="000000"/>
        </w:rPr>
      </w:pPr>
      <w:bookmarkStart w:id="148" w:name="_Toc6197"/>
      <w:r>
        <w:rPr>
          <w:rFonts w:hint="eastAsia" w:ascii="宋体" w:hAnsi="宋体" w:eastAsia="宋体" w:cs="宋体"/>
          <w:b w:val="0"/>
          <w:bCs w:val="0"/>
          <w:color w:val="000000"/>
          <w:sz w:val="21"/>
          <w:szCs w:val="21"/>
        </w:rPr>
        <w:t>日期：  年  月  日</w:t>
      </w:r>
      <w:bookmarkEnd w:id="148"/>
      <w:r>
        <w:rPr>
          <w:rFonts w:hint="eastAsia" w:ascii="宋体" w:hAnsi="宋体" w:eastAsia="宋体" w:cs="宋体"/>
          <w:b w:val="0"/>
          <w:bCs w:val="0"/>
          <w:color w:val="000000"/>
          <w:sz w:val="21"/>
          <w:szCs w:val="21"/>
        </w:rPr>
        <w:t xml:space="preserve">    </w:t>
      </w:r>
    </w:p>
    <w:p>
      <w:r>
        <w:rPr>
          <w:color w:val="000000"/>
        </w:rPr>
        <w:br w:type="page"/>
      </w:r>
      <w:r>
        <w:rPr>
          <w:rFonts w:hint="eastAsia"/>
        </w:rPr>
        <w:t>（2）落实政府采购政策需满足的资格要求：无</w:t>
      </w:r>
    </w:p>
    <w:p/>
    <w:p/>
    <w:p/>
    <w:p/>
    <w:p>
      <w:r>
        <w:rPr>
          <w:rFonts w:hint="eastAsia"/>
        </w:rPr>
        <w:t>（3）特定资格条件：无。</w:t>
      </w:r>
    </w:p>
    <w:p>
      <w:pPr>
        <w:pStyle w:val="4"/>
        <w:ind w:firstLine="630" w:firstLineChars="196"/>
        <w:rPr>
          <w:rFonts w:ascii="Times New Roman" w:hAnsi="Times New Roman"/>
          <w:color w:val="000000"/>
        </w:rPr>
      </w:pPr>
      <w:r>
        <w:br w:type="page"/>
      </w:r>
      <w:bookmarkStart w:id="149" w:name="_Toc16733"/>
      <w:r>
        <w:rPr>
          <w:rFonts w:ascii="Times New Roman" w:hAnsi="Times New Roman"/>
          <w:color w:val="000000"/>
          <w:kern w:val="0"/>
        </w:rPr>
        <w:t>商务技术文件封面</w:t>
      </w:r>
      <w:bookmarkEnd w:id="149"/>
    </w:p>
    <w:p>
      <w:pPr>
        <w:tabs>
          <w:tab w:val="left" w:pos="2580"/>
          <w:tab w:val="left" w:pos="5940"/>
        </w:tabs>
        <w:autoSpaceDE w:val="0"/>
        <w:autoSpaceDN w:val="0"/>
        <w:adjustRightInd w:val="0"/>
        <w:snapToGrid w:val="0"/>
        <w:spacing w:line="300" w:lineRule="auto"/>
        <w:ind w:right="-20" w:firstLine="735" w:firstLineChars="350"/>
        <w:rPr>
          <w:color w:val="000000"/>
        </w:rPr>
      </w:pPr>
    </w:p>
    <w:p>
      <w:pPr>
        <w:tabs>
          <w:tab w:val="left" w:pos="2580"/>
          <w:tab w:val="left" w:pos="5940"/>
        </w:tabs>
        <w:autoSpaceDE w:val="0"/>
        <w:autoSpaceDN w:val="0"/>
        <w:adjustRightInd w:val="0"/>
        <w:snapToGrid w:val="0"/>
        <w:spacing w:line="300" w:lineRule="auto"/>
        <w:ind w:right="-20"/>
        <w:jc w:val="right"/>
        <w:rPr>
          <w:color w:val="000000"/>
          <w:kern w:val="0"/>
          <w:sz w:val="28"/>
        </w:rPr>
      </w:pPr>
    </w:p>
    <w:p>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r>
        <w:rPr>
          <w:color w:val="000000"/>
          <w:kern w:val="0"/>
          <w:sz w:val="24"/>
          <w:u w:val="single"/>
        </w:rPr>
        <w:t xml:space="preserve">               </w:t>
      </w: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（商务技术文件）</w:t>
      </w:r>
    </w:p>
    <w:p>
      <w:pPr>
        <w:autoSpaceDE w:val="0"/>
        <w:autoSpaceDN w:val="0"/>
        <w:adjustRightInd w:val="0"/>
        <w:snapToGrid w:val="0"/>
        <w:spacing w:line="300" w:lineRule="auto"/>
        <w:jc w:val="left"/>
        <w:rPr>
          <w:color w:val="000000"/>
          <w:kern w:val="0"/>
          <w:sz w:val="16"/>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w:t>
      </w:r>
      <w:r>
        <w:rPr>
          <w:rFonts w:hint="eastAsia"/>
          <w:color w:val="000000"/>
          <w:kern w:val="0"/>
          <w:sz w:val="28"/>
        </w:rPr>
        <w:t>盖单位公章或电子签章</w:t>
      </w:r>
      <w:r>
        <w:rPr>
          <w:color w:val="000000"/>
          <w:kern w:val="0"/>
          <w:sz w:val="28"/>
        </w:rPr>
        <w:t>）</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t>目录</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w:t>
      </w:r>
      <w:r>
        <w:rPr>
          <w:rFonts w:ascii="Times New Roman" w:hAnsi="Times New Roman"/>
          <w:color w:val="000000"/>
        </w:rPr>
        <w:t>）投标函；</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2</w:t>
      </w:r>
      <w:r>
        <w:rPr>
          <w:rFonts w:ascii="Times New Roman" w:hAnsi="Times New Roman"/>
          <w:color w:val="000000"/>
        </w:rPr>
        <w:t>）法定代表人资格证明书；</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3</w:t>
      </w:r>
      <w:r>
        <w:rPr>
          <w:rFonts w:ascii="Times New Roman" w:hAnsi="Times New Roman"/>
          <w:color w:val="000000"/>
        </w:rPr>
        <w:t>）法定代表人授权委托书（法定代表人签署不需提供此书）；</w:t>
      </w:r>
    </w:p>
    <w:p>
      <w:pPr>
        <w:pStyle w:val="34"/>
        <w:snapToGrid w:val="0"/>
        <w:spacing w:line="360" w:lineRule="auto"/>
        <w:ind w:firstLine="1050" w:firstLineChars="500"/>
        <w:rPr>
          <w:rFonts w:ascii="Times New Roman" w:hAnsi="Times New Roman"/>
          <w:color w:val="000000"/>
        </w:rPr>
      </w:pPr>
      <w:r>
        <w:rPr>
          <w:rFonts w:ascii="Times New Roman" w:hAnsi="Times New Roman"/>
          <w:color w:val="000000"/>
        </w:rPr>
        <w:t>法定代表人及授权代表身份证正反面</w:t>
      </w:r>
      <w:r>
        <w:rPr>
          <w:rFonts w:hint="eastAsia" w:ascii="Times New Roman" w:hAnsi="Times New Roman"/>
          <w:color w:val="000000"/>
        </w:rPr>
        <w:t>扫描</w:t>
      </w:r>
      <w:r>
        <w:rPr>
          <w:rFonts w:ascii="Times New Roman" w:hAnsi="Times New Roman"/>
          <w:color w:val="000000"/>
        </w:rPr>
        <w:t>件；</w:t>
      </w:r>
    </w:p>
    <w:p>
      <w:pPr>
        <w:pStyle w:val="34"/>
        <w:snapToGrid w:val="0"/>
        <w:spacing w:line="360" w:lineRule="auto"/>
        <w:ind w:left="1050" w:leftChars="500" w:firstLine="0" w:firstLineChars="0"/>
        <w:rPr>
          <w:rFonts w:ascii="Times New Roman" w:hAnsi="Times New Roman"/>
          <w:color w:val="000000"/>
        </w:rPr>
      </w:pPr>
      <w:r>
        <w:rPr>
          <w:rFonts w:ascii="Times New Roman" w:hAnsi="Times New Roman"/>
          <w:color w:val="000000"/>
        </w:rPr>
        <w:t>社保机构出具的投标截止日前6个月内授权代表的投标单位社保缴纳证明，任职不足6个月的可提供劳动合同证明文件；</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4</w:t>
      </w:r>
      <w:r>
        <w:rPr>
          <w:rFonts w:ascii="Times New Roman" w:hAnsi="Times New Roman"/>
          <w:color w:val="000000"/>
        </w:rPr>
        <w:t>）代理证明（或制造商出具的授权书）</w:t>
      </w:r>
    </w:p>
    <w:p>
      <w:pPr>
        <w:pStyle w:val="34"/>
        <w:snapToGrid w:val="0"/>
        <w:spacing w:line="360" w:lineRule="auto"/>
        <w:ind w:left="1050" w:leftChars="200" w:hanging="630" w:hangingChars="300"/>
        <w:rPr>
          <w:rFonts w:ascii="Times New Roman" w:hAnsi="Times New Roman"/>
          <w:color w:val="000000"/>
        </w:rPr>
      </w:pPr>
      <w:r>
        <w:rPr>
          <w:rFonts w:ascii="Times New Roman" w:hAnsi="Times New Roman"/>
          <w:color w:val="000000"/>
        </w:rPr>
        <w:t>（</w:t>
      </w:r>
      <w:r>
        <w:rPr>
          <w:rFonts w:hint="eastAsia" w:ascii="Times New Roman" w:hAnsi="Times New Roman"/>
          <w:color w:val="000000"/>
        </w:rPr>
        <w:t>5</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为医疗器械生产企业的：第二类、第三类医疗器械生产企业提供《医疗器械生产许可证》、第一类医疗器械生产企业提供第一类医疗器械生产备案凭证；</w:t>
      </w:r>
      <w:r>
        <w:rPr>
          <w:rFonts w:hint="eastAsia" w:ascii="Times New Roman" w:hAnsi="Times New Roman"/>
          <w:color w:val="000000"/>
        </w:rPr>
        <w:t>供应商</w:t>
      </w:r>
      <w:r>
        <w:rPr>
          <w:rFonts w:ascii="Times New Roman" w:hAnsi="Times New Roman"/>
          <w:color w:val="000000"/>
        </w:rPr>
        <w:t>为医疗器械经营企业的：第三类医疗器械经营企业提供《医疗器械经营许可证》、第二类医疗器械经营企业提供第二类医疗器械经营备案凭证；（适用于按医疗器械管理的货物）；</w:t>
      </w:r>
    </w:p>
    <w:p>
      <w:pPr>
        <w:pStyle w:val="34"/>
        <w:snapToGrid w:val="0"/>
        <w:spacing w:line="360" w:lineRule="auto"/>
        <w:ind w:left="1050" w:leftChars="200" w:hanging="630" w:hangingChars="300"/>
        <w:rPr>
          <w:rFonts w:ascii="Times New Roman" w:hAnsi="Times New Roman"/>
          <w:color w:val="000000"/>
        </w:rPr>
      </w:pPr>
      <w:r>
        <w:rPr>
          <w:rFonts w:ascii="Times New Roman" w:hAnsi="Times New Roman"/>
          <w:color w:val="000000"/>
        </w:rPr>
        <w:t>（</w:t>
      </w:r>
      <w:r>
        <w:rPr>
          <w:rFonts w:hint="eastAsia" w:ascii="Times New Roman" w:hAnsi="Times New Roman"/>
          <w:color w:val="000000"/>
        </w:rPr>
        <w:t>6</w:t>
      </w:r>
      <w:r>
        <w:rPr>
          <w:rFonts w:ascii="Times New Roman" w:hAnsi="Times New Roman"/>
          <w:color w:val="000000"/>
        </w:rPr>
        <w:t>）食品药品监督管理部门核发的完整有效的医疗器械注册或备案证明；（适用于按医疗器械管理的设备）</w:t>
      </w:r>
      <w:r>
        <w:rPr>
          <w:rFonts w:hint="eastAsia" w:ascii="Times New Roman" w:hAnsi="Times New Roman"/>
          <w:color w:val="000000"/>
        </w:rPr>
        <w:t>；</w:t>
      </w:r>
    </w:p>
    <w:p>
      <w:pPr>
        <w:pStyle w:val="34"/>
        <w:snapToGrid w:val="0"/>
        <w:spacing w:line="360" w:lineRule="auto"/>
        <w:ind w:left="1050" w:leftChars="200" w:hanging="630" w:hangingChars="300"/>
        <w:rPr>
          <w:rFonts w:ascii="Times New Roman" w:hAnsi="Times New Roman"/>
          <w:color w:val="000000"/>
        </w:rPr>
      </w:pPr>
      <w:r>
        <w:rPr>
          <w:rFonts w:ascii="Times New Roman" w:hAnsi="Times New Roman"/>
          <w:color w:val="000000"/>
        </w:rPr>
        <w:t>（</w:t>
      </w:r>
      <w:r>
        <w:rPr>
          <w:rFonts w:hint="eastAsia" w:ascii="Times New Roman" w:hAnsi="Times New Roman"/>
          <w:color w:val="000000"/>
        </w:rPr>
        <w:t>7</w:t>
      </w:r>
      <w:r>
        <w:rPr>
          <w:rFonts w:ascii="Times New Roman" w:hAnsi="Times New Roman"/>
          <w:color w:val="000000"/>
        </w:rPr>
        <w:t>）</w:t>
      </w:r>
      <w:r>
        <w:rPr>
          <w:rFonts w:hint="eastAsia" w:ascii="Times New Roman" w:hAnsi="Times New Roman"/>
          <w:color w:val="000000"/>
        </w:rPr>
        <w:t>所投产品</w:t>
      </w:r>
      <w:r>
        <w:rPr>
          <w:rFonts w:ascii="Times New Roman" w:hAnsi="Times New Roman"/>
          <w:color w:val="000000"/>
        </w:rPr>
        <w:t>列入节能产品证明资料、</w:t>
      </w:r>
      <w:r>
        <w:rPr>
          <w:rFonts w:hint="eastAsia" w:ascii="Times New Roman" w:hAnsi="Times New Roman"/>
          <w:color w:val="000000"/>
        </w:rPr>
        <w:t>所投产品</w:t>
      </w:r>
      <w:r>
        <w:rPr>
          <w:rFonts w:ascii="Times New Roman" w:hAnsi="Times New Roman"/>
          <w:color w:val="000000"/>
        </w:rPr>
        <w:t>列入环境标志产品证明资料（如有）</w:t>
      </w:r>
      <w:r>
        <w:rPr>
          <w:rFonts w:hint="eastAsia" w:ascii="Times New Roman" w:hAnsi="Times New Roman"/>
          <w:color w:val="000000"/>
        </w:rPr>
        <w:t>，</w:t>
      </w:r>
      <w:r>
        <w:rPr>
          <w:rFonts w:hint="eastAsia" w:ascii="宋体" w:hAnsi="宋体" w:cs="宋体"/>
          <w:bCs/>
          <w:color w:val="000000"/>
          <w:szCs w:val="21"/>
        </w:rPr>
        <w:t>提供国家确定的认证机构出具的、处于有效期之内的节能产品、环境标志产品认证证书扫描件</w:t>
      </w:r>
      <w:r>
        <w:rPr>
          <w:rFonts w:hint="eastAsia" w:ascii="Times New Roman" w:hAnsi="Times New Roman"/>
          <w:color w:val="000000"/>
        </w:rPr>
        <w:t>；</w:t>
      </w:r>
    </w:p>
    <w:p>
      <w:pPr>
        <w:spacing w:line="360" w:lineRule="auto"/>
        <w:ind w:firstLine="420" w:firstLineChars="200"/>
        <w:rPr>
          <w:color w:val="000000"/>
        </w:rPr>
      </w:pPr>
      <w:r>
        <w:rPr>
          <w:color w:val="000000"/>
        </w:rPr>
        <w:t>（</w:t>
      </w:r>
      <w:r>
        <w:rPr>
          <w:rFonts w:hint="eastAsia"/>
          <w:color w:val="000000"/>
        </w:rPr>
        <w:t>8</w:t>
      </w:r>
      <w:r>
        <w:rPr>
          <w:color w:val="000000"/>
        </w:rPr>
        <w:t>）中小企业声明函（如有）</w:t>
      </w:r>
      <w:r>
        <w:rPr>
          <w:rFonts w:hint="eastAsia"/>
          <w:color w:val="000000"/>
        </w:rPr>
        <w:t>；</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9</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w:t>
      </w:r>
      <w:r>
        <w:rPr>
          <w:rFonts w:hint="eastAsia" w:ascii="Times New Roman" w:hAnsi="Times New Roman"/>
          <w:color w:val="000000"/>
        </w:rPr>
        <w:t>（如有）；</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10</w:t>
      </w:r>
      <w:r>
        <w:rPr>
          <w:rFonts w:ascii="Times New Roman" w:hAnsi="Times New Roman"/>
          <w:color w:val="000000"/>
        </w:rPr>
        <w:t>）残疾人福利性单位声明函（如有）</w:t>
      </w:r>
      <w:r>
        <w:rPr>
          <w:rFonts w:hint="eastAsia" w:ascii="Times New Roman" w:hAnsi="Times New Roman"/>
          <w:color w:val="000000"/>
        </w:rPr>
        <w:t>；</w:t>
      </w:r>
    </w:p>
    <w:p>
      <w:pPr>
        <w:pStyle w:val="34"/>
        <w:snapToGrid w:val="0"/>
        <w:spacing w:line="360" w:lineRule="auto"/>
        <w:ind w:firstLine="420"/>
        <w:rPr>
          <w:rFonts w:ascii="Times New Roman" w:hAnsi="Times New Roman"/>
          <w:color w:val="000000"/>
        </w:rPr>
      </w:pPr>
      <w:r>
        <w:rPr>
          <w:rFonts w:hint="eastAsia"/>
          <w:color w:val="000000"/>
          <w:szCs w:val="21"/>
        </w:rPr>
        <w:t>（11）投标核心产品为对省级以上主管部门认定的首台套产品，提供纳入《省推广应用指导目录》等证明材料</w:t>
      </w:r>
      <w:r>
        <w:rPr>
          <w:rFonts w:ascii="Times New Roman" w:hAnsi="Times New Roman"/>
          <w:color w:val="000000"/>
        </w:rPr>
        <w:t>（如有）</w:t>
      </w:r>
      <w:r>
        <w:rPr>
          <w:rFonts w:hint="eastAsia"/>
          <w:color w:val="000000"/>
          <w:szCs w:val="21"/>
        </w:rPr>
        <w:t>；</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12</w:t>
      </w:r>
      <w:r>
        <w:rPr>
          <w:rFonts w:ascii="Times New Roman" w:hAnsi="Times New Roman"/>
          <w:color w:val="000000"/>
        </w:rPr>
        <w:t>）供货</w:t>
      </w:r>
      <w:r>
        <w:rPr>
          <w:rFonts w:hint="eastAsia" w:ascii="Times New Roman" w:hAnsi="Times New Roman"/>
          <w:color w:val="000000"/>
        </w:rPr>
        <w:t>清单；</w:t>
      </w:r>
    </w:p>
    <w:p>
      <w:pPr>
        <w:pStyle w:val="34"/>
        <w:snapToGrid w:val="0"/>
        <w:spacing w:line="360" w:lineRule="auto"/>
        <w:ind w:firstLine="420"/>
        <w:rPr>
          <w:rFonts w:ascii="Times New Roman" w:hAnsi="Times New Roman"/>
          <w:color w:val="000000"/>
        </w:rPr>
      </w:pPr>
      <w:r>
        <w:rPr>
          <w:rFonts w:hint="eastAsia" w:ascii="Times New Roman" w:hAnsi="Times New Roman"/>
          <w:color w:val="000000"/>
        </w:rPr>
        <w:t>（13）</w:t>
      </w:r>
      <w:r>
        <w:rPr>
          <w:rFonts w:ascii="Times New Roman" w:hAnsi="Times New Roman"/>
          <w:color w:val="000000"/>
        </w:rPr>
        <w:t>随机标准附件、备品备件、零配件、专用工具清单；</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14</w:t>
      </w:r>
      <w:r>
        <w:rPr>
          <w:rFonts w:ascii="Times New Roman" w:hAnsi="Times New Roman"/>
          <w:color w:val="000000"/>
        </w:rPr>
        <w:t>）消耗品、易耗品价格清单；</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15</w:t>
      </w:r>
      <w:r>
        <w:rPr>
          <w:rFonts w:ascii="Times New Roman" w:hAnsi="Times New Roman"/>
          <w:color w:val="000000"/>
        </w:rPr>
        <w:t>）保修价格，维修配件价格，维修服务费价格；</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16</w:t>
      </w:r>
      <w:r>
        <w:rPr>
          <w:rFonts w:ascii="Times New Roman" w:hAnsi="Times New Roman"/>
          <w:color w:val="000000"/>
        </w:rPr>
        <w:t>）产品性能说明；</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17</w:t>
      </w:r>
      <w:r>
        <w:rPr>
          <w:rFonts w:ascii="Times New Roman" w:hAnsi="Times New Roman"/>
          <w:color w:val="000000"/>
        </w:rPr>
        <w:t>）技术规格偏离表；</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18</w:t>
      </w:r>
      <w:r>
        <w:rPr>
          <w:rFonts w:ascii="Times New Roman" w:hAnsi="Times New Roman"/>
          <w:color w:val="000000"/>
        </w:rPr>
        <w:t>）商务条款偏离表；</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19</w:t>
      </w:r>
      <w:r>
        <w:rPr>
          <w:rFonts w:ascii="Times New Roman" w:hAnsi="Times New Roman"/>
          <w:color w:val="000000"/>
        </w:rPr>
        <w:t>）</w:t>
      </w:r>
      <w:r>
        <w:rPr>
          <w:rFonts w:hint="eastAsia"/>
          <w:color w:val="000000"/>
        </w:rPr>
        <w:t>投标核心产品销售业绩：本次相同型号投标核心产品之一自2019年1月1日起</w:t>
      </w:r>
      <w:r>
        <w:rPr>
          <w:color w:val="000000"/>
        </w:rPr>
        <w:t>（以合同签定时间为准）</w:t>
      </w:r>
      <w:r>
        <w:rPr>
          <w:rFonts w:hint="eastAsia"/>
          <w:color w:val="000000"/>
        </w:rPr>
        <w:t>与不同的最终用户签订的销售合同，提供合同扫描件</w:t>
      </w:r>
      <w:r>
        <w:rPr>
          <w:rFonts w:ascii="Times New Roman" w:hAnsi="Times New Roman"/>
          <w:color w:val="000000"/>
        </w:rPr>
        <w:t>；</w:t>
      </w:r>
    </w:p>
    <w:p>
      <w:pPr>
        <w:pStyle w:val="34"/>
        <w:snapToGrid w:val="0"/>
        <w:spacing w:line="360" w:lineRule="auto"/>
        <w:ind w:firstLine="420"/>
        <w:rPr>
          <w:color w:val="000000"/>
        </w:rPr>
      </w:pPr>
      <w:r>
        <w:rPr>
          <w:rFonts w:hint="eastAsia"/>
          <w:color w:val="000000"/>
        </w:rPr>
        <w:t>（20）安装调试方案，包括对场地环境的了解、人员的安排、时间进度的规划，对设备的调试进度安排，调试的步骤、措施，问题的解决方案等；</w:t>
      </w:r>
    </w:p>
    <w:p>
      <w:pPr>
        <w:pStyle w:val="34"/>
        <w:snapToGrid w:val="0"/>
        <w:spacing w:line="360" w:lineRule="auto"/>
        <w:ind w:firstLine="420"/>
        <w:rPr>
          <w:color w:val="000000"/>
        </w:rPr>
      </w:pPr>
      <w:r>
        <w:rPr>
          <w:rFonts w:hint="eastAsia"/>
          <w:color w:val="000000"/>
        </w:rPr>
        <w:t>（21）培训方案，包括但不限于培训对象、课时安排、师资力量安排等；</w:t>
      </w:r>
    </w:p>
    <w:p>
      <w:pPr>
        <w:pStyle w:val="34"/>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22</w:t>
      </w:r>
      <w:r>
        <w:rPr>
          <w:rFonts w:ascii="Times New Roman" w:hAnsi="Times New Roman"/>
          <w:color w:val="000000"/>
        </w:rPr>
        <w:t>）售后服务方案：包括但不限于服务响应时间、故障解决方案；售后服务机构备品备件储备情况；售后服务机构技术服务人员情况，提供姓名、工作经验、资质证书情况等；</w:t>
      </w:r>
    </w:p>
    <w:p>
      <w:pPr>
        <w:pStyle w:val="34"/>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23</w:t>
      </w:r>
      <w:r>
        <w:rPr>
          <w:rFonts w:ascii="Times New Roman" w:hAnsi="Times New Roman"/>
        </w:rPr>
        <w:t>）</w:t>
      </w:r>
      <w:r>
        <w:rPr>
          <w:rFonts w:ascii="Times New Roman" w:hAnsi="Times New Roman"/>
        </w:rPr>
        <w:tab/>
      </w:r>
      <w:r>
        <w:rPr>
          <w:rFonts w:ascii="Times New Roman" w:hAnsi="Times New Roman"/>
        </w:rPr>
        <w:t>投标机型的样本或彩页和原厂技术参数</w:t>
      </w:r>
      <w:r>
        <w:rPr>
          <w:rFonts w:hint="eastAsia" w:ascii="Times New Roman" w:hAnsi="Times New Roman"/>
        </w:rPr>
        <w:t>；</w:t>
      </w:r>
    </w:p>
    <w:p>
      <w:pPr>
        <w:pStyle w:val="34"/>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rPr>
        <w:t>4</w:t>
      </w:r>
      <w:r>
        <w:rPr>
          <w:rFonts w:ascii="Times New Roman" w:hAnsi="Times New Roman"/>
        </w:rPr>
        <w:t>）</w:t>
      </w:r>
      <w:r>
        <w:rPr>
          <w:rFonts w:ascii="Times New Roman" w:hAnsi="Times New Roman"/>
        </w:rPr>
        <w:tab/>
      </w:r>
      <w:r>
        <w:rPr>
          <w:rFonts w:hint="eastAsia" w:ascii="Times New Roman" w:hAnsi="Times New Roman"/>
        </w:rPr>
        <w:t>供应商</w:t>
      </w:r>
      <w:r>
        <w:rPr>
          <w:rFonts w:ascii="Times New Roman" w:hAnsi="Times New Roman"/>
        </w:rPr>
        <w:t>认为有必要提供的其它文件</w:t>
      </w:r>
      <w:r>
        <w:rPr>
          <w:rFonts w:hint="eastAsia" w:ascii="Times New Roman" w:hAnsi="Times New Roman"/>
        </w:rPr>
        <w:t>。</w:t>
      </w:r>
    </w:p>
    <w:p>
      <w:pPr>
        <w:pStyle w:val="4"/>
        <w:rPr>
          <w:rFonts w:ascii="Times New Roman" w:hAnsi="Times New Roman"/>
          <w:color w:val="000000"/>
          <w:sz w:val="24"/>
          <w:szCs w:val="24"/>
        </w:rPr>
      </w:pPr>
      <w:r>
        <w:rPr>
          <w:rFonts w:ascii="Times New Roman" w:hAnsi="Times New Roman"/>
          <w:color w:val="000000"/>
        </w:rPr>
        <w:br w:type="page"/>
      </w:r>
      <w:bookmarkStart w:id="150" w:name="_Toc24809"/>
      <w:r>
        <w:rPr>
          <w:rFonts w:hint="eastAsia" w:ascii="Times New Roman" w:hAnsi="Times New Roman"/>
          <w:color w:val="000000"/>
          <w:sz w:val="24"/>
          <w:szCs w:val="24"/>
        </w:rPr>
        <w:t>1</w:t>
      </w:r>
      <w:r>
        <w:rPr>
          <w:rFonts w:ascii="Times New Roman" w:hAnsi="Times New Roman"/>
          <w:color w:val="000000"/>
          <w:sz w:val="24"/>
          <w:szCs w:val="24"/>
        </w:rPr>
        <w:t>、投标函格式</w:t>
      </w:r>
      <w:bookmarkEnd w:id="150"/>
    </w:p>
    <w:p>
      <w:pPr>
        <w:snapToGrid w:val="0"/>
        <w:spacing w:line="300" w:lineRule="auto"/>
        <w:jc w:val="center"/>
        <w:rPr>
          <w:b/>
          <w:bCs/>
          <w:color w:val="000000"/>
          <w:sz w:val="32"/>
          <w:szCs w:val="32"/>
        </w:rPr>
      </w:pPr>
      <w:r>
        <w:rPr>
          <w:b/>
          <w:bCs/>
          <w:color w:val="000000"/>
          <w:sz w:val="32"/>
          <w:szCs w:val="32"/>
        </w:rPr>
        <w:t>投标函</w:t>
      </w:r>
    </w:p>
    <w:p>
      <w:pPr>
        <w:spacing w:line="360" w:lineRule="auto"/>
      </w:pPr>
      <w:r>
        <w:rPr>
          <w:u w:val="single"/>
        </w:rPr>
        <w:t>（采购人单位名称）</w:t>
      </w:r>
      <w:r>
        <w:t>：</w:t>
      </w:r>
    </w:p>
    <w:p>
      <w:pPr>
        <w:spacing w:line="360" w:lineRule="auto"/>
      </w:pPr>
      <w:r>
        <w:rPr>
          <w:rFonts w:hint="eastAsia"/>
          <w:u w:val="single"/>
        </w:rPr>
        <w:t>浙江信诚项目管理有限公司</w:t>
      </w:r>
      <w:r>
        <w:t>：</w:t>
      </w:r>
    </w:p>
    <w:p>
      <w:pPr>
        <w:spacing w:line="360" w:lineRule="auto"/>
        <w:ind w:firstLine="420" w:firstLineChars="200"/>
      </w:pPr>
      <w:r>
        <w:t>（</w:t>
      </w:r>
      <w:r>
        <w:rPr>
          <w:rFonts w:hint="eastAsia"/>
        </w:rPr>
        <w:t>供应商</w:t>
      </w:r>
      <w:r>
        <w:t>全称）参加贵方组织的（项目名称）（招标项目编号）招标的有关活动，并对（项目名称）进行投标。为此我方：</w:t>
      </w:r>
    </w:p>
    <w:p>
      <w:pPr>
        <w:adjustRightInd w:val="0"/>
        <w:snapToGrid w:val="0"/>
        <w:spacing w:line="300" w:lineRule="auto"/>
        <w:ind w:firstLine="420" w:firstLineChars="200"/>
        <w:rPr>
          <w:color w:val="000000"/>
          <w:szCs w:val="21"/>
        </w:rPr>
      </w:pPr>
      <w:r>
        <w:rPr>
          <w:color w:val="000000"/>
          <w:szCs w:val="21"/>
        </w:rPr>
        <w:t>1、承诺在</w:t>
      </w:r>
      <w:r>
        <w:rPr>
          <w:rFonts w:hint="eastAsia"/>
          <w:color w:val="000000"/>
          <w:szCs w:val="21"/>
        </w:rPr>
        <w:t>供应商</w:t>
      </w:r>
      <w:r>
        <w:rPr>
          <w:color w:val="000000"/>
          <w:kern w:val="44"/>
          <w:szCs w:val="21"/>
        </w:rPr>
        <w:t>须知</w:t>
      </w:r>
      <w:r>
        <w:rPr>
          <w:color w:val="000000"/>
          <w:szCs w:val="21"/>
        </w:rPr>
        <w:t>规定的投标截止日起遵守本投标文件中的承诺，且在投标有效期满之前均具有约束力。本投标文件的有效期为</w:t>
      </w:r>
      <w:r>
        <w:rPr>
          <w:color w:val="000000"/>
        </w:rPr>
        <w:t>自投标截止时间起</w:t>
      </w:r>
      <w:r>
        <w:rPr>
          <w:color w:val="000000"/>
          <w:u w:val="single"/>
        </w:rPr>
        <w:t xml:space="preserve">    </w:t>
      </w:r>
      <w:r>
        <w:rPr>
          <w:color w:val="000000"/>
        </w:rPr>
        <w:t>天。</w:t>
      </w:r>
    </w:p>
    <w:p>
      <w:pPr>
        <w:adjustRightInd w:val="0"/>
        <w:snapToGrid w:val="0"/>
        <w:spacing w:line="300" w:lineRule="auto"/>
        <w:ind w:firstLine="420" w:firstLineChars="200"/>
        <w:rPr>
          <w:color w:val="000000"/>
          <w:szCs w:val="21"/>
        </w:rPr>
      </w:pPr>
      <w:r>
        <w:rPr>
          <w:color w:val="000000"/>
          <w:szCs w:val="21"/>
        </w:rPr>
        <w:t>2、承诺已经具备《中华人民共和国政府采购法》中规定的参加政府采购活动的</w:t>
      </w:r>
      <w:r>
        <w:rPr>
          <w:rFonts w:hint="eastAsia"/>
          <w:color w:val="000000"/>
          <w:szCs w:val="21"/>
        </w:rPr>
        <w:t>供应商</w:t>
      </w:r>
      <w:r>
        <w:rPr>
          <w:color w:val="000000"/>
          <w:szCs w:val="21"/>
        </w:rPr>
        <w:t>应当具备的条件及采购人规定的特定条件。</w:t>
      </w:r>
    </w:p>
    <w:p>
      <w:pPr>
        <w:adjustRightInd w:val="0"/>
        <w:snapToGrid w:val="0"/>
        <w:spacing w:line="300" w:lineRule="auto"/>
        <w:ind w:firstLine="420" w:firstLineChars="200"/>
        <w:rPr>
          <w:color w:val="000000"/>
          <w:szCs w:val="21"/>
        </w:rPr>
      </w:pPr>
      <w:r>
        <w:rPr>
          <w:color w:val="000000"/>
          <w:szCs w:val="21"/>
        </w:rPr>
        <w:t>3、已详细审核全部采购文件，包括采购文件补充（如果有）、参考资料及有关附件，确认无误。</w:t>
      </w:r>
    </w:p>
    <w:p>
      <w:pPr>
        <w:adjustRightInd w:val="0"/>
        <w:snapToGrid w:val="0"/>
        <w:spacing w:line="300" w:lineRule="auto"/>
        <w:ind w:firstLine="420" w:firstLineChars="200"/>
        <w:rPr>
          <w:color w:val="000000"/>
          <w:szCs w:val="21"/>
        </w:rPr>
      </w:pPr>
      <w:r>
        <w:rPr>
          <w:color w:val="000000"/>
          <w:szCs w:val="21"/>
        </w:rPr>
        <w:t>4、提供</w:t>
      </w:r>
      <w:r>
        <w:rPr>
          <w:rFonts w:hint="eastAsia"/>
          <w:color w:val="000000"/>
          <w:kern w:val="44"/>
          <w:szCs w:val="21"/>
        </w:rPr>
        <w:t>供应商</w:t>
      </w:r>
      <w:r>
        <w:rPr>
          <w:color w:val="000000"/>
          <w:kern w:val="44"/>
          <w:szCs w:val="21"/>
        </w:rPr>
        <w:t>须知</w:t>
      </w:r>
      <w:r>
        <w:rPr>
          <w:color w:val="000000"/>
          <w:szCs w:val="21"/>
        </w:rPr>
        <w:t>规定的全部投标文件。</w:t>
      </w:r>
    </w:p>
    <w:p>
      <w:pPr>
        <w:adjustRightInd w:val="0"/>
        <w:snapToGrid w:val="0"/>
        <w:spacing w:line="300" w:lineRule="auto"/>
        <w:ind w:firstLine="420" w:firstLineChars="200"/>
        <w:rPr>
          <w:color w:val="000000"/>
        </w:rPr>
      </w:pPr>
      <w:r>
        <w:rPr>
          <w:color w:val="000000"/>
          <w:szCs w:val="21"/>
        </w:rPr>
        <w:t>5、投标</w:t>
      </w:r>
      <w:r>
        <w:rPr>
          <w:color w:val="000000"/>
        </w:rPr>
        <w:t>报价详见《开标一览表》。</w:t>
      </w:r>
    </w:p>
    <w:p>
      <w:pPr>
        <w:adjustRightInd w:val="0"/>
        <w:snapToGrid w:val="0"/>
        <w:spacing w:line="300" w:lineRule="auto"/>
        <w:ind w:firstLine="420" w:firstLineChars="200"/>
        <w:rPr>
          <w:color w:val="000000"/>
          <w:szCs w:val="21"/>
        </w:rPr>
      </w:pPr>
      <w:r>
        <w:rPr>
          <w:color w:val="000000"/>
          <w:szCs w:val="21"/>
        </w:rPr>
        <w:t>6、保证遵守采购文件中的其他有关规定。</w:t>
      </w:r>
    </w:p>
    <w:p>
      <w:pPr>
        <w:adjustRightInd w:val="0"/>
        <w:snapToGrid w:val="0"/>
        <w:spacing w:line="300" w:lineRule="auto"/>
        <w:ind w:firstLine="420" w:firstLineChars="200"/>
        <w:rPr>
          <w:color w:val="000000"/>
          <w:szCs w:val="21"/>
        </w:rPr>
      </w:pPr>
      <w:r>
        <w:rPr>
          <w:color w:val="000000"/>
          <w:szCs w:val="21"/>
        </w:rPr>
        <w:t>7、完全理解不一定接受最低价中标。</w:t>
      </w:r>
    </w:p>
    <w:p>
      <w:pPr>
        <w:adjustRightInd w:val="0"/>
        <w:snapToGrid w:val="0"/>
        <w:spacing w:line="300" w:lineRule="auto"/>
        <w:ind w:firstLine="420" w:firstLineChars="200"/>
        <w:rPr>
          <w:color w:val="000000"/>
          <w:szCs w:val="21"/>
        </w:rPr>
      </w:pPr>
      <w:r>
        <w:rPr>
          <w:color w:val="000000"/>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szCs w:val="21"/>
        </w:rPr>
      </w:pPr>
      <w:r>
        <w:rPr>
          <w:color w:val="000000"/>
          <w:szCs w:val="21"/>
        </w:rPr>
        <w:t>9、保证忠实地执行双方所签订的合同，并承担合同规定的责任和义务。</w:t>
      </w:r>
    </w:p>
    <w:p>
      <w:pPr>
        <w:adjustRightInd w:val="0"/>
        <w:snapToGrid w:val="0"/>
        <w:spacing w:line="300" w:lineRule="auto"/>
        <w:ind w:firstLine="420" w:firstLineChars="200"/>
        <w:rPr>
          <w:color w:val="000000"/>
          <w:szCs w:val="21"/>
        </w:rPr>
      </w:pPr>
      <w:r>
        <w:rPr>
          <w:color w:val="000000"/>
          <w:szCs w:val="21"/>
        </w:rPr>
        <w:t>10、我方承诺不存在以下情况：</w:t>
      </w:r>
    </w:p>
    <w:p>
      <w:pPr>
        <w:adjustRightInd w:val="0"/>
        <w:snapToGrid w:val="0"/>
        <w:spacing w:line="300" w:lineRule="auto"/>
        <w:ind w:firstLine="420" w:firstLineChars="200"/>
        <w:rPr>
          <w:color w:val="000000"/>
          <w:szCs w:val="21"/>
        </w:rPr>
      </w:pPr>
      <w:r>
        <w:rPr>
          <w:color w:val="000000"/>
          <w:szCs w:val="21"/>
        </w:rPr>
        <w:t>a）提供虚假材料谋取中标、成交的；</w:t>
      </w:r>
    </w:p>
    <w:p>
      <w:pPr>
        <w:adjustRightInd w:val="0"/>
        <w:snapToGrid w:val="0"/>
        <w:spacing w:line="300" w:lineRule="auto"/>
        <w:ind w:firstLine="420" w:firstLineChars="200"/>
        <w:rPr>
          <w:color w:val="000000"/>
          <w:szCs w:val="21"/>
        </w:rPr>
      </w:pPr>
      <w:r>
        <w:rPr>
          <w:color w:val="000000"/>
          <w:szCs w:val="21"/>
        </w:rPr>
        <w:t>b）采取不正当手段诋毁、排挤其他供应商的；</w:t>
      </w:r>
    </w:p>
    <w:p>
      <w:pPr>
        <w:adjustRightInd w:val="0"/>
        <w:snapToGrid w:val="0"/>
        <w:spacing w:line="300" w:lineRule="auto"/>
        <w:ind w:firstLine="420" w:firstLineChars="200"/>
        <w:rPr>
          <w:color w:val="000000"/>
          <w:szCs w:val="21"/>
        </w:rPr>
      </w:pPr>
      <w:r>
        <w:rPr>
          <w:color w:val="000000"/>
          <w:szCs w:val="21"/>
        </w:rPr>
        <w:t>c）与采购人、其它供应商或者采购代理机构恶意串通的；</w:t>
      </w:r>
    </w:p>
    <w:p>
      <w:pPr>
        <w:adjustRightInd w:val="0"/>
        <w:snapToGrid w:val="0"/>
        <w:spacing w:line="300" w:lineRule="auto"/>
        <w:ind w:firstLine="420" w:firstLineChars="200"/>
        <w:rPr>
          <w:color w:val="000000"/>
          <w:szCs w:val="21"/>
        </w:rPr>
      </w:pPr>
      <w:r>
        <w:rPr>
          <w:color w:val="000000"/>
          <w:szCs w:val="21"/>
        </w:rPr>
        <w:t>d）向采购人、采购代理机构行贿或者提供其他不正当利益的；</w:t>
      </w:r>
    </w:p>
    <w:p>
      <w:pPr>
        <w:adjustRightInd w:val="0"/>
        <w:snapToGrid w:val="0"/>
        <w:spacing w:line="300" w:lineRule="auto"/>
        <w:ind w:firstLine="420" w:firstLineChars="200"/>
        <w:rPr>
          <w:color w:val="000000"/>
          <w:szCs w:val="21"/>
        </w:rPr>
      </w:pPr>
      <w:r>
        <w:rPr>
          <w:color w:val="000000"/>
          <w:szCs w:val="21"/>
        </w:rPr>
        <w:t>e）在招标采购过程中与采购人进行协商谈判的；</w:t>
      </w:r>
    </w:p>
    <w:p>
      <w:pPr>
        <w:adjustRightInd w:val="0"/>
        <w:snapToGrid w:val="0"/>
        <w:spacing w:line="300" w:lineRule="auto"/>
        <w:ind w:firstLine="420" w:firstLineChars="200"/>
        <w:rPr>
          <w:color w:val="000000"/>
          <w:szCs w:val="21"/>
        </w:rPr>
      </w:pPr>
      <w:r>
        <w:rPr>
          <w:color w:val="000000"/>
          <w:szCs w:val="21"/>
        </w:rPr>
        <w:t>f）拒绝有关部门监督检查或提供虚假情况的。</w:t>
      </w:r>
    </w:p>
    <w:p>
      <w:pPr>
        <w:spacing w:line="360" w:lineRule="auto"/>
      </w:pPr>
    </w:p>
    <w:p>
      <w:pPr>
        <w:spacing w:line="360" w:lineRule="auto"/>
      </w:pPr>
      <w:r>
        <w:rPr>
          <w:rFonts w:hint="eastAsia"/>
        </w:rPr>
        <w:t>供应商</w:t>
      </w:r>
      <w:r>
        <w:t>全称（</w:t>
      </w:r>
      <w:r>
        <w:rPr>
          <w:rFonts w:hint="eastAsia"/>
        </w:rPr>
        <w:t>盖单位公章或电子签章</w:t>
      </w:r>
      <w:r>
        <w:t>）：</w:t>
      </w:r>
    </w:p>
    <w:p>
      <w:pPr>
        <w:spacing w:line="360" w:lineRule="auto"/>
      </w:pPr>
      <w:r>
        <w:t>日</w:t>
      </w:r>
      <w:r>
        <w:rPr>
          <w:rFonts w:hint="eastAsia"/>
        </w:rPr>
        <w:t xml:space="preserve">  </w:t>
      </w:r>
      <w:r>
        <w:t>期：  年  月  日</w:t>
      </w:r>
    </w:p>
    <w:p>
      <w:pPr>
        <w:spacing w:line="360" w:lineRule="auto"/>
      </w:pPr>
      <w:r>
        <w:t>单位地址：</w:t>
      </w:r>
    </w:p>
    <w:p>
      <w:pPr>
        <w:spacing w:line="360" w:lineRule="auto"/>
      </w:pPr>
      <w:r>
        <w:t>邮</w:t>
      </w:r>
      <w:r>
        <w:rPr>
          <w:rFonts w:hint="eastAsia"/>
        </w:rPr>
        <w:t xml:space="preserve">  </w:t>
      </w:r>
      <w:r>
        <w:t>编：</w:t>
      </w:r>
    </w:p>
    <w:p>
      <w:pPr>
        <w:spacing w:line="360" w:lineRule="auto"/>
      </w:pPr>
      <w:r>
        <w:t>电</w:t>
      </w:r>
      <w:r>
        <w:rPr>
          <w:rFonts w:hint="eastAsia"/>
        </w:rPr>
        <w:t xml:space="preserve">  </w:t>
      </w:r>
      <w:r>
        <w:t>话：</w:t>
      </w:r>
    </w:p>
    <w:p>
      <w:pPr>
        <w:spacing w:line="360" w:lineRule="auto"/>
      </w:pPr>
      <w:r>
        <w:t>传</w:t>
      </w:r>
      <w:r>
        <w:rPr>
          <w:rFonts w:hint="eastAsia"/>
        </w:rPr>
        <w:t xml:space="preserve">  </w:t>
      </w:r>
      <w:r>
        <w:t>真：</w:t>
      </w:r>
    </w:p>
    <w:p>
      <w:pPr>
        <w:pStyle w:val="4"/>
        <w:ind w:firstLine="630" w:firstLineChars="196"/>
        <w:jc w:val="left"/>
        <w:rPr>
          <w:rFonts w:ascii="Times New Roman" w:hAnsi="Times New Roman"/>
          <w:color w:val="000000"/>
        </w:rPr>
      </w:pPr>
      <w:r>
        <w:rPr>
          <w:rFonts w:ascii="Times New Roman" w:hAnsi="Times New Roman"/>
          <w:color w:val="000000"/>
        </w:rPr>
        <w:br w:type="page"/>
      </w:r>
      <w:bookmarkStart w:id="151" w:name="_Toc19369"/>
      <w:r>
        <w:rPr>
          <w:rFonts w:hint="eastAsia"/>
          <w:sz w:val="24"/>
          <w:szCs w:val="24"/>
        </w:rPr>
        <w:t>2</w:t>
      </w:r>
      <w:r>
        <w:rPr>
          <w:sz w:val="24"/>
          <w:szCs w:val="24"/>
        </w:rPr>
        <w:t>、法定代表人资格证明书</w:t>
      </w:r>
      <w:bookmarkEnd w:id="151"/>
    </w:p>
    <w:p>
      <w:pPr>
        <w:snapToGrid w:val="0"/>
        <w:spacing w:line="300" w:lineRule="auto"/>
        <w:jc w:val="center"/>
        <w:rPr>
          <w:b/>
          <w:bCs/>
          <w:color w:val="000000"/>
          <w:sz w:val="32"/>
          <w:szCs w:val="32"/>
        </w:rPr>
      </w:pPr>
      <w:r>
        <w:rPr>
          <w:b/>
          <w:bCs/>
          <w:color w:val="000000"/>
          <w:sz w:val="32"/>
          <w:szCs w:val="32"/>
        </w:rPr>
        <w:t>法定代表人资格证明书</w:t>
      </w: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u w:val="single"/>
        </w:rPr>
      </w:pPr>
      <w:r>
        <w:rPr>
          <w:rFonts w:hint="eastAsia"/>
          <w:color w:val="000000"/>
          <w:szCs w:val="21"/>
        </w:rPr>
        <w:t>供应商</w:t>
      </w:r>
      <w:r>
        <w:rPr>
          <w:color w:val="000000"/>
          <w:szCs w:val="21"/>
        </w:rPr>
        <w:t>名称：</w:t>
      </w:r>
    </w:p>
    <w:p>
      <w:pPr>
        <w:adjustRightInd w:val="0"/>
        <w:snapToGrid w:val="0"/>
        <w:spacing w:line="360" w:lineRule="auto"/>
        <w:ind w:firstLine="420" w:firstLineChars="200"/>
        <w:rPr>
          <w:color w:val="000000"/>
          <w:szCs w:val="21"/>
          <w:u w:val="single"/>
        </w:rPr>
      </w:pPr>
      <w:r>
        <w:rPr>
          <w:color w:val="000000"/>
          <w:szCs w:val="21"/>
        </w:rPr>
        <w:t>法定地址：</w:t>
      </w:r>
    </w:p>
    <w:p>
      <w:pPr>
        <w:adjustRightInd w:val="0"/>
        <w:snapToGrid w:val="0"/>
        <w:spacing w:line="360" w:lineRule="auto"/>
        <w:ind w:firstLine="420" w:firstLineChars="200"/>
        <w:rPr>
          <w:color w:val="000000"/>
          <w:szCs w:val="21"/>
        </w:rPr>
      </w:pPr>
      <w:r>
        <w:rPr>
          <w:color w:val="000000"/>
          <w:szCs w:val="21"/>
        </w:rPr>
        <w:t>姓名：</w:t>
      </w:r>
    </w:p>
    <w:p>
      <w:pPr>
        <w:adjustRightInd w:val="0"/>
        <w:snapToGrid w:val="0"/>
        <w:spacing w:line="360" w:lineRule="auto"/>
        <w:ind w:firstLine="420" w:firstLineChars="200"/>
        <w:rPr>
          <w:color w:val="000000"/>
          <w:szCs w:val="21"/>
        </w:rPr>
      </w:pPr>
      <w:r>
        <w:rPr>
          <w:color w:val="000000"/>
          <w:szCs w:val="21"/>
        </w:rPr>
        <w:t>性别：</w:t>
      </w:r>
    </w:p>
    <w:p>
      <w:pPr>
        <w:adjustRightInd w:val="0"/>
        <w:snapToGrid w:val="0"/>
        <w:spacing w:line="360" w:lineRule="auto"/>
        <w:ind w:firstLine="420" w:firstLineChars="200"/>
        <w:rPr>
          <w:color w:val="000000"/>
          <w:szCs w:val="21"/>
        </w:rPr>
      </w:pPr>
      <w:r>
        <w:rPr>
          <w:color w:val="000000"/>
          <w:szCs w:val="21"/>
        </w:rPr>
        <w:t>年龄：</w:t>
      </w:r>
    </w:p>
    <w:p>
      <w:pPr>
        <w:adjustRightInd w:val="0"/>
        <w:snapToGrid w:val="0"/>
        <w:spacing w:line="360" w:lineRule="auto"/>
        <w:ind w:firstLine="420" w:firstLineChars="200"/>
        <w:rPr>
          <w:color w:val="000000"/>
          <w:szCs w:val="21"/>
          <w:u w:val="single"/>
        </w:rPr>
      </w:pPr>
      <w:r>
        <w:rPr>
          <w:color w:val="000000"/>
          <w:szCs w:val="21"/>
        </w:rPr>
        <w:t>职务：</w:t>
      </w:r>
    </w:p>
    <w:p>
      <w:pPr>
        <w:adjustRightInd w:val="0"/>
        <w:snapToGrid w:val="0"/>
        <w:spacing w:line="360" w:lineRule="auto"/>
        <w:ind w:firstLine="420" w:firstLineChars="200"/>
        <w:rPr>
          <w:color w:val="000000"/>
          <w:szCs w:val="21"/>
          <w:u w:val="single"/>
        </w:rPr>
      </w:pPr>
      <w:r>
        <w:rPr>
          <w:color w:val="000000"/>
          <w:szCs w:val="21"/>
        </w:rPr>
        <w:t>身份证号码：</w:t>
      </w:r>
    </w:p>
    <w:p>
      <w:pPr>
        <w:adjustRightInd w:val="0"/>
        <w:snapToGrid w:val="0"/>
        <w:spacing w:line="360" w:lineRule="auto"/>
        <w:ind w:firstLine="420" w:firstLineChars="200"/>
        <w:rPr>
          <w:color w:val="000000"/>
          <w:szCs w:val="21"/>
        </w:rPr>
      </w:pPr>
      <w:r>
        <w:rPr>
          <w:color w:val="000000"/>
          <w:szCs w:val="21"/>
        </w:rPr>
        <w:t>该同志系公司法定代表人。</w:t>
      </w:r>
    </w:p>
    <w:p>
      <w:pPr>
        <w:adjustRightInd w:val="0"/>
        <w:snapToGrid w:val="0"/>
        <w:spacing w:line="360" w:lineRule="auto"/>
        <w:ind w:firstLine="420" w:firstLineChars="200"/>
        <w:rPr>
          <w:color w:val="000000"/>
          <w:szCs w:val="21"/>
        </w:rPr>
      </w:pPr>
      <w:r>
        <w:rPr>
          <w:color w:val="000000"/>
          <w:szCs w:val="21"/>
        </w:rPr>
        <w:t>特此证明！</w:t>
      </w: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color w:val="000000"/>
          <w:szCs w:val="21"/>
        </w:rPr>
        <w:t>供应商</w:t>
      </w:r>
      <w:r>
        <w:rPr>
          <w:color w:val="000000"/>
          <w:szCs w:val="21"/>
        </w:rPr>
        <w:t>：（</w:t>
      </w:r>
      <w:r>
        <w:rPr>
          <w:rFonts w:hint="eastAsia"/>
          <w:color w:val="000000"/>
        </w:rPr>
        <w:t>盖单位公章或电子签章</w:t>
      </w:r>
      <w:r>
        <w:rPr>
          <w:color w:val="000000"/>
          <w:szCs w:val="21"/>
        </w:rPr>
        <w:t>）</w:t>
      </w: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color w:val="000000"/>
          <w:szCs w:val="21"/>
        </w:rPr>
        <w:t xml:space="preserve">日期： </w:t>
      </w:r>
      <w:r>
        <w:rPr>
          <w:rFonts w:hint="eastAsia"/>
          <w:color w:val="000000"/>
          <w:szCs w:val="21"/>
        </w:rPr>
        <w:t xml:space="preserve"> </w:t>
      </w:r>
      <w:r>
        <w:rPr>
          <w:color w:val="000000"/>
          <w:szCs w:val="21"/>
        </w:rPr>
        <w:t xml:space="preserve"> 年  月  日</w:t>
      </w:r>
    </w:p>
    <w:p>
      <w:pPr>
        <w:adjustRightInd w:val="0"/>
        <w:snapToGrid w:val="0"/>
        <w:spacing w:line="360" w:lineRule="auto"/>
        <w:ind w:firstLine="420" w:firstLineChars="200"/>
        <w:rPr>
          <w:color w:val="000000"/>
          <w:szCs w:val="21"/>
        </w:rPr>
      </w:pPr>
    </w:p>
    <w:p>
      <w:pPr>
        <w:spacing w:line="360" w:lineRule="auto"/>
        <w:rPr>
          <w:color w:val="000000"/>
          <w:szCs w:val="21"/>
        </w:rPr>
      </w:pPr>
    </w:p>
    <w:p>
      <w:pPr>
        <w:spacing w:line="360" w:lineRule="auto"/>
        <w:ind w:firstLine="420" w:firstLineChars="200"/>
        <w:rPr>
          <w:color w:val="000000"/>
          <w:szCs w:val="21"/>
        </w:rPr>
      </w:pPr>
      <w:r>
        <w:rPr>
          <w:color w:val="000000"/>
          <w:szCs w:val="21"/>
        </w:rPr>
        <w:t>附：</w:t>
      </w:r>
    </w:p>
    <w:tbl>
      <w:tblPr>
        <w:tblStyle w:val="21"/>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jc w:val="center"/>
        </w:trPr>
        <w:tc>
          <w:tcPr>
            <w:tcW w:w="2700" w:type="dxa"/>
          </w:tcPr>
          <w:p>
            <w:pPr>
              <w:spacing w:line="360" w:lineRule="auto"/>
              <w:rPr>
                <w:color w:val="000000"/>
                <w:szCs w:val="21"/>
              </w:rPr>
            </w:pPr>
            <w:r>
              <w:rPr>
                <w:color w:val="000000"/>
                <w:szCs w:val="21"/>
              </w:rPr>
              <w:t>法定代表人身份证</w:t>
            </w:r>
            <w:r>
              <w:rPr>
                <w:rFonts w:hint="eastAsia"/>
                <w:color w:val="000000"/>
                <w:szCs w:val="21"/>
              </w:rPr>
              <w:t>扫描</w:t>
            </w:r>
            <w:r>
              <w:rPr>
                <w:color w:val="000000"/>
                <w:szCs w:val="21"/>
              </w:rPr>
              <w:t>件</w:t>
            </w:r>
          </w:p>
          <w:p>
            <w:pPr>
              <w:spacing w:line="360" w:lineRule="auto"/>
              <w:rPr>
                <w:color w:val="000000"/>
                <w:szCs w:val="21"/>
              </w:rPr>
            </w:pPr>
          </w:p>
        </w:tc>
      </w:tr>
    </w:tbl>
    <w:p>
      <w:pPr>
        <w:adjustRightInd w:val="0"/>
        <w:snapToGrid w:val="0"/>
        <w:spacing w:line="360" w:lineRule="auto"/>
        <w:ind w:firstLine="420" w:firstLineChars="200"/>
        <w:rPr>
          <w:color w:val="000000"/>
          <w:szCs w:val="21"/>
        </w:rPr>
      </w:pPr>
    </w:p>
    <w:p>
      <w:pPr>
        <w:pStyle w:val="4"/>
        <w:ind w:firstLine="630" w:firstLineChars="196"/>
        <w:rPr>
          <w:rFonts w:ascii="Times New Roman" w:hAnsi="Times New Roman"/>
          <w:color w:val="000000"/>
        </w:rPr>
      </w:pPr>
      <w:r>
        <w:rPr>
          <w:rFonts w:ascii="Times New Roman" w:hAnsi="Times New Roman"/>
          <w:color w:val="000000"/>
        </w:rPr>
        <w:br w:type="page"/>
      </w:r>
      <w:bookmarkStart w:id="152" w:name="_Toc8173"/>
      <w:r>
        <w:rPr>
          <w:rFonts w:hint="eastAsia" w:ascii="Times New Roman" w:hAnsi="Times New Roman"/>
          <w:color w:val="000000"/>
          <w:sz w:val="24"/>
          <w:szCs w:val="24"/>
        </w:rPr>
        <w:t>3</w:t>
      </w:r>
      <w:r>
        <w:rPr>
          <w:rFonts w:ascii="Times New Roman" w:hAnsi="Times New Roman"/>
          <w:color w:val="000000"/>
          <w:sz w:val="24"/>
          <w:szCs w:val="24"/>
        </w:rPr>
        <w:t>、法定代表人授权委托书</w:t>
      </w:r>
      <w:bookmarkEnd w:id="152"/>
    </w:p>
    <w:p>
      <w:pPr>
        <w:snapToGrid w:val="0"/>
        <w:spacing w:line="300" w:lineRule="auto"/>
        <w:jc w:val="center"/>
        <w:rPr>
          <w:b/>
          <w:bCs/>
          <w:color w:val="000000"/>
          <w:sz w:val="32"/>
          <w:szCs w:val="32"/>
        </w:rPr>
      </w:pPr>
      <w:r>
        <w:rPr>
          <w:b/>
          <w:bCs/>
          <w:color w:val="000000"/>
          <w:sz w:val="32"/>
          <w:szCs w:val="32"/>
        </w:rPr>
        <w:t>法定代表人授权委托书</w:t>
      </w:r>
    </w:p>
    <w:p>
      <w:pPr>
        <w:snapToGrid w:val="0"/>
        <w:spacing w:line="300" w:lineRule="auto"/>
        <w:jc w:val="center"/>
        <w:rPr>
          <w:b/>
          <w:bCs/>
          <w:color w:val="000000"/>
          <w:sz w:val="32"/>
          <w:szCs w:val="32"/>
        </w:rPr>
      </w:pPr>
      <w:r>
        <w:rPr>
          <w:color w:val="000000"/>
        </w:rPr>
        <w:t>（法定代表人签署不需提供此书）</w:t>
      </w:r>
    </w:p>
    <w:p>
      <w:pPr>
        <w:spacing w:line="360" w:lineRule="auto"/>
        <w:rPr>
          <w:color w:val="000000"/>
          <w:szCs w:val="21"/>
        </w:rPr>
      </w:pPr>
    </w:p>
    <w:p>
      <w:pPr>
        <w:snapToGrid w:val="0"/>
        <w:spacing w:line="360" w:lineRule="auto"/>
        <w:rPr>
          <w:color w:val="000000"/>
          <w:szCs w:val="21"/>
        </w:rPr>
      </w:pPr>
      <w:r>
        <w:rPr>
          <w:bCs/>
          <w:color w:val="000000"/>
          <w:szCs w:val="21"/>
        </w:rPr>
        <w:t>致：</w:t>
      </w:r>
      <w:r>
        <w:rPr>
          <w:color w:val="000000"/>
          <w:szCs w:val="21"/>
          <w:u w:val="single"/>
        </w:rPr>
        <w:t>（采购代理机构）</w:t>
      </w:r>
      <w:r>
        <w:rPr>
          <w:color w:val="000000"/>
          <w:szCs w:val="21"/>
        </w:rPr>
        <w:t>：</w:t>
      </w:r>
    </w:p>
    <w:p>
      <w:pPr>
        <w:snapToGrid w:val="0"/>
        <w:spacing w:line="360" w:lineRule="auto"/>
        <w:rPr>
          <w:b/>
          <w:bCs/>
          <w:color w:val="000000"/>
          <w:szCs w:val="21"/>
        </w:rPr>
      </w:pPr>
    </w:p>
    <w:p>
      <w:pPr>
        <w:snapToGrid w:val="0"/>
        <w:spacing w:line="360" w:lineRule="auto"/>
        <w:ind w:firstLine="420" w:firstLineChars="200"/>
        <w:rPr>
          <w:color w:val="000000"/>
          <w:szCs w:val="21"/>
        </w:rPr>
      </w:pPr>
      <w:r>
        <w:rPr>
          <w:color w:val="000000"/>
          <w:szCs w:val="21"/>
        </w:rPr>
        <w:t>我</w:t>
      </w:r>
      <w:r>
        <w:rPr>
          <w:color w:val="000000"/>
          <w:szCs w:val="21"/>
          <w:u w:val="single"/>
        </w:rPr>
        <w:t xml:space="preserve">  （姓名）  </w:t>
      </w:r>
      <w:r>
        <w:rPr>
          <w:color w:val="000000"/>
          <w:szCs w:val="21"/>
        </w:rPr>
        <w:t>系</w:t>
      </w:r>
      <w:r>
        <w:rPr>
          <w:color w:val="000000"/>
          <w:szCs w:val="21"/>
          <w:u w:val="single"/>
        </w:rPr>
        <w:t xml:space="preserve">   （</w:t>
      </w:r>
      <w:r>
        <w:rPr>
          <w:rFonts w:hint="eastAsia"/>
          <w:color w:val="000000"/>
          <w:szCs w:val="21"/>
          <w:u w:val="single"/>
        </w:rPr>
        <w:t>供应商</w:t>
      </w:r>
      <w:r>
        <w:rPr>
          <w:color w:val="000000"/>
          <w:szCs w:val="21"/>
          <w:u w:val="single"/>
        </w:rPr>
        <w:t xml:space="preserve">名称）     </w:t>
      </w:r>
      <w:r>
        <w:rPr>
          <w:color w:val="000000"/>
          <w:szCs w:val="21"/>
        </w:rPr>
        <w:t>的法定代表人，现授权委托本单位在职职工</w:t>
      </w:r>
      <w:r>
        <w:rPr>
          <w:color w:val="000000"/>
          <w:szCs w:val="21"/>
          <w:u w:val="single"/>
        </w:rPr>
        <w:t xml:space="preserve">              </w:t>
      </w:r>
      <w:r>
        <w:rPr>
          <w:color w:val="000000"/>
          <w:szCs w:val="21"/>
        </w:rPr>
        <w:t>（姓名）以我方的名义参加</w:t>
      </w:r>
      <w:r>
        <w:rPr>
          <w:color w:val="000000"/>
          <w:szCs w:val="21"/>
          <w:u w:val="single"/>
        </w:rPr>
        <w:t xml:space="preserve">   （采购单位，项目名称）   </w:t>
      </w:r>
      <w:r>
        <w:rPr>
          <w:color w:val="000000"/>
          <w:szCs w:val="21"/>
        </w:rPr>
        <w:t>项目的投标活动，并代表我方全权办理针对上述项目的投标、开标、评标、签约等具体事务和签署相关文件。</w:t>
      </w:r>
    </w:p>
    <w:p>
      <w:pPr>
        <w:snapToGrid w:val="0"/>
        <w:spacing w:line="360" w:lineRule="auto"/>
        <w:ind w:firstLine="420" w:firstLineChars="200"/>
        <w:rPr>
          <w:color w:val="000000"/>
          <w:szCs w:val="21"/>
        </w:rPr>
      </w:pPr>
      <w:r>
        <w:rPr>
          <w:color w:val="000000"/>
          <w:szCs w:val="21"/>
        </w:rPr>
        <w:t>我方对被授权人的签名事项负全部责任。</w:t>
      </w:r>
    </w:p>
    <w:p>
      <w:pPr>
        <w:snapToGrid w:val="0"/>
        <w:spacing w:line="360" w:lineRule="auto"/>
        <w:ind w:firstLine="420" w:firstLineChars="200"/>
        <w:rPr>
          <w:color w:val="000000"/>
          <w:szCs w:val="21"/>
        </w:rPr>
      </w:pPr>
      <w:r>
        <w:rPr>
          <w:color w:val="000000"/>
          <w:szCs w:val="21"/>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szCs w:val="21"/>
        </w:rPr>
      </w:pPr>
      <w:r>
        <w:rPr>
          <w:color w:val="000000"/>
          <w:szCs w:val="21"/>
        </w:rPr>
        <w:t>被授权人无转委托权，特此委托。</w:t>
      </w:r>
    </w:p>
    <w:p>
      <w:pPr>
        <w:snapToGrid w:val="0"/>
        <w:spacing w:line="360" w:lineRule="auto"/>
        <w:rPr>
          <w:color w:val="000000"/>
          <w:szCs w:val="21"/>
        </w:rPr>
      </w:pPr>
    </w:p>
    <w:p>
      <w:pPr>
        <w:snapToGrid w:val="0"/>
        <w:spacing w:line="360" w:lineRule="auto"/>
        <w:rPr>
          <w:color w:val="000000"/>
          <w:szCs w:val="21"/>
        </w:rPr>
      </w:pPr>
      <w:r>
        <w:rPr>
          <w:color w:val="000000"/>
          <w:szCs w:val="21"/>
        </w:rPr>
        <w:t>被授权人</w:t>
      </w:r>
      <w:r>
        <w:rPr>
          <w:rFonts w:hint="eastAsia"/>
          <w:color w:val="000000"/>
          <w:szCs w:val="21"/>
        </w:rPr>
        <w:t>姓名</w:t>
      </w:r>
      <w:r>
        <w:rPr>
          <w:color w:val="000000"/>
          <w:szCs w:val="21"/>
        </w:rPr>
        <w:t>：</w:t>
      </w:r>
      <w:r>
        <w:rPr>
          <w:color w:val="000000"/>
          <w:szCs w:val="21"/>
          <w:u w:val="single"/>
        </w:rPr>
        <w:t xml:space="preserve">                    </w:t>
      </w:r>
    </w:p>
    <w:p>
      <w:pPr>
        <w:snapToGrid w:val="0"/>
        <w:spacing w:line="360" w:lineRule="auto"/>
        <w:rPr>
          <w:color w:val="000000"/>
          <w:szCs w:val="21"/>
        </w:rPr>
      </w:pPr>
      <w:r>
        <w:rPr>
          <w:color w:val="000000"/>
          <w:szCs w:val="21"/>
        </w:rPr>
        <w:t>职        务：</w:t>
      </w:r>
      <w:r>
        <w:rPr>
          <w:color w:val="000000"/>
          <w:szCs w:val="21"/>
          <w:u w:val="single"/>
        </w:rPr>
        <w:t xml:space="preserve">                    </w:t>
      </w:r>
    </w:p>
    <w:p>
      <w:pPr>
        <w:snapToGrid w:val="0"/>
        <w:spacing w:line="360" w:lineRule="auto"/>
        <w:rPr>
          <w:color w:val="000000"/>
          <w:szCs w:val="21"/>
        </w:rPr>
      </w:pPr>
      <w:r>
        <w:rPr>
          <w:color w:val="000000"/>
          <w:szCs w:val="21"/>
        </w:rPr>
        <w:t>被授权人身份证号码：</w:t>
      </w:r>
      <w:r>
        <w:rPr>
          <w:color w:val="000000"/>
          <w:szCs w:val="21"/>
          <w:u w:val="single"/>
        </w:rPr>
        <w:t xml:space="preserve">              </w:t>
      </w:r>
    </w:p>
    <w:p>
      <w:pPr>
        <w:snapToGrid w:val="0"/>
        <w:spacing w:line="360" w:lineRule="auto"/>
        <w:rPr>
          <w:color w:val="000000"/>
          <w:szCs w:val="21"/>
        </w:rPr>
      </w:pPr>
    </w:p>
    <w:p>
      <w:pPr>
        <w:snapToGrid w:val="0"/>
        <w:spacing w:line="360" w:lineRule="auto"/>
        <w:rPr>
          <w:color w:val="000000"/>
          <w:szCs w:val="21"/>
          <w:u w:val="single"/>
        </w:rPr>
      </w:pPr>
      <w:r>
        <w:rPr>
          <w:color w:val="000000"/>
          <w:szCs w:val="21"/>
        </w:rPr>
        <w:t>法定代表人</w:t>
      </w:r>
      <w:r>
        <w:rPr>
          <w:rFonts w:hint="eastAsia"/>
          <w:color w:val="000000"/>
          <w:szCs w:val="21"/>
        </w:rPr>
        <w:t>姓名</w:t>
      </w:r>
      <w:r>
        <w:rPr>
          <w:color w:val="000000"/>
          <w:szCs w:val="21"/>
        </w:rPr>
        <w:t>：</w:t>
      </w:r>
      <w:r>
        <w:rPr>
          <w:color w:val="000000"/>
          <w:szCs w:val="21"/>
          <w:u w:val="single"/>
        </w:rPr>
        <w:t xml:space="preserve">                  </w:t>
      </w:r>
    </w:p>
    <w:p>
      <w:pPr>
        <w:snapToGrid w:val="0"/>
        <w:spacing w:line="360" w:lineRule="auto"/>
        <w:rPr>
          <w:color w:val="000000"/>
          <w:szCs w:val="21"/>
          <w:u w:val="single"/>
        </w:rPr>
      </w:pPr>
      <w:r>
        <w:rPr>
          <w:color w:val="000000"/>
          <w:szCs w:val="21"/>
        </w:rPr>
        <w:t>职          务：</w:t>
      </w:r>
      <w:r>
        <w:rPr>
          <w:color w:val="000000"/>
          <w:szCs w:val="21"/>
          <w:u w:val="single"/>
        </w:rPr>
        <w:t xml:space="preserve">                  </w:t>
      </w:r>
    </w:p>
    <w:p>
      <w:pPr>
        <w:snapToGrid w:val="0"/>
        <w:spacing w:line="360" w:lineRule="auto"/>
        <w:rPr>
          <w:color w:val="000000"/>
          <w:szCs w:val="21"/>
          <w:u w:val="single"/>
        </w:rPr>
      </w:pPr>
      <w:r>
        <w:rPr>
          <w:color w:val="000000"/>
          <w:szCs w:val="21"/>
        </w:rPr>
        <w:t>身</w:t>
      </w:r>
      <w:r>
        <w:rPr>
          <w:rFonts w:hint="eastAsia"/>
          <w:color w:val="000000"/>
          <w:szCs w:val="21"/>
        </w:rPr>
        <w:t xml:space="preserve"> </w:t>
      </w:r>
      <w:r>
        <w:rPr>
          <w:color w:val="000000"/>
          <w:szCs w:val="21"/>
        </w:rPr>
        <w:t>份</w:t>
      </w:r>
      <w:r>
        <w:rPr>
          <w:rFonts w:hint="eastAsia"/>
          <w:color w:val="000000"/>
          <w:szCs w:val="21"/>
        </w:rPr>
        <w:t xml:space="preserve"> </w:t>
      </w:r>
      <w:r>
        <w:rPr>
          <w:color w:val="000000"/>
          <w:szCs w:val="21"/>
        </w:rPr>
        <w:t>证</w:t>
      </w:r>
      <w:r>
        <w:rPr>
          <w:rFonts w:hint="eastAsia"/>
          <w:color w:val="000000"/>
          <w:szCs w:val="21"/>
        </w:rPr>
        <w:t xml:space="preserve"> </w:t>
      </w:r>
      <w:r>
        <w:rPr>
          <w:color w:val="000000"/>
          <w:szCs w:val="21"/>
        </w:rPr>
        <w:t>号</w:t>
      </w:r>
      <w:r>
        <w:rPr>
          <w:rFonts w:hint="eastAsia"/>
          <w:color w:val="000000"/>
          <w:szCs w:val="21"/>
        </w:rPr>
        <w:t xml:space="preserve"> </w:t>
      </w:r>
      <w:r>
        <w:rPr>
          <w:color w:val="000000"/>
          <w:szCs w:val="21"/>
        </w:rPr>
        <w:t>码：</w:t>
      </w:r>
      <w:r>
        <w:rPr>
          <w:color w:val="000000"/>
          <w:szCs w:val="21"/>
          <w:u w:val="single"/>
        </w:rPr>
        <w:t xml:space="preserve">                     </w:t>
      </w:r>
    </w:p>
    <w:p>
      <w:pPr>
        <w:spacing w:line="360" w:lineRule="auto"/>
      </w:pPr>
      <w:r>
        <w:rPr>
          <w:rFonts w:hint="eastAsia"/>
        </w:rPr>
        <w:t>磋商供应商：</w:t>
      </w:r>
      <w:r>
        <w:rPr>
          <w:rFonts w:hint="eastAsia"/>
          <w:u w:val="single"/>
        </w:rPr>
        <w:t xml:space="preserve">                 </w:t>
      </w:r>
      <w:r>
        <w:rPr>
          <w:rFonts w:hint="eastAsia"/>
        </w:rPr>
        <w:t>（盖电子签章）</w:t>
      </w:r>
    </w:p>
    <w:p>
      <w:pPr>
        <w:spacing w:line="360" w:lineRule="auto"/>
        <w:rPr>
          <w:color w:val="000000"/>
          <w:szCs w:val="21"/>
          <w:u w:val="single"/>
        </w:rPr>
      </w:pPr>
      <w:r>
        <w:rPr>
          <w:rFonts w:hint="eastAsia"/>
        </w:rPr>
        <w:t>法定代表人：</w:t>
      </w:r>
      <w:r>
        <w:rPr>
          <w:rFonts w:hint="eastAsia"/>
          <w:u w:val="single"/>
        </w:rPr>
        <w:t xml:space="preserve">                 </w:t>
      </w:r>
      <w:r>
        <w:rPr>
          <w:rFonts w:hint="eastAsia"/>
        </w:rPr>
        <w:t>（签字或盖章）</w:t>
      </w:r>
    </w:p>
    <w:p>
      <w:pPr>
        <w:spacing w:line="360" w:lineRule="auto"/>
        <w:rPr>
          <w:color w:val="000000"/>
          <w:szCs w:val="21"/>
        </w:rPr>
      </w:pPr>
      <w:r>
        <w:rPr>
          <w:color w:val="000000"/>
          <w:szCs w:val="21"/>
        </w:rPr>
        <w:t>签署时间：   年    月    日</w:t>
      </w:r>
    </w:p>
    <w:p>
      <w:pPr>
        <w:spacing w:line="360" w:lineRule="auto"/>
        <w:rPr>
          <w:color w:val="000000"/>
          <w:szCs w:val="21"/>
        </w:rPr>
      </w:pPr>
      <w:r>
        <w:rPr>
          <w:color w:val="000000"/>
          <w:szCs w:val="21"/>
        </w:rPr>
        <w:t>附：</w:t>
      </w:r>
    </w:p>
    <w:tbl>
      <w:tblPr>
        <w:tblStyle w:val="21"/>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000000"/>
                <w:szCs w:val="21"/>
              </w:rPr>
            </w:pPr>
            <w:r>
              <w:rPr>
                <w:color w:val="000000"/>
                <w:szCs w:val="21"/>
              </w:rPr>
              <w:t>法定代表人身份证</w:t>
            </w:r>
            <w:r>
              <w:rPr>
                <w:rFonts w:hint="eastAsia"/>
                <w:color w:val="000000"/>
                <w:szCs w:val="21"/>
              </w:rPr>
              <w:t>扫描</w:t>
            </w:r>
            <w:r>
              <w:rPr>
                <w:color w:val="000000"/>
                <w:szCs w:val="21"/>
              </w:rPr>
              <w:t>件</w:t>
            </w:r>
          </w:p>
          <w:p>
            <w:pPr>
              <w:spacing w:line="360" w:lineRule="auto"/>
              <w:rPr>
                <w:color w:val="000000"/>
                <w:szCs w:val="21"/>
              </w:rPr>
            </w:pPr>
          </w:p>
        </w:tc>
        <w:tc>
          <w:tcPr>
            <w:tcW w:w="2340" w:type="dxa"/>
            <w:tcBorders>
              <w:top w:val="nil"/>
              <w:bottom w:val="nil"/>
            </w:tcBorders>
          </w:tcPr>
          <w:p>
            <w:pPr>
              <w:widowControl/>
              <w:jc w:val="left"/>
              <w:rPr>
                <w:color w:val="000000"/>
                <w:szCs w:val="21"/>
              </w:rPr>
            </w:pPr>
          </w:p>
          <w:p>
            <w:pPr>
              <w:spacing w:line="360" w:lineRule="auto"/>
              <w:rPr>
                <w:color w:val="000000"/>
                <w:szCs w:val="21"/>
              </w:rPr>
            </w:pPr>
          </w:p>
        </w:tc>
        <w:tc>
          <w:tcPr>
            <w:tcW w:w="2700" w:type="dxa"/>
          </w:tcPr>
          <w:p>
            <w:pPr>
              <w:spacing w:line="360" w:lineRule="auto"/>
              <w:rPr>
                <w:color w:val="000000"/>
                <w:szCs w:val="21"/>
              </w:rPr>
            </w:pPr>
            <w:r>
              <w:rPr>
                <w:color w:val="000000"/>
                <w:szCs w:val="21"/>
              </w:rPr>
              <w:t>被授权人身份证</w:t>
            </w:r>
            <w:r>
              <w:rPr>
                <w:rFonts w:hint="eastAsia"/>
                <w:color w:val="000000"/>
                <w:szCs w:val="21"/>
              </w:rPr>
              <w:t>扫描</w:t>
            </w:r>
            <w:r>
              <w:rPr>
                <w:color w:val="000000"/>
                <w:szCs w:val="21"/>
              </w:rPr>
              <w:t>件</w:t>
            </w:r>
          </w:p>
        </w:tc>
      </w:tr>
    </w:tbl>
    <w:p>
      <w:pPr>
        <w:widowControl/>
        <w:autoSpaceDE w:val="0"/>
        <w:autoSpaceDN w:val="0"/>
        <w:spacing w:line="360" w:lineRule="auto"/>
        <w:textAlignment w:val="bottom"/>
        <w:rPr>
          <w:color w:val="000000"/>
          <w:szCs w:val="21"/>
        </w:rPr>
      </w:pPr>
    </w:p>
    <w:p>
      <w:pPr>
        <w:spacing w:line="360" w:lineRule="auto"/>
        <w:rPr>
          <w:color w:val="000000"/>
          <w:szCs w:val="21"/>
          <w:u w:val="single"/>
        </w:rPr>
      </w:pPr>
      <w:r>
        <w:rPr>
          <w:color w:val="000000"/>
        </w:rPr>
        <w:t>附：社保机构出具的投标截止日前6个月内授权代表的投标单位社保缴纳证明，任职不足6个月的可提供劳动合同证明文件</w:t>
      </w:r>
    </w:p>
    <w:p>
      <w:pPr>
        <w:pStyle w:val="4"/>
        <w:ind w:firstLine="630" w:firstLineChars="196"/>
        <w:rPr>
          <w:rFonts w:ascii="Times New Roman" w:hAnsi="Times New Roman"/>
          <w:color w:val="000000"/>
        </w:rPr>
      </w:pPr>
      <w:r>
        <w:rPr>
          <w:rFonts w:ascii="Times New Roman" w:hAnsi="Times New Roman"/>
          <w:color w:val="000000"/>
          <w:szCs w:val="21"/>
        </w:rPr>
        <w:br w:type="page"/>
      </w:r>
      <w:bookmarkStart w:id="153" w:name="_Toc21384"/>
      <w:r>
        <w:rPr>
          <w:rFonts w:hint="eastAsia"/>
          <w:sz w:val="24"/>
          <w:szCs w:val="24"/>
        </w:rPr>
        <w:t>4</w:t>
      </w:r>
      <w:r>
        <w:rPr>
          <w:sz w:val="24"/>
          <w:szCs w:val="24"/>
        </w:rPr>
        <w:t>、代理证明（或制造商出具的授权书）</w:t>
      </w:r>
      <w:bookmarkEnd w:id="153"/>
    </w:p>
    <w:p>
      <w:pPr>
        <w:snapToGrid w:val="0"/>
        <w:spacing w:line="300" w:lineRule="auto"/>
        <w:jc w:val="center"/>
        <w:rPr>
          <w:b/>
          <w:bCs/>
          <w:color w:val="000000"/>
          <w:sz w:val="32"/>
          <w:szCs w:val="32"/>
        </w:rPr>
      </w:pPr>
      <w:r>
        <w:rPr>
          <w:b/>
          <w:bCs/>
          <w:color w:val="000000"/>
          <w:sz w:val="32"/>
          <w:szCs w:val="32"/>
        </w:rPr>
        <w:t>代理证明（或制造商出具的授权书）</w:t>
      </w:r>
    </w:p>
    <w:p>
      <w:pPr>
        <w:spacing w:line="360" w:lineRule="auto"/>
        <w:rPr>
          <w:bCs/>
          <w:color w:val="000000"/>
          <w:szCs w:val="21"/>
        </w:rPr>
      </w:pPr>
    </w:p>
    <w:p>
      <w:pPr>
        <w:spacing w:line="360" w:lineRule="auto"/>
        <w:rPr>
          <w:color w:val="000000"/>
          <w:kern w:val="0"/>
          <w:szCs w:val="21"/>
        </w:rPr>
      </w:pPr>
      <w:r>
        <w:rPr>
          <w:bCs/>
          <w:color w:val="000000"/>
          <w:szCs w:val="21"/>
        </w:rPr>
        <w:t>附：</w:t>
      </w:r>
      <w:r>
        <w:rPr>
          <w:color w:val="000000"/>
          <w:kern w:val="0"/>
          <w:szCs w:val="21"/>
        </w:rPr>
        <w:t>制造商出具的授权书参考格式：</w:t>
      </w:r>
    </w:p>
    <w:p>
      <w:pPr>
        <w:spacing w:line="360" w:lineRule="auto"/>
        <w:rPr>
          <w:bCs/>
          <w:color w:val="000000"/>
          <w:szCs w:val="21"/>
        </w:rPr>
      </w:pPr>
    </w:p>
    <w:p>
      <w:pPr>
        <w:spacing w:line="360" w:lineRule="auto"/>
        <w:rPr>
          <w:color w:val="000000"/>
          <w:szCs w:val="21"/>
        </w:rPr>
      </w:pPr>
      <w:r>
        <w:rPr>
          <w:bCs/>
          <w:color w:val="000000"/>
          <w:szCs w:val="21"/>
        </w:rPr>
        <w:t>致：</w:t>
      </w:r>
      <w:r>
        <w:rPr>
          <w:color w:val="000000"/>
          <w:szCs w:val="21"/>
        </w:rPr>
        <w:t>_</w:t>
      </w:r>
      <w:r>
        <w:rPr>
          <w:color w:val="000000"/>
          <w:szCs w:val="21"/>
          <w:u w:val="single"/>
        </w:rPr>
        <w:t>_       _</w:t>
      </w:r>
      <w:r>
        <w:rPr>
          <w:color w:val="000000"/>
          <w:szCs w:val="21"/>
        </w:rPr>
        <w:t>_（采购代理机构）：</w:t>
      </w:r>
    </w:p>
    <w:p>
      <w:pPr>
        <w:spacing w:line="360" w:lineRule="auto"/>
        <w:rPr>
          <w:color w:val="000000"/>
          <w:szCs w:val="21"/>
        </w:rPr>
      </w:pPr>
    </w:p>
    <w:p>
      <w:pPr>
        <w:spacing w:line="360" w:lineRule="auto"/>
        <w:rPr>
          <w:color w:val="000000"/>
          <w:szCs w:val="21"/>
        </w:rPr>
      </w:pPr>
      <w:r>
        <w:rPr>
          <w:color w:val="000000"/>
          <w:szCs w:val="21"/>
        </w:rPr>
        <w:t xml:space="preserve">    我们</w:t>
      </w:r>
      <w:r>
        <w:rPr>
          <w:color w:val="000000"/>
          <w:szCs w:val="21"/>
          <w:u w:val="single"/>
        </w:rPr>
        <w:t>（</w:t>
      </w:r>
      <w:r>
        <w:rPr>
          <w:i/>
          <w:color w:val="000000"/>
          <w:szCs w:val="21"/>
          <w:u w:val="single"/>
        </w:rPr>
        <w:t>制造商名称</w:t>
      </w:r>
      <w:r>
        <w:rPr>
          <w:color w:val="000000"/>
          <w:szCs w:val="21"/>
          <w:u w:val="single"/>
        </w:rPr>
        <w:t>）</w:t>
      </w:r>
      <w:r>
        <w:rPr>
          <w:color w:val="000000"/>
          <w:szCs w:val="21"/>
        </w:rPr>
        <w:t>是按</w:t>
      </w:r>
      <w:r>
        <w:rPr>
          <w:color w:val="000000"/>
          <w:szCs w:val="21"/>
          <w:u w:val="single"/>
        </w:rPr>
        <w:t>（</w:t>
      </w:r>
      <w:r>
        <w:rPr>
          <w:i/>
          <w:color w:val="000000"/>
          <w:szCs w:val="21"/>
          <w:u w:val="single"/>
        </w:rPr>
        <w:t>国家或地区的名称</w:t>
      </w:r>
      <w:r>
        <w:rPr>
          <w:color w:val="000000"/>
          <w:szCs w:val="21"/>
          <w:u w:val="single"/>
        </w:rPr>
        <w:t>）</w:t>
      </w:r>
      <w:r>
        <w:rPr>
          <w:color w:val="000000"/>
          <w:szCs w:val="21"/>
        </w:rPr>
        <w:t>法律成立的一家制造商，主要营业地点设在</w:t>
      </w:r>
      <w:r>
        <w:rPr>
          <w:color w:val="000000"/>
          <w:szCs w:val="21"/>
          <w:u w:val="single"/>
        </w:rPr>
        <w:t>（</w:t>
      </w:r>
      <w:r>
        <w:rPr>
          <w:i/>
          <w:color w:val="000000"/>
          <w:szCs w:val="21"/>
          <w:u w:val="single"/>
        </w:rPr>
        <w:t>制造商地址</w:t>
      </w:r>
      <w:r>
        <w:rPr>
          <w:color w:val="000000"/>
          <w:szCs w:val="21"/>
          <w:u w:val="single"/>
        </w:rPr>
        <w:t>）</w:t>
      </w:r>
      <w:r>
        <w:rPr>
          <w:color w:val="000000"/>
          <w:szCs w:val="21"/>
        </w:rPr>
        <w:t>。兹指派按</w:t>
      </w:r>
      <w:r>
        <w:rPr>
          <w:color w:val="000000"/>
          <w:szCs w:val="21"/>
          <w:u w:val="single"/>
        </w:rPr>
        <w:t>（</w:t>
      </w:r>
      <w:r>
        <w:rPr>
          <w:i/>
          <w:color w:val="000000"/>
          <w:szCs w:val="21"/>
          <w:u w:val="single"/>
        </w:rPr>
        <w:t>国家名称</w:t>
      </w:r>
      <w:r>
        <w:rPr>
          <w:color w:val="000000"/>
          <w:szCs w:val="21"/>
          <w:u w:val="single"/>
        </w:rPr>
        <w:t>）</w:t>
      </w:r>
      <w:r>
        <w:rPr>
          <w:color w:val="000000"/>
          <w:szCs w:val="21"/>
        </w:rPr>
        <w:t>的法律正式成立的，主要营业地点设在</w:t>
      </w:r>
      <w:r>
        <w:rPr>
          <w:color w:val="000000"/>
          <w:szCs w:val="21"/>
          <w:u w:val="single"/>
        </w:rPr>
        <w:t>（</w:t>
      </w:r>
      <w:r>
        <w:rPr>
          <w:i/>
          <w:color w:val="000000"/>
          <w:szCs w:val="21"/>
          <w:u w:val="single"/>
        </w:rPr>
        <w:t>贸易公司地址</w:t>
      </w:r>
      <w:r>
        <w:rPr>
          <w:color w:val="000000"/>
          <w:szCs w:val="21"/>
          <w:u w:val="single"/>
        </w:rPr>
        <w:t>）</w:t>
      </w:r>
      <w:r>
        <w:rPr>
          <w:color w:val="000000"/>
          <w:szCs w:val="21"/>
        </w:rPr>
        <w:t>的</w:t>
      </w:r>
      <w:r>
        <w:rPr>
          <w:color w:val="000000"/>
          <w:szCs w:val="21"/>
          <w:u w:val="single"/>
        </w:rPr>
        <w:t>（</w:t>
      </w:r>
      <w:r>
        <w:rPr>
          <w:i/>
          <w:color w:val="000000"/>
          <w:szCs w:val="21"/>
          <w:u w:val="single"/>
        </w:rPr>
        <w:t>贸易公司名称</w:t>
      </w:r>
      <w:r>
        <w:rPr>
          <w:color w:val="000000"/>
          <w:szCs w:val="21"/>
          <w:u w:val="single"/>
        </w:rPr>
        <w:t>）</w:t>
      </w:r>
      <w:r>
        <w:rPr>
          <w:color w:val="000000"/>
          <w:szCs w:val="21"/>
        </w:rPr>
        <w:t>作为我方真正的和合法的代理人进行下列有效的活动：</w:t>
      </w:r>
    </w:p>
    <w:p>
      <w:pPr>
        <w:spacing w:line="360" w:lineRule="auto"/>
        <w:rPr>
          <w:color w:val="000000"/>
          <w:szCs w:val="21"/>
        </w:rPr>
      </w:pPr>
      <w:r>
        <w:rPr>
          <w:color w:val="000000"/>
          <w:szCs w:val="21"/>
        </w:rPr>
        <w:t xml:space="preserve">    （1）代表我方在中华人民共和国办理贵方第</w:t>
      </w:r>
      <w:r>
        <w:rPr>
          <w:color w:val="000000"/>
          <w:szCs w:val="21"/>
          <w:u w:val="single"/>
        </w:rPr>
        <w:t xml:space="preserve">     </w:t>
      </w:r>
      <w:r>
        <w:rPr>
          <w:color w:val="000000"/>
          <w:szCs w:val="21"/>
        </w:rPr>
        <w:t>号（项目编号）招标邀请要求提供的由我方制造的货物的有关事宜，并对我方具有约束力。</w:t>
      </w:r>
    </w:p>
    <w:p>
      <w:pPr>
        <w:spacing w:line="360" w:lineRule="auto"/>
        <w:rPr>
          <w:color w:val="000000"/>
          <w:szCs w:val="21"/>
        </w:rPr>
      </w:pPr>
      <w:r>
        <w:rPr>
          <w:color w:val="000000"/>
          <w:szCs w:val="21"/>
        </w:rPr>
        <w:t xml:space="preserve">    （2）作为制造商，我方保证以投标合作者来约束自己，并对该投标共同和分别承担采购文件中所规定的义务。</w:t>
      </w:r>
    </w:p>
    <w:p>
      <w:pPr>
        <w:spacing w:line="360" w:lineRule="auto"/>
        <w:ind w:firstLine="480"/>
        <w:rPr>
          <w:color w:val="000000"/>
          <w:szCs w:val="21"/>
        </w:rPr>
      </w:pPr>
      <w:r>
        <w:rPr>
          <w:color w:val="000000"/>
          <w:szCs w:val="21"/>
        </w:rPr>
        <w:t>（3）我方兹授予</w:t>
      </w:r>
      <w:r>
        <w:rPr>
          <w:color w:val="000000"/>
          <w:szCs w:val="21"/>
          <w:u w:val="single"/>
        </w:rPr>
        <w:t>（</w:t>
      </w:r>
      <w:r>
        <w:rPr>
          <w:i/>
          <w:color w:val="000000"/>
          <w:szCs w:val="21"/>
          <w:u w:val="single"/>
        </w:rPr>
        <w:t>贸易公司名称</w:t>
      </w:r>
      <w:r>
        <w:rPr>
          <w:color w:val="000000"/>
          <w:szCs w:val="21"/>
          <w:u w:val="single"/>
        </w:rPr>
        <w:t>）</w:t>
      </w:r>
      <w:r>
        <w:rPr>
          <w:color w:val="000000"/>
          <w:szCs w:val="21"/>
        </w:rPr>
        <w:t>全权办理和履行上述我方为完成上述各点所必须的事宜，具有替换或撤消的全权。兹确认</w:t>
      </w:r>
      <w:r>
        <w:rPr>
          <w:color w:val="000000"/>
          <w:szCs w:val="21"/>
          <w:u w:val="single"/>
        </w:rPr>
        <w:t>（</w:t>
      </w:r>
      <w:r>
        <w:rPr>
          <w:i/>
          <w:color w:val="000000"/>
          <w:szCs w:val="21"/>
          <w:u w:val="single"/>
        </w:rPr>
        <w:t>贸易公司名称</w:t>
      </w:r>
      <w:r>
        <w:rPr>
          <w:color w:val="000000"/>
          <w:szCs w:val="21"/>
          <w:u w:val="single"/>
        </w:rPr>
        <w:t>）</w:t>
      </w:r>
      <w:r>
        <w:rPr>
          <w:color w:val="000000"/>
          <w:szCs w:val="21"/>
        </w:rPr>
        <w:t>或其正式授权代表依此合法地办理一切事宜。</w:t>
      </w:r>
    </w:p>
    <w:p>
      <w:pPr>
        <w:spacing w:line="360" w:lineRule="auto"/>
        <w:ind w:firstLine="480"/>
        <w:rPr>
          <w:color w:val="000000"/>
          <w:szCs w:val="21"/>
        </w:rPr>
      </w:pPr>
      <w:r>
        <w:rPr>
          <w:color w:val="000000"/>
          <w:szCs w:val="21"/>
        </w:rPr>
        <w:t>我方于</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日签署本文件，</w:t>
      </w:r>
      <w:r>
        <w:rPr>
          <w:color w:val="000000"/>
          <w:szCs w:val="21"/>
          <w:u w:val="single"/>
        </w:rPr>
        <w:t>（</w:t>
      </w:r>
      <w:r>
        <w:rPr>
          <w:i/>
          <w:color w:val="000000"/>
          <w:szCs w:val="21"/>
          <w:u w:val="single"/>
        </w:rPr>
        <w:t>贸易公司名称</w:t>
      </w:r>
      <w:r>
        <w:rPr>
          <w:color w:val="000000"/>
          <w:szCs w:val="21"/>
          <w:u w:val="single"/>
        </w:rPr>
        <w:t>）</w:t>
      </w:r>
      <w:r>
        <w:rPr>
          <w:color w:val="000000"/>
          <w:szCs w:val="21"/>
        </w:rPr>
        <w:t>于</w:t>
      </w:r>
      <w:r>
        <w:rPr>
          <w:color w:val="000000"/>
          <w:szCs w:val="21"/>
          <w:u w:val="single"/>
        </w:rPr>
        <w:t xml:space="preserve">  </w:t>
      </w:r>
      <w:r>
        <w:rPr>
          <w:color w:val="000000"/>
          <w:szCs w:val="21"/>
        </w:rPr>
        <w:t>年</w:t>
      </w:r>
      <w:r>
        <w:rPr>
          <w:color w:val="000000"/>
          <w:szCs w:val="21"/>
          <w:u w:val="single"/>
        </w:rPr>
        <w:t xml:space="preserve">  </w:t>
      </w:r>
      <w:r>
        <w:rPr>
          <w:color w:val="000000"/>
          <w:szCs w:val="21"/>
        </w:rPr>
        <w:t xml:space="preserve"> 月</w:t>
      </w:r>
      <w:r>
        <w:rPr>
          <w:color w:val="000000"/>
          <w:szCs w:val="21"/>
          <w:u w:val="single"/>
        </w:rPr>
        <w:t xml:space="preserve">   </w:t>
      </w:r>
      <w:r>
        <w:rPr>
          <w:color w:val="000000"/>
          <w:szCs w:val="21"/>
        </w:rPr>
        <w:t>日接受此件，以此为证。</w:t>
      </w:r>
    </w:p>
    <w:p>
      <w:pPr>
        <w:spacing w:line="360" w:lineRule="auto"/>
        <w:rPr>
          <w:color w:val="000000"/>
          <w:szCs w:val="21"/>
        </w:rPr>
      </w:pPr>
    </w:p>
    <w:p>
      <w:pPr>
        <w:spacing w:line="360" w:lineRule="auto"/>
        <w:rPr>
          <w:color w:val="000000"/>
          <w:szCs w:val="21"/>
        </w:rPr>
      </w:pPr>
      <w:r>
        <w:rPr>
          <w:color w:val="000000"/>
          <w:szCs w:val="21"/>
        </w:rPr>
        <w:t>贸易公司名称：</w:t>
      </w:r>
      <w:r>
        <w:rPr>
          <w:color w:val="000000"/>
          <w:szCs w:val="21"/>
          <w:u w:val="single"/>
        </w:rPr>
        <w:t xml:space="preserve">                </w:t>
      </w:r>
      <w:r>
        <w:rPr>
          <w:color w:val="000000"/>
          <w:szCs w:val="21"/>
        </w:rPr>
        <w:t xml:space="preserve">     制造商名称：</w:t>
      </w:r>
      <w:r>
        <w:rPr>
          <w:color w:val="000000"/>
          <w:szCs w:val="21"/>
          <w:u w:val="single"/>
        </w:rPr>
        <w:t xml:space="preserve">                 </w:t>
      </w:r>
    </w:p>
    <w:p>
      <w:pPr>
        <w:spacing w:line="360" w:lineRule="auto"/>
        <w:rPr>
          <w:color w:val="000000"/>
          <w:szCs w:val="21"/>
        </w:rPr>
      </w:pPr>
      <w:r>
        <w:rPr>
          <w:color w:val="000000"/>
          <w:szCs w:val="21"/>
        </w:rPr>
        <w:t>签字人职务和部门：</w:t>
      </w:r>
      <w:r>
        <w:rPr>
          <w:color w:val="000000"/>
          <w:szCs w:val="21"/>
          <w:u w:val="single"/>
        </w:rPr>
        <w:t xml:space="preserve">            </w:t>
      </w:r>
      <w:r>
        <w:rPr>
          <w:color w:val="000000"/>
          <w:szCs w:val="21"/>
        </w:rPr>
        <w:t xml:space="preserve">     签字人职务和部门：</w:t>
      </w:r>
      <w:r>
        <w:rPr>
          <w:color w:val="000000"/>
          <w:szCs w:val="21"/>
          <w:u w:val="single"/>
        </w:rPr>
        <w:t xml:space="preserve">           </w:t>
      </w:r>
    </w:p>
    <w:p>
      <w:pPr>
        <w:spacing w:line="360" w:lineRule="auto"/>
        <w:rPr>
          <w:color w:val="000000"/>
          <w:szCs w:val="21"/>
        </w:rPr>
      </w:pPr>
      <w:r>
        <w:rPr>
          <w:color w:val="000000"/>
          <w:szCs w:val="21"/>
        </w:rPr>
        <w:t>签字人姓名：</w:t>
      </w:r>
      <w:r>
        <w:rPr>
          <w:color w:val="000000"/>
          <w:szCs w:val="21"/>
          <w:u w:val="single"/>
        </w:rPr>
        <w:t xml:space="preserve">                  </w:t>
      </w:r>
      <w:r>
        <w:rPr>
          <w:color w:val="000000"/>
          <w:szCs w:val="21"/>
        </w:rPr>
        <w:t xml:space="preserve">     签字人姓名：</w:t>
      </w:r>
      <w:r>
        <w:rPr>
          <w:color w:val="000000"/>
          <w:szCs w:val="21"/>
          <w:u w:val="single"/>
        </w:rPr>
        <w:t xml:space="preserve">                 </w:t>
      </w:r>
    </w:p>
    <w:p>
      <w:pPr>
        <w:spacing w:line="360" w:lineRule="auto"/>
        <w:rPr>
          <w:color w:val="000000"/>
          <w:szCs w:val="21"/>
        </w:rPr>
      </w:pPr>
      <w:r>
        <w:rPr>
          <w:color w:val="000000"/>
          <w:szCs w:val="21"/>
        </w:rPr>
        <w:t>签字人签名：</w:t>
      </w:r>
      <w:r>
        <w:rPr>
          <w:color w:val="000000"/>
          <w:szCs w:val="21"/>
          <w:u w:val="single"/>
        </w:rPr>
        <w:t xml:space="preserve">                  </w:t>
      </w:r>
      <w:r>
        <w:rPr>
          <w:color w:val="000000"/>
          <w:szCs w:val="21"/>
        </w:rPr>
        <w:t xml:space="preserve">     签字人签名：</w:t>
      </w:r>
      <w:r>
        <w:rPr>
          <w:color w:val="000000"/>
          <w:szCs w:val="21"/>
          <w:u w:val="single"/>
        </w:rPr>
        <w:t xml:space="preserve">                 </w:t>
      </w:r>
    </w:p>
    <w:p>
      <w:pPr>
        <w:spacing w:line="360" w:lineRule="auto"/>
        <w:rPr>
          <w:color w:val="000000"/>
          <w:szCs w:val="21"/>
        </w:rPr>
      </w:pPr>
      <w:r>
        <w:rPr>
          <w:color w:val="000000"/>
          <w:szCs w:val="21"/>
        </w:rPr>
        <w:t>贸易公司盖章：</w:t>
      </w:r>
      <w:r>
        <w:rPr>
          <w:color w:val="000000"/>
          <w:szCs w:val="21"/>
          <w:u w:val="single"/>
        </w:rPr>
        <w:t xml:space="preserve">                </w:t>
      </w:r>
      <w:r>
        <w:rPr>
          <w:color w:val="000000"/>
          <w:szCs w:val="21"/>
        </w:rPr>
        <w:t xml:space="preserve">     制造商盖章：</w:t>
      </w:r>
      <w:r>
        <w:rPr>
          <w:color w:val="000000"/>
          <w:szCs w:val="21"/>
          <w:u w:val="single"/>
        </w:rPr>
        <w:t xml:space="preserve">                 </w:t>
      </w:r>
    </w:p>
    <w:p>
      <w:pPr>
        <w:spacing w:line="360" w:lineRule="auto"/>
        <w:rPr>
          <w:color w:val="000000"/>
          <w:szCs w:val="21"/>
        </w:rPr>
      </w:pPr>
    </w:p>
    <w:p>
      <w:pPr>
        <w:spacing w:line="360" w:lineRule="auto"/>
        <w:rPr>
          <w:rFonts w:ascii="宋体" w:hAnsi="宋体" w:cs="宋体"/>
          <w:sz w:val="24"/>
        </w:rPr>
      </w:pPr>
      <w:r>
        <w:rPr>
          <w:color w:val="000000"/>
          <w:szCs w:val="21"/>
        </w:rPr>
        <w:br w:type="page"/>
      </w:r>
      <w:r>
        <w:rPr>
          <w:rFonts w:hint="eastAsia" w:ascii="宋体" w:hAnsi="宋体" w:cs="宋体"/>
          <w:sz w:val="24"/>
        </w:rPr>
        <w:t>5、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w:t>
      </w:r>
    </w:p>
    <w:p>
      <w:pPr>
        <w:spacing w:line="360" w:lineRule="auto"/>
        <w:rPr>
          <w:rFonts w:ascii="宋体" w:hAnsi="宋体" w:cs="宋体"/>
          <w:sz w:val="24"/>
        </w:rPr>
      </w:pPr>
      <w:r>
        <w:rPr>
          <w:rFonts w:hint="eastAsia" w:ascii="宋体" w:hAnsi="宋体" w:cs="宋体"/>
          <w:sz w:val="24"/>
        </w:rPr>
        <w:t>（适用于按医疗器械管理的货物）。</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6、食品药品监督管理部门核发的完整有效的医疗器械注册或备案证明；（适用于按医疗器械管理的设备）</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pPr>
      <w:r>
        <w:rPr>
          <w:rFonts w:hint="eastAsia" w:ascii="宋体" w:hAnsi="宋体" w:cs="宋体"/>
          <w:sz w:val="24"/>
        </w:rPr>
        <w:t>7、所投产品列入节能产品证明资料、所投产品列入环境标志产品证明资料（如有），提供国家确定的认证机构出具的、处于有效期之内的节能产品、环境标志产品认证证书扫描件。</w:t>
      </w:r>
    </w:p>
    <w:p>
      <w:pPr>
        <w:rPr>
          <w:color w:val="000000"/>
        </w:rPr>
      </w:pPr>
    </w:p>
    <w:p>
      <w:pPr>
        <w:rPr>
          <w:color w:val="000000"/>
        </w:rPr>
      </w:pPr>
      <w:r>
        <w:rPr>
          <w:color w:val="000000"/>
        </w:rPr>
        <w:br w:type="page"/>
      </w:r>
    </w:p>
    <w:p>
      <w:pPr>
        <w:pStyle w:val="4"/>
        <w:ind w:firstLine="472" w:firstLineChars="196"/>
        <w:rPr>
          <w:rFonts w:ascii="Times New Roman" w:hAnsi="Times New Roman"/>
          <w:color w:val="000000"/>
          <w:sz w:val="24"/>
          <w:szCs w:val="24"/>
        </w:rPr>
      </w:pPr>
      <w:bookmarkStart w:id="154" w:name="_Toc7601"/>
      <w:r>
        <w:rPr>
          <w:rFonts w:hint="eastAsia" w:ascii="Times New Roman" w:hAnsi="Times New Roman"/>
          <w:color w:val="000000"/>
          <w:sz w:val="24"/>
          <w:szCs w:val="24"/>
        </w:rPr>
        <w:t>8</w:t>
      </w:r>
      <w:r>
        <w:rPr>
          <w:rFonts w:ascii="Times New Roman" w:hAnsi="Times New Roman"/>
          <w:color w:val="000000"/>
          <w:sz w:val="24"/>
          <w:szCs w:val="24"/>
        </w:rPr>
        <w:t>、中小企业声明函（如有）</w:t>
      </w:r>
      <w:bookmarkEnd w:id="154"/>
    </w:p>
    <w:p>
      <w:pPr>
        <w:snapToGrid w:val="0"/>
        <w:spacing w:line="360" w:lineRule="auto"/>
        <w:jc w:val="center"/>
        <w:rPr>
          <w:b/>
          <w:bCs/>
          <w:color w:val="000000"/>
          <w:sz w:val="32"/>
          <w:szCs w:val="32"/>
        </w:rPr>
      </w:pPr>
    </w:p>
    <w:p>
      <w:pPr>
        <w:widowControl/>
        <w:jc w:val="center"/>
        <w:rPr>
          <w:rFonts w:ascii="宋体" w:hAnsi="宋体" w:cs="宋体"/>
          <w:b/>
          <w:color w:val="000000"/>
          <w:kern w:val="0"/>
          <w:sz w:val="36"/>
          <w:szCs w:val="36"/>
        </w:rPr>
      </w:pPr>
      <w:r>
        <w:rPr>
          <w:rFonts w:hint="eastAsia" w:ascii="宋体" w:hAnsi="宋体" w:cs="宋体"/>
          <w:b/>
          <w:color w:val="000000"/>
          <w:kern w:val="0"/>
          <w:sz w:val="36"/>
          <w:szCs w:val="36"/>
        </w:rPr>
        <w:t>中小企业声明函（货物）</w:t>
      </w:r>
    </w:p>
    <w:p>
      <w:pPr>
        <w:widowControl/>
        <w:jc w:val="center"/>
        <w:rPr>
          <w:rFonts w:ascii="宋体" w:hAnsi="宋体" w:cs="宋体"/>
          <w:b/>
          <w:color w:val="000000"/>
          <w:kern w:val="0"/>
          <w:sz w:val="36"/>
          <w:szCs w:val="36"/>
        </w:rPr>
      </w:pPr>
    </w:p>
    <w:p>
      <w:pPr>
        <w:widowControl/>
        <w:spacing w:line="360" w:lineRule="auto"/>
        <w:ind w:firstLine="420" w:firstLineChars="200"/>
        <w:jc w:val="left"/>
        <w:rPr>
          <w:color w:val="000000"/>
          <w:szCs w:val="21"/>
        </w:rPr>
      </w:pPr>
      <w:r>
        <w:rPr>
          <w:color w:val="000000"/>
          <w:kern w:val="0"/>
          <w:szCs w:val="21"/>
        </w:rPr>
        <w:t>本公司（联合体）郑重声明，根据《政府采购促进中小企业发展管理办法》（财库﹝2020﹞46号）的规定，本公司（联合体）参加</w:t>
      </w:r>
      <w:r>
        <w:rPr>
          <w:i/>
          <w:color w:val="000000"/>
          <w:kern w:val="0"/>
          <w:szCs w:val="21"/>
          <w:u w:val="single"/>
        </w:rPr>
        <w:t>（单位名称）</w:t>
      </w:r>
      <w:r>
        <w:rPr>
          <w:color w:val="000000"/>
          <w:kern w:val="0"/>
          <w:szCs w:val="21"/>
        </w:rPr>
        <w:t>的</w:t>
      </w:r>
      <w:r>
        <w:rPr>
          <w:i/>
          <w:color w:val="000000"/>
          <w:kern w:val="0"/>
          <w:szCs w:val="21"/>
          <w:u w:val="single"/>
        </w:rPr>
        <w:t>（项目名称）</w:t>
      </w:r>
      <w:r>
        <w:rPr>
          <w:color w:val="000000"/>
          <w:kern w:val="0"/>
          <w:szCs w:val="21"/>
        </w:rPr>
        <w:t xml:space="preserve">采购活动，提供的货物全部由符合政策要求的中小企业制造。相关企业（含联合体中的中小企业、签订分包意向协议的中小企业）的具体情况如下： </w:t>
      </w:r>
    </w:p>
    <w:p>
      <w:pPr>
        <w:widowControl/>
        <w:spacing w:line="360" w:lineRule="auto"/>
        <w:jc w:val="left"/>
        <w:rPr>
          <w:color w:val="000000"/>
          <w:szCs w:val="21"/>
        </w:rPr>
      </w:pPr>
      <w:r>
        <w:rPr>
          <w:color w:val="000000"/>
          <w:kern w:val="0"/>
          <w:szCs w:val="21"/>
        </w:rPr>
        <w:t>1.</w:t>
      </w:r>
      <w:r>
        <w:rPr>
          <w:color w:val="000000"/>
          <w:kern w:val="0"/>
          <w:szCs w:val="21"/>
          <w:u w:val="single"/>
        </w:rPr>
        <w:t xml:space="preserve"> </w:t>
      </w:r>
      <w:r>
        <w:rPr>
          <w:i/>
          <w:color w:val="000000"/>
          <w:kern w:val="0"/>
          <w:szCs w:val="21"/>
          <w:u w:val="single"/>
        </w:rPr>
        <w:t xml:space="preserve">（标的名称） </w:t>
      </w:r>
      <w:r>
        <w:rPr>
          <w:color w:val="000000"/>
          <w:kern w:val="0"/>
          <w:szCs w:val="21"/>
        </w:rPr>
        <w:t>，属于</w:t>
      </w:r>
      <w:r>
        <w:rPr>
          <w:i/>
          <w:color w:val="000000"/>
          <w:kern w:val="0"/>
          <w:szCs w:val="21"/>
          <w:u w:val="single"/>
        </w:rPr>
        <w:t>（采购文件中明确的所属行业）</w:t>
      </w:r>
      <w:r>
        <w:rPr>
          <w:i/>
          <w:color w:val="000000"/>
          <w:kern w:val="0"/>
          <w:szCs w:val="21"/>
        </w:rPr>
        <w:t>行业</w:t>
      </w:r>
      <w:r>
        <w:rPr>
          <w:color w:val="000000"/>
          <w:kern w:val="0"/>
          <w:szCs w:val="21"/>
        </w:rPr>
        <w:t>；制造商为</w:t>
      </w:r>
      <w:r>
        <w:rPr>
          <w:i/>
          <w:color w:val="000000"/>
          <w:kern w:val="0"/>
          <w:szCs w:val="21"/>
          <w:u w:val="single"/>
        </w:rPr>
        <w:t>（企业名称）</w:t>
      </w:r>
      <w:r>
        <w:rPr>
          <w:color w:val="000000"/>
          <w:kern w:val="0"/>
          <w:szCs w:val="21"/>
        </w:rPr>
        <w:t>，从业人员</w:t>
      </w:r>
      <w:r>
        <w:rPr>
          <w:rFonts w:hint="eastAsia"/>
          <w:color w:val="000000"/>
          <w:kern w:val="0"/>
          <w:szCs w:val="21"/>
          <w:u w:val="single"/>
        </w:rPr>
        <w:t xml:space="preserve">  </w:t>
      </w:r>
      <w:r>
        <w:rPr>
          <w:color w:val="000000"/>
          <w:kern w:val="0"/>
          <w:szCs w:val="21"/>
        </w:rPr>
        <w:t>人，营业收入为</w:t>
      </w:r>
      <w:r>
        <w:rPr>
          <w:rFonts w:hint="eastAsia"/>
          <w:color w:val="000000"/>
          <w:kern w:val="0"/>
          <w:szCs w:val="21"/>
          <w:u w:val="single"/>
        </w:rPr>
        <w:t xml:space="preserve">  </w:t>
      </w:r>
      <w:r>
        <w:rPr>
          <w:color w:val="000000"/>
          <w:kern w:val="0"/>
          <w:szCs w:val="21"/>
        </w:rPr>
        <w:t>万元，资产总额为</w:t>
      </w:r>
      <w:r>
        <w:rPr>
          <w:rFonts w:hint="eastAsia"/>
          <w:color w:val="000000"/>
          <w:kern w:val="0"/>
          <w:szCs w:val="21"/>
          <w:u w:val="single"/>
        </w:rPr>
        <w:t xml:space="preserve">    </w:t>
      </w:r>
      <w:r>
        <w:rPr>
          <w:color w:val="000000"/>
          <w:kern w:val="0"/>
          <w:szCs w:val="21"/>
        </w:rPr>
        <w:t>万元</w:t>
      </w:r>
      <w:r>
        <w:rPr>
          <w:color w:val="000000"/>
          <w:kern w:val="0"/>
          <w:szCs w:val="21"/>
          <w:vertAlign w:val="superscript"/>
        </w:rPr>
        <w:t>1</w:t>
      </w:r>
      <w:r>
        <w:rPr>
          <w:color w:val="000000"/>
          <w:kern w:val="0"/>
          <w:szCs w:val="21"/>
        </w:rPr>
        <w:t>，属于</w:t>
      </w:r>
      <w:r>
        <w:rPr>
          <w:i/>
          <w:color w:val="000000"/>
          <w:kern w:val="0"/>
          <w:szCs w:val="21"/>
          <w:u w:val="single"/>
        </w:rPr>
        <w:t>（中型企业、小型企业、微型企业）</w:t>
      </w:r>
      <w:r>
        <w:rPr>
          <w:color w:val="000000"/>
          <w:kern w:val="0"/>
          <w:szCs w:val="21"/>
        </w:rPr>
        <w:t xml:space="preserve">； </w:t>
      </w:r>
    </w:p>
    <w:p>
      <w:pPr>
        <w:widowControl/>
        <w:spacing w:line="360" w:lineRule="auto"/>
        <w:jc w:val="left"/>
        <w:rPr>
          <w:color w:val="000000"/>
          <w:szCs w:val="21"/>
        </w:rPr>
      </w:pPr>
      <w:r>
        <w:rPr>
          <w:color w:val="000000"/>
          <w:kern w:val="0"/>
          <w:szCs w:val="21"/>
        </w:rPr>
        <w:t>2.</w:t>
      </w:r>
      <w:r>
        <w:rPr>
          <w:color w:val="000000"/>
          <w:kern w:val="0"/>
          <w:szCs w:val="21"/>
          <w:u w:val="single"/>
        </w:rPr>
        <w:t xml:space="preserve"> </w:t>
      </w:r>
      <w:r>
        <w:rPr>
          <w:i/>
          <w:color w:val="000000"/>
          <w:kern w:val="0"/>
          <w:szCs w:val="21"/>
          <w:u w:val="single"/>
        </w:rPr>
        <w:t xml:space="preserve">（标的名称） </w:t>
      </w:r>
      <w:r>
        <w:rPr>
          <w:color w:val="000000"/>
          <w:kern w:val="0"/>
          <w:szCs w:val="21"/>
        </w:rPr>
        <w:t>，属于</w:t>
      </w:r>
      <w:r>
        <w:rPr>
          <w:i/>
          <w:color w:val="000000"/>
          <w:kern w:val="0"/>
          <w:szCs w:val="21"/>
          <w:u w:val="single"/>
        </w:rPr>
        <w:t>（采购文件中明确的所属行业）</w:t>
      </w:r>
      <w:r>
        <w:rPr>
          <w:i/>
          <w:color w:val="000000"/>
          <w:kern w:val="0"/>
          <w:szCs w:val="21"/>
        </w:rPr>
        <w:t>行业</w:t>
      </w:r>
      <w:r>
        <w:rPr>
          <w:color w:val="000000"/>
          <w:kern w:val="0"/>
          <w:szCs w:val="21"/>
        </w:rPr>
        <w:t>；制造商为</w:t>
      </w:r>
      <w:r>
        <w:rPr>
          <w:i/>
          <w:color w:val="000000"/>
          <w:kern w:val="0"/>
          <w:szCs w:val="21"/>
          <w:u w:val="single"/>
        </w:rPr>
        <w:t>（企业名称）</w:t>
      </w:r>
      <w:r>
        <w:rPr>
          <w:color w:val="000000"/>
          <w:kern w:val="0"/>
          <w:szCs w:val="21"/>
        </w:rPr>
        <w:t>，从业人员</w:t>
      </w:r>
      <w:r>
        <w:rPr>
          <w:rFonts w:hint="eastAsia"/>
          <w:color w:val="000000"/>
          <w:kern w:val="0"/>
          <w:szCs w:val="21"/>
          <w:u w:val="single"/>
        </w:rPr>
        <w:t xml:space="preserve">  </w:t>
      </w:r>
      <w:r>
        <w:rPr>
          <w:color w:val="000000"/>
          <w:kern w:val="0"/>
          <w:szCs w:val="21"/>
        </w:rPr>
        <w:t>人，营业收入为</w:t>
      </w:r>
      <w:r>
        <w:rPr>
          <w:rFonts w:hint="eastAsia"/>
          <w:color w:val="000000"/>
          <w:kern w:val="0"/>
          <w:szCs w:val="21"/>
          <w:u w:val="single"/>
        </w:rPr>
        <w:t xml:space="preserve">   </w:t>
      </w:r>
      <w:r>
        <w:rPr>
          <w:color w:val="000000"/>
          <w:kern w:val="0"/>
          <w:szCs w:val="21"/>
        </w:rPr>
        <w:t>万元，资产总额为</w:t>
      </w:r>
      <w:r>
        <w:rPr>
          <w:rFonts w:hint="eastAsia"/>
          <w:color w:val="000000"/>
          <w:kern w:val="0"/>
          <w:szCs w:val="21"/>
          <w:u w:val="single"/>
        </w:rPr>
        <w:t xml:space="preserve">   </w:t>
      </w:r>
      <w:r>
        <w:rPr>
          <w:color w:val="000000"/>
          <w:kern w:val="0"/>
          <w:szCs w:val="21"/>
        </w:rPr>
        <w:t>万元，属于</w:t>
      </w:r>
      <w:r>
        <w:rPr>
          <w:i/>
          <w:color w:val="000000"/>
          <w:kern w:val="0"/>
          <w:szCs w:val="21"/>
          <w:u w:val="single"/>
        </w:rPr>
        <w:t>（中型企业、小型企业、微型企业）</w:t>
      </w:r>
      <w:r>
        <w:rPr>
          <w:color w:val="000000"/>
          <w:kern w:val="0"/>
          <w:szCs w:val="21"/>
        </w:rPr>
        <w:t xml:space="preserve">； </w:t>
      </w:r>
    </w:p>
    <w:p>
      <w:pPr>
        <w:widowControl/>
        <w:spacing w:line="360" w:lineRule="auto"/>
        <w:jc w:val="left"/>
        <w:rPr>
          <w:color w:val="000000"/>
          <w:szCs w:val="21"/>
        </w:rPr>
      </w:pPr>
      <w:r>
        <w:rPr>
          <w:color w:val="000000"/>
          <w:kern w:val="0"/>
          <w:szCs w:val="21"/>
        </w:rPr>
        <w:t>……</w:t>
      </w:r>
    </w:p>
    <w:p>
      <w:pPr>
        <w:widowControl/>
        <w:spacing w:line="360" w:lineRule="auto"/>
        <w:ind w:firstLine="420" w:firstLineChars="200"/>
        <w:jc w:val="left"/>
        <w:rPr>
          <w:szCs w:val="21"/>
        </w:rPr>
      </w:pPr>
      <w:r>
        <w:rPr>
          <w:color w:val="000000"/>
          <w:kern w:val="0"/>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szCs w:val="21"/>
        </w:rPr>
      </w:pPr>
      <w:r>
        <w:rPr>
          <w:color w:val="000000"/>
          <w:kern w:val="0"/>
          <w:szCs w:val="21"/>
        </w:rPr>
        <w:t xml:space="preserve">本企业对上述声明内容的真实性负责。如有虚假，将依法承担相应责任。 </w:t>
      </w:r>
    </w:p>
    <w:p>
      <w:pPr>
        <w:widowControl/>
        <w:spacing w:line="360" w:lineRule="auto"/>
        <w:ind w:firstLine="420" w:firstLineChars="200"/>
        <w:jc w:val="left"/>
        <w:rPr>
          <w:color w:val="000000"/>
          <w:kern w:val="0"/>
          <w:szCs w:val="21"/>
        </w:rPr>
      </w:pPr>
    </w:p>
    <w:p>
      <w:pPr>
        <w:widowControl/>
        <w:spacing w:line="360" w:lineRule="auto"/>
        <w:ind w:firstLine="420" w:firstLineChars="200"/>
        <w:jc w:val="left"/>
        <w:rPr>
          <w:szCs w:val="21"/>
        </w:rPr>
      </w:pPr>
      <w:r>
        <w:rPr>
          <w:color w:val="000000"/>
          <w:kern w:val="0"/>
          <w:szCs w:val="21"/>
        </w:rPr>
        <w:t xml:space="preserve">企业名称（盖章）： </w:t>
      </w:r>
    </w:p>
    <w:p>
      <w:pPr>
        <w:widowControl/>
        <w:spacing w:line="360" w:lineRule="auto"/>
        <w:ind w:firstLine="420" w:firstLineChars="200"/>
        <w:jc w:val="left"/>
        <w:rPr>
          <w:color w:val="000000"/>
          <w:kern w:val="0"/>
          <w:szCs w:val="21"/>
        </w:rPr>
      </w:pPr>
      <w:r>
        <w:rPr>
          <w:color w:val="000000"/>
          <w:kern w:val="0"/>
          <w:szCs w:val="21"/>
        </w:rPr>
        <w:t>日期：</w:t>
      </w:r>
    </w:p>
    <w:p>
      <w:pPr>
        <w:widowControl/>
        <w:jc w:val="left"/>
      </w:pPr>
      <w:r>
        <w:rPr>
          <w:rFonts w:hint="eastAsia" w:ascii="仿宋" w:hAnsi="仿宋" w:eastAsia="仿宋" w:cs="仿宋"/>
          <w:color w:val="000000"/>
          <w:kern w:val="0"/>
          <w:sz w:val="31"/>
          <w:szCs w:val="31"/>
        </w:rPr>
        <w:t xml:space="preserve"> </w:t>
      </w:r>
    </w:p>
    <w:p>
      <w:pPr>
        <w:widowControl/>
        <w:jc w:val="left"/>
      </w:pPr>
      <w:r>
        <w:rPr>
          <w:rFonts w:hint="eastAsia" w:ascii="宋体" w:hAnsi="宋体" w:cs="宋体"/>
          <w:color w:val="000000"/>
          <w:kern w:val="0"/>
          <w:sz w:val="18"/>
          <w:szCs w:val="18"/>
        </w:rPr>
        <w:t>从业人员、营业收入、资产总额填报上一年度数据，无上一年度数据的新成立企业可不填报。</w:t>
      </w:r>
    </w:p>
    <w:p>
      <w:pPr>
        <w:pStyle w:val="19"/>
        <w:spacing w:before="0" w:beforeAutospacing="0" w:after="0" w:afterAutospacing="0" w:line="360" w:lineRule="auto"/>
        <w:ind w:firstLine="420" w:firstLineChars="200"/>
        <w:jc w:val="both"/>
        <w:rPr>
          <w:color w:val="FF0000"/>
          <w:sz w:val="21"/>
          <w:szCs w:val="21"/>
        </w:rPr>
      </w:pPr>
    </w:p>
    <w:p>
      <w:pPr>
        <w:pStyle w:val="19"/>
        <w:spacing w:before="0" w:beforeAutospacing="0" w:after="0" w:afterAutospacing="0" w:line="360" w:lineRule="auto"/>
        <w:ind w:firstLine="420" w:firstLineChars="200"/>
        <w:jc w:val="both"/>
        <w:rPr>
          <w:color w:val="000000"/>
          <w:sz w:val="21"/>
          <w:szCs w:val="21"/>
        </w:rPr>
      </w:pPr>
      <w:r>
        <w:rPr>
          <w:rFonts w:hint="eastAsia"/>
          <w:color w:val="000000"/>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pPr>
        <w:pStyle w:val="19"/>
        <w:spacing w:before="0" w:beforeAutospacing="0" w:after="0" w:afterAutospacing="0" w:line="360" w:lineRule="auto"/>
        <w:ind w:firstLine="420" w:firstLineChars="200"/>
        <w:jc w:val="both"/>
        <w:rPr>
          <w:rFonts w:ascii="Times New Roman" w:hAnsi="Times New Roman"/>
          <w:color w:val="000000"/>
          <w:sz w:val="21"/>
          <w:szCs w:val="21"/>
        </w:rPr>
      </w:pPr>
      <w:r>
        <w:rPr>
          <w:rFonts w:hint="eastAsia"/>
          <w:color w:val="000000"/>
          <w:sz w:val="21"/>
          <w:szCs w:val="21"/>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color w:val="000000"/>
        </w:rPr>
      </w:pPr>
      <w:r>
        <w:rPr>
          <w:color w:val="000000"/>
        </w:rPr>
        <w:br w:type="page"/>
      </w:r>
      <w:r>
        <w:rPr>
          <w:rFonts w:hint="eastAsia"/>
          <w:color w:val="000000"/>
        </w:rPr>
        <w:t xml:space="preserve"> </w:t>
      </w:r>
    </w:p>
    <w:p>
      <w:pPr>
        <w:pStyle w:val="3"/>
      </w:pPr>
    </w:p>
    <w:p>
      <w:pPr>
        <w:pStyle w:val="3"/>
        <w:rPr>
          <w:rFonts w:eastAsia="华文中宋"/>
        </w:rPr>
      </w:pPr>
      <w:bookmarkStart w:id="155" w:name="_Toc18308"/>
      <w:bookmarkStart w:id="156" w:name="_Toc28090"/>
      <w:bookmarkStart w:id="157" w:name="_Toc19015"/>
      <w:r>
        <w:rPr>
          <w:rFonts w:hint="eastAsia" w:eastAsia="华文中宋"/>
        </w:rPr>
        <w:drawing>
          <wp:inline distT="0" distB="0" distL="114300" distR="114300">
            <wp:extent cx="5826125" cy="3538855"/>
            <wp:effectExtent l="0" t="0" r="3175" b="444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10" cstate="print"/>
                    <a:stretch>
                      <a:fillRect/>
                    </a:stretch>
                  </pic:blipFill>
                  <pic:spPr>
                    <a:xfrm>
                      <a:off x="0" y="0"/>
                      <a:ext cx="5826125" cy="3538855"/>
                    </a:xfrm>
                    <a:prstGeom prst="rect">
                      <a:avLst/>
                    </a:prstGeom>
                    <a:noFill/>
                    <a:ln>
                      <a:noFill/>
                    </a:ln>
                  </pic:spPr>
                </pic:pic>
              </a:graphicData>
            </a:graphic>
          </wp:inline>
        </w:drawing>
      </w:r>
      <w:bookmarkEnd w:id="155"/>
      <w:bookmarkEnd w:id="156"/>
      <w:bookmarkEnd w:id="157"/>
    </w:p>
    <w:p>
      <w:pPr>
        <w:rPr>
          <w:color w:val="000000"/>
        </w:rPr>
      </w:pPr>
    </w:p>
    <w:p>
      <w:pPr>
        <w:pStyle w:val="4"/>
        <w:rPr>
          <w:sz w:val="24"/>
          <w:szCs w:val="24"/>
        </w:rPr>
      </w:pPr>
      <w:r>
        <w:rPr>
          <w:rFonts w:ascii="Times New Roman" w:hAnsi="Times New Roman"/>
          <w:color w:val="000000"/>
        </w:rPr>
        <w:br w:type="page"/>
      </w:r>
      <w:bookmarkStart w:id="158" w:name="_Toc6589"/>
      <w:r>
        <w:rPr>
          <w:rFonts w:hint="eastAsia" w:ascii="宋体" w:hAnsi="宋体" w:eastAsia="宋体" w:cs="宋体"/>
          <w:sz w:val="24"/>
          <w:szCs w:val="24"/>
        </w:rPr>
        <w:t>9、供应商为监狱企业的证明文件：省级以上监狱管理局、戒毒管理局（含新疆生产建设兵团）出具（如有）</w:t>
      </w:r>
      <w:bookmarkEnd w:id="158"/>
    </w:p>
    <w:p>
      <w:pPr>
        <w:spacing w:line="360" w:lineRule="auto"/>
        <w:rPr>
          <w:color w:val="000000"/>
        </w:rPr>
      </w:pPr>
    </w:p>
    <w:p>
      <w:pPr>
        <w:pStyle w:val="4"/>
        <w:rPr>
          <w:rFonts w:ascii="Times New Roman" w:hAnsi="Times New Roman"/>
          <w:color w:val="000000"/>
        </w:rPr>
      </w:pPr>
      <w:r>
        <w:rPr>
          <w:rFonts w:ascii="Times New Roman" w:hAnsi="Times New Roman"/>
          <w:color w:val="000000"/>
        </w:rPr>
        <w:br w:type="page"/>
      </w:r>
      <w:bookmarkStart w:id="159" w:name="_Toc2637"/>
      <w:r>
        <w:rPr>
          <w:rFonts w:hint="eastAsia" w:ascii="宋体" w:hAnsi="宋体" w:eastAsia="宋体" w:cs="宋体"/>
          <w:sz w:val="24"/>
          <w:szCs w:val="24"/>
        </w:rPr>
        <w:t>10、残疾人福利性单位声明函（如有）</w:t>
      </w:r>
      <w:bookmarkEnd w:id="159"/>
    </w:p>
    <w:p>
      <w:pPr>
        <w:snapToGrid w:val="0"/>
        <w:spacing w:line="360" w:lineRule="auto"/>
        <w:jc w:val="center"/>
        <w:rPr>
          <w:b/>
          <w:bCs/>
          <w:color w:val="000000"/>
          <w:sz w:val="32"/>
          <w:szCs w:val="32"/>
        </w:rPr>
      </w:pPr>
    </w:p>
    <w:p>
      <w:pPr>
        <w:snapToGrid w:val="0"/>
        <w:spacing w:line="360" w:lineRule="auto"/>
        <w:jc w:val="center"/>
        <w:rPr>
          <w:b/>
          <w:bCs/>
          <w:color w:val="000000"/>
          <w:sz w:val="32"/>
          <w:szCs w:val="32"/>
        </w:rPr>
      </w:pPr>
      <w:r>
        <w:rPr>
          <w:b/>
          <w:bCs/>
          <w:color w:val="000000"/>
          <w:sz w:val="32"/>
          <w:szCs w:val="32"/>
        </w:rPr>
        <w:t>残疾人福利性单位声明函</w:t>
      </w:r>
    </w:p>
    <w:p>
      <w:pPr>
        <w:snapToGrid w:val="0"/>
        <w:spacing w:line="360" w:lineRule="auto"/>
        <w:jc w:val="center"/>
        <w:rPr>
          <w:b/>
          <w:bCs/>
          <w:color w:val="000000"/>
          <w:sz w:val="32"/>
          <w:szCs w:val="32"/>
        </w:rPr>
      </w:pPr>
    </w:p>
    <w:p>
      <w:pPr>
        <w:snapToGrid w:val="0"/>
        <w:spacing w:line="360" w:lineRule="auto"/>
        <w:ind w:firstLine="444" w:firstLineChars="200"/>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〔2017〕141</w:t>
      </w:r>
      <w:r>
        <w:rPr>
          <w:color w:val="000000"/>
          <w:spacing w:val="6"/>
          <w:szCs w:val="21"/>
        </w:rPr>
        <w:t>号）的规定，本单位为符合条件的残疾人福利性单位，且本单位参加</w:t>
      </w:r>
      <w:r>
        <w:rPr>
          <w:color w:val="000000"/>
          <w:spacing w:val="6"/>
          <w:szCs w:val="21"/>
          <w:u w:val="single"/>
        </w:rPr>
        <w:t>（采购人名称）</w:t>
      </w:r>
      <w:r>
        <w:rPr>
          <w:color w:val="000000"/>
          <w:spacing w:val="6"/>
          <w:szCs w:val="21"/>
        </w:rPr>
        <w:t>单位的</w:t>
      </w:r>
      <w:r>
        <w:rPr>
          <w:color w:val="000000"/>
          <w:spacing w:val="6"/>
          <w:szCs w:val="21"/>
          <w:u w:val="single"/>
        </w:rPr>
        <w:t>（项目名称）</w:t>
      </w:r>
      <w:r>
        <w:rPr>
          <w:color w:val="000000"/>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rPr>
      </w:pPr>
      <w:r>
        <w:rPr>
          <w:color w:val="000000"/>
          <w:spacing w:val="6"/>
          <w:szCs w:val="21"/>
        </w:rPr>
        <w:t>本单位对上述声明的真实性负责。如有虚假，将依法承担相应责任。</w:t>
      </w:r>
    </w:p>
    <w:p>
      <w:pPr>
        <w:snapToGrid w:val="0"/>
        <w:spacing w:line="360" w:lineRule="auto"/>
        <w:ind w:firstLine="444" w:firstLineChars="200"/>
        <w:rPr>
          <w:color w:val="000000"/>
          <w:spacing w:val="6"/>
          <w:szCs w:val="21"/>
        </w:rPr>
      </w:pPr>
    </w:p>
    <w:p>
      <w:pPr>
        <w:snapToGrid w:val="0"/>
        <w:spacing w:line="360" w:lineRule="auto"/>
        <w:ind w:firstLine="444" w:firstLineChars="200"/>
        <w:rPr>
          <w:color w:val="000000"/>
          <w:spacing w:val="6"/>
          <w:szCs w:val="21"/>
        </w:rPr>
      </w:pPr>
    </w:p>
    <w:p>
      <w:pPr>
        <w:adjustRightInd w:val="0"/>
        <w:snapToGrid w:val="0"/>
        <w:spacing w:line="360" w:lineRule="auto"/>
        <w:ind w:firstLine="420" w:firstLineChars="200"/>
        <w:rPr>
          <w:color w:val="000000"/>
          <w:kern w:val="0"/>
          <w:szCs w:val="21"/>
          <w:u w:val="single"/>
        </w:rPr>
      </w:pPr>
      <w:r>
        <w:rPr>
          <w:rFonts w:hint="eastAsia"/>
          <w:color w:val="000000"/>
          <w:kern w:val="0"/>
          <w:szCs w:val="21"/>
        </w:rPr>
        <w:t>供应商</w:t>
      </w:r>
      <w:r>
        <w:rPr>
          <w:color w:val="000000"/>
          <w:kern w:val="0"/>
          <w:szCs w:val="21"/>
        </w:rPr>
        <w:t>名称（盖章）：</w:t>
      </w:r>
    </w:p>
    <w:p>
      <w:pPr>
        <w:adjustRightInd w:val="0"/>
        <w:snapToGrid w:val="0"/>
        <w:spacing w:line="360" w:lineRule="auto"/>
        <w:ind w:firstLine="420" w:firstLineChars="200"/>
        <w:rPr>
          <w:color w:val="000000"/>
          <w:kern w:val="0"/>
          <w:szCs w:val="21"/>
        </w:rPr>
      </w:pPr>
      <w:r>
        <w:rPr>
          <w:color w:val="000000"/>
          <w:kern w:val="0"/>
          <w:szCs w:val="21"/>
        </w:rPr>
        <w:t>日期：  年  月  日</w:t>
      </w:r>
    </w:p>
    <w:p>
      <w:pPr>
        <w:rPr>
          <w:color w:val="000000"/>
        </w:rPr>
      </w:pPr>
    </w:p>
    <w:p>
      <w:pPr>
        <w:pStyle w:val="34"/>
        <w:snapToGrid w:val="0"/>
        <w:spacing w:line="360" w:lineRule="auto"/>
        <w:ind w:firstLine="420"/>
        <w:rPr>
          <w:b/>
          <w:bCs/>
          <w:sz w:val="24"/>
          <w:szCs w:val="32"/>
        </w:rPr>
      </w:pPr>
      <w:r>
        <w:rPr>
          <w:rFonts w:ascii="Times New Roman" w:hAnsi="Times New Roman"/>
          <w:color w:val="000000"/>
        </w:rPr>
        <w:br w:type="page"/>
      </w:r>
      <w:r>
        <w:rPr>
          <w:rFonts w:hint="eastAsia"/>
          <w:b/>
          <w:bCs/>
          <w:sz w:val="24"/>
          <w:szCs w:val="32"/>
        </w:rPr>
        <w:t>11、投标核心产品为对省级以上主管部门认定的首台套产品，提供纳入《省推广应用指导目录》等证明材料</w:t>
      </w:r>
      <w:r>
        <w:rPr>
          <w:b/>
          <w:bCs/>
          <w:sz w:val="24"/>
          <w:szCs w:val="32"/>
        </w:rPr>
        <w:t>（如有）</w:t>
      </w:r>
      <w:r>
        <w:rPr>
          <w:rFonts w:hint="eastAsia"/>
          <w:b/>
          <w:bCs/>
          <w:sz w:val="24"/>
          <w:szCs w:val="32"/>
        </w:rPr>
        <w:t>；</w:t>
      </w:r>
    </w:p>
    <w:p>
      <w:pPr>
        <w:pStyle w:val="4"/>
        <w:ind w:firstLine="422"/>
        <w:rPr>
          <w:rFonts w:ascii="Times New Roman" w:hAnsi="Times New Roman"/>
          <w:color w:val="000000"/>
        </w:rPr>
      </w:pPr>
      <w:r>
        <w:rPr>
          <w:rFonts w:ascii="Times New Roman" w:hAnsi="Times New Roman"/>
          <w:color w:val="000000"/>
        </w:rPr>
        <w:br w:type="page"/>
      </w:r>
      <w:r>
        <w:rPr>
          <w:rFonts w:hint="eastAsia"/>
          <w:color w:val="000000"/>
          <w:sz w:val="24"/>
        </w:rPr>
        <w:t xml:space="preserve">   </w:t>
      </w:r>
      <w:bookmarkStart w:id="160" w:name="_Toc16389"/>
      <w:r>
        <w:rPr>
          <w:rFonts w:hint="eastAsia" w:ascii="Times New Roman" w:hAnsi="Times New Roman"/>
          <w:color w:val="000000"/>
          <w:sz w:val="24"/>
          <w:szCs w:val="24"/>
        </w:rPr>
        <w:t>12</w:t>
      </w:r>
      <w:r>
        <w:rPr>
          <w:rFonts w:ascii="Times New Roman" w:hAnsi="Times New Roman"/>
          <w:color w:val="000000"/>
          <w:sz w:val="24"/>
          <w:szCs w:val="24"/>
        </w:rPr>
        <w:t>、供货清单</w:t>
      </w:r>
      <w:bookmarkEnd w:id="160"/>
    </w:p>
    <w:p>
      <w:pPr>
        <w:snapToGrid w:val="0"/>
        <w:spacing w:line="300" w:lineRule="auto"/>
        <w:jc w:val="center"/>
        <w:rPr>
          <w:b/>
          <w:bCs/>
          <w:color w:val="000000"/>
          <w:sz w:val="32"/>
          <w:szCs w:val="32"/>
        </w:rPr>
      </w:pPr>
      <w:r>
        <w:rPr>
          <w:b/>
          <w:bCs/>
          <w:color w:val="000000"/>
          <w:sz w:val="32"/>
          <w:szCs w:val="32"/>
        </w:rPr>
        <w:t>供货清单</w:t>
      </w:r>
    </w:p>
    <w:p>
      <w:pPr>
        <w:snapToGrid w:val="0"/>
        <w:spacing w:line="360" w:lineRule="auto"/>
        <w:rPr>
          <w:color w:val="000000"/>
          <w:u w:val="single"/>
        </w:rPr>
      </w:pPr>
      <w:r>
        <w:rPr>
          <w:color w:val="000000"/>
        </w:rPr>
        <w:t>项目名称：</w:t>
      </w:r>
    </w:p>
    <w:p>
      <w:pPr>
        <w:snapToGrid w:val="0"/>
        <w:spacing w:line="360" w:lineRule="auto"/>
        <w:rPr>
          <w:color w:val="000000"/>
          <w:u w:val="single"/>
        </w:rPr>
      </w:pPr>
      <w:r>
        <w:rPr>
          <w:color w:val="000000"/>
        </w:rPr>
        <w:t>招标项目编号：</w:t>
      </w:r>
    </w:p>
    <w:p>
      <w:pPr>
        <w:snapToGrid w:val="0"/>
        <w:spacing w:line="360" w:lineRule="auto"/>
        <w:rPr>
          <w:color w:val="000000"/>
        </w:rPr>
      </w:pPr>
      <w:r>
        <w:rPr>
          <w:color w:val="000000"/>
        </w:rPr>
        <w:t>标项内容：</w:t>
      </w:r>
    </w:p>
    <w:p>
      <w:pPr>
        <w:snapToGrid w:val="0"/>
        <w:spacing w:line="360" w:lineRule="auto"/>
        <w:rPr>
          <w:color w:val="000000"/>
        </w:rPr>
      </w:pPr>
      <w:r>
        <w:rPr>
          <w:color w:val="000000"/>
        </w:rPr>
        <w:t>价格单位：元人民币</w:t>
      </w:r>
    </w:p>
    <w:tbl>
      <w:tblPr>
        <w:tblStyle w:val="21"/>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60" w:lineRule="auto"/>
              <w:jc w:val="center"/>
              <w:rPr>
                <w:color w:val="000000"/>
              </w:rPr>
            </w:pPr>
            <w:r>
              <w:rPr>
                <w:color w:val="000000"/>
              </w:rPr>
              <w:t>序号</w:t>
            </w:r>
          </w:p>
        </w:tc>
        <w:tc>
          <w:tcPr>
            <w:tcW w:w="1620" w:type="dxa"/>
            <w:vAlign w:val="center"/>
          </w:tcPr>
          <w:p>
            <w:pPr>
              <w:snapToGrid w:val="0"/>
              <w:spacing w:line="360" w:lineRule="auto"/>
              <w:jc w:val="center"/>
              <w:rPr>
                <w:color w:val="000000"/>
              </w:rPr>
            </w:pPr>
            <w:r>
              <w:rPr>
                <w:color w:val="000000"/>
              </w:rPr>
              <w:t>名称</w:t>
            </w:r>
          </w:p>
        </w:tc>
        <w:tc>
          <w:tcPr>
            <w:tcW w:w="1620" w:type="dxa"/>
            <w:vAlign w:val="center"/>
          </w:tcPr>
          <w:p>
            <w:pPr>
              <w:snapToGrid w:val="0"/>
              <w:spacing w:line="360" w:lineRule="auto"/>
              <w:jc w:val="center"/>
              <w:rPr>
                <w:color w:val="000000"/>
              </w:rPr>
            </w:pPr>
            <w:r>
              <w:rPr>
                <w:color w:val="000000"/>
              </w:rPr>
              <w:t>主要技术指标</w:t>
            </w:r>
          </w:p>
        </w:tc>
        <w:tc>
          <w:tcPr>
            <w:tcW w:w="1260" w:type="dxa"/>
            <w:vAlign w:val="center"/>
          </w:tcPr>
          <w:p>
            <w:pPr>
              <w:snapToGrid w:val="0"/>
              <w:spacing w:line="360" w:lineRule="auto"/>
              <w:jc w:val="center"/>
              <w:rPr>
                <w:color w:val="000000"/>
              </w:rPr>
            </w:pPr>
            <w:r>
              <w:rPr>
                <w:color w:val="000000"/>
              </w:rPr>
              <w:t>规格型号</w:t>
            </w:r>
          </w:p>
        </w:tc>
        <w:tc>
          <w:tcPr>
            <w:tcW w:w="1440" w:type="dxa"/>
            <w:vAlign w:val="center"/>
          </w:tcPr>
          <w:p>
            <w:pPr>
              <w:snapToGrid w:val="0"/>
              <w:spacing w:line="360" w:lineRule="auto"/>
              <w:jc w:val="center"/>
              <w:rPr>
                <w:color w:val="000000"/>
              </w:rPr>
            </w:pPr>
            <w:r>
              <w:rPr>
                <w:color w:val="000000"/>
              </w:rPr>
              <w:t>品牌/产地</w:t>
            </w:r>
          </w:p>
        </w:tc>
        <w:tc>
          <w:tcPr>
            <w:tcW w:w="1260" w:type="dxa"/>
            <w:vAlign w:val="center"/>
          </w:tcPr>
          <w:p>
            <w:pPr>
              <w:snapToGrid w:val="0"/>
              <w:spacing w:line="360" w:lineRule="auto"/>
              <w:jc w:val="center"/>
              <w:rPr>
                <w:color w:val="000000"/>
              </w:rPr>
            </w:pPr>
            <w:r>
              <w:rPr>
                <w:color w:val="000000"/>
              </w:rPr>
              <w:t>数量</w:t>
            </w:r>
          </w:p>
        </w:tc>
        <w:tc>
          <w:tcPr>
            <w:tcW w:w="1080" w:type="dxa"/>
            <w:vAlign w:val="center"/>
          </w:tcPr>
          <w:p>
            <w:pPr>
              <w:snapToGrid w:val="0"/>
              <w:spacing w:line="360" w:lineRule="auto"/>
              <w:jc w:val="center"/>
              <w:rPr>
                <w:color w:val="000000"/>
              </w:rPr>
            </w:pPr>
            <w:r>
              <w:rPr>
                <w:color w:val="00000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60" w:lineRule="auto"/>
              <w:jc w:val="center"/>
              <w:rPr>
                <w:color w:val="000000"/>
              </w:rPr>
            </w:pPr>
            <w:r>
              <w:rPr>
                <w:color w:val="000000"/>
              </w:rPr>
              <w:t>1</w:t>
            </w:r>
          </w:p>
        </w:tc>
        <w:tc>
          <w:tcPr>
            <w:tcW w:w="1620" w:type="dxa"/>
            <w:vAlign w:val="center"/>
          </w:tcPr>
          <w:p>
            <w:pPr>
              <w:snapToGrid w:val="0"/>
              <w:spacing w:line="360" w:lineRule="auto"/>
              <w:jc w:val="center"/>
              <w:rPr>
                <w:color w:val="000000"/>
              </w:rPr>
            </w:pPr>
          </w:p>
        </w:tc>
        <w:tc>
          <w:tcPr>
            <w:tcW w:w="162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44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080" w:type="dxa"/>
            <w:vAlign w:val="center"/>
          </w:tcPr>
          <w:p>
            <w:pPr>
              <w:snapToGrid w:val="0"/>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60" w:lineRule="auto"/>
              <w:jc w:val="center"/>
              <w:rPr>
                <w:color w:val="000000"/>
              </w:rPr>
            </w:pPr>
            <w:r>
              <w:rPr>
                <w:color w:val="000000"/>
              </w:rPr>
              <w:t>2</w:t>
            </w:r>
          </w:p>
        </w:tc>
        <w:tc>
          <w:tcPr>
            <w:tcW w:w="1620" w:type="dxa"/>
            <w:vAlign w:val="center"/>
          </w:tcPr>
          <w:p>
            <w:pPr>
              <w:snapToGrid w:val="0"/>
              <w:spacing w:line="360" w:lineRule="auto"/>
              <w:jc w:val="center"/>
              <w:rPr>
                <w:color w:val="000000"/>
              </w:rPr>
            </w:pPr>
          </w:p>
        </w:tc>
        <w:tc>
          <w:tcPr>
            <w:tcW w:w="162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44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080" w:type="dxa"/>
            <w:vAlign w:val="center"/>
          </w:tcPr>
          <w:p>
            <w:pPr>
              <w:snapToGrid w:val="0"/>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60" w:lineRule="auto"/>
              <w:jc w:val="center"/>
              <w:rPr>
                <w:color w:val="000000"/>
              </w:rPr>
            </w:pPr>
            <w:r>
              <w:rPr>
                <w:color w:val="000000"/>
              </w:rPr>
              <w:t>3</w:t>
            </w:r>
          </w:p>
        </w:tc>
        <w:tc>
          <w:tcPr>
            <w:tcW w:w="1620" w:type="dxa"/>
            <w:vAlign w:val="center"/>
          </w:tcPr>
          <w:p>
            <w:pPr>
              <w:snapToGrid w:val="0"/>
              <w:spacing w:line="360" w:lineRule="auto"/>
              <w:jc w:val="center"/>
              <w:rPr>
                <w:color w:val="000000"/>
              </w:rPr>
            </w:pPr>
          </w:p>
        </w:tc>
        <w:tc>
          <w:tcPr>
            <w:tcW w:w="162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44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080" w:type="dxa"/>
            <w:vAlign w:val="center"/>
          </w:tcPr>
          <w:p>
            <w:pPr>
              <w:snapToGrid w:val="0"/>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60" w:lineRule="auto"/>
              <w:jc w:val="center"/>
              <w:rPr>
                <w:color w:val="000000"/>
              </w:rPr>
            </w:pPr>
            <w:r>
              <w:rPr>
                <w:color w:val="000000"/>
              </w:rPr>
              <w:t>……</w:t>
            </w:r>
          </w:p>
        </w:tc>
        <w:tc>
          <w:tcPr>
            <w:tcW w:w="1620" w:type="dxa"/>
            <w:vAlign w:val="center"/>
          </w:tcPr>
          <w:p>
            <w:pPr>
              <w:snapToGrid w:val="0"/>
              <w:spacing w:line="360" w:lineRule="auto"/>
              <w:jc w:val="center"/>
              <w:rPr>
                <w:color w:val="000000"/>
              </w:rPr>
            </w:pPr>
          </w:p>
        </w:tc>
        <w:tc>
          <w:tcPr>
            <w:tcW w:w="162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44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080" w:type="dxa"/>
            <w:vAlign w:val="center"/>
          </w:tcPr>
          <w:p>
            <w:pPr>
              <w:snapToGrid w:val="0"/>
              <w:spacing w:line="360" w:lineRule="auto"/>
              <w:jc w:val="center"/>
              <w:rPr>
                <w:color w:val="000000"/>
              </w:rPr>
            </w:pPr>
          </w:p>
        </w:tc>
      </w:tr>
    </w:tbl>
    <w:p>
      <w:pPr>
        <w:snapToGrid w:val="0"/>
        <w:spacing w:line="360" w:lineRule="auto"/>
        <w:rPr>
          <w:color w:val="000000"/>
        </w:rPr>
      </w:pPr>
    </w:p>
    <w:p>
      <w:pPr>
        <w:snapToGrid w:val="0"/>
        <w:spacing w:line="360" w:lineRule="auto"/>
        <w:rPr>
          <w:color w:val="000000"/>
        </w:rPr>
      </w:pPr>
      <w:r>
        <w:rPr>
          <w:color w:val="000000"/>
        </w:rPr>
        <w:t>填表说明：</w:t>
      </w:r>
    </w:p>
    <w:p>
      <w:pPr>
        <w:numPr>
          <w:ilvl w:val="0"/>
          <w:numId w:val="8"/>
        </w:numPr>
        <w:snapToGrid w:val="0"/>
        <w:spacing w:line="360" w:lineRule="auto"/>
        <w:rPr>
          <w:color w:val="000000"/>
        </w:rPr>
      </w:pPr>
      <w:r>
        <w:rPr>
          <w:color w:val="000000"/>
        </w:rPr>
        <w:t>表中所列内容的价格已包含在投标价中，均为采购人所有。</w:t>
      </w:r>
    </w:p>
    <w:p>
      <w:pPr>
        <w:numPr>
          <w:ilvl w:val="0"/>
          <w:numId w:val="8"/>
        </w:numPr>
        <w:snapToGrid w:val="0"/>
        <w:spacing w:line="360" w:lineRule="auto"/>
        <w:rPr>
          <w:color w:val="000000"/>
        </w:rPr>
      </w:pPr>
      <w:r>
        <w:rPr>
          <w:color w:val="000000"/>
        </w:rPr>
        <w:t>如采购产品为政府采购节能产品、政府采购环境标志产品的，在备注栏内进行说明。并在投标文件提供相关认证证书。</w:t>
      </w:r>
    </w:p>
    <w:p>
      <w:pPr>
        <w:numPr>
          <w:ilvl w:val="0"/>
          <w:numId w:val="8"/>
        </w:numPr>
        <w:snapToGrid w:val="0"/>
        <w:spacing w:line="360" w:lineRule="auto"/>
        <w:rPr>
          <w:color w:val="000000"/>
        </w:rPr>
      </w:pPr>
      <w:r>
        <w:rPr>
          <w:color w:val="000000"/>
        </w:rPr>
        <w:t>本清单应与报价文件中提供的清单一致。</w:t>
      </w:r>
    </w:p>
    <w:p>
      <w:pPr>
        <w:numPr>
          <w:ilvl w:val="0"/>
          <w:numId w:val="8"/>
        </w:numPr>
        <w:snapToGrid w:val="0"/>
        <w:spacing w:line="360" w:lineRule="auto"/>
        <w:rPr>
          <w:color w:val="000000"/>
        </w:rPr>
      </w:pPr>
      <w:r>
        <w:rPr>
          <w:color w:val="000000"/>
        </w:rPr>
        <w:t>表格可扩展。</w:t>
      </w:r>
    </w:p>
    <w:p>
      <w:pPr>
        <w:snapToGrid w:val="0"/>
        <w:spacing w:line="360" w:lineRule="auto"/>
        <w:rPr>
          <w:color w:val="000000"/>
        </w:rPr>
      </w:pPr>
    </w:p>
    <w:p>
      <w:pPr>
        <w:snapToGrid w:val="0"/>
        <w:spacing w:line="360" w:lineRule="auto"/>
        <w:rPr>
          <w:color w:val="000000"/>
          <w:spacing w:val="20"/>
          <w:u w:val="single"/>
        </w:rPr>
      </w:pPr>
      <w:r>
        <w:rPr>
          <w:rFonts w:hint="eastAsia"/>
          <w:color w:val="000000"/>
        </w:rPr>
        <w:t>供应商</w:t>
      </w:r>
      <w:r>
        <w:rPr>
          <w:color w:val="000000"/>
        </w:rPr>
        <w:t>全称（</w:t>
      </w:r>
      <w:r>
        <w:rPr>
          <w:rFonts w:hint="eastAsia"/>
          <w:color w:val="000000"/>
        </w:rPr>
        <w:t>盖单位公章或电子签章</w:t>
      </w:r>
      <w:r>
        <w:rPr>
          <w:color w:val="000000"/>
        </w:rPr>
        <w:t>）：</w:t>
      </w:r>
    </w:p>
    <w:p>
      <w:pPr>
        <w:snapToGrid w:val="0"/>
        <w:spacing w:line="360" w:lineRule="auto"/>
        <w:rPr>
          <w:color w:val="000000"/>
        </w:rPr>
      </w:pPr>
      <w:r>
        <w:rPr>
          <w:color w:val="000000"/>
          <w:spacing w:val="20"/>
        </w:rPr>
        <w:t xml:space="preserve">日期：  </w:t>
      </w:r>
      <w:r>
        <w:rPr>
          <w:color w:val="000000"/>
        </w:rPr>
        <w:t>年  月  日</w:t>
      </w:r>
    </w:p>
    <w:p>
      <w:pPr>
        <w:pStyle w:val="4"/>
        <w:rPr>
          <w:rFonts w:ascii="Times New Roman" w:hAnsi="Times New Roman"/>
          <w:color w:val="000000"/>
        </w:rPr>
      </w:pPr>
      <w:r>
        <w:rPr>
          <w:rFonts w:ascii="Times New Roman" w:hAnsi="Times New Roman"/>
          <w:color w:val="000000"/>
        </w:rPr>
        <w:br w:type="page"/>
      </w:r>
      <w:bookmarkStart w:id="161" w:name="_Toc6419"/>
      <w:r>
        <w:rPr>
          <w:rFonts w:hint="eastAsia" w:ascii="宋体" w:hAnsi="宋体" w:eastAsia="宋体" w:cs="宋体"/>
          <w:sz w:val="24"/>
          <w:szCs w:val="24"/>
        </w:rPr>
        <w:t>13、随机标准附件、备品备件、零配件、专用工具清单</w:t>
      </w:r>
      <w:bookmarkEnd w:id="161"/>
    </w:p>
    <w:p>
      <w:pPr>
        <w:snapToGrid w:val="0"/>
        <w:spacing w:line="360" w:lineRule="auto"/>
        <w:jc w:val="center"/>
        <w:rPr>
          <w:b/>
          <w:bCs/>
          <w:color w:val="000000"/>
          <w:sz w:val="32"/>
          <w:szCs w:val="32"/>
        </w:rPr>
      </w:pPr>
      <w:r>
        <w:rPr>
          <w:b/>
          <w:bCs/>
          <w:color w:val="000000"/>
          <w:sz w:val="32"/>
          <w:szCs w:val="32"/>
        </w:rPr>
        <w:t>随机标准附件、备品备件、零配件、专用工具清单</w:t>
      </w:r>
    </w:p>
    <w:p>
      <w:pPr>
        <w:snapToGrid w:val="0"/>
        <w:spacing w:line="360" w:lineRule="auto"/>
        <w:rPr>
          <w:color w:val="000000"/>
          <w:u w:val="single"/>
        </w:rPr>
      </w:pPr>
      <w:r>
        <w:rPr>
          <w:color w:val="000000"/>
        </w:rPr>
        <w:t>项目名称：</w:t>
      </w:r>
    </w:p>
    <w:p>
      <w:pPr>
        <w:snapToGrid w:val="0"/>
        <w:spacing w:line="360" w:lineRule="auto"/>
        <w:rPr>
          <w:color w:val="000000"/>
          <w:u w:val="single"/>
        </w:rPr>
      </w:pPr>
      <w:r>
        <w:rPr>
          <w:color w:val="000000"/>
        </w:rPr>
        <w:t>招标项目编号：</w:t>
      </w:r>
    </w:p>
    <w:p>
      <w:pPr>
        <w:snapToGrid w:val="0"/>
        <w:spacing w:line="360" w:lineRule="auto"/>
        <w:rPr>
          <w:color w:val="000000"/>
        </w:rPr>
      </w:pPr>
      <w:r>
        <w:rPr>
          <w:color w:val="000000"/>
        </w:rPr>
        <w:t>标项内容：</w:t>
      </w:r>
    </w:p>
    <w:p>
      <w:pPr>
        <w:snapToGrid w:val="0"/>
        <w:spacing w:line="360" w:lineRule="auto"/>
        <w:rPr>
          <w:color w:val="000000"/>
        </w:rPr>
      </w:pPr>
      <w:r>
        <w:rPr>
          <w:color w:val="000000"/>
        </w:rPr>
        <w:t>价格单位：元人民币</w:t>
      </w:r>
    </w:p>
    <w:tbl>
      <w:tblPr>
        <w:tblStyle w:val="21"/>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jc w:val="center"/>
            </w:pPr>
            <w:r>
              <w:t>序号</w:t>
            </w:r>
          </w:p>
        </w:tc>
        <w:tc>
          <w:tcPr>
            <w:tcW w:w="1620" w:type="dxa"/>
            <w:vAlign w:val="center"/>
          </w:tcPr>
          <w:p>
            <w:pPr>
              <w:jc w:val="center"/>
            </w:pPr>
            <w:r>
              <w:t>名称</w:t>
            </w:r>
          </w:p>
        </w:tc>
        <w:tc>
          <w:tcPr>
            <w:tcW w:w="1620" w:type="dxa"/>
            <w:vAlign w:val="center"/>
          </w:tcPr>
          <w:p>
            <w:pPr>
              <w:jc w:val="center"/>
            </w:pPr>
            <w:r>
              <w:t>主要技术指标</w:t>
            </w:r>
          </w:p>
        </w:tc>
        <w:tc>
          <w:tcPr>
            <w:tcW w:w="1260" w:type="dxa"/>
            <w:vAlign w:val="center"/>
          </w:tcPr>
          <w:p>
            <w:pPr>
              <w:jc w:val="center"/>
            </w:pPr>
            <w:r>
              <w:t>规格型号</w:t>
            </w:r>
          </w:p>
        </w:tc>
        <w:tc>
          <w:tcPr>
            <w:tcW w:w="1440" w:type="dxa"/>
            <w:vAlign w:val="center"/>
          </w:tcPr>
          <w:p>
            <w:pPr>
              <w:jc w:val="center"/>
            </w:pPr>
            <w:r>
              <w:t>品牌/产地</w:t>
            </w:r>
          </w:p>
        </w:tc>
        <w:tc>
          <w:tcPr>
            <w:tcW w:w="1260" w:type="dxa"/>
            <w:vAlign w:val="center"/>
          </w:tcPr>
          <w:p>
            <w:pPr>
              <w:jc w:val="center"/>
            </w:pPr>
            <w:r>
              <w:t>数量</w:t>
            </w:r>
          </w:p>
        </w:tc>
        <w:tc>
          <w:tcPr>
            <w:tcW w:w="1080" w:type="dxa"/>
            <w:vAlign w:val="center"/>
          </w:tcPr>
          <w:p>
            <w:pPr>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60" w:lineRule="auto"/>
              <w:jc w:val="center"/>
              <w:rPr>
                <w:color w:val="000000"/>
              </w:rPr>
            </w:pPr>
            <w:r>
              <w:rPr>
                <w:color w:val="000000"/>
              </w:rPr>
              <w:t>1</w:t>
            </w:r>
          </w:p>
        </w:tc>
        <w:tc>
          <w:tcPr>
            <w:tcW w:w="1620" w:type="dxa"/>
            <w:vAlign w:val="center"/>
          </w:tcPr>
          <w:p>
            <w:pPr>
              <w:snapToGrid w:val="0"/>
              <w:spacing w:line="360" w:lineRule="auto"/>
              <w:jc w:val="center"/>
              <w:rPr>
                <w:color w:val="000000"/>
              </w:rPr>
            </w:pPr>
          </w:p>
        </w:tc>
        <w:tc>
          <w:tcPr>
            <w:tcW w:w="162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44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080" w:type="dxa"/>
            <w:vAlign w:val="center"/>
          </w:tcPr>
          <w:p>
            <w:pPr>
              <w:snapToGrid w:val="0"/>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60" w:lineRule="auto"/>
              <w:jc w:val="center"/>
              <w:rPr>
                <w:color w:val="000000"/>
              </w:rPr>
            </w:pPr>
            <w:r>
              <w:rPr>
                <w:color w:val="000000"/>
              </w:rPr>
              <w:t>2</w:t>
            </w:r>
          </w:p>
        </w:tc>
        <w:tc>
          <w:tcPr>
            <w:tcW w:w="1620" w:type="dxa"/>
            <w:vAlign w:val="center"/>
          </w:tcPr>
          <w:p>
            <w:pPr>
              <w:snapToGrid w:val="0"/>
              <w:spacing w:line="360" w:lineRule="auto"/>
              <w:jc w:val="center"/>
              <w:rPr>
                <w:color w:val="000000"/>
              </w:rPr>
            </w:pPr>
          </w:p>
        </w:tc>
        <w:tc>
          <w:tcPr>
            <w:tcW w:w="162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44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080" w:type="dxa"/>
            <w:vAlign w:val="center"/>
          </w:tcPr>
          <w:p>
            <w:pPr>
              <w:snapToGrid w:val="0"/>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60" w:lineRule="auto"/>
              <w:jc w:val="center"/>
              <w:rPr>
                <w:color w:val="000000"/>
              </w:rPr>
            </w:pPr>
            <w:r>
              <w:rPr>
                <w:color w:val="000000"/>
              </w:rPr>
              <w:t>3</w:t>
            </w:r>
          </w:p>
        </w:tc>
        <w:tc>
          <w:tcPr>
            <w:tcW w:w="1620" w:type="dxa"/>
            <w:vAlign w:val="center"/>
          </w:tcPr>
          <w:p>
            <w:pPr>
              <w:snapToGrid w:val="0"/>
              <w:spacing w:line="360" w:lineRule="auto"/>
              <w:jc w:val="center"/>
              <w:rPr>
                <w:color w:val="000000"/>
              </w:rPr>
            </w:pPr>
          </w:p>
        </w:tc>
        <w:tc>
          <w:tcPr>
            <w:tcW w:w="162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44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080" w:type="dxa"/>
            <w:vAlign w:val="center"/>
          </w:tcPr>
          <w:p>
            <w:pPr>
              <w:snapToGrid w:val="0"/>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60" w:lineRule="auto"/>
              <w:jc w:val="center"/>
              <w:rPr>
                <w:color w:val="000000"/>
              </w:rPr>
            </w:pPr>
            <w:r>
              <w:rPr>
                <w:color w:val="000000"/>
              </w:rPr>
              <w:t>……</w:t>
            </w:r>
          </w:p>
        </w:tc>
        <w:tc>
          <w:tcPr>
            <w:tcW w:w="1620" w:type="dxa"/>
            <w:vAlign w:val="center"/>
          </w:tcPr>
          <w:p>
            <w:pPr>
              <w:snapToGrid w:val="0"/>
              <w:spacing w:line="360" w:lineRule="auto"/>
              <w:jc w:val="center"/>
              <w:rPr>
                <w:color w:val="000000"/>
              </w:rPr>
            </w:pPr>
          </w:p>
        </w:tc>
        <w:tc>
          <w:tcPr>
            <w:tcW w:w="162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440" w:type="dxa"/>
            <w:vAlign w:val="center"/>
          </w:tcPr>
          <w:p>
            <w:pPr>
              <w:snapToGrid w:val="0"/>
              <w:spacing w:line="360" w:lineRule="auto"/>
              <w:jc w:val="center"/>
              <w:rPr>
                <w:color w:val="000000"/>
              </w:rPr>
            </w:pPr>
          </w:p>
        </w:tc>
        <w:tc>
          <w:tcPr>
            <w:tcW w:w="1260" w:type="dxa"/>
            <w:vAlign w:val="center"/>
          </w:tcPr>
          <w:p>
            <w:pPr>
              <w:snapToGrid w:val="0"/>
              <w:spacing w:line="360" w:lineRule="auto"/>
              <w:jc w:val="center"/>
              <w:rPr>
                <w:color w:val="000000"/>
              </w:rPr>
            </w:pPr>
          </w:p>
        </w:tc>
        <w:tc>
          <w:tcPr>
            <w:tcW w:w="1080" w:type="dxa"/>
            <w:vAlign w:val="center"/>
          </w:tcPr>
          <w:p>
            <w:pPr>
              <w:snapToGrid w:val="0"/>
              <w:spacing w:line="360" w:lineRule="auto"/>
              <w:jc w:val="center"/>
              <w:rPr>
                <w:color w:val="000000"/>
              </w:rPr>
            </w:pPr>
          </w:p>
        </w:tc>
      </w:tr>
    </w:tbl>
    <w:p>
      <w:pPr>
        <w:snapToGrid w:val="0"/>
        <w:spacing w:line="360" w:lineRule="auto"/>
        <w:ind w:left="454"/>
        <w:rPr>
          <w:color w:val="000000"/>
        </w:rPr>
      </w:pPr>
    </w:p>
    <w:p>
      <w:pPr>
        <w:snapToGrid w:val="0"/>
        <w:spacing w:line="360" w:lineRule="auto"/>
        <w:ind w:left="454"/>
        <w:rPr>
          <w:color w:val="000000"/>
        </w:rPr>
      </w:pPr>
      <w:r>
        <w:rPr>
          <w:color w:val="000000"/>
        </w:rPr>
        <w:t>填表说明：表格可扩展。</w:t>
      </w:r>
    </w:p>
    <w:p>
      <w:pPr>
        <w:snapToGrid w:val="0"/>
        <w:spacing w:line="360" w:lineRule="auto"/>
        <w:rPr>
          <w:color w:val="000000"/>
        </w:rPr>
      </w:pPr>
    </w:p>
    <w:p>
      <w:pPr>
        <w:snapToGrid w:val="0"/>
        <w:spacing w:line="360" w:lineRule="auto"/>
        <w:rPr>
          <w:color w:val="000000"/>
          <w:spacing w:val="20"/>
          <w:u w:val="single"/>
        </w:rPr>
      </w:pPr>
      <w:r>
        <w:rPr>
          <w:rFonts w:hint="eastAsia"/>
          <w:color w:val="000000"/>
        </w:rPr>
        <w:t>供应商</w:t>
      </w:r>
      <w:r>
        <w:rPr>
          <w:color w:val="000000"/>
        </w:rPr>
        <w:t>全称（</w:t>
      </w:r>
      <w:r>
        <w:rPr>
          <w:rFonts w:hint="eastAsia"/>
          <w:color w:val="000000"/>
        </w:rPr>
        <w:t>盖单位公章或电子签章</w:t>
      </w:r>
      <w:r>
        <w:rPr>
          <w:color w:val="000000"/>
        </w:rPr>
        <w:t>）：</w:t>
      </w:r>
    </w:p>
    <w:p>
      <w:pPr>
        <w:snapToGrid w:val="0"/>
        <w:spacing w:line="360" w:lineRule="auto"/>
        <w:rPr>
          <w:color w:val="000000"/>
        </w:rPr>
      </w:pPr>
      <w:r>
        <w:rPr>
          <w:color w:val="000000"/>
          <w:spacing w:val="20"/>
        </w:rPr>
        <w:t xml:space="preserve">日期：  </w:t>
      </w:r>
      <w:r>
        <w:rPr>
          <w:color w:val="000000"/>
        </w:rPr>
        <w:t>年  月  日</w:t>
      </w:r>
    </w:p>
    <w:p>
      <w:pPr>
        <w:pStyle w:val="4"/>
        <w:rPr>
          <w:rFonts w:ascii="Times New Roman" w:hAnsi="Times New Roman"/>
          <w:color w:val="000000"/>
          <w:sz w:val="24"/>
          <w:szCs w:val="24"/>
        </w:rPr>
      </w:pPr>
      <w:r>
        <w:rPr>
          <w:rFonts w:ascii="Times New Roman" w:hAnsi="Times New Roman"/>
          <w:color w:val="000000"/>
        </w:rPr>
        <w:br w:type="page"/>
      </w:r>
      <w:bookmarkStart w:id="162" w:name="_Toc11773"/>
      <w:r>
        <w:rPr>
          <w:rFonts w:hint="eastAsia" w:ascii="宋体" w:hAnsi="宋体" w:eastAsia="宋体" w:cs="宋体"/>
          <w:sz w:val="24"/>
          <w:szCs w:val="24"/>
        </w:rPr>
        <w:t>14、消耗品、易耗品价格清单</w:t>
      </w:r>
      <w:bookmarkEnd w:id="162"/>
    </w:p>
    <w:p>
      <w:pPr>
        <w:snapToGrid w:val="0"/>
        <w:spacing w:line="300" w:lineRule="auto"/>
        <w:jc w:val="center"/>
        <w:rPr>
          <w:b/>
          <w:bCs/>
          <w:color w:val="000000"/>
          <w:sz w:val="32"/>
          <w:szCs w:val="32"/>
        </w:rPr>
      </w:pPr>
      <w:r>
        <w:rPr>
          <w:b/>
          <w:bCs/>
          <w:color w:val="000000"/>
          <w:sz w:val="32"/>
          <w:szCs w:val="32"/>
        </w:rPr>
        <w:t>消耗品、易耗品价格清单</w:t>
      </w:r>
    </w:p>
    <w:p>
      <w:pPr>
        <w:snapToGrid w:val="0"/>
        <w:spacing w:line="300" w:lineRule="auto"/>
        <w:jc w:val="center"/>
        <w:rPr>
          <w:b/>
          <w:bCs/>
          <w:color w:val="000000"/>
          <w:szCs w:val="21"/>
        </w:rPr>
      </w:pPr>
      <w:r>
        <w:rPr>
          <w:color w:val="000000"/>
          <w:szCs w:val="21"/>
        </w:rPr>
        <w:t>（</w:t>
      </w:r>
      <w:r>
        <w:rPr>
          <w:color w:val="000000"/>
          <w:kern w:val="0"/>
          <w:szCs w:val="21"/>
        </w:rPr>
        <w:t>该价格应保持三年以上</w:t>
      </w:r>
      <w:r>
        <w:rPr>
          <w:color w:val="000000"/>
          <w:szCs w:val="21"/>
        </w:rPr>
        <w:t>）</w:t>
      </w:r>
    </w:p>
    <w:p>
      <w:pPr>
        <w:pStyle w:val="10"/>
        <w:adjustRightInd w:val="0"/>
        <w:snapToGrid w:val="0"/>
        <w:spacing w:before="156" w:after="156" w:line="300" w:lineRule="auto"/>
        <w:rPr>
          <w:rFonts w:ascii="Times New Roman" w:hAnsi="Times New Roman"/>
          <w:color w:val="000000"/>
          <w:sz w:val="21"/>
          <w:szCs w:val="21"/>
        </w:rPr>
      </w:pPr>
      <w:r>
        <w:rPr>
          <w:rFonts w:ascii="Times New Roman" w:hAnsi="Times New Roman"/>
          <w:color w:val="000000"/>
          <w:sz w:val="21"/>
          <w:szCs w:val="21"/>
        </w:rPr>
        <w:t>项目名称：</w:t>
      </w:r>
    </w:p>
    <w:p>
      <w:pPr>
        <w:pStyle w:val="10"/>
        <w:adjustRightInd w:val="0"/>
        <w:snapToGrid w:val="0"/>
        <w:spacing w:before="156" w:after="156" w:line="300" w:lineRule="auto"/>
        <w:rPr>
          <w:rFonts w:ascii="Times New Roman" w:hAnsi="Times New Roman"/>
          <w:color w:val="000000"/>
          <w:sz w:val="21"/>
          <w:szCs w:val="21"/>
          <w:u w:val="single"/>
        </w:rPr>
      </w:pPr>
      <w:r>
        <w:rPr>
          <w:rFonts w:ascii="Times New Roman" w:hAnsi="Times New Roman"/>
          <w:color w:val="000000"/>
          <w:sz w:val="21"/>
          <w:szCs w:val="21"/>
        </w:rPr>
        <w:t>招标项目编号：</w:t>
      </w:r>
    </w:p>
    <w:p>
      <w:pPr>
        <w:pStyle w:val="10"/>
        <w:adjustRightInd w:val="0"/>
        <w:snapToGrid w:val="0"/>
        <w:spacing w:before="156" w:after="156" w:line="300" w:lineRule="auto"/>
        <w:rPr>
          <w:rFonts w:ascii="Times New Roman" w:hAnsi="Times New Roman"/>
          <w:color w:val="000000"/>
          <w:sz w:val="21"/>
          <w:szCs w:val="21"/>
        </w:rPr>
      </w:pPr>
      <w:r>
        <w:rPr>
          <w:rFonts w:ascii="Times New Roman" w:hAnsi="Times New Roman"/>
          <w:color w:val="000000"/>
          <w:sz w:val="21"/>
          <w:szCs w:val="21"/>
        </w:rPr>
        <w:t>标项内容：</w:t>
      </w:r>
    </w:p>
    <w:p>
      <w:pPr>
        <w:pStyle w:val="10"/>
        <w:adjustRightInd w:val="0"/>
        <w:snapToGrid w:val="0"/>
        <w:spacing w:before="156" w:after="156" w:line="300" w:lineRule="auto"/>
        <w:rPr>
          <w:rFonts w:ascii="Times New Roman" w:hAnsi="Times New Roman"/>
          <w:b/>
          <w:bCs/>
          <w:color w:val="000000"/>
          <w:sz w:val="21"/>
          <w:szCs w:val="21"/>
        </w:rPr>
      </w:pPr>
      <w:r>
        <w:rPr>
          <w:rFonts w:ascii="Times New Roman" w:hAnsi="Times New Roman"/>
          <w:color w:val="000000"/>
          <w:sz w:val="21"/>
          <w:szCs w:val="21"/>
        </w:rPr>
        <w:t>价格单位：元人民币</w:t>
      </w:r>
    </w:p>
    <w:tbl>
      <w:tblPr>
        <w:tblStyle w:val="21"/>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aps/>
                <w:color w:val="000000"/>
              </w:rPr>
            </w:pPr>
            <w:r>
              <w:rPr>
                <w:caps/>
                <w:color w:val="000000"/>
              </w:rPr>
              <w:t>序号</w:t>
            </w:r>
          </w:p>
        </w:tc>
        <w:tc>
          <w:tcPr>
            <w:tcW w:w="1350" w:type="dxa"/>
            <w:vAlign w:val="center"/>
          </w:tcPr>
          <w:p>
            <w:pPr>
              <w:snapToGrid w:val="0"/>
              <w:spacing w:line="300" w:lineRule="auto"/>
              <w:jc w:val="center"/>
              <w:rPr>
                <w:caps/>
                <w:color w:val="000000"/>
              </w:rPr>
            </w:pPr>
            <w:r>
              <w:rPr>
                <w:caps/>
                <w:color w:val="000000"/>
              </w:rPr>
              <w:t>材料及部件名称</w:t>
            </w:r>
          </w:p>
        </w:tc>
        <w:tc>
          <w:tcPr>
            <w:tcW w:w="1316" w:type="dxa"/>
            <w:vAlign w:val="center"/>
          </w:tcPr>
          <w:p>
            <w:pPr>
              <w:snapToGrid w:val="0"/>
              <w:spacing w:line="300" w:lineRule="auto"/>
              <w:jc w:val="center"/>
              <w:rPr>
                <w:caps/>
                <w:color w:val="000000"/>
              </w:rPr>
            </w:pPr>
            <w:r>
              <w:rPr>
                <w:caps/>
                <w:color w:val="000000"/>
              </w:rPr>
              <w:t>型号和规格</w:t>
            </w:r>
          </w:p>
        </w:tc>
        <w:tc>
          <w:tcPr>
            <w:tcW w:w="720" w:type="dxa"/>
            <w:vAlign w:val="center"/>
          </w:tcPr>
          <w:p>
            <w:pPr>
              <w:snapToGrid w:val="0"/>
              <w:spacing w:line="300" w:lineRule="auto"/>
              <w:jc w:val="center"/>
              <w:rPr>
                <w:caps/>
                <w:color w:val="000000"/>
              </w:rPr>
            </w:pPr>
            <w:r>
              <w:rPr>
                <w:caps/>
                <w:color w:val="000000"/>
              </w:rPr>
              <w:t>单位</w:t>
            </w:r>
          </w:p>
        </w:tc>
        <w:tc>
          <w:tcPr>
            <w:tcW w:w="1983" w:type="dxa"/>
            <w:vAlign w:val="center"/>
          </w:tcPr>
          <w:p>
            <w:pPr>
              <w:snapToGrid w:val="0"/>
              <w:spacing w:line="300" w:lineRule="auto"/>
              <w:jc w:val="center"/>
              <w:rPr>
                <w:caps/>
                <w:color w:val="000000"/>
              </w:rPr>
            </w:pPr>
            <w:r>
              <w:rPr>
                <w:caps/>
                <w:color w:val="000000"/>
              </w:rPr>
              <w:t>制造商/产地/品牌</w:t>
            </w:r>
          </w:p>
        </w:tc>
        <w:tc>
          <w:tcPr>
            <w:tcW w:w="780" w:type="dxa"/>
            <w:vAlign w:val="center"/>
          </w:tcPr>
          <w:p>
            <w:pPr>
              <w:snapToGrid w:val="0"/>
              <w:spacing w:line="300" w:lineRule="auto"/>
              <w:jc w:val="center"/>
              <w:rPr>
                <w:caps/>
                <w:color w:val="000000"/>
              </w:rPr>
            </w:pPr>
            <w:r>
              <w:rPr>
                <w:caps/>
                <w:color w:val="000000"/>
              </w:rPr>
              <w:t>单价</w:t>
            </w:r>
          </w:p>
        </w:tc>
        <w:tc>
          <w:tcPr>
            <w:tcW w:w="1656" w:type="dxa"/>
            <w:vAlign w:val="center"/>
          </w:tcPr>
          <w:p>
            <w:pPr>
              <w:snapToGrid w:val="0"/>
              <w:spacing w:line="300" w:lineRule="auto"/>
              <w:jc w:val="center"/>
              <w:rPr>
                <w:caps/>
                <w:color w:val="000000"/>
              </w:rPr>
            </w:pPr>
            <w:r>
              <w:rPr>
                <w:caps/>
                <w:color w:val="000000"/>
              </w:rPr>
              <w:t>对应设备名称</w:t>
            </w:r>
          </w:p>
        </w:tc>
        <w:tc>
          <w:tcPr>
            <w:tcW w:w="720" w:type="dxa"/>
            <w:vAlign w:val="center"/>
          </w:tcPr>
          <w:p>
            <w:pPr>
              <w:snapToGrid w:val="0"/>
              <w:spacing w:line="300" w:lineRule="auto"/>
              <w:jc w:val="center"/>
              <w:rPr>
                <w:caps/>
                <w:color w:val="000000"/>
              </w:rPr>
            </w:pPr>
            <w:r>
              <w:rPr>
                <w:caps/>
                <w:color w:val="000000"/>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olor w:val="000000"/>
                <w:szCs w:val="21"/>
              </w:rPr>
            </w:pPr>
          </w:p>
        </w:tc>
        <w:tc>
          <w:tcPr>
            <w:tcW w:w="1350" w:type="dxa"/>
            <w:vAlign w:val="center"/>
          </w:tcPr>
          <w:p>
            <w:pPr>
              <w:pStyle w:val="34"/>
              <w:snapToGrid w:val="0"/>
              <w:spacing w:line="300" w:lineRule="auto"/>
              <w:ind w:firstLine="0" w:firstLineChars="0"/>
              <w:rPr>
                <w:rFonts w:ascii="Times New Roman" w:hAnsi="Times New Roman"/>
                <w:color w:val="000000"/>
                <w:szCs w:val="21"/>
              </w:rPr>
            </w:pPr>
          </w:p>
        </w:tc>
        <w:tc>
          <w:tcPr>
            <w:tcW w:w="1316" w:type="dxa"/>
            <w:vAlign w:val="center"/>
          </w:tcPr>
          <w:p>
            <w:pPr>
              <w:snapToGrid w:val="0"/>
              <w:spacing w:line="300" w:lineRule="auto"/>
              <w:jc w:val="center"/>
              <w:rPr>
                <w:b/>
                <w:color w:val="000000"/>
                <w:kern w:val="0"/>
                <w:szCs w:val="21"/>
              </w:rPr>
            </w:pPr>
          </w:p>
        </w:tc>
        <w:tc>
          <w:tcPr>
            <w:tcW w:w="720" w:type="dxa"/>
            <w:vAlign w:val="center"/>
          </w:tcPr>
          <w:p>
            <w:pPr>
              <w:snapToGrid w:val="0"/>
              <w:spacing w:line="300" w:lineRule="auto"/>
              <w:jc w:val="center"/>
              <w:rPr>
                <w:color w:val="000000"/>
                <w:szCs w:val="21"/>
              </w:rPr>
            </w:pPr>
          </w:p>
        </w:tc>
        <w:tc>
          <w:tcPr>
            <w:tcW w:w="1983" w:type="dxa"/>
            <w:vAlign w:val="center"/>
          </w:tcPr>
          <w:p>
            <w:pPr>
              <w:snapToGrid w:val="0"/>
              <w:spacing w:line="300" w:lineRule="auto"/>
              <w:jc w:val="center"/>
              <w:rPr>
                <w:color w:val="000000"/>
                <w:szCs w:val="21"/>
              </w:rPr>
            </w:pPr>
          </w:p>
        </w:tc>
        <w:tc>
          <w:tcPr>
            <w:tcW w:w="780" w:type="dxa"/>
            <w:vAlign w:val="center"/>
          </w:tcPr>
          <w:p>
            <w:pPr>
              <w:snapToGrid w:val="0"/>
              <w:spacing w:line="300" w:lineRule="auto"/>
              <w:jc w:val="center"/>
              <w:rPr>
                <w:color w:val="000000"/>
                <w:szCs w:val="21"/>
              </w:rPr>
            </w:pPr>
          </w:p>
        </w:tc>
        <w:tc>
          <w:tcPr>
            <w:tcW w:w="1656" w:type="dxa"/>
            <w:vAlign w:val="center"/>
          </w:tcPr>
          <w:p>
            <w:pPr>
              <w:snapToGrid w:val="0"/>
              <w:spacing w:line="300" w:lineRule="auto"/>
              <w:jc w:val="center"/>
              <w:rPr>
                <w:color w:val="000000"/>
                <w:szCs w:val="21"/>
              </w:rPr>
            </w:pPr>
          </w:p>
        </w:tc>
        <w:tc>
          <w:tcPr>
            <w:tcW w:w="720" w:type="dxa"/>
            <w:vAlign w:val="center"/>
          </w:tcPr>
          <w:p>
            <w:pPr>
              <w:snapToGrid w:val="0"/>
              <w:spacing w:line="300" w:lineRule="auto"/>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olor w:val="000000"/>
                <w:szCs w:val="21"/>
              </w:rPr>
            </w:pPr>
          </w:p>
        </w:tc>
        <w:tc>
          <w:tcPr>
            <w:tcW w:w="1350" w:type="dxa"/>
            <w:vAlign w:val="center"/>
          </w:tcPr>
          <w:p>
            <w:pPr>
              <w:pStyle w:val="34"/>
              <w:snapToGrid w:val="0"/>
              <w:spacing w:line="300" w:lineRule="auto"/>
              <w:ind w:firstLine="0" w:firstLineChars="0"/>
              <w:rPr>
                <w:rFonts w:ascii="Times New Roman" w:hAnsi="Times New Roman"/>
                <w:color w:val="000000"/>
                <w:szCs w:val="21"/>
              </w:rPr>
            </w:pPr>
          </w:p>
        </w:tc>
        <w:tc>
          <w:tcPr>
            <w:tcW w:w="1316" w:type="dxa"/>
            <w:vAlign w:val="center"/>
          </w:tcPr>
          <w:p>
            <w:pPr>
              <w:snapToGrid w:val="0"/>
              <w:spacing w:line="300" w:lineRule="auto"/>
              <w:jc w:val="center"/>
              <w:rPr>
                <w:b/>
                <w:color w:val="000000"/>
                <w:kern w:val="0"/>
                <w:szCs w:val="21"/>
              </w:rPr>
            </w:pPr>
          </w:p>
        </w:tc>
        <w:tc>
          <w:tcPr>
            <w:tcW w:w="720" w:type="dxa"/>
            <w:vAlign w:val="center"/>
          </w:tcPr>
          <w:p>
            <w:pPr>
              <w:snapToGrid w:val="0"/>
              <w:spacing w:line="300" w:lineRule="auto"/>
              <w:jc w:val="center"/>
              <w:rPr>
                <w:color w:val="000000"/>
                <w:szCs w:val="21"/>
              </w:rPr>
            </w:pPr>
          </w:p>
        </w:tc>
        <w:tc>
          <w:tcPr>
            <w:tcW w:w="1983" w:type="dxa"/>
            <w:vAlign w:val="center"/>
          </w:tcPr>
          <w:p>
            <w:pPr>
              <w:snapToGrid w:val="0"/>
              <w:spacing w:line="300" w:lineRule="auto"/>
              <w:jc w:val="center"/>
              <w:rPr>
                <w:color w:val="000000"/>
                <w:szCs w:val="21"/>
              </w:rPr>
            </w:pPr>
          </w:p>
        </w:tc>
        <w:tc>
          <w:tcPr>
            <w:tcW w:w="780" w:type="dxa"/>
            <w:vAlign w:val="center"/>
          </w:tcPr>
          <w:p>
            <w:pPr>
              <w:snapToGrid w:val="0"/>
              <w:spacing w:line="300" w:lineRule="auto"/>
              <w:jc w:val="center"/>
              <w:rPr>
                <w:color w:val="000000"/>
                <w:szCs w:val="21"/>
              </w:rPr>
            </w:pPr>
          </w:p>
        </w:tc>
        <w:tc>
          <w:tcPr>
            <w:tcW w:w="1656" w:type="dxa"/>
            <w:vAlign w:val="center"/>
          </w:tcPr>
          <w:p>
            <w:pPr>
              <w:snapToGrid w:val="0"/>
              <w:spacing w:line="300" w:lineRule="auto"/>
              <w:jc w:val="center"/>
              <w:rPr>
                <w:color w:val="000000"/>
                <w:szCs w:val="21"/>
              </w:rPr>
            </w:pPr>
          </w:p>
        </w:tc>
        <w:tc>
          <w:tcPr>
            <w:tcW w:w="720" w:type="dxa"/>
            <w:vAlign w:val="center"/>
          </w:tcPr>
          <w:p>
            <w:pPr>
              <w:snapToGrid w:val="0"/>
              <w:spacing w:line="300" w:lineRule="auto"/>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olor w:val="000000"/>
                <w:szCs w:val="21"/>
              </w:rPr>
            </w:pPr>
          </w:p>
        </w:tc>
        <w:tc>
          <w:tcPr>
            <w:tcW w:w="1350" w:type="dxa"/>
            <w:vAlign w:val="center"/>
          </w:tcPr>
          <w:p>
            <w:pPr>
              <w:pStyle w:val="34"/>
              <w:snapToGrid w:val="0"/>
              <w:spacing w:line="300" w:lineRule="auto"/>
              <w:ind w:firstLine="0" w:firstLineChars="0"/>
              <w:rPr>
                <w:rFonts w:ascii="Times New Roman" w:hAnsi="Times New Roman"/>
                <w:color w:val="000000"/>
                <w:szCs w:val="21"/>
              </w:rPr>
            </w:pPr>
          </w:p>
        </w:tc>
        <w:tc>
          <w:tcPr>
            <w:tcW w:w="1316" w:type="dxa"/>
            <w:vAlign w:val="center"/>
          </w:tcPr>
          <w:p>
            <w:pPr>
              <w:snapToGrid w:val="0"/>
              <w:spacing w:line="300" w:lineRule="auto"/>
              <w:jc w:val="center"/>
              <w:rPr>
                <w:b/>
                <w:color w:val="000000"/>
                <w:kern w:val="0"/>
                <w:szCs w:val="21"/>
              </w:rPr>
            </w:pPr>
          </w:p>
        </w:tc>
        <w:tc>
          <w:tcPr>
            <w:tcW w:w="720" w:type="dxa"/>
            <w:vAlign w:val="center"/>
          </w:tcPr>
          <w:p>
            <w:pPr>
              <w:snapToGrid w:val="0"/>
              <w:spacing w:line="300" w:lineRule="auto"/>
              <w:jc w:val="center"/>
              <w:rPr>
                <w:color w:val="000000"/>
                <w:szCs w:val="21"/>
              </w:rPr>
            </w:pPr>
          </w:p>
        </w:tc>
        <w:tc>
          <w:tcPr>
            <w:tcW w:w="1983" w:type="dxa"/>
            <w:vAlign w:val="center"/>
          </w:tcPr>
          <w:p>
            <w:pPr>
              <w:snapToGrid w:val="0"/>
              <w:spacing w:line="300" w:lineRule="auto"/>
              <w:jc w:val="center"/>
              <w:rPr>
                <w:color w:val="000000"/>
                <w:szCs w:val="21"/>
              </w:rPr>
            </w:pPr>
          </w:p>
        </w:tc>
        <w:tc>
          <w:tcPr>
            <w:tcW w:w="780" w:type="dxa"/>
            <w:vAlign w:val="center"/>
          </w:tcPr>
          <w:p>
            <w:pPr>
              <w:snapToGrid w:val="0"/>
              <w:spacing w:line="300" w:lineRule="auto"/>
              <w:jc w:val="center"/>
              <w:rPr>
                <w:color w:val="000000"/>
                <w:szCs w:val="21"/>
              </w:rPr>
            </w:pPr>
          </w:p>
        </w:tc>
        <w:tc>
          <w:tcPr>
            <w:tcW w:w="1656" w:type="dxa"/>
            <w:vAlign w:val="center"/>
          </w:tcPr>
          <w:p>
            <w:pPr>
              <w:snapToGrid w:val="0"/>
              <w:spacing w:line="300" w:lineRule="auto"/>
              <w:jc w:val="center"/>
              <w:rPr>
                <w:color w:val="000000"/>
                <w:szCs w:val="21"/>
              </w:rPr>
            </w:pPr>
          </w:p>
        </w:tc>
        <w:tc>
          <w:tcPr>
            <w:tcW w:w="720" w:type="dxa"/>
            <w:vAlign w:val="center"/>
          </w:tcPr>
          <w:p>
            <w:pPr>
              <w:snapToGrid w:val="0"/>
              <w:spacing w:line="300" w:lineRule="auto"/>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olor w:val="000000"/>
                <w:szCs w:val="21"/>
              </w:rPr>
            </w:pPr>
          </w:p>
        </w:tc>
        <w:tc>
          <w:tcPr>
            <w:tcW w:w="1350" w:type="dxa"/>
            <w:vAlign w:val="center"/>
          </w:tcPr>
          <w:p>
            <w:pPr>
              <w:pStyle w:val="34"/>
              <w:snapToGrid w:val="0"/>
              <w:spacing w:line="300" w:lineRule="auto"/>
              <w:ind w:firstLine="0" w:firstLineChars="0"/>
              <w:rPr>
                <w:rFonts w:ascii="Times New Roman" w:hAnsi="Times New Roman"/>
                <w:color w:val="000000"/>
                <w:szCs w:val="21"/>
              </w:rPr>
            </w:pPr>
          </w:p>
        </w:tc>
        <w:tc>
          <w:tcPr>
            <w:tcW w:w="1316" w:type="dxa"/>
            <w:vAlign w:val="center"/>
          </w:tcPr>
          <w:p>
            <w:pPr>
              <w:snapToGrid w:val="0"/>
              <w:spacing w:line="300" w:lineRule="auto"/>
              <w:jc w:val="center"/>
              <w:rPr>
                <w:b/>
                <w:color w:val="000000"/>
                <w:kern w:val="0"/>
                <w:szCs w:val="21"/>
              </w:rPr>
            </w:pPr>
          </w:p>
        </w:tc>
        <w:tc>
          <w:tcPr>
            <w:tcW w:w="720" w:type="dxa"/>
            <w:vAlign w:val="center"/>
          </w:tcPr>
          <w:p>
            <w:pPr>
              <w:snapToGrid w:val="0"/>
              <w:spacing w:line="300" w:lineRule="auto"/>
              <w:jc w:val="center"/>
              <w:rPr>
                <w:color w:val="000000"/>
                <w:szCs w:val="21"/>
              </w:rPr>
            </w:pPr>
          </w:p>
        </w:tc>
        <w:tc>
          <w:tcPr>
            <w:tcW w:w="1983" w:type="dxa"/>
            <w:vAlign w:val="center"/>
          </w:tcPr>
          <w:p>
            <w:pPr>
              <w:snapToGrid w:val="0"/>
              <w:spacing w:line="300" w:lineRule="auto"/>
              <w:jc w:val="center"/>
              <w:rPr>
                <w:color w:val="000000"/>
                <w:szCs w:val="21"/>
              </w:rPr>
            </w:pPr>
          </w:p>
        </w:tc>
        <w:tc>
          <w:tcPr>
            <w:tcW w:w="780" w:type="dxa"/>
            <w:vAlign w:val="center"/>
          </w:tcPr>
          <w:p>
            <w:pPr>
              <w:snapToGrid w:val="0"/>
              <w:spacing w:line="300" w:lineRule="auto"/>
              <w:jc w:val="center"/>
              <w:rPr>
                <w:color w:val="000000"/>
                <w:szCs w:val="21"/>
              </w:rPr>
            </w:pPr>
          </w:p>
        </w:tc>
        <w:tc>
          <w:tcPr>
            <w:tcW w:w="1656" w:type="dxa"/>
            <w:vAlign w:val="center"/>
          </w:tcPr>
          <w:p>
            <w:pPr>
              <w:snapToGrid w:val="0"/>
              <w:spacing w:line="300" w:lineRule="auto"/>
              <w:jc w:val="center"/>
              <w:rPr>
                <w:color w:val="000000"/>
                <w:szCs w:val="21"/>
              </w:rPr>
            </w:pPr>
          </w:p>
        </w:tc>
        <w:tc>
          <w:tcPr>
            <w:tcW w:w="720" w:type="dxa"/>
            <w:vAlign w:val="center"/>
          </w:tcPr>
          <w:p>
            <w:pPr>
              <w:snapToGrid w:val="0"/>
              <w:spacing w:line="300" w:lineRule="auto"/>
              <w:jc w:val="center"/>
              <w:rPr>
                <w:color w:val="000000"/>
                <w:szCs w:val="21"/>
              </w:rPr>
            </w:pPr>
          </w:p>
        </w:tc>
      </w:tr>
    </w:tbl>
    <w:p>
      <w:pPr>
        <w:snapToGrid w:val="0"/>
        <w:spacing w:line="300" w:lineRule="auto"/>
        <w:ind w:firstLine="420" w:firstLineChars="200"/>
        <w:rPr>
          <w:color w:val="000000"/>
        </w:rPr>
      </w:pPr>
    </w:p>
    <w:p>
      <w:pPr>
        <w:snapToGrid w:val="0"/>
        <w:spacing w:line="300" w:lineRule="auto"/>
        <w:ind w:firstLine="420" w:firstLineChars="200"/>
        <w:rPr>
          <w:color w:val="000000"/>
        </w:rPr>
      </w:pPr>
      <w:r>
        <w:rPr>
          <w:color w:val="000000"/>
        </w:rPr>
        <w:t>填表说明：</w:t>
      </w:r>
    </w:p>
    <w:p>
      <w:pPr>
        <w:numPr>
          <w:ilvl w:val="0"/>
          <w:numId w:val="9"/>
        </w:numPr>
        <w:snapToGrid w:val="0"/>
        <w:spacing w:line="300" w:lineRule="auto"/>
        <w:ind w:left="0"/>
        <w:rPr>
          <w:color w:val="000000"/>
        </w:rPr>
      </w:pPr>
      <w:r>
        <w:rPr>
          <w:color w:val="000000"/>
        </w:rPr>
        <w:t>此表内容不包含在投标总价中。</w:t>
      </w:r>
    </w:p>
    <w:p>
      <w:pPr>
        <w:numPr>
          <w:ilvl w:val="0"/>
          <w:numId w:val="9"/>
        </w:numPr>
        <w:snapToGrid w:val="0"/>
        <w:spacing w:line="300" w:lineRule="auto"/>
        <w:ind w:left="0"/>
        <w:rPr>
          <w:color w:val="000000"/>
        </w:rPr>
      </w:pPr>
      <w:r>
        <w:rPr>
          <w:color w:val="000000"/>
        </w:rPr>
        <w:t>此表仅提供了表格形式，可扩展。</w:t>
      </w:r>
    </w:p>
    <w:p>
      <w:pPr>
        <w:snapToGrid w:val="0"/>
        <w:spacing w:line="300" w:lineRule="auto"/>
        <w:rPr>
          <w:color w:val="000000"/>
        </w:rPr>
      </w:pPr>
    </w:p>
    <w:p>
      <w:pPr>
        <w:snapToGrid w:val="0"/>
        <w:spacing w:line="300" w:lineRule="auto"/>
        <w:rPr>
          <w:color w:val="000000"/>
          <w:spacing w:val="20"/>
          <w:u w:val="single"/>
        </w:rPr>
      </w:pPr>
      <w:r>
        <w:rPr>
          <w:rFonts w:hint="eastAsia"/>
          <w:color w:val="000000"/>
        </w:rPr>
        <w:t>供应商</w:t>
      </w:r>
      <w:r>
        <w:rPr>
          <w:color w:val="000000"/>
        </w:rPr>
        <w:t>全称（</w:t>
      </w:r>
      <w:r>
        <w:rPr>
          <w:rFonts w:hint="eastAsia"/>
          <w:color w:val="000000"/>
        </w:rPr>
        <w:t>盖单位公章或电子签章</w:t>
      </w:r>
      <w:r>
        <w:rPr>
          <w:color w:val="000000"/>
        </w:rPr>
        <w:t>）：</w:t>
      </w:r>
    </w:p>
    <w:p>
      <w:pPr>
        <w:snapToGrid w:val="0"/>
        <w:spacing w:line="300" w:lineRule="auto"/>
        <w:rPr>
          <w:color w:val="000000"/>
        </w:rPr>
      </w:pPr>
      <w:r>
        <w:rPr>
          <w:color w:val="000000"/>
          <w:spacing w:val="20"/>
        </w:rPr>
        <w:t xml:space="preserve">日期：  </w:t>
      </w:r>
      <w:r>
        <w:rPr>
          <w:color w:val="000000"/>
        </w:rPr>
        <w:t>年  月  日</w:t>
      </w:r>
    </w:p>
    <w:p>
      <w:pPr>
        <w:snapToGrid w:val="0"/>
        <w:spacing w:line="300" w:lineRule="auto"/>
        <w:rPr>
          <w:color w:val="000000"/>
        </w:rPr>
      </w:pPr>
    </w:p>
    <w:p>
      <w:pPr>
        <w:pStyle w:val="4"/>
        <w:rPr>
          <w:rFonts w:ascii="Times New Roman" w:hAnsi="Times New Roman"/>
          <w:color w:val="000000"/>
        </w:rPr>
      </w:pPr>
      <w:r>
        <w:rPr>
          <w:rFonts w:ascii="Times New Roman" w:hAnsi="Times New Roman"/>
          <w:color w:val="000000"/>
        </w:rPr>
        <w:br w:type="page"/>
      </w:r>
      <w:bookmarkStart w:id="163" w:name="_Toc8946"/>
      <w:r>
        <w:rPr>
          <w:rFonts w:hint="eastAsia" w:ascii="宋体" w:hAnsi="宋体" w:eastAsia="宋体" w:cs="宋体"/>
          <w:sz w:val="24"/>
          <w:szCs w:val="24"/>
        </w:rPr>
        <w:t>15、保修价格，维修配件价格，维修服务费价格</w:t>
      </w:r>
      <w:bookmarkEnd w:id="163"/>
    </w:p>
    <w:p>
      <w:pPr>
        <w:snapToGrid w:val="0"/>
        <w:spacing w:line="300" w:lineRule="auto"/>
        <w:rPr>
          <w:color w:val="000000"/>
        </w:rPr>
      </w:pPr>
    </w:p>
    <w:p>
      <w:pPr>
        <w:snapToGrid w:val="0"/>
        <w:spacing w:line="300" w:lineRule="auto"/>
        <w:rPr>
          <w:color w:val="000000"/>
        </w:rPr>
      </w:pPr>
    </w:p>
    <w:p>
      <w:pPr>
        <w:pStyle w:val="4"/>
        <w:ind w:firstLine="422"/>
        <w:rPr>
          <w:sz w:val="24"/>
          <w:szCs w:val="24"/>
        </w:rPr>
      </w:pPr>
      <w:r>
        <w:rPr>
          <w:rFonts w:ascii="Times New Roman" w:hAnsi="Times New Roman"/>
          <w:color w:val="000000"/>
        </w:rPr>
        <w:br w:type="page"/>
      </w:r>
      <w:bookmarkStart w:id="164" w:name="_Toc11559"/>
      <w:r>
        <w:rPr>
          <w:rFonts w:hint="eastAsia" w:ascii="宋体" w:hAnsi="宋体" w:eastAsia="宋体" w:cs="宋体"/>
          <w:sz w:val="24"/>
          <w:szCs w:val="24"/>
        </w:rPr>
        <w:t>16、产品性能说明</w:t>
      </w:r>
      <w:bookmarkEnd w:id="164"/>
    </w:p>
    <w:p>
      <w:pPr>
        <w:pStyle w:val="4"/>
        <w:ind w:firstLine="422"/>
        <w:rPr>
          <w:rFonts w:ascii="Times New Roman" w:hAnsi="Times New Roman"/>
          <w:color w:val="000000"/>
          <w:sz w:val="24"/>
          <w:szCs w:val="24"/>
        </w:rPr>
      </w:pPr>
      <w:r>
        <w:rPr>
          <w:rFonts w:ascii="Times New Roman" w:hAnsi="Times New Roman"/>
          <w:color w:val="000000"/>
        </w:rPr>
        <w:br w:type="page"/>
      </w:r>
      <w:bookmarkStart w:id="165" w:name="_Toc1718"/>
      <w:r>
        <w:rPr>
          <w:rStyle w:val="38"/>
          <w:rFonts w:hint="eastAsia" w:ascii="宋体" w:hAnsi="宋体" w:eastAsia="宋体" w:cs="宋体"/>
          <w:b/>
          <w:bCs/>
        </w:rPr>
        <w:t>17、技术规格偏离表</w:t>
      </w:r>
      <w:bookmarkEnd w:id="165"/>
    </w:p>
    <w:p>
      <w:pPr>
        <w:snapToGrid w:val="0"/>
        <w:spacing w:line="300" w:lineRule="auto"/>
        <w:jc w:val="center"/>
        <w:rPr>
          <w:b/>
          <w:bCs/>
          <w:color w:val="000000"/>
          <w:sz w:val="32"/>
          <w:szCs w:val="32"/>
        </w:rPr>
      </w:pPr>
      <w:r>
        <w:rPr>
          <w:b/>
          <w:bCs/>
          <w:color w:val="000000"/>
          <w:sz w:val="32"/>
          <w:szCs w:val="32"/>
        </w:rPr>
        <w:t>技术规格偏离表</w:t>
      </w:r>
    </w:p>
    <w:p>
      <w:pPr>
        <w:snapToGrid w:val="0"/>
        <w:spacing w:line="360" w:lineRule="auto"/>
        <w:rPr>
          <w:color w:val="000000"/>
          <w:u w:val="single"/>
        </w:rPr>
      </w:pPr>
      <w:r>
        <w:rPr>
          <w:color w:val="000000"/>
        </w:rPr>
        <w:t>项目名称：</w:t>
      </w:r>
    </w:p>
    <w:p>
      <w:pPr>
        <w:snapToGrid w:val="0"/>
        <w:spacing w:line="360" w:lineRule="auto"/>
        <w:rPr>
          <w:color w:val="000000"/>
          <w:u w:val="single"/>
        </w:rPr>
      </w:pPr>
      <w:r>
        <w:rPr>
          <w:color w:val="000000"/>
        </w:rPr>
        <w:t>招标项目编号：</w:t>
      </w:r>
    </w:p>
    <w:p>
      <w:pPr>
        <w:snapToGrid w:val="0"/>
        <w:spacing w:line="360" w:lineRule="auto"/>
        <w:rPr>
          <w:color w:val="000000"/>
        </w:rPr>
      </w:pPr>
      <w:r>
        <w:rPr>
          <w:color w:val="000000"/>
        </w:rPr>
        <w:t>标项内容：</w:t>
      </w:r>
    </w:p>
    <w:p>
      <w:pPr>
        <w:snapToGrid w:val="0"/>
        <w:spacing w:line="360" w:lineRule="auto"/>
        <w:rPr>
          <w:color w:val="000000"/>
        </w:rPr>
      </w:pPr>
    </w:p>
    <w:tbl>
      <w:tblPr>
        <w:tblStyle w:val="21"/>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color w:val="000000"/>
                <w:szCs w:val="21"/>
              </w:rPr>
            </w:pPr>
            <w:r>
              <w:rPr>
                <w:color w:val="000000"/>
                <w:szCs w:val="21"/>
              </w:rPr>
              <w:t>序号</w:t>
            </w:r>
          </w:p>
        </w:tc>
        <w:tc>
          <w:tcPr>
            <w:tcW w:w="2458" w:type="dxa"/>
            <w:vAlign w:val="center"/>
          </w:tcPr>
          <w:p>
            <w:pPr>
              <w:spacing w:after="156" w:line="360" w:lineRule="auto"/>
              <w:jc w:val="center"/>
              <w:rPr>
                <w:color w:val="000000"/>
                <w:szCs w:val="21"/>
              </w:rPr>
            </w:pPr>
            <w:r>
              <w:rPr>
                <w:color w:val="000000"/>
                <w:szCs w:val="21"/>
              </w:rPr>
              <w:t>招标</w:t>
            </w:r>
            <w:r>
              <w:rPr>
                <w:color w:val="000000"/>
              </w:rPr>
              <w:t>要求</w:t>
            </w:r>
          </w:p>
        </w:tc>
        <w:tc>
          <w:tcPr>
            <w:tcW w:w="2458" w:type="dxa"/>
            <w:vAlign w:val="center"/>
          </w:tcPr>
          <w:p>
            <w:pPr>
              <w:spacing w:after="156" w:line="360" w:lineRule="auto"/>
              <w:jc w:val="center"/>
              <w:rPr>
                <w:color w:val="000000"/>
                <w:szCs w:val="21"/>
              </w:rPr>
            </w:pPr>
            <w:r>
              <w:rPr>
                <w:color w:val="000000"/>
                <w:szCs w:val="21"/>
              </w:rPr>
              <w:t>投标</w:t>
            </w:r>
            <w:r>
              <w:rPr>
                <w:color w:val="000000"/>
              </w:rPr>
              <w:t>响应</w:t>
            </w:r>
          </w:p>
        </w:tc>
        <w:tc>
          <w:tcPr>
            <w:tcW w:w="1432" w:type="dxa"/>
            <w:vAlign w:val="center"/>
          </w:tcPr>
          <w:p>
            <w:pPr>
              <w:spacing w:after="156" w:line="360" w:lineRule="auto"/>
              <w:jc w:val="center"/>
              <w:rPr>
                <w:color w:val="000000"/>
                <w:szCs w:val="21"/>
              </w:rPr>
            </w:pPr>
            <w:r>
              <w:rPr>
                <w:color w:val="000000"/>
                <w:szCs w:val="21"/>
              </w:rPr>
              <w:t>偏离情况</w:t>
            </w:r>
          </w:p>
        </w:tc>
        <w:tc>
          <w:tcPr>
            <w:tcW w:w="1432" w:type="dxa"/>
            <w:vAlign w:val="center"/>
          </w:tcPr>
          <w:p>
            <w:pPr>
              <w:spacing w:after="156" w:line="360" w:lineRule="auto"/>
              <w:jc w:val="center"/>
              <w:rPr>
                <w:color w:val="000000"/>
                <w:szCs w:val="21"/>
              </w:rPr>
            </w:pPr>
            <w:r>
              <w:rPr>
                <w:color w:val="000000"/>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bl>
    <w:p>
      <w:pPr>
        <w:snapToGrid w:val="0"/>
        <w:spacing w:line="300" w:lineRule="auto"/>
        <w:rPr>
          <w:color w:val="000000"/>
        </w:rPr>
      </w:pPr>
    </w:p>
    <w:p>
      <w:pPr>
        <w:snapToGrid w:val="0"/>
        <w:spacing w:line="300" w:lineRule="auto"/>
        <w:rPr>
          <w:color w:val="000000"/>
        </w:rPr>
      </w:pPr>
    </w:p>
    <w:p>
      <w:pPr>
        <w:snapToGrid w:val="0"/>
        <w:spacing w:line="360" w:lineRule="auto"/>
        <w:rPr>
          <w:color w:val="000000"/>
          <w:u w:val="single"/>
        </w:rPr>
      </w:pPr>
    </w:p>
    <w:p>
      <w:pPr>
        <w:snapToGrid w:val="0"/>
        <w:spacing w:line="360" w:lineRule="auto"/>
        <w:rPr>
          <w:color w:val="000000"/>
          <w:spacing w:val="20"/>
          <w:u w:val="single"/>
        </w:rPr>
      </w:pPr>
      <w:r>
        <w:rPr>
          <w:rFonts w:hint="eastAsia"/>
          <w:color w:val="000000"/>
        </w:rPr>
        <w:t>供应商</w:t>
      </w:r>
      <w:r>
        <w:rPr>
          <w:color w:val="000000"/>
        </w:rPr>
        <w:t>全称（</w:t>
      </w:r>
      <w:r>
        <w:rPr>
          <w:rFonts w:hint="eastAsia"/>
          <w:color w:val="000000"/>
        </w:rPr>
        <w:t>盖单位公章或电子签章</w:t>
      </w:r>
      <w:r>
        <w:rPr>
          <w:color w:val="000000"/>
        </w:rPr>
        <w:t>）：</w:t>
      </w:r>
    </w:p>
    <w:p>
      <w:pPr>
        <w:snapToGrid w:val="0"/>
        <w:spacing w:line="360" w:lineRule="auto"/>
        <w:rPr>
          <w:color w:val="000000"/>
        </w:rPr>
      </w:pPr>
      <w:r>
        <w:rPr>
          <w:color w:val="000000"/>
          <w:spacing w:val="20"/>
        </w:rPr>
        <w:t xml:space="preserve">日期：  </w:t>
      </w:r>
      <w:r>
        <w:rPr>
          <w:color w:val="000000"/>
        </w:rPr>
        <w:t>年  月  日</w:t>
      </w:r>
    </w:p>
    <w:p>
      <w:pPr>
        <w:snapToGrid w:val="0"/>
        <w:spacing w:line="360" w:lineRule="auto"/>
        <w:rPr>
          <w:color w:val="000000"/>
        </w:rPr>
      </w:pPr>
    </w:p>
    <w:p>
      <w:pPr>
        <w:snapToGrid w:val="0"/>
        <w:spacing w:line="360" w:lineRule="auto"/>
        <w:rPr>
          <w:color w:val="000000"/>
        </w:rPr>
      </w:pPr>
      <w:r>
        <w:rPr>
          <w:color w:val="000000"/>
        </w:rPr>
        <w:t>注：</w:t>
      </w:r>
    </w:p>
    <w:p>
      <w:pPr>
        <w:snapToGrid w:val="0"/>
        <w:spacing w:line="360" w:lineRule="auto"/>
        <w:rPr>
          <w:color w:val="000000"/>
        </w:rPr>
      </w:pPr>
      <w:r>
        <w:rPr>
          <w:color w:val="000000"/>
        </w:rPr>
        <w:t>1、与第二章，采购内容及需求“招标技术要求”逐条对应</w:t>
      </w:r>
    </w:p>
    <w:p>
      <w:pPr>
        <w:snapToGrid w:val="0"/>
        <w:spacing w:line="360" w:lineRule="auto"/>
        <w:rPr>
          <w:color w:val="000000"/>
        </w:rPr>
      </w:pPr>
      <w:r>
        <w:rPr>
          <w:color w:val="000000"/>
        </w:rPr>
        <w:t>2、“偏离情况”栏填写：“正偏离”或“负偏离”或“符合”</w:t>
      </w:r>
    </w:p>
    <w:p>
      <w:pPr>
        <w:snapToGrid w:val="0"/>
        <w:spacing w:line="300" w:lineRule="auto"/>
        <w:rPr>
          <w:color w:val="000000"/>
          <w:spacing w:val="20"/>
        </w:rPr>
      </w:pPr>
    </w:p>
    <w:p>
      <w:pPr>
        <w:pStyle w:val="4"/>
        <w:rPr>
          <w:rFonts w:ascii="Times New Roman" w:hAnsi="Times New Roman"/>
          <w:color w:val="000000"/>
        </w:rPr>
      </w:pPr>
      <w:r>
        <w:rPr>
          <w:rFonts w:ascii="Times New Roman" w:hAnsi="Times New Roman"/>
          <w:color w:val="000000"/>
          <w:spacing w:val="20"/>
        </w:rPr>
        <w:br w:type="page"/>
      </w:r>
      <w:bookmarkStart w:id="166" w:name="_Toc14129"/>
      <w:r>
        <w:rPr>
          <w:rFonts w:hint="eastAsia" w:ascii="宋体" w:hAnsi="宋体" w:eastAsia="宋体" w:cs="宋体"/>
          <w:sz w:val="24"/>
          <w:szCs w:val="24"/>
        </w:rPr>
        <w:t>18、商务条款偏离表</w:t>
      </w:r>
      <w:bookmarkEnd w:id="166"/>
    </w:p>
    <w:p>
      <w:pPr>
        <w:snapToGrid w:val="0"/>
        <w:spacing w:line="360" w:lineRule="auto"/>
        <w:jc w:val="center"/>
        <w:rPr>
          <w:b/>
          <w:bCs/>
          <w:color w:val="000000"/>
          <w:sz w:val="32"/>
          <w:szCs w:val="32"/>
        </w:rPr>
      </w:pPr>
      <w:r>
        <w:rPr>
          <w:b/>
          <w:bCs/>
          <w:color w:val="000000"/>
          <w:sz w:val="32"/>
          <w:szCs w:val="32"/>
        </w:rPr>
        <w:t>商务条款偏离表</w:t>
      </w:r>
    </w:p>
    <w:p>
      <w:pPr>
        <w:snapToGrid w:val="0"/>
        <w:spacing w:line="360" w:lineRule="auto"/>
        <w:rPr>
          <w:color w:val="000000"/>
          <w:u w:val="single"/>
        </w:rPr>
      </w:pPr>
      <w:r>
        <w:rPr>
          <w:color w:val="000000"/>
        </w:rPr>
        <w:t>项目名称：</w:t>
      </w:r>
    </w:p>
    <w:p>
      <w:pPr>
        <w:snapToGrid w:val="0"/>
        <w:spacing w:line="360" w:lineRule="auto"/>
        <w:rPr>
          <w:color w:val="000000"/>
          <w:u w:val="single"/>
        </w:rPr>
      </w:pPr>
      <w:r>
        <w:rPr>
          <w:color w:val="000000"/>
        </w:rPr>
        <w:t>招标项目编号：</w:t>
      </w:r>
    </w:p>
    <w:p>
      <w:pPr>
        <w:snapToGrid w:val="0"/>
        <w:spacing w:line="360" w:lineRule="auto"/>
        <w:rPr>
          <w:color w:val="000000"/>
        </w:rPr>
      </w:pPr>
      <w:r>
        <w:rPr>
          <w:color w:val="000000"/>
        </w:rPr>
        <w:t>标项内容：</w:t>
      </w:r>
    </w:p>
    <w:p>
      <w:pPr>
        <w:snapToGrid w:val="0"/>
        <w:spacing w:line="360" w:lineRule="auto"/>
        <w:rPr>
          <w:color w:val="000000"/>
        </w:rPr>
      </w:pPr>
    </w:p>
    <w:tbl>
      <w:tblPr>
        <w:tblStyle w:val="21"/>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line="360" w:lineRule="auto"/>
              <w:jc w:val="center"/>
              <w:rPr>
                <w:color w:val="000000"/>
                <w:szCs w:val="21"/>
              </w:rPr>
            </w:pPr>
            <w:r>
              <w:rPr>
                <w:color w:val="000000"/>
                <w:szCs w:val="21"/>
              </w:rPr>
              <w:t>序号</w:t>
            </w:r>
          </w:p>
        </w:tc>
        <w:tc>
          <w:tcPr>
            <w:tcW w:w="2458" w:type="dxa"/>
            <w:vAlign w:val="center"/>
          </w:tcPr>
          <w:p>
            <w:pPr>
              <w:spacing w:after="156" w:line="360" w:lineRule="auto"/>
              <w:jc w:val="center"/>
              <w:rPr>
                <w:color w:val="000000"/>
                <w:szCs w:val="21"/>
              </w:rPr>
            </w:pPr>
            <w:r>
              <w:rPr>
                <w:color w:val="000000"/>
                <w:szCs w:val="21"/>
              </w:rPr>
              <w:t>招标</w:t>
            </w:r>
            <w:r>
              <w:rPr>
                <w:color w:val="000000"/>
              </w:rPr>
              <w:t>要求</w:t>
            </w:r>
          </w:p>
        </w:tc>
        <w:tc>
          <w:tcPr>
            <w:tcW w:w="2458" w:type="dxa"/>
            <w:vAlign w:val="center"/>
          </w:tcPr>
          <w:p>
            <w:pPr>
              <w:spacing w:after="156" w:line="360" w:lineRule="auto"/>
              <w:jc w:val="center"/>
              <w:rPr>
                <w:color w:val="000000"/>
                <w:szCs w:val="21"/>
              </w:rPr>
            </w:pPr>
            <w:r>
              <w:rPr>
                <w:color w:val="000000"/>
                <w:szCs w:val="21"/>
              </w:rPr>
              <w:t>投标</w:t>
            </w:r>
            <w:r>
              <w:rPr>
                <w:color w:val="000000"/>
              </w:rPr>
              <w:t>响应</w:t>
            </w:r>
          </w:p>
        </w:tc>
        <w:tc>
          <w:tcPr>
            <w:tcW w:w="1432" w:type="dxa"/>
            <w:vAlign w:val="center"/>
          </w:tcPr>
          <w:p>
            <w:pPr>
              <w:spacing w:after="156" w:line="360" w:lineRule="auto"/>
              <w:jc w:val="center"/>
              <w:rPr>
                <w:color w:val="000000"/>
                <w:szCs w:val="21"/>
              </w:rPr>
            </w:pPr>
            <w:r>
              <w:rPr>
                <w:color w:val="000000"/>
                <w:szCs w:val="21"/>
              </w:rPr>
              <w:t>偏离情况</w:t>
            </w:r>
          </w:p>
        </w:tc>
        <w:tc>
          <w:tcPr>
            <w:tcW w:w="1432" w:type="dxa"/>
            <w:vAlign w:val="center"/>
          </w:tcPr>
          <w:p>
            <w:pPr>
              <w:spacing w:after="156" w:line="360" w:lineRule="auto"/>
              <w:jc w:val="center"/>
              <w:rPr>
                <w:color w:val="000000"/>
                <w:szCs w:val="21"/>
              </w:rPr>
            </w:pPr>
            <w:r>
              <w:rPr>
                <w:color w:val="000000"/>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2458"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c>
          <w:tcPr>
            <w:tcW w:w="1432" w:type="dxa"/>
            <w:vAlign w:val="center"/>
          </w:tcPr>
          <w:p>
            <w:pPr>
              <w:spacing w:after="156"/>
              <w:jc w:val="center"/>
              <w:rPr>
                <w:color w:val="000000"/>
                <w:szCs w:val="21"/>
              </w:rPr>
            </w:pPr>
          </w:p>
        </w:tc>
      </w:tr>
    </w:tbl>
    <w:p>
      <w:pPr>
        <w:snapToGrid w:val="0"/>
        <w:spacing w:line="300" w:lineRule="auto"/>
        <w:rPr>
          <w:color w:val="000000"/>
        </w:rPr>
      </w:pPr>
    </w:p>
    <w:p>
      <w:pPr>
        <w:snapToGrid w:val="0"/>
        <w:spacing w:line="360" w:lineRule="auto"/>
        <w:rPr>
          <w:color w:val="000000"/>
        </w:rPr>
      </w:pPr>
    </w:p>
    <w:p>
      <w:pPr>
        <w:snapToGrid w:val="0"/>
        <w:spacing w:line="360" w:lineRule="auto"/>
        <w:rPr>
          <w:color w:val="000000"/>
          <w:u w:val="single"/>
        </w:rPr>
      </w:pPr>
    </w:p>
    <w:p>
      <w:pPr>
        <w:snapToGrid w:val="0"/>
        <w:spacing w:line="360" w:lineRule="auto"/>
        <w:rPr>
          <w:color w:val="000000"/>
          <w:spacing w:val="20"/>
          <w:u w:val="single"/>
        </w:rPr>
      </w:pPr>
      <w:r>
        <w:rPr>
          <w:rFonts w:hint="eastAsia"/>
          <w:color w:val="000000"/>
        </w:rPr>
        <w:t>供应商</w:t>
      </w:r>
      <w:r>
        <w:rPr>
          <w:color w:val="000000"/>
        </w:rPr>
        <w:t>全称（</w:t>
      </w:r>
      <w:r>
        <w:rPr>
          <w:rFonts w:hint="eastAsia"/>
          <w:color w:val="000000"/>
        </w:rPr>
        <w:t>盖单位公章或电子签章</w:t>
      </w:r>
      <w:r>
        <w:rPr>
          <w:color w:val="000000"/>
        </w:rPr>
        <w:t>）：</w:t>
      </w:r>
    </w:p>
    <w:p>
      <w:pPr>
        <w:snapToGrid w:val="0"/>
        <w:spacing w:line="360" w:lineRule="auto"/>
        <w:rPr>
          <w:color w:val="000000"/>
        </w:rPr>
      </w:pPr>
      <w:r>
        <w:rPr>
          <w:color w:val="000000"/>
          <w:spacing w:val="20"/>
        </w:rPr>
        <w:t xml:space="preserve">日期：  </w:t>
      </w:r>
      <w:r>
        <w:rPr>
          <w:color w:val="000000"/>
        </w:rPr>
        <w:t>年  月  日</w:t>
      </w:r>
    </w:p>
    <w:p>
      <w:pPr>
        <w:snapToGrid w:val="0"/>
        <w:spacing w:line="360" w:lineRule="auto"/>
        <w:rPr>
          <w:color w:val="000000"/>
        </w:rPr>
      </w:pPr>
    </w:p>
    <w:p>
      <w:pPr>
        <w:snapToGrid w:val="0"/>
        <w:spacing w:line="360" w:lineRule="auto"/>
        <w:rPr>
          <w:color w:val="000000"/>
        </w:rPr>
      </w:pPr>
      <w:r>
        <w:rPr>
          <w:color w:val="000000"/>
        </w:rPr>
        <w:t>注：</w:t>
      </w:r>
    </w:p>
    <w:p>
      <w:pPr>
        <w:snapToGrid w:val="0"/>
        <w:spacing w:line="360" w:lineRule="auto"/>
        <w:rPr>
          <w:color w:val="000000"/>
        </w:rPr>
      </w:pPr>
      <w:r>
        <w:rPr>
          <w:color w:val="000000"/>
        </w:rPr>
        <w:t>1、与第二章，采购内容及需求“商务要求”逐条对应</w:t>
      </w:r>
    </w:p>
    <w:p>
      <w:pPr>
        <w:snapToGrid w:val="0"/>
        <w:spacing w:line="360" w:lineRule="auto"/>
        <w:rPr>
          <w:color w:val="000000"/>
        </w:rPr>
      </w:pPr>
      <w:r>
        <w:rPr>
          <w:color w:val="000000"/>
        </w:rPr>
        <w:t>2、“偏离情况”栏填写：“正偏离”或“负偏离”或“符合”</w:t>
      </w:r>
    </w:p>
    <w:p>
      <w:pPr>
        <w:snapToGrid w:val="0"/>
        <w:spacing w:line="360" w:lineRule="auto"/>
        <w:rPr>
          <w:color w:val="000000"/>
          <w:spacing w:val="20"/>
        </w:rPr>
      </w:pPr>
    </w:p>
    <w:p>
      <w:pPr>
        <w:pStyle w:val="4"/>
        <w:rPr>
          <w:color w:val="000000"/>
          <w:kern w:val="0"/>
          <w:szCs w:val="21"/>
        </w:rPr>
      </w:pPr>
      <w:r>
        <w:rPr>
          <w:rFonts w:ascii="Times New Roman" w:hAnsi="Times New Roman"/>
          <w:color w:val="000000"/>
          <w:spacing w:val="20"/>
        </w:rPr>
        <w:br w:type="page"/>
      </w:r>
      <w:bookmarkStart w:id="167" w:name="_Toc15676"/>
      <w:r>
        <w:rPr>
          <w:rFonts w:hint="eastAsia" w:ascii="宋体" w:hAnsi="宋体" w:eastAsia="宋体" w:cs="宋体"/>
          <w:sz w:val="24"/>
          <w:szCs w:val="24"/>
        </w:rPr>
        <w:t>19、投标核心产品销售业绩：本次相同型号投标核心产品之一自2019年1月1日起（以合同签定时间为准）与不同的最终用户签订的销售合同，提供合同扫描件并加盖电子签章。</w:t>
      </w:r>
      <w:bookmarkEnd w:id="167"/>
    </w:p>
    <w:p>
      <w:pPr>
        <w:snapToGrid w:val="0"/>
        <w:spacing w:line="360" w:lineRule="auto"/>
        <w:rPr>
          <w:color w:val="000000"/>
          <w:u w:val="single"/>
        </w:rPr>
      </w:pPr>
      <w:r>
        <w:rPr>
          <w:color w:val="000000"/>
        </w:rPr>
        <w:t>项目名称：</w:t>
      </w:r>
    </w:p>
    <w:p>
      <w:pPr>
        <w:snapToGrid w:val="0"/>
        <w:spacing w:line="360" w:lineRule="auto"/>
        <w:rPr>
          <w:color w:val="000000"/>
          <w:u w:val="single"/>
        </w:rPr>
      </w:pPr>
      <w:r>
        <w:rPr>
          <w:color w:val="000000"/>
        </w:rPr>
        <w:t>招标项目编号：</w:t>
      </w:r>
    </w:p>
    <w:p>
      <w:pPr>
        <w:snapToGrid w:val="0"/>
        <w:spacing w:line="360" w:lineRule="auto"/>
        <w:rPr>
          <w:color w:val="000000"/>
          <w:szCs w:val="21"/>
        </w:rPr>
      </w:pPr>
      <w:r>
        <w:rPr>
          <w:color w:val="000000"/>
        </w:rPr>
        <w:t>标项内容：</w:t>
      </w:r>
    </w:p>
    <w:tbl>
      <w:tblPr>
        <w:tblStyle w:val="21"/>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jc w:val="center"/>
              <w:rPr>
                <w:caps/>
                <w:color w:val="000000"/>
                <w:szCs w:val="21"/>
              </w:rPr>
            </w:pPr>
            <w:r>
              <w:rPr>
                <w:caps/>
                <w:color w:val="000000"/>
                <w:szCs w:val="21"/>
              </w:rPr>
              <w:t>序号</w:t>
            </w:r>
          </w:p>
        </w:tc>
        <w:tc>
          <w:tcPr>
            <w:tcW w:w="1080" w:type="dxa"/>
          </w:tcPr>
          <w:p>
            <w:pPr>
              <w:spacing w:line="360" w:lineRule="auto"/>
              <w:jc w:val="center"/>
              <w:rPr>
                <w:caps/>
                <w:color w:val="000000"/>
                <w:szCs w:val="21"/>
              </w:rPr>
            </w:pPr>
            <w:r>
              <w:rPr>
                <w:caps/>
                <w:color w:val="000000"/>
                <w:szCs w:val="21"/>
              </w:rPr>
              <w:t>用户名称</w:t>
            </w:r>
          </w:p>
        </w:tc>
        <w:tc>
          <w:tcPr>
            <w:tcW w:w="1080" w:type="dxa"/>
          </w:tcPr>
          <w:p>
            <w:pPr>
              <w:spacing w:line="360" w:lineRule="auto"/>
              <w:jc w:val="center"/>
              <w:rPr>
                <w:caps/>
                <w:color w:val="000000"/>
                <w:szCs w:val="21"/>
              </w:rPr>
            </w:pPr>
            <w:r>
              <w:rPr>
                <w:caps/>
                <w:color w:val="000000"/>
                <w:szCs w:val="21"/>
              </w:rPr>
              <w:t>设备型号</w:t>
            </w:r>
          </w:p>
        </w:tc>
        <w:tc>
          <w:tcPr>
            <w:tcW w:w="1980" w:type="dxa"/>
          </w:tcPr>
          <w:p>
            <w:pPr>
              <w:spacing w:line="360" w:lineRule="auto"/>
              <w:jc w:val="center"/>
              <w:rPr>
                <w:caps/>
                <w:color w:val="000000"/>
                <w:szCs w:val="21"/>
              </w:rPr>
            </w:pPr>
            <w:r>
              <w:rPr>
                <w:caps/>
                <w:color w:val="000000"/>
                <w:szCs w:val="21"/>
              </w:rPr>
              <w:t>数量</w:t>
            </w:r>
          </w:p>
        </w:tc>
        <w:tc>
          <w:tcPr>
            <w:tcW w:w="1440" w:type="dxa"/>
          </w:tcPr>
          <w:p>
            <w:pPr>
              <w:spacing w:line="360" w:lineRule="auto"/>
              <w:jc w:val="center"/>
              <w:rPr>
                <w:caps/>
                <w:color w:val="000000"/>
                <w:szCs w:val="21"/>
              </w:rPr>
            </w:pPr>
            <w:r>
              <w:rPr>
                <w:color w:val="000000"/>
                <w:szCs w:val="21"/>
              </w:rPr>
              <w:t>签约日期</w:t>
            </w:r>
          </w:p>
        </w:tc>
        <w:tc>
          <w:tcPr>
            <w:tcW w:w="900" w:type="dxa"/>
          </w:tcPr>
          <w:p>
            <w:pPr>
              <w:spacing w:line="360" w:lineRule="auto"/>
              <w:jc w:val="center"/>
              <w:rPr>
                <w:color w:val="000000"/>
                <w:szCs w:val="21"/>
              </w:rPr>
            </w:pPr>
            <w:r>
              <w:rPr>
                <w:color w:val="000000"/>
                <w:szCs w:val="21"/>
              </w:rPr>
              <w:t>联系人</w:t>
            </w:r>
          </w:p>
        </w:tc>
        <w:tc>
          <w:tcPr>
            <w:tcW w:w="1260" w:type="dxa"/>
          </w:tcPr>
          <w:p>
            <w:pPr>
              <w:spacing w:line="360" w:lineRule="auto"/>
              <w:jc w:val="center"/>
              <w:rPr>
                <w:color w:val="000000"/>
                <w:szCs w:val="21"/>
              </w:rPr>
            </w:pPr>
            <w:r>
              <w:rPr>
                <w:color w:val="000000"/>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color w:val="000000"/>
                <w:szCs w:val="21"/>
              </w:rPr>
            </w:pPr>
          </w:p>
        </w:tc>
        <w:tc>
          <w:tcPr>
            <w:tcW w:w="1080" w:type="dxa"/>
          </w:tcPr>
          <w:p>
            <w:pPr>
              <w:spacing w:line="360" w:lineRule="auto"/>
              <w:rPr>
                <w:color w:val="000000"/>
                <w:szCs w:val="21"/>
              </w:rPr>
            </w:pPr>
          </w:p>
        </w:tc>
        <w:tc>
          <w:tcPr>
            <w:tcW w:w="1080" w:type="dxa"/>
          </w:tcPr>
          <w:p>
            <w:pPr>
              <w:spacing w:line="360" w:lineRule="auto"/>
              <w:rPr>
                <w:color w:val="000000"/>
                <w:szCs w:val="21"/>
              </w:rPr>
            </w:pPr>
          </w:p>
        </w:tc>
        <w:tc>
          <w:tcPr>
            <w:tcW w:w="1980" w:type="dxa"/>
          </w:tcPr>
          <w:p>
            <w:pPr>
              <w:spacing w:line="360" w:lineRule="auto"/>
              <w:rPr>
                <w:color w:val="000000"/>
                <w:szCs w:val="21"/>
              </w:rPr>
            </w:pPr>
          </w:p>
        </w:tc>
        <w:tc>
          <w:tcPr>
            <w:tcW w:w="1440" w:type="dxa"/>
          </w:tcPr>
          <w:p>
            <w:pPr>
              <w:spacing w:line="360" w:lineRule="auto"/>
              <w:rPr>
                <w:color w:val="000000"/>
                <w:szCs w:val="21"/>
              </w:rPr>
            </w:pPr>
          </w:p>
        </w:tc>
        <w:tc>
          <w:tcPr>
            <w:tcW w:w="900" w:type="dxa"/>
          </w:tcPr>
          <w:p>
            <w:pPr>
              <w:spacing w:line="360" w:lineRule="auto"/>
              <w:rPr>
                <w:color w:val="000000"/>
                <w:szCs w:val="21"/>
              </w:rPr>
            </w:pPr>
          </w:p>
        </w:tc>
        <w:tc>
          <w:tcPr>
            <w:tcW w:w="1260" w:type="dxa"/>
          </w:tcPr>
          <w:p>
            <w:pPr>
              <w:spacing w:line="360" w:lineRule="auto"/>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color w:val="000000"/>
                <w:szCs w:val="21"/>
              </w:rPr>
            </w:pPr>
          </w:p>
        </w:tc>
        <w:tc>
          <w:tcPr>
            <w:tcW w:w="1080" w:type="dxa"/>
          </w:tcPr>
          <w:p>
            <w:pPr>
              <w:spacing w:line="360" w:lineRule="auto"/>
              <w:rPr>
                <w:color w:val="000000"/>
                <w:szCs w:val="21"/>
              </w:rPr>
            </w:pPr>
          </w:p>
        </w:tc>
        <w:tc>
          <w:tcPr>
            <w:tcW w:w="1080" w:type="dxa"/>
          </w:tcPr>
          <w:p>
            <w:pPr>
              <w:spacing w:line="360" w:lineRule="auto"/>
              <w:rPr>
                <w:color w:val="000000"/>
                <w:szCs w:val="21"/>
              </w:rPr>
            </w:pPr>
          </w:p>
        </w:tc>
        <w:tc>
          <w:tcPr>
            <w:tcW w:w="1980" w:type="dxa"/>
          </w:tcPr>
          <w:p>
            <w:pPr>
              <w:spacing w:line="360" w:lineRule="auto"/>
              <w:rPr>
                <w:color w:val="000000"/>
                <w:szCs w:val="21"/>
              </w:rPr>
            </w:pPr>
          </w:p>
        </w:tc>
        <w:tc>
          <w:tcPr>
            <w:tcW w:w="1440" w:type="dxa"/>
          </w:tcPr>
          <w:p>
            <w:pPr>
              <w:spacing w:line="360" w:lineRule="auto"/>
              <w:rPr>
                <w:color w:val="000000"/>
                <w:szCs w:val="21"/>
              </w:rPr>
            </w:pPr>
          </w:p>
        </w:tc>
        <w:tc>
          <w:tcPr>
            <w:tcW w:w="900" w:type="dxa"/>
          </w:tcPr>
          <w:p>
            <w:pPr>
              <w:spacing w:line="360" w:lineRule="auto"/>
              <w:rPr>
                <w:color w:val="000000"/>
                <w:szCs w:val="21"/>
              </w:rPr>
            </w:pPr>
          </w:p>
        </w:tc>
        <w:tc>
          <w:tcPr>
            <w:tcW w:w="1260" w:type="dxa"/>
          </w:tcPr>
          <w:p>
            <w:pPr>
              <w:spacing w:line="360" w:lineRule="auto"/>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color w:val="000000"/>
                <w:szCs w:val="21"/>
              </w:rPr>
            </w:pPr>
          </w:p>
        </w:tc>
        <w:tc>
          <w:tcPr>
            <w:tcW w:w="1080" w:type="dxa"/>
          </w:tcPr>
          <w:p>
            <w:pPr>
              <w:spacing w:line="360" w:lineRule="auto"/>
              <w:rPr>
                <w:color w:val="000000"/>
                <w:szCs w:val="21"/>
              </w:rPr>
            </w:pPr>
          </w:p>
        </w:tc>
        <w:tc>
          <w:tcPr>
            <w:tcW w:w="1080" w:type="dxa"/>
          </w:tcPr>
          <w:p>
            <w:pPr>
              <w:spacing w:line="360" w:lineRule="auto"/>
              <w:rPr>
                <w:color w:val="000000"/>
                <w:szCs w:val="21"/>
              </w:rPr>
            </w:pPr>
          </w:p>
        </w:tc>
        <w:tc>
          <w:tcPr>
            <w:tcW w:w="1980" w:type="dxa"/>
          </w:tcPr>
          <w:p>
            <w:pPr>
              <w:spacing w:line="360" w:lineRule="auto"/>
              <w:rPr>
                <w:color w:val="000000"/>
                <w:szCs w:val="21"/>
              </w:rPr>
            </w:pPr>
          </w:p>
        </w:tc>
        <w:tc>
          <w:tcPr>
            <w:tcW w:w="1440" w:type="dxa"/>
          </w:tcPr>
          <w:p>
            <w:pPr>
              <w:spacing w:line="360" w:lineRule="auto"/>
              <w:rPr>
                <w:color w:val="000000"/>
                <w:szCs w:val="21"/>
              </w:rPr>
            </w:pPr>
          </w:p>
        </w:tc>
        <w:tc>
          <w:tcPr>
            <w:tcW w:w="900" w:type="dxa"/>
          </w:tcPr>
          <w:p>
            <w:pPr>
              <w:spacing w:line="360" w:lineRule="auto"/>
              <w:rPr>
                <w:color w:val="000000"/>
                <w:szCs w:val="21"/>
              </w:rPr>
            </w:pPr>
          </w:p>
        </w:tc>
        <w:tc>
          <w:tcPr>
            <w:tcW w:w="1260" w:type="dxa"/>
          </w:tcPr>
          <w:p>
            <w:pPr>
              <w:spacing w:line="360" w:lineRule="auto"/>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color w:val="000000"/>
                <w:szCs w:val="21"/>
              </w:rPr>
            </w:pPr>
          </w:p>
        </w:tc>
        <w:tc>
          <w:tcPr>
            <w:tcW w:w="1080" w:type="dxa"/>
          </w:tcPr>
          <w:p>
            <w:pPr>
              <w:spacing w:line="360" w:lineRule="auto"/>
              <w:rPr>
                <w:color w:val="000000"/>
                <w:szCs w:val="21"/>
              </w:rPr>
            </w:pPr>
          </w:p>
        </w:tc>
        <w:tc>
          <w:tcPr>
            <w:tcW w:w="1080" w:type="dxa"/>
          </w:tcPr>
          <w:p>
            <w:pPr>
              <w:spacing w:line="360" w:lineRule="auto"/>
              <w:rPr>
                <w:color w:val="000000"/>
                <w:szCs w:val="21"/>
              </w:rPr>
            </w:pPr>
          </w:p>
        </w:tc>
        <w:tc>
          <w:tcPr>
            <w:tcW w:w="1980" w:type="dxa"/>
          </w:tcPr>
          <w:p>
            <w:pPr>
              <w:spacing w:line="360" w:lineRule="auto"/>
              <w:rPr>
                <w:color w:val="000000"/>
                <w:szCs w:val="21"/>
              </w:rPr>
            </w:pPr>
          </w:p>
        </w:tc>
        <w:tc>
          <w:tcPr>
            <w:tcW w:w="1440" w:type="dxa"/>
          </w:tcPr>
          <w:p>
            <w:pPr>
              <w:spacing w:line="360" w:lineRule="auto"/>
              <w:rPr>
                <w:color w:val="000000"/>
                <w:szCs w:val="21"/>
              </w:rPr>
            </w:pPr>
          </w:p>
        </w:tc>
        <w:tc>
          <w:tcPr>
            <w:tcW w:w="900" w:type="dxa"/>
          </w:tcPr>
          <w:p>
            <w:pPr>
              <w:spacing w:line="360" w:lineRule="auto"/>
              <w:rPr>
                <w:color w:val="000000"/>
                <w:szCs w:val="21"/>
              </w:rPr>
            </w:pPr>
          </w:p>
        </w:tc>
        <w:tc>
          <w:tcPr>
            <w:tcW w:w="1260" w:type="dxa"/>
          </w:tcPr>
          <w:p>
            <w:pPr>
              <w:spacing w:line="360" w:lineRule="auto"/>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color w:val="000000"/>
                <w:szCs w:val="21"/>
              </w:rPr>
            </w:pPr>
          </w:p>
        </w:tc>
        <w:tc>
          <w:tcPr>
            <w:tcW w:w="1080" w:type="dxa"/>
          </w:tcPr>
          <w:p>
            <w:pPr>
              <w:spacing w:line="360" w:lineRule="auto"/>
              <w:rPr>
                <w:color w:val="000000"/>
                <w:szCs w:val="21"/>
              </w:rPr>
            </w:pPr>
          </w:p>
        </w:tc>
        <w:tc>
          <w:tcPr>
            <w:tcW w:w="1080" w:type="dxa"/>
          </w:tcPr>
          <w:p>
            <w:pPr>
              <w:spacing w:line="360" w:lineRule="auto"/>
              <w:rPr>
                <w:color w:val="000000"/>
                <w:szCs w:val="21"/>
              </w:rPr>
            </w:pPr>
          </w:p>
        </w:tc>
        <w:tc>
          <w:tcPr>
            <w:tcW w:w="1980" w:type="dxa"/>
          </w:tcPr>
          <w:p>
            <w:pPr>
              <w:spacing w:line="360" w:lineRule="auto"/>
              <w:rPr>
                <w:color w:val="000000"/>
                <w:szCs w:val="21"/>
              </w:rPr>
            </w:pPr>
          </w:p>
        </w:tc>
        <w:tc>
          <w:tcPr>
            <w:tcW w:w="1440" w:type="dxa"/>
          </w:tcPr>
          <w:p>
            <w:pPr>
              <w:spacing w:line="360" w:lineRule="auto"/>
              <w:rPr>
                <w:color w:val="000000"/>
                <w:szCs w:val="21"/>
              </w:rPr>
            </w:pPr>
          </w:p>
        </w:tc>
        <w:tc>
          <w:tcPr>
            <w:tcW w:w="900" w:type="dxa"/>
          </w:tcPr>
          <w:p>
            <w:pPr>
              <w:spacing w:line="360" w:lineRule="auto"/>
              <w:rPr>
                <w:color w:val="000000"/>
                <w:szCs w:val="21"/>
              </w:rPr>
            </w:pPr>
          </w:p>
        </w:tc>
        <w:tc>
          <w:tcPr>
            <w:tcW w:w="1260" w:type="dxa"/>
          </w:tcPr>
          <w:p>
            <w:pPr>
              <w:spacing w:line="360" w:lineRule="auto"/>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color w:val="000000"/>
                <w:szCs w:val="21"/>
              </w:rPr>
            </w:pPr>
          </w:p>
        </w:tc>
        <w:tc>
          <w:tcPr>
            <w:tcW w:w="1080" w:type="dxa"/>
          </w:tcPr>
          <w:p>
            <w:pPr>
              <w:spacing w:line="360" w:lineRule="auto"/>
              <w:rPr>
                <w:color w:val="000000"/>
                <w:szCs w:val="21"/>
              </w:rPr>
            </w:pPr>
          </w:p>
        </w:tc>
        <w:tc>
          <w:tcPr>
            <w:tcW w:w="1080" w:type="dxa"/>
          </w:tcPr>
          <w:p>
            <w:pPr>
              <w:spacing w:line="360" w:lineRule="auto"/>
              <w:rPr>
                <w:color w:val="000000"/>
                <w:szCs w:val="21"/>
              </w:rPr>
            </w:pPr>
          </w:p>
        </w:tc>
        <w:tc>
          <w:tcPr>
            <w:tcW w:w="1980" w:type="dxa"/>
          </w:tcPr>
          <w:p>
            <w:pPr>
              <w:spacing w:line="360" w:lineRule="auto"/>
              <w:rPr>
                <w:color w:val="000000"/>
                <w:szCs w:val="21"/>
              </w:rPr>
            </w:pPr>
          </w:p>
        </w:tc>
        <w:tc>
          <w:tcPr>
            <w:tcW w:w="1440" w:type="dxa"/>
          </w:tcPr>
          <w:p>
            <w:pPr>
              <w:spacing w:line="360" w:lineRule="auto"/>
              <w:rPr>
                <w:color w:val="000000"/>
                <w:szCs w:val="21"/>
              </w:rPr>
            </w:pPr>
          </w:p>
        </w:tc>
        <w:tc>
          <w:tcPr>
            <w:tcW w:w="900" w:type="dxa"/>
          </w:tcPr>
          <w:p>
            <w:pPr>
              <w:spacing w:line="360" w:lineRule="auto"/>
              <w:rPr>
                <w:color w:val="000000"/>
                <w:szCs w:val="21"/>
              </w:rPr>
            </w:pPr>
          </w:p>
        </w:tc>
        <w:tc>
          <w:tcPr>
            <w:tcW w:w="1260" w:type="dxa"/>
          </w:tcPr>
          <w:p>
            <w:pPr>
              <w:spacing w:line="360" w:lineRule="auto"/>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color w:val="000000"/>
                <w:szCs w:val="21"/>
              </w:rPr>
            </w:pPr>
          </w:p>
        </w:tc>
        <w:tc>
          <w:tcPr>
            <w:tcW w:w="1080" w:type="dxa"/>
          </w:tcPr>
          <w:p>
            <w:pPr>
              <w:spacing w:line="360" w:lineRule="auto"/>
              <w:rPr>
                <w:color w:val="000000"/>
                <w:szCs w:val="21"/>
              </w:rPr>
            </w:pPr>
          </w:p>
        </w:tc>
        <w:tc>
          <w:tcPr>
            <w:tcW w:w="1080" w:type="dxa"/>
          </w:tcPr>
          <w:p>
            <w:pPr>
              <w:spacing w:line="360" w:lineRule="auto"/>
              <w:rPr>
                <w:color w:val="000000"/>
                <w:szCs w:val="21"/>
              </w:rPr>
            </w:pPr>
          </w:p>
        </w:tc>
        <w:tc>
          <w:tcPr>
            <w:tcW w:w="1980" w:type="dxa"/>
          </w:tcPr>
          <w:p>
            <w:pPr>
              <w:spacing w:line="360" w:lineRule="auto"/>
              <w:rPr>
                <w:color w:val="000000"/>
                <w:szCs w:val="21"/>
              </w:rPr>
            </w:pPr>
          </w:p>
        </w:tc>
        <w:tc>
          <w:tcPr>
            <w:tcW w:w="1440" w:type="dxa"/>
          </w:tcPr>
          <w:p>
            <w:pPr>
              <w:spacing w:line="360" w:lineRule="auto"/>
              <w:rPr>
                <w:color w:val="000000"/>
                <w:szCs w:val="21"/>
              </w:rPr>
            </w:pPr>
          </w:p>
        </w:tc>
        <w:tc>
          <w:tcPr>
            <w:tcW w:w="900" w:type="dxa"/>
          </w:tcPr>
          <w:p>
            <w:pPr>
              <w:spacing w:line="360" w:lineRule="auto"/>
              <w:rPr>
                <w:color w:val="000000"/>
                <w:szCs w:val="21"/>
              </w:rPr>
            </w:pPr>
          </w:p>
        </w:tc>
        <w:tc>
          <w:tcPr>
            <w:tcW w:w="1260" w:type="dxa"/>
          </w:tcPr>
          <w:p>
            <w:pPr>
              <w:spacing w:line="360" w:lineRule="auto"/>
              <w:rPr>
                <w:color w:val="000000"/>
                <w:szCs w:val="21"/>
              </w:rPr>
            </w:pPr>
          </w:p>
        </w:tc>
      </w:tr>
    </w:tbl>
    <w:p>
      <w:pPr>
        <w:spacing w:line="360" w:lineRule="auto"/>
        <w:rPr>
          <w:color w:val="000000"/>
          <w:szCs w:val="21"/>
        </w:rPr>
      </w:pPr>
    </w:p>
    <w:p>
      <w:pPr>
        <w:snapToGrid w:val="0"/>
        <w:spacing w:line="360" w:lineRule="auto"/>
        <w:rPr>
          <w:color w:val="000000"/>
          <w:spacing w:val="20"/>
          <w:u w:val="single"/>
        </w:rPr>
      </w:pPr>
      <w:r>
        <w:rPr>
          <w:rFonts w:hint="eastAsia"/>
          <w:color w:val="000000"/>
        </w:rPr>
        <w:t>供应商</w:t>
      </w:r>
      <w:r>
        <w:rPr>
          <w:color w:val="000000"/>
        </w:rPr>
        <w:t>全称（</w:t>
      </w:r>
      <w:r>
        <w:rPr>
          <w:rFonts w:hint="eastAsia"/>
          <w:color w:val="000000"/>
        </w:rPr>
        <w:t>盖单位公章或电子签章</w:t>
      </w:r>
      <w:r>
        <w:rPr>
          <w:color w:val="000000"/>
        </w:rPr>
        <w:t>）：</w:t>
      </w:r>
    </w:p>
    <w:p>
      <w:pPr>
        <w:snapToGrid w:val="0"/>
        <w:spacing w:line="360" w:lineRule="auto"/>
        <w:rPr>
          <w:color w:val="000000"/>
        </w:rPr>
      </w:pPr>
      <w:r>
        <w:rPr>
          <w:color w:val="000000"/>
          <w:spacing w:val="20"/>
        </w:rPr>
        <w:t xml:space="preserve">日期：  </w:t>
      </w:r>
      <w:r>
        <w:rPr>
          <w:color w:val="000000"/>
        </w:rPr>
        <w:t>年  月  日</w:t>
      </w: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r>
        <w:rPr>
          <w:rFonts w:hint="eastAsia"/>
          <w:color w:val="000000"/>
        </w:rPr>
        <w:t>附：合同扫描件</w:t>
      </w:r>
    </w:p>
    <w:p>
      <w:pPr>
        <w:pStyle w:val="3"/>
      </w:pPr>
    </w:p>
    <w:p>
      <w:pPr>
        <w:spacing w:line="360" w:lineRule="auto"/>
        <w:rPr>
          <w:b/>
          <w:bCs/>
          <w:sz w:val="24"/>
        </w:rPr>
      </w:pPr>
      <w:r>
        <w:rPr>
          <w:color w:val="000000"/>
        </w:rPr>
        <w:br w:type="page"/>
      </w:r>
      <w:r>
        <w:rPr>
          <w:rFonts w:hint="eastAsia"/>
          <w:b/>
          <w:bCs/>
          <w:sz w:val="24"/>
        </w:rPr>
        <w:t>20、安装调试方案，包括对场地环境的了解、人员的安排、时间进度的规划，对设备的调试进度安排，调试的步骤、措施，问题的解决方案等；</w:t>
      </w:r>
    </w:p>
    <w:p>
      <w:pPr>
        <w:spacing w:line="360" w:lineRule="auto"/>
        <w:rPr>
          <w:b/>
          <w:bCs/>
          <w:sz w:val="24"/>
        </w:rPr>
      </w:pPr>
    </w:p>
    <w:p>
      <w:pPr>
        <w:pStyle w:val="20"/>
        <w:ind w:firstLine="466"/>
        <w:rPr>
          <w:b/>
          <w:bCs/>
          <w:sz w:val="24"/>
          <w:szCs w:val="24"/>
        </w:rPr>
      </w:pPr>
    </w:p>
    <w:p>
      <w:pPr>
        <w:pStyle w:val="20"/>
        <w:ind w:firstLine="466"/>
        <w:rPr>
          <w:b/>
          <w:bCs/>
          <w:sz w:val="24"/>
          <w:szCs w:val="24"/>
        </w:rPr>
      </w:pPr>
    </w:p>
    <w:p>
      <w:pPr>
        <w:pStyle w:val="20"/>
        <w:ind w:firstLine="466"/>
        <w:rPr>
          <w:b/>
          <w:bCs/>
          <w:sz w:val="24"/>
          <w:szCs w:val="24"/>
        </w:rPr>
      </w:pPr>
    </w:p>
    <w:p>
      <w:pPr>
        <w:pStyle w:val="20"/>
        <w:ind w:firstLine="466"/>
        <w:rPr>
          <w:b/>
          <w:bCs/>
          <w:sz w:val="24"/>
          <w:szCs w:val="24"/>
        </w:rPr>
      </w:pPr>
    </w:p>
    <w:p>
      <w:pPr>
        <w:pStyle w:val="20"/>
        <w:ind w:firstLine="466"/>
        <w:rPr>
          <w:b/>
          <w:bCs/>
          <w:sz w:val="24"/>
          <w:szCs w:val="24"/>
        </w:rPr>
      </w:pPr>
    </w:p>
    <w:p>
      <w:pPr>
        <w:spacing w:line="360" w:lineRule="auto"/>
        <w:rPr>
          <w:b/>
          <w:bCs/>
          <w:sz w:val="24"/>
        </w:rPr>
      </w:pPr>
    </w:p>
    <w:p>
      <w:pPr>
        <w:spacing w:line="360" w:lineRule="auto"/>
        <w:rPr>
          <w:b/>
          <w:bCs/>
          <w:sz w:val="24"/>
        </w:rPr>
      </w:pPr>
      <w:r>
        <w:rPr>
          <w:rFonts w:hint="eastAsia"/>
          <w:b/>
          <w:bCs/>
          <w:sz w:val="24"/>
        </w:rPr>
        <w:t>21、培训方案，包括但不限于培训对象、课时安排、师资力量安排等；</w:t>
      </w:r>
    </w:p>
    <w:p>
      <w:pPr>
        <w:spacing w:line="360" w:lineRule="auto"/>
        <w:rPr>
          <w:b/>
          <w:bCs/>
          <w:sz w:val="24"/>
        </w:rPr>
      </w:pPr>
    </w:p>
    <w:p>
      <w:pPr>
        <w:pStyle w:val="20"/>
        <w:ind w:firstLine="466"/>
        <w:rPr>
          <w:b/>
          <w:bCs/>
          <w:sz w:val="24"/>
          <w:szCs w:val="24"/>
        </w:rPr>
      </w:pPr>
    </w:p>
    <w:p>
      <w:pPr>
        <w:pStyle w:val="20"/>
        <w:ind w:firstLine="466"/>
        <w:rPr>
          <w:b/>
          <w:bCs/>
          <w:sz w:val="24"/>
          <w:szCs w:val="24"/>
        </w:rPr>
      </w:pPr>
    </w:p>
    <w:p>
      <w:pPr>
        <w:pStyle w:val="20"/>
        <w:ind w:firstLine="466"/>
        <w:rPr>
          <w:b/>
          <w:bCs/>
          <w:sz w:val="24"/>
          <w:szCs w:val="24"/>
        </w:rPr>
      </w:pPr>
    </w:p>
    <w:p>
      <w:pPr>
        <w:pStyle w:val="20"/>
        <w:ind w:firstLine="466"/>
        <w:rPr>
          <w:b/>
          <w:bCs/>
          <w:sz w:val="24"/>
          <w:szCs w:val="24"/>
        </w:rPr>
      </w:pPr>
    </w:p>
    <w:p>
      <w:pPr>
        <w:pStyle w:val="20"/>
        <w:ind w:firstLine="466"/>
        <w:rPr>
          <w:b/>
          <w:bCs/>
          <w:sz w:val="24"/>
          <w:szCs w:val="24"/>
        </w:rPr>
      </w:pPr>
    </w:p>
    <w:p>
      <w:pPr>
        <w:pStyle w:val="20"/>
        <w:ind w:firstLine="466"/>
        <w:rPr>
          <w:b/>
          <w:bCs/>
          <w:sz w:val="24"/>
          <w:szCs w:val="24"/>
        </w:rPr>
      </w:pPr>
    </w:p>
    <w:p>
      <w:pPr>
        <w:spacing w:line="360" w:lineRule="auto"/>
        <w:rPr>
          <w:b/>
          <w:bCs/>
          <w:sz w:val="24"/>
        </w:rPr>
      </w:pPr>
    </w:p>
    <w:p>
      <w:pPr>
        <w:spacing w:line="360" w:lineRule="auto"/>
        <w:rPr>
          <w:b/>
          <w:bCs/>
          <w:sz w:val="24"/>
        </w:rPr>
      </w:pPr>
      <w:bookmarkStart w:id="168" w:name="_Toc14298"/>
      <w:r>
        <w:rPr>
          <w:rFonts w:hint="eastAsia"/>
          <w:b/>
          <w:bCs/>
          <w:sz w:val="24"/>
        </w:rPr>
        <w:t>22、售后服务方案：包括但不限于服务响应时间、故障解决方案；售后服务机构备品备件储备情况；售后服务机构技术服务人员情况，提供姓名、工作经验、资质证书情况等；</w:t>
      </w:r>
      <w:bookmarkEnd w:id="168"/>
    </w:p>
    <w:p>
      <w:pPr>
        <w:pStyle w:val="4"/>
        <w:ind w:firstLine="630" w:firstLineChars="196"/>
        <w:rPr>
          <w:rFonts w:ascii="Times New Roman" w:hAnsi="Times New Roman"/>
          <w:color w:val="000000"/>
        </w:rPr>
      </w:pPr>
    </w:p>
    <w:p>
      <w:pPr>
        <w:pStyle w:val="4"/>
        <w:ind w:firstLine="630" w:firstLineChars="196"/>
        <w:rPr>
          <w:rFonts w:ascii="Times New Roman" w:hAnsi="Times New Roman"/>
          <w:color w:val="000000"/>
        </w:rPr>
      </w:pPr>
    </w:p>
    <w:p>
      <w:pPr>
        <w:pStyle w:val="4"/>
        <w:rPr>
          <w:rFonts w:ascii="Times New Roman" w:hAnsi="Times New Roman"/>
          <w:color w:val="000000"/>
          <w:sz w:val="24"/>
          <w:szCs w:val="24"/>
        </w:rPr>
      </w:pPr>
      <w:r>
        <w:rPr>
          <w:rFonts w:ascii="Times New Roman" w:hAnsi="Times New Roman"/>
          <w:color w:val="000000"/>
        </w:rPr>
        <w:br w:type="page"/>
      </w:r>
      <w:bookmarkStart w:id="169" w:name="_Toc26676"/>
      <w:r>
        <w:rPr>
          <w:rFonts w:hint="eastAsia" w:ascii="宋体" w:hAnsi="宋体" w:eastAsia="宋体" w:cs="宋体"/>
          <w:color w:val="000000"/>
          <w:sz w:val="24"/>
          <w:szCs w:val="24"/>
        </w:rPr>
        <w:t>23、投标机型的样本或彩页和原厂技术参数</w:t>
      </w:r>
      <w:bookmarkEnd w:id="169"/>
    </w:p>
    <w:p>
      <w:pPr>
        <w:rPr>
          <w:color w:val="000000"/>
        </w:rPr>
      </w:pPr>
    </w:p>
    <w:p>
      <w:pPr>
        <w:ind w:left="420"/>
        <w:rPr>
          <w:color w:val="000000"/>
        </w:rPr>
      </w:pPr>
      <w:r>
        <w:rPr>
          <w:color w:val="000000"/>
        </w:rPr>
        <w:br w:type="page"/>
      </w:r>
    </w:p>
    <w:p>
      <w:pPr>
        <w:ind w:left="420"/>
        <w:rPr>
          <w:b/>
          <w:bCs/>
          <w:color w:val="000000"/>
          <w:sz w:val="24"/>
        </w:rPr>
      </w:pPr>
      <w:r>
        <w:rPr>
          <w:rFonts w:hint="eastAsia"/>
          <w:b/>
          <w:bCs/>
          <w:color w:val="000000"/>
          <w:sz w:val="24"/>
        </w:rPr>
        <w:t>24、供应商</w:t>
      </w:r>
      <w:r>
        <w:rPr>
          <w:b/>
          <w:bCs/>
          <w:color w:val="000000"/>
          <w:sz w:val="24"/>
        </w:rPr>
        <w:t>认为有必要</w:t>
      </w:r>
      <w:r>
        <w:rPr>
          <w:rFonts w:hint="eastAsia"/>
          <w:b/>
          <w:bCs/>
          <w:color w:val="000000"/>
          <w:sz w:val="24"/>
        </w:rPr>
        <w:t>提供的其它文件</w:t>
      </w:r>
    </w:p>
    <w:p>
      <w:pPr>
        <w:pStyle w:val="32"/>
        <w:ind w:left="0" w:leftChars="0" w:firstLine="0" w:firstLineChars="0"/>
        <w:rPr>
          <w:b w:val="0"/>
          <w:bCs w:val="0"/>
          <w:color w:val="000000"/>
          <w:sz w:val="24"/>
          <w:szCs w:val="24"/>
        </w:rPr>
      </w:pPr>
    </w:p>
    <w:p>
      <w:pPr>
        <w:pStyle w:val="32"/>
        <w:ind w:left="0" w:leftChars="0" w:firstLine="0" w:firstLineChars="0"/>
        <w:rPr>
          <w:b w:val="0"/>
          <w:bCs w:val="0"/>
          <w:color w:val="000000"/>
          <w:sz w:val="24"/>
          <w:szCs w:val="24"/>
        </w:rPr>
      </w:pPr>
    </w:p>
    <w:p>
      <w:pPr>
        <w:spacing w:line="360" w:lineRule="auto"/>
        <w:rPr>
          <w:color w:val="000000"/>
        </w:rPr>
      </w:pPr>
      <w:r>
        <w:rPr>
          <w:rFonts w:hint="eastAsia"/>
        </w:rPr>
        <w:br w:type="page"/>
      </w:r>
      <w:r>
        <w:rPr>
          <w:rFonts w:hint="eastAsia"/>
          <w:color w:val="000000"/>
        </w:rPr>
        <w:t>附件1</w:t>
      </w:r>
    </w:p>
    <w:p>
      <w:pPr>
        <w:pStyle w:val="35"/>
        <w:widowControl w:val="0"/>
        <w:snapToGrid w:val="0"/>
        <w:spacing w:line="500" w:lineRule="exact"/>
        <w:jc w:val="center"/>
        <w:rPr>
          <w:rFonts w:hint="default" w:hAnsi="宋体" w:cs="方正小标宋简体"/>
          <w:b/>
          <w:color w:val="000000"/>
          <w:sz w:val="28"/>
          <w:szCs w:val="28"/>
        </w:rPr>
      </w:pPr>
      <w:r>
        <w:rPr>
          <w:rFonts w:hAnsi="宋体" w:cs="方正小标宋简体"/>
          <w:b/>
          <w:color w:val="000000"/>
          <w:sz w:val="28"/>
          <w:szCs w:val="28"/>
        </w:rPr>
        <w:t>政府采购活动现场确认声明书</w:t>
      </w:r>
    </w:p>
    <w:p>
      <w:pPr>
        <w:pStyle w:val="35"/>
        <w:widowControl w:val="0"/>
        <w:adjustRightInd w:val="0"/>
        <w:snapToGrid w:val="0"/>
        <w:spacing w:line="360" w:lineRule="auto"/>
        <w:jc w:val="both"/>
        <w:rPr>
          <w:rFonts w:hint="default" w:ascii="仿宋" w:hAnsi="仿宋"/>
          <w:color w:val="000000"/>
          <w:kern w:val="0"/>
          <w:szCs w:val="21"/>
          <w:u w:val="single"/>
        </w:rPr>
      </w:pPr>
    </w:p>
    <w:p>
      <w:pPr>
        <w:pStyle w:val="35"/>
        <w:widowControl w:val="0"/>
        <w:adjustRightInd w:val="0"/>
        <w:snapToGrid w:val="0"/>
        <w:spacing w:line="360" w:lineRule="auto"/>
        <w:jc w:val="both"/>
        <w:rPr>
          <w:rFonts w:hint="default" w:ascii="仿宋" w:hAnsi="仿宋"/>
          <w:b/>
          <w:color w:val="000000"/>
          <w:szCs w:val="21"/>
        </w:rPr>
      </w:pPr>
      <w:r>
        <w:rPr>
          <w:rFonts w:ascii="仿宋" w:hAnsi="仿宋"/>
          <w:color w:val="000000"/>
          <w:kern w:val="0"/>
          <w:szCs w:val="21"/>
          <w:u w:val="single"/>
        </w:rPr>
        <w:t>浙江信诚项目管理有限公司</w:t>
      </w:r>
      <w:r>
        <w:rPr>
          <w:rFonts w:ascii="仿宋" w:hAnsi="仿宋"/>
          <w:color w:val="000000"/>
          <w:kern w:val="0"/>
          <w:szCs w:val="21"/>
        </w:rPr>
        <w:t>：</w:t>
      </w:r>
    </w:p>
    <w:p>
      <w:pPr>
        <w:pStyle w:val="35"/>
        <w:widowControl w:val="0"/>
        <w:adjustRightInd w:val="0"/>
        <w:snapToGrid w:val="0"/>
        <w:spacing w:line="360" w:lineRule="auto"/>
        <w:ind w:firstLine="444" w:firstLineChars="200"/>
        <w:jc w:val="both"/>
        <w:rPr>
          <w:rFonts w:hint="default" w:ascii="仿宋" w:hAnsi="仿宋"/>
          <w:color w:val="000000"/>
          <w:spacing w:val="6"/>
          <w:szCs w:val="21"/>
        </w:rPr>
      </w:pPr>
      <w:r>
        <w:rPr>
          <w:rFonts w:ascii="仿宋" w:hAnsi="仿宋"/>
          <w:color w:val="000000"/>
          <w:spacing w:val="6"/>
          <w:szCs w:val="21"/>
        </w:rPr>
        <w:t>本人经由</w:t>
      </w:r>
      <w:r>
        <w:rPr>
          <w:rFonts w:ascii="仿宋" w:hAnsi="仿宋"/>
          <w:color w:val="000000"/>
          <w:spacing w:val="6"/>
          <w:szCs w:val="21"/>
          <w:u w:val="single"/>
        </w:rPr>
        <w:t xml:space="preserve">              （单位）</w:t>
      </w:r>
      <w:r>
        <w:rPr>
          <w:rFonts w:ascii="仿宋" w:hAnsi="仿宋"/>
          <w:color w:val="000000"/>
          <w:spacing w:val="6"/>
          <w:szCs w:val="21"/>
        </w:rPr>
        <w:t>负责人</w:t>
      </w:r>
      <w:r>
        <w:rPr>
          <w:rFonts w:ascii="仿宋" w:hAnsi="仿宋"/>
          <w:color w:val="000000"/>
          <w:spacing w:val="6"/>
          <w:szCs w:val="21"/>
          <w:u w:val="single"/>
        </w:rPr>
        <w:t xml:space="preserve">      （姓名）</w:t>
      </w:r>
      <w:r>
        <w:rPr>
          <w:rFonts w:ascii="仿宋" w:hAnsi="仿宋"/>
          <w:color w:val="000000"/>
          <w:spacing w:val="6"/>
          <w:szCs w:val="21"/>
        </w:rPr>
        <w:t>合法授权参加</w:t>
      </w:r>
      <w:r>
        <w:rPr>
          <w:rFonts w:ascii="仿宋" w:hAnsi="仿宋"/>
          <w:color w:val="000000"/>
          <w:spacing w:val="6"/>
          <w:szCs w:val="21"/>
          <w:u w:val="single"/>
        </w:rPr>
        <w:t xml:space="preserve">           </w:t>
      </w:r>
      <w:r>
        <w:rPr>
          <w:rFonts w:ascii="仿宋" w:hAnsi="仿宋"/>
          <w:color w:val="000000"/>
          <w:spacing w:val="6"/>
          <w:szCs w:val="21"/>
        </w:rPr>
        <w:t>项目</w:t>
      </w:r>
      <w:r>
        <w:rPr>
          <w:rFonts w:ascii="仿宋" w:hAnsi="仿宋"/>
          <w:color w:val="000000"/>
          <w:spacing w:val="6"/>
          <w:szCs w:val="21"/>
          <w:u w:val="single"/>
        </w:rPr>
        <w:t>（编号：    ）</w:t>
      </w:r>
      <w:r>
        <w:rPr>
          <w:rFonts w:ascii="仿宋" w:hAnsi="仿宋"/>
          <w:color w:val="000000"/>
          <w:spacing w:val="6"/>
          <w:szCs w:val="21"/>
        </w:rPr>
        <w:t xml:space="preserve">政府采购活动，经与本单位法人代表（负责人）联系确认，现就有关公平竞争事项郑重声明如下： </w:t>
      </w:r>
    </w:p>
    <w:p>
      <w:pPr>
        <w:pStyle w:val="36"/>
        <w:widowControl/>
        <w:numPr>
          <w:ilvl w:val="0"/>
          <w:numId w:val="10"/>
        </w:numPr>
        <w:adjustRightInd w:val="0"/>
        <w:snapToGrid w:val="0"/>
        <w:spacing w:line="360" w:lineRule="auto"/>
        <w:ind w:firstLine="396" w:firstLineChars="189"/>
        <w:rPr>
          <w:rFonts w:hint="default" w:ascii="仿宋" w:hAnsi="仿宋"/>
          <w:color w:val="000000"/>
          <w:kern w:val="0"/>
          <w:szCs w:val="21"/>
        </w:rPr>
      </w:pPr>
      <w:r>
        <w:rPr>
          <w:rFonts w:ascii="仿宋" w:hAnsi="仿宋"/>
          <w:color w:val="000000"/>
          <w:kern w:val="0"/>
          <w:szCs w:val="21"/>
        </w:rPr>
        <w:t xml:space="preserve">本单位与采购人之间 </w:t>
      </w:r>
      <w:r>
        <w:rPr>
          <w:rFonts w:ascii="宋体" w:hAnsi="宋体" w:cs="宋体"/>
          <w:color w:val="000000"/>
          <w:kern w:val="0"/>
          <w:szCs w:val="21"/>
        </w:rPr>
        <w:t>□</w:t>
      </w:r>
      <w:r>
        <w:rPr>
          <w:rFonts w:ascii="仿宋" w:hAnsi="仿宋"/>
          <w:color w:val="000000"/>
          <w:kern w:val="0"/>
          <w:szCs w:val="21"/>
        </w:rPr>
        <w:t xml:space="preserve">不存在利害关系 </w:t>
      </w:r>
      <w:r>
        <w:rPr>
          <w:rFonts w:ascii="宋体" w:hAnsi="宋体" w:cs="宋体"/>
          <w:color w:val="000000"/>
          <w:kern w:val="0"/>
          <w:szCs w:val="21"/>
        </w:rPr>
        <w:t>□</w:t>
      </w:r>
      <w:r>
        <w:rPr>
          <w:rFonts w:ascii="仿宋" w:hAnsi="仿宋"/>
          <w:color w:val="000000"/>
          <w:kern w:val="0"/>
          <w:szCs w:val="21"/>
        </w:rPr>
        <w:t>存在下列利害关系</w:t>
      </w:r>
      <w:r>
        <w:rPr>
          <w:rFonts w:ascii="仿宋" w:hAnsi="仿宋"/>
          <w:color w:val="000000"/>
          <w:kern w:val="0"/>
          <w:szCs w:val="21"/>
          <w:u w:val="single"/>
        </w:rPr>
        <w:t xml:space="preserve">           </w:t>
      </w:r>
      <w:r>
        <w:rPr>
          <w:rFonts w:ascii="仿宋" w:hAnsi="仿宋"/>
          <w:color w:val="000000"/>
          <w:kern w:val="0"/>
          <w:szCs w:val="21"/>
        </w:rPr>
        <w:t>：</w:t>
      </w:r>
    </w:p>
    <w:p>
      <w:pPr>
        <w:pStyle w:val="36"/>
        <w:widowControl/>
        <w:adjustRightInd w:val="0"/>
        <w:snapToGrid w:val="0"/>
        <w:spacing w:line="360" w:lineRule="auto"/>
        <w:ind w:firstLine="200"/>
        <w:rPr>
          <w:rFonts w:hint="default" w:ascii="仿宋" w:hAnsi="仿宋"/>
          <w:color w:val="000000"/>
          <w:kern w:val="0"/>
          <w:szCs w:val="21"/>
        </w:rPr>
      </w:pPr>
      <w:r>
        <w:rPr>
          <w:rFonts w:ascii="仿宋" w:hAnsi="仿宋"/>
          <w:color w:val="000000"/>
          <w:kern w:val="0"/>
          <w:szCs w:val="21"/>
        </w:rPr>
        <w:t xml:space="preserve">  A.投资关系    B.行政隶属关系    C.业务指导关系</w:t>
      </w:r>
    </w:p>
    <w:p>
      <w:pPr>
        <w:pStyle w:val="36"/>
        <w:widowControl/>
        <w:adjustRightInd w:val="0"/>
        <w:snapToGrid w:val="0"/>
        <w:spacing w:line="360" w:lineRule="auto"/>
        <w:ind w:firstLine="200"/>
        <w:rPr>
          <w:rFonts w:hint="default" w:ascii="仿宋" w:hAnsi="仿宋"/>
          <w:color w:val="000000"/>
          <w:kern w:val="0"/>
          <w:szCs w:val="21"/>
        </w:rPr>
      </w:pPr>
      <w:r>
        <w:rPr>
          <w:rFonts w:ascii="仿宋" w:hAnsi="仿宋"/>
          <w:color w:val="000000"/>
          <w:kern w:val="0"/>
          <w:szCs w:val="21"/>
        </w:rPr>
        <w:t xml:space="preserve">  D.其他可能</w:t>
      </w:r>
      <w:r>
        <w:rPr>
          <w:rFonts w:ascii="仿宋" w:hAnsi="仿宋"/>
          <w:color w:val="000000"/>
          <w:szCs w:val="21"/>
        </w:rPr>
        <w:t>影响采购公正的</w:t>
      </w:r>
      <w:r>
        <w:rPr>
          <w:rFonts w:ascii="仿宋" w:hAnsi="仿宋"/>
          <w:color w:val="000000"/>
          <w:kern w:val="0"/>
          <w:szCs w:val="21"/>
        </w:rPr>
        <w:t>利害关系</w:t>
      </w:r>
      <w:r>
        <w:rPr>
          <w:rFonts w:ascii="仿宋" w:hAnsi="仿宋"/>
          <w:color w:val="000000"/>
          <w:kern w:val="0"/>
          <w:szCs w:val="21"/>
          <w:u w:val="single"/>
        </w:rPr>
        <w:t xml:space="preserve">（如有，请如实说明）                 </w:t>
      </w:r>
      <w:r>
        <w:rPr>
          <w:rFonts w:ascii="仿宋" w:hAnsi="仿宋"/>
          <w:color w:val="000000"/>
          <w:kern w:val="0"/>
          <w:szCs w:val="21"/>
        </w:rPr>
        <w:t>。</w:t>
      </w:r>
    </w:p>
    <w:p>
      <w:pPr>
        <w:pStyle w:val="36"/>
        <w:widowControl/>
        <w:adjustRightInd w:val="0"/>
        <w:snapToGrid w:val="0"/>
        <w:spacing w:line="360" w:lineRule="auto"/>
        <w:ind w:firstLine="200"/>
        <w:rPr>
          <w:rFonts w:hint="default" w:ascii="仿宋" w:hAnsi="仿宋"/>
          <w:color w:val="000000"/>
          <w:kern w:val="0"/>
          <w:szCs w:val="21"/>
        </w:rPr>
      </w:pPr>
      <w:r>
        <w:rPr>
          <w:rFonts w:ascii="仿宋" w:hAnsi="仿宋"/>
          <w:color w:val="000000"/>
          <w:spacing w:val="6"/>
          <w:szCs w:val="21"/>
        </w:rPr>
        <w:t xml:space="preserve">  二、</w:t>
      </w:r>
      <w:r>
        <w:rPr>
          <w:rFonts w:ascii="仿宋" w:hAnsi="仿宋"/>
          <w:color w:val="000000"/>
          <w:kern w:val="0"/>
          <w:szCs w:val="21"/>
        </w:rPr>
        <w:t xml:space="preserve">现已清楚知道参加本项目采购活动的其他所有供应商名称，本单位 </w:t>
      </w:r>
      <w:r>
        <w:rPr>
          <w:rFonts w:ascii="宋体" w:hAnsi="宋体" w:cs="宋体"/>
          <w:color w:val="000000"/>
          <w:kern w:val="0"/>
          <w:szCs w:val="21"/>
        </w:rPr>
        <w:t>□与其他所有供应商之间均</w:t>
      </w:r>
      <w:r>
        <w:rPr>
          <w:rFonts w:ascii="仿宋" w:hAnsi="仿宋"/>
          <w:color w:val="000000"/>
          <w:kern w:val="0"/>
          <w:szCs w:val="21"/>
        </w:rPr>
        <w:t xml:space="preserve">不存在利害关系 </w:t>
      </w:r>
      <w:r>
        <w:rPr>
          <w:rFonts w:ascii="宋体" w:hAnsi="宋体" w:cs="宋体"/>
          <w:color w:val="000000"/>
          <w:kern w:val="0"/>
          <w:szCs w:val="21"/>
        </w:rPr>
        <w:t>□与</w:t>
      </w:r>
      <w:r>
        <w:rPr>
          <w:rFonts w:ascii="宋体" w:hAnsi="宋体" w:cs="宋体"/>
          <w:color w:val="000000"/>
          <w:kern w:val="0"/>
          <w:szCs w:val="21"/>
          <w:u w:val="single"/>
        </w:rPr>
        <w:t xml:space="preserve">           （供应商名称）</w:t>
      </w:r>
      <w:r>
        <w:rPr>
          <w:rFonts w:ascii="宋体" w:hAnsi="宋体" w:cs="宋体"/>
          <w:color w:val="000000"/>
          <w:kern w:val="0"/>
          <w:szCs w:val="21"/>
        </w:rPr>
        <w:t>之间</w:t>
      </w:r>
      <w:r>
        <w:rPr>
          <w:rFonts w:ascii="仿宋" w:hAnsi="仿宋"/>
          <w:color w:val="000000"/>
          <w:kern w:val="0"/>
          <w:szCs w:val="21"/>
        </w:rPr>
        <w:t>存在下列利害关系</w:t>
      </w:r>
      <w:r>
        <w:rPr>
          <w:rFonts w:ascii="仿宋" w:hAnsi="仿宋"/>
          <w:color w:val="000000"/>
          <w:kern w:val="0"/>
          <w:szCs w:val="21"/>
          <w:u w:val="single"/>
        </w:rPr>
        <w:t xml:space="preserve">          </w:t>
      </w:r>
      <w:r>
        <w:rPr>
          <w:rFonts w:ascii="仿宋" w:hAnsi="仿宋"/>
          <w:color w:val="000000"/>
          <w:kern w:val="0"/>
          <w:szCs w:val="21"/>
        </w:rPr>
        <w:t>：</w:t>
      </w:r>
    </w:p>
    <w:p>
      <w:pPr>
        <w:pStyle w:val="35"/>
        <w:widowControl w:val="0"/>
        <w:adjustRightInd w:val="0"/>
        <w:snapToGrid w:val="0"/>
        <w:spacing w:line="360" w:lineRule="auto"/>
        <w:ind w:firstLine="200"/>
        <w:jc w:val="both"/>
        <w:rPr>
          <w:rFonts w:hint="default" w:ascii="仿宋" w:hAnsi="仿宋"/>
          <w:color w:val="000000"/>
          <w:kern w:val="0"/>
          <w:szCs w:val="21"/>
        </w:rPr>
      </w:pPr>
      <w:r>
        <w:rPr>
          <w:rFonts w:ascii="仿宋" w:hAnsi="仿宋"/>
          <w:color w:val="000000"/>
          <w:kern w:val="0"/>
          <w:szCs w:val="21"/>
        </w:rPr>
        <w:t xml:space="preserve">  A.法定代表人或负责人或实际控制人是同一人</w:t>
      </w:r>
    </w:p>
    <w:p>
      <w:pPr>
        <w:pStyle w:val="35"/>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B.法定代表人或负责人或实际控制人是夫妻关系</w:t>
      </w:r>
    </w:p>
    <w:p>
      <w:pPr>
        <w:pStyle w:val="35"/>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C.法定代表人或负责人或实际控制人是直系血亲关系</w:t>
      </w:r>
    </w:p>
    <w:p>
      <w:pPr>
        <w:pStyle w:val="35"/>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D.法定代表人或负责人或实际控制人存在三代以内旁系血亲关系</w:t>
      </w:r>
    </w:p>
    <w:p>
      <w:pPr>
        <w:pStyle w:val="35"/>
        <w:widowControl w:val="0"/>
        <w:adjustRightInd w:val="0"/>
        <w:snapToGrid w:val="0"/>
        <w:spacing w:line="360" w:lineRule="auto"/>
        <w:ind w:firstLine="200"/>
        <w:jc w:val="both"/>
        <w:rPr>
          <w:rFonts w:hint="default" w:ascii="仿宋" w:hAnsi="仿宋"/>
          <w:color w:val="000000"/>
          <w:kern w:val="0"/>
          <w:szCs w:val="21"/>
        </w:rPr>
      </w:pPr>
      <w:r>
        <w:rPr>
          <w:rFonts w:ascii="仿宋" w:hAnsi="仿宋"/>
          <w:color w:val="000000"/>
          <w:kern w:val="0"/>
          <w:szCs w:val="21"/>
        </w:rPr>
        <w:t xml:space="preserve">  E.法定代表人或负责人或实际控制人存在近姻亲关系</w:t>
      </w:r>
    </w:p>
    <w:p>
      <w:pPr>
        <w:pStyle w:val="35"/>
        <w:widowControl w:val="0"/>
        <w:adjustRightInd w:val="0"/>
        <w:snapToGrid w:val="0"/>
        <w:spacing w:line="360" w:lineRule="auto"/>
        <w:ind w:firstLine="200"/>
        <w:jc w:val="both"/>
        <w:rPr>
          <w:rFonts w:hint="default" w:ascii="仿宋" w:hAnsi="仿宋"/>
          <w:color w:val="000000"/>
          <w:kern w:val="0"/>
          <w:szCs w:val="21"/>
        </w:rPr>
      </w:pPr>
      <w:r>
        <w:rPr>
          <w:rFonts w:ascii="仿宋" w:hAnsi="仿宋"/>
          <w:color w:val="000000"/>
          <w:kern w:val="0"/>
          <w:szCs w:val="21"/>
        </w:rPr>
        <w:t xml:space="preserve">  F.法定代表人或负责人或实际控制人存在股份控制或实际控制关系</w:t>
      </w:r>
    </w:p>
    <w:p>
      <w:pPr>
        <w:pStyle w:val="35"/>
        <w:widowControl w:val="0"/>
        <w:adjustRightInd w:val="0"/>
        <w:snapToGrid w:val="0"/>
        <w:spacing w:line="360" w:lineRule="auto"/>
        <w:ind w:firstLine="200"/>
        <w:jc w:val="both"/>
        <w:rPr>
          <w:rFonts w:hint="default" w:ascii="仿宋" w:hAnsi="仿宋"/>
          <w:color w:val="000000"/>
          <w:kern w:val="0"/>
          <w:szCs w:val="21"/>
        </w:rPr>
      </w:pPr>
      <w:r>
        <w:rPr>
          <w:rFonts w:ascii="仿宋" w:hAnsi="仿宋"/>
          <w:color w:val="000000"/>
          <w:kern w:val="0"/>
          <w:szCs w:val="21"/>
        </w:rPr>
        <w:t xml:space="preserve">  G.存在共同直接或间接投资设立子公司、联营企业和合营企业情况</w:t>
      </w:r>
    </w:p>
    <w:p>
      <w:pPr>
        <w:pStyle w:val="35"/>
        <w:widowControl w:val="0"/>
        <w:adjustRightInd w:val="0"/>
        <w:snapToGrid w:val="0"/>
        <w:spacing w:line="360" w:lineRule="auto"/>
        <w:ind w:firstLine="200"/>
        <w:jc w:val="both"/>
        <w:rPr>
          <w:rFonts w:hint="default" w:ascii="仿宋" w:hAnsi="仿宋"/>
          <w:color w:val="000000"/>
          <w:szCs w:val="21"/>
        </w:rPr>
      </w:pPr>
      <w:r>
        <w:rPr>
          <w:rFonts w:ascii="仿宋" w:hAnsi="仿宋"/>
          <w:color w:val="000000"/>
          <w:kern w:val="0"/>
          <w:szCs w:val="21"/>
        </w:rPr>
        <w:t xml:space="preserve">  H.存在分级代理或代销关系、同一生产制造商关系、</w:t>
      </w:r>
      <w:r>
        <w:rPr>
          <w:rFonts w:ascii="仿宋" w:hAnsi="仿宋"/>
          <w:color w:val="000000"/>
          <w:szCs w:val="21"/>
        </w:rPr>
        <w:t>管理关系、重要业务（占主营业务收入50%以上）或重要财务往来关系（如融资）等其他实质性控制关系</w:t>
      </w:r>
    </w:p>
    <w:p>
      <w:pPr>
        <w:pStyle w:val="35"/>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szCs w:val="21"/>
        </w:rPr>
        <w:t xml:space="preserve">   I</w:t>
      </w:r>
      <w:r>
        <w:rPr>
          <w:rFonts w:ascii="仿宋" w:hAnsi="仿宋"/>
          <w:color w:val="000000"/>
          <w:kern w:val="0"/>
          <w:szCs w:val="21"/>
        </w:rPr>
        <w:t>.</w:t>
      </w:r>
      <w:r>
        <w:rPr>
          <w:rFonts w:ascii="仿宋" w:hAnsi="仿宋"/>
          <w:color w:val="000000"/>
          <w:szCs w:val="21"/>
        </w:rPr>
        <w:t>其他利害关系情况</w:t>
      </w:r>
      <w:r>
        <w:rPr>
          <w:rFonts w:ascii="仿宋" w:hAnsi="仿宋"/>
          <w:color w:val="000000"/>
          <w:szCs w:val="21"/>
          <w:u w:val="single"/>
        </w:rPr>
        <w:t xml:space="preserve">                              </w:t>
      </w:r>
      <w:r>
        <w:rPr>
          <w:rFonts w:ascii="仿宋" w:hAnsi="仿宋"/>
          <w:color w:val="000000"/>
          <w:kern w:val="0"/>
          <w:szCs w:val="21"/>
        </w:rPr>
        <w:t>。</w:t>
      </w:r>
    </w:p>
    <w:p>
      <w:pPr>
        <w:pStyle w:val="36"/>
        <w:widowControl/>
        <w:numPr>
          <w:ilvl w:val="0"/>
          <w:numId w:val="11"/>
        </w:numPr>
        <w:adjustRightInd w:val="0"/>
        <w:snapToGrid w:val="0"/>
        <w:spacing w:line="360" w:lineRule="auto"/>
        <w:ind w:firstLine="396" w:firstLineChars="189"/>
        <w:rPr>
          <w:rFonts w:hint="default" w:ascii="仿宋" w:hAnsi="仿宋"/>
          <w:color w:val="000000"/>
          <w:kern w:val="0"/>
          <w:szCs w:val="21"/>
        </w:rPr>
      </w:pPr>
      <w:r>
        <w:rPr>
          <w:rFonts w:ascii="仿宋" w:hAnsi="仿宋"/>
          <w:color w:val="000000"/>
          <w:szCs w:val="21"/>
        </w:rPr>
        <w:t>现已清楚知道并</w:t>
      </w:r>
      <w:r>
        <w:rPr>
          <w:rFonts w:ascii="仿宋" w:hAnsi="仿宋"/>
          <w:color w:val="000000"/>
          <w:kern w:val="0"/>
          <w:szCs w:val="21"/>
        </w:rPr>
        <w:t>严格遵守政府采购法律法规和现场纪律。</w:t>
      </w:r>
    </w:p>
    <w:p>
      <w:pPr>
        <w:pStyle w:val="36"/>
        <w:widowControl/>
        <w:numPr>
          <w:ilvl w:val="0"/>
          <w:numId w:val="11"/>
        </w:numPr>
        <w:adjustRightInd w:val="0"/>
        <w:snapToGrid w:val="0"/>
        <w:spacing w:line="360" w:lineRule="auto"/>
        <w:ind w:firstLine="396" w:firstLineChars="189"/>
        <w:rPr>
          <w:rFonts w:hint="default" w:ascii="仿宋" w:hAnsi="仿宋"/>
          <w:color w:val="000000"/>
          <w:kern w:val="0"/>
          <w:szCs w:val="21"/>
        </w:rPr>
      </w:pPr>
      <w:r>
        <w:rPr>
          <w:rFonts w:ascii="仿宋" w:hAnsi="仿宋"/>
          <w:color w:val="000000"/>
          <w:kern w:val="0"/>
          <w:szCs w:val="21"/>
        </w:rPr>
        <w:t>我发现</w:t>
      </w:r>
      <w:r>
        <w:rPr>
          <w:rFonts w:ascii="仿宋" w:hAnsi="仿宋"/>
          <w:color w:val="000000"/>
          <w:kern w:val="0"/>
          <w:szCs w:val="21"/>
          <w:u w:val="single"/>
        </w:rPr>
        <w:t xml:space="preserve">                    </w:t>
      </w:r>
      <w:r>
        <w:rPr>
          <w:rFonts w:ascii="仿宋" w:hAnsi="仿宋"/>
          <w:color w:val="000000"/>
          <w:kern w:val="0"/>
          <w:szCs w:val="21"/>
        </w:rPr>
        <w:t>供应商之间存在或可能存在上述第二条第</w:t>
      </w:r>
      <w:r>
        <w:rPr>
          <w:rFonts w:ascii="仿宋" w:hAnsi="仿宋"/>
          <w:color w:val="000000"/>
          <w:kern w:val="0"/>
          <w:szCs w:val="21"/>
          <w:u w:val="single"/>
        </w:rPr>
        <w:t xml:space="preserve">      </w:t>
      </w:r>
      <w:r>
        <w:rPr>
          <w:rFonts w:hint="default" w:ascii="仿宋" w:hAnsi="仿宋"/>
          <w:color w:val="000000"/>
          <w:kern w:val="0"/>
          <w:szCs w:val="21"/>
          <w:u w:val="single"/>
        </w:rPr>
        <w:t xml:space="preserve">  </w:t>
      </w:r>
      <w:r>
        <w:rPr>
          <w:rFonts w:ascii="仿宋" w:hAnsi="仿宋"/>
          <w:color w:val="000000"/>
          <w:kern w:val="0"/>
          <w:szCs w:val="21"/>
        </w:rPr>
        <w:t>项利害关系。</w:t>
      </w:r>
    </w:p>
    <w:p>
      <w:pPr>
        <w:pStyle w:val="36"/>
        <w:widowControl/>
        <w:adjustRightInd w:val="0"/>
        <w:snapToGrid w:val="0"/>
        <w:spacing w:line="360" w:lineRule="auto"/>
        <w:rPr>
          <w:rFonts w:hint="default" w:ascii="仿宋" w:hAnsi="仿宋"/>
          <w:color w:val="000000"/>
          <w:kern w:val="0"/>
          <w:szCs w:val="21"/>
        </w:rPr>
      </w:pPr>
    </w:p>
    <w:p>
      <w:pPr>
        <w:pStyle w:val="36"/>
        <w:widowControl/>
        <w:adjustRightInd w:val="0"/>
        <w:snapToGrid w:val="0"/>
        <w:spacing w:line="360" w:lineRule="auto"/>
        <w:rPr>
          <w:rFonts w:hint="default" w:ascii="仿宋" w:hAnsi="仿宋"/>
          <w:color w:val="000000"/>
          <w:kern w:val="0"/>
          <w:szCs w:val="21"/>
        </w:rPr>
      </w:pPr>
    </w:p>
    <w:p>
      <w:pPr>
        <w:pStyle w:val="35"/>
        <w:widowControl w:val="0"/>
        <w:adjustRightInd w:val="0"/>
        <w:snapToGrid w:val="0"/>
        <w:spacing w:line="360" w:lineRule="auto"/>
        <w:ind w:firstLine="420" w:firstLineChars="200"/>
        <w:jc w:val="both"/>
        <w:rPr>
          <w:rFonts w:hint="default" w:ascii="仿宋" w:hAnsi="仿宋"/>
          <w:color w:val="000000"/>
          <w:szCs w:val="21"/>
        </w:rPr>
      </w:pPr>
      <w:r>
        <w:rPr>
          <w:rFonts w:ascii="仿宋" w:hAnsi="仿宋"/>
          <w:color w:val="000000"/>
          <w:szCs w:val="21"/>
        </w:rPr>
        <w:t xml:space="preserve">                                                （供应商代表签名）</w:t>
      </w:r>
    </w:p>
    <w:p>
      <w:pPr>
        <w:adjustRightInd w:val="0"/>
        <w:snapToGrid w:val="0"/>
        <w:spacing w:line="360" w:lineRule="auto"/>
        <w:jc w:val="right"/>
        <w:rPr>
          <w:color w:val="000000"/>
        </w:rPr>
      </w:pPr>
      <w:r>
        <w:rPr>
          <w:color w:val="000000"/>
          <w:szCs w:val="21"/>
        </w:rPr>
        <w:t xml:space="preserve">                                   </w:t>
      </w:r>
      <w:r>
        <w:rPr>
          <w:rFonts w:hint="eastAsia"/>
          <w:color w:val="000000"/>
          <w:szCs w:val="21"/>
        </w:rPr>
        <w:t xml:space="preserve">    </w:t>
      </w: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pPr>
        <w:spacing w:line="360" w:lineRule="auto"/>
        <w:rPr>
          <w:color w:val="000000"/>
        </w:rPr>
      </w:pPr>
      <w:r>
        <w:rPr>
          <w:color w:val="000000"/>
        </w:rPr>
        <w:br w:type="page"/>
      </w:r>
      <w:r>
        <w:rPr>
          <w:rFonts w:hint="eastAsia"/>
          <w:color w:val="000000"/>
        </w:rPr>
        <w:t>附件2</w:t>
      </w:r>
    </w:p>
    <w:p>
      <w:pPr>
        <w:spacing w:line="360" w:lineRule="auto"/>
        <w:jc w:val="center"/>
        <w:rPr>
          <w:rFonts w:ascii="宋体" w:hAnsi="宋体" w:cs="宋体"/>
          <w:color w:val="000000"/>
          <w:sz w:val="24"/>
        </w:rPr>
      </w:pPr>
      <w:r>
        <w:rPr>
          <w:rFonts w:hint="eastAsia" w:ascii="宋体" w:hAnsi="宋体" w:cs="宋体"/>
          <w:color w:val="000000"/>
          <w:sz w:val="24"/>
        </w:rPr>
        <w:t>中标通知书接收函</w:t>
      </w:r>
    </w:p>
    <w:p>
      <w:pPr>
        <w:spacing w:line="360" w:lineRule="auto"/>
        <w:rPr>
          <w:color w:val="000000"/>
          <w:sz w:val="24"/>
        </w:rPr>
      </w:pPr>
    </w:p>
    <w:p>
      <w:pPr>
        <w:adjustRightInd w:val="0"/>
        <w:snapToGrid w:val="0"/>
        <w:spacing w:line="360" w:lineRule="auto"/>
        <w:ind w:firstLine="547" w:firstLineChars="228"/>
        <w:rPr>
          <w:rFonts w:ascii="宋体" w:hAnsi="宋体" w:cs="宋体"/>
          <w:color w:val="000000"/>
          <w:sz w:val="24"/>
        </w:rPr>
      </w:pPr>
    </w:p>
    <w:p>
      <w:pPr>
        <w:spacing w:line="360" w:lineRule="auto"/>
        <w:ind w:firstLine="480" w:firstLineChars="200"/>
        <w:rPr>
          <w:color w:val="000000"/>
          <w:sz w:val="24"/>
          <w:u w:val="single"/>
        </w:rPr>
      </w:pPr>
      <w:r>
        <w:rPr>
          <w:rFonts w:hint="eastAsia"/>
          <w:color w:val="000000"/>
          <w:sz w:val="24"/>
        </w:rPr>
        <w:t>我公司接收本项目中标通知书的邮箱为：</w:t>
      </w:r>
      <w:r>
        <w:rPr>
          <w:rFonts w:hint="eastAsia"/>
          <w:color w:val="000000"/>
          <w:sz w:val="24"/>
          <w:u w:val="single"/>
        </w:rPr>
        <w:t xml:space="preserve">                                 </w:t>
      </w:r>
    </w:p>
    <w:p>
      <w:pPr>
        <w:spacing w:line="360" w:lineRule="auto"/>
        <w:rPr>
          <w:color w:val="FF0000"/>
          <w:sz w:val="24"/>
        </w:rPr>
      </w:pPr>
    </w:p>
    <w:p>
      <w:pPr>
        <w:snapToGrid w:val="0"/>
        <w:spacing w:line="360" w:lineRule="auto"/>
        <w:rPr>
          <w:color w:val="000000"/>
          <w:u w:val="single"/>
        </w:rPr>
      </w:pPr>
    </w:p>
    <w:p>
      <w:pPr>
        <w:snapToGrid w:val="0"/>
        <w:spacing w:line="360" w:lineRule="auto"/>
        <w:rPr>
          <w:color w:val="000000"/>
          <w:sz w:val="24"/>
        </w:rPr>
      </w:pPr>
      <w:r>
        <w:rPr>
          <w:rFonts w:hint="eastAsia"/>
          <w:color w:val="000000"/>
          <w:sz w:val="24"/>
        </w:rPr>
        <w:t>供应商</w:t>
      </w:r>
      <w:r>
        <w:rPr>
          <w:color w:val="000000"/>
          <w:sz w:val="24"/>
        </w:rPr>
        <w:t>全称（</w:t>
      </w:r>
      <w:r>
        <w:rPr>
          <w:rFonts w:hint="eastAsia"/>
          <w:color w:val="000000"/>
          <w:sz w:val="24"/>
        </w:rPr>
        <w:t>盖单位公章或电子签章</w:t>
      </w:r>
      <w:r>
        <w:rPr>
          <w:color w:val="000000"/>
          <w:sz w:val="24"/>
        </w:rPr>
        <w:t>）：</w:t>
      </w:r>
    </w:p>
    <w:p>
      <w:pPr>
        <w:snapToGrid w:val="0"/>
        <w:spacing w:line="360" w:lineRule="auto"/>
        <w:rPr>
          <w:color w:val="000000"/>
          <w:sz w:val="24"/>
        </w:rPr>
      </w:pPr>
      <w:r>
        <w:rPr>
          <w:color w:val="000000"/>
          <w:sz w:val="24"/>
        </w:rPr>
        <w:t>日期：  年  月  日</w:t>
      </w:r>
    </w:p>
    <w:p>
      <w:pPr>
        <w:snapToGrid w:val="0"/>
        <w:spacing w:line="360" w:lineRule="auto"/>
        <w:rPr>
          <w:color w:val="000000"/>
          <w:sz w:val="24"/>
        </w:rPr>
      </w:pPr>
    </w:p>
    <w:p/>
    <w:p>
      <w:pPr>
        <w:snapToGrid w:val="0"/>
        <w:spacing w:line="360" w:lineRule="auto"/>
        <w:rPr>
          <w:color w:val="000000"/>
          <w:sz w:val="24"/>
        </w:rPr>
      </w:pPr>
      <w:r>
        <w:rPr>
          <w:rFonts w:hint="eastAsia"/>
          <w:color w:val="000000"/>
          <w:sz w:val="24"/>
        </w:rPr>
        <w:t>通讯地址：</w:t>
      </w:r>
    </w:p>
    <w:p>
      <w:pPr>
        <w:snapToGrid w:val="0"/>
        <w:spacing w:line="360" w:lineRule="auto"/>
        <w:rPr>
          <w:color w:val="000000"/>
          <w:sz w:val="24"/>
        </w:rPr>
      </w:pPr>
      <w:r>
        <w:rPr>
          <w:rFonts w:hint="eastAsia"/>
          <w:color w:val="000000"/>
          <w:sz w:val="24"/>
        </w:rPr>
        <w:t>联系人：</w:t>
      </w:r>
    </w:p>
    <w:p>
      <w:pPr>
        <w:snapToGrid w:val="0"/>
        <w:spacing w:line="360" w:lineRule="auto"/>
        <w:rPr>
          <w:color w:val="000000"/>
          <w:sz w:val="24"/>
        </w:rPr>
      </w:pPr>
      <w:r>
        <w:rPr>
          <w:rFonts w:hint="eastAsia"/>
          <w:color w:val="000000"/>
          <w:sz w:val="24"/>
        </w:rPr>
        <w:t>联系手机：</w:t>
      </w:r>
    </w:p>
    <w:p/>
    <w:p/>
    <w:p/>
    <w:p>
      <w:pPr>
        <w:spacing w:line="240" w:lineRule="atLeast"/>
        <w:rPr>
          <w:rFonts w:ascii="宋体" w:hAnsi="宋体"/>
          <w:b/>
        </w:rPr>
      </w:pPr>
      <w:r>
        <w:rPr>
          <w:rFonts w:ascii="宋体" w:hAnsi="宋体"/>
          <w:b/>
        </w:rPr>
        <w:t>───────────────────────────────────────────</w:t>
      </w:r>
    </w:p>
    <w:p>
      <w:pPr>
        <w:spacing w:line="240" w:lineRule="atLeast"/>
        <w:jc w:val="center"/>
        <w:rPr>
          <w:rFonts w:ascii="宋体" w:hAnsi="宋体"/>
          <w:b/>
        </w:rPr>
      </w:pP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说明</w:t>
      </w:r>
    </w:p>
    <w:p>
      <w:pPr>
        <w:pStyle w:val="32"/>
        <w:spacing w:line="360" w:lineRule="auto"/>
        <w:ind w:left="0" w:leftChars="0" w:firstLine="629" w:firstLineChars="0"/>
        <w:rPr>
          <w:rFonts w:ascii="Times New Roman" w:hAnsi="Times New Roman"/>
          <w:b w:val="0"/>
          <w:bCs w:val="0"/>
          <w:color w:val="000000"/>
          <w:sz w:val="24"/>
          <w:szCs w:val="24"/>
        </w:rPr>
      </w:pPr>
    </w:p>
    <w:p>
      <w:pPr>
        <w:pStyle w:val="32"/>
        <w:spacing w:line="360" w:lineRule="auto"/>
        <w:ind w:left="0" w:leftChars="0" w:firstLine="480" w:firstLineChars="200"/>
        <w:rPr>
          <w:rFonts w:ascii="Times New Roman" w:hAnsi="Times New Roman"/>
          <w:b w:val="0"/>
          <w:bCs w:val="0"/>
          <w:color w:val="000000"/>
          <w:sz w:val="24"/>
          <w:szCs w:val="24"/>
        </w:rPr>
      </w:pPr>
      <w:r>
        <w:rPr>
          <w:rFonts w:hint="eastAsia" w:ascii="Times New Roman" w:hAnsi="Times New Roman"/>
          <w:b w:val="0"/>
          <w:bCs w:val="0"/>
          <w:color w:val="000000"/>
          <w:sz w:val="24"/>
          <w:szCs w:val="24"/>
        </w:rPr>
        <w:t>中标通知书扫描件会发送至投标人指定邮箱，投标人收到邮件即视为收到中标通知书，须在收到中标通知书之日起30日内与采购人签订合同。</w:t>
      </w:r>
    </w:p>
    <w:p>
      <w:pPr>
        <w:pStyle w:val="32"/>
        <w:ind w:left="0" w:leftChars="0" w:firstLine="480" w:firstLineChars="200"/>
        <w:rPr>
          <w:rFonts w:ascii="Times New Roman" w:hAnsi="Times New Roman"/>
          <w:b w:val="0"/>
          <w:bCs w:val="0"/>
          <w:color w:val="000000"/>
          <w:sz w:val="24"/>
          <w:szCs w:val="24"/>
        </w:rPr>
      </w:pPr>
      <w:r>
        <w:rPr>
          <w:rFonts w:hint="eastAsia" w:ascii="Times New Roman" w:hAnsi="Times New Roman"/>
          <w:b w:val="0"/>
          <w:bCs w:val="0"/>
          <w:color w:val="000000"/>
          <w:sz w:val="24"/>
          <w:szCs w:val="24"/>
        </w:rPr>
        <w:t>如需中标通知书原件，请联系招标代理机构项目负责人现场或邮寄获得。</w:t>
      </w:r>
    </w:p>
    <w:p>
      <w:pPr>
        <w:spacing w:line="360" w:lineRule="auto"/>
        <w:jc w:val="left"/>
        <w:rPr>
          <w:b/>
          <w:color w:val="000000"/>
          <w:spacing w:val="6"/>
          <w:szCs w:val="21"/>
        </w:rPr>
      </w:pPr>
      <w:r>
        <w:rPr>
          <w:rFonts w:hint="eastAsia"/>
          <w:color w:val="000000"/>
          <w:sz w:val="24"/>
        </w:rPr>
        <w:br w:type="page"/>
      </w:r>
      <w:r>
        <w:rPr>
          <w:b/>
          <w:color w:val="000000"/>
          <w:spacing w:val="6"/>
          <w:szCs w:val="21"/>
        </w:rPr>
        <w:t>附件3：质疑函范本及制作说明</w:t>
      </w:r>
    </w:p>
    <w:p>
      <w:pPr>
        <w:spacing w:line="360" w:lineRule="auto"/>
        <w:jc w:val="center"/>
        <w:rPr>
          <w:b/>
          <w:color w:val="000000"/>
          <w:spacing w:val="6"/>
          <w:szCs w:val="21"/>
        </w:rPr>
      </w:pPr>
      <w:r>
        <w:rPr>
          <w:b/>
          <w:color w:val="000000"/>
          <w:spacing w:val="6"/>
          <w:szCs w:val="21"/>
        </w:rPr>
        <w:t>质疑函范本</w:t>
      </w:r>
    </w:p>
    <w:p>
      <w:pPr>
        <w:snapToGrid w:val="0"/>
        <w:spacing w:beforeLines="100" w:line="360" w:lineRule="auto"/>
        <w:rPr>
          <w:bCs/>
          <w:color w:val="000000"/>
          <w:szCs w:val="21"/>
        </w:rPr>
      </w:pPr>
      <w:r>
        <w:rPr>
          <w:bCs/>
          <w:color w:val="000000"/>
          <w:szCs w:val="21"/>
        </w:rPr>
        <w:t>一、质疑供应商基本信息</w:t>
      </w:r>
    </w:p>
    <w:p>
      <w:pPr>
        <w:snapToGrid w:val="0"/>
        <w:spacing w:line="360" w:lineRule="auto"/>
        <w:rPr>
          <w:color w:val="000000"/>
          <w:szCs w:val="21"/>
          <w:u w:val="dotted"/>
        </w:rPr>
      </w:pPr>
      <w:r>
        <w:rPr>
          <w:color w:val="000000"/>
          <w:szCs w:val="21"/>
        </w:rPr>
        <w:t>质疑供应商：</w:t>
      </w:r>
      <w:r>
        <w:rPr>
          <w:color w:val="000000"/>
          <w:szCs w:val="21"/>
          <w:u w:val="dotted"/>
        </w:rPr>
        <w:t xml:space="preserve">                                        </w:t>
      </w:r>
    </w:p>
    <w:p>
      <w:pPr>
        <w:snapToGrid w:val="0"/>
        <w:spacing w:line="360" w:lineRule="auto"/>
        <w:rPr>
          <w:color w:val="000000"/>
          <w:szCs w:val="21"/>
        </w:rPr>
      </w:pPr>
      <w:r>
        <w:rPr>
          <w:color w:val="000000"/>
          <w:szCs w:val="21"/>
        </w:rPr>
        <w:t>地址：</w:t>
      </w:r>
      <w:r>
        <w:rPr>
          <w:color w:val="000000"/>
          <w:szCs w:val="21"/>
          <w:u w:val="dotted"/>
        </w:rPr>
        <w:t xml:space="preserve">                          </w:t>
      </w:r>
      <w:r>
        <w:rPr>
          <w:color w:val="000000"/>
          <w:szCs w:val="21"/>
        </w:rPr>
        <w:t>邮编：</w:t>
      </w:r>
      <w:r>
        <w:rPr>
          <w:color w:val="000000"/>
          <w:szCs w:val="21"/>
          <w:u w:val="dotted"/>
        </w:rPr>
        <w:t xml:space="preserve">                                                   </w:t>
      </w:r>
    </w:p>
    <w:p>
      <w:pPr>
        <w:snapToGrid w:val="0"/>
        <w:spacing w:line="360" w:lineRule="auto"/>
        <w:rPr>
          <w:color w:val="000000"/>
          <w:szCs w:val="21"/>
        </w:rPr>
      </w:pPr>
      <w:r>
        <w:rPr>
          <w:color w:val="000000"/>
          <w:szCs w:val="21"/>
        </w:rPr>
        <w:t>联系人：</w:t>
      </w:r>
      <w:r>
        <w:rPr>
          <w:color w:val="000000"/>
          <w:szCs w:val="21"/>
          <w:u w:val="dotted"/>
        </w:rPr>
        <w:t xml:space="preserve">                      </w:t>
      </w:r>
      <w:r>
        <w:rPr>
          <w:color w:val="000000"/>
          <w:szCs w:val="21"/>
        </w:rPr>
        <w:t>联系电话：</w:t>
      </w:r>
      <w:r>
        <w:rPr>
          <w:color w:val="000000"/>
          <w:szCs w:val="21"/>
          <w:u w:val="dotted"/>
        </w:rPr>
        <w:t xml:space="preserve">                              </w:t>
      </w:r>
    </w:p>
    <w:p>
      <w:pPr>
        <w:snapToGrid w:val="0"/>
        <w:spacing w:line="360" w:lineRule="auto"/>
        <w:rPr>
          <w:color w:val="000000"/>
          <w:szCs w:val="21"/>
          <w:u w:val="dotted"/>
        </w:rPr>
      </w:pPr>
      <w:r>
        <w:rPr>
          <w:color w:val="000000"/>
          <w:szCs w:val="21"/>
        </w:rPr>
        <w:t>授权代表：</w:t>
      </w:r>
      <w:r>
        <w:rPr>
          <w:color w:val="000000"/>
          <w:szCs w:val="21"/>
          <w:u w:val="dotted"/>
        </w:rPr>
        <w:t xml:space="preserve">                                          </w:t>
      </w:r>
    </w:p>
    <w:p>
      <w:pPr>
        <w:snapToGrid w:val="0"/>
        <w:spacing w:line="360" w:lineRule="auto"/>
        <w:rPr>
          <w:color w:val="000000"/>
          <w:szCs w:val="21"/>
        </w:rPr>
      </w:pPr>
      <w:r>
        <w:rPr>
          <w:color w:val="000000"/>
          <w:szCs w:val="21"/>
        </w:rPr>
        <w:t>联系电话：</w:t>
      </w:r>
      <w:r>
        <w:rPr>
          <w:color w:val="000000"/>
          <w:szCs w:val="21"/>
          <w:u w:val="dotted"/>
        </w:rPr>
        <w:t xml:space="preserve">                                           </w:t>
      </w:r>
      <w:r>
        <w:rPr>
          <w:color w:val="000000"/>
          <w:szCs w:val="21"/>
        </w:rPr>
        <w:t xml:space="preserve"> </w:t>
      </w:r>
    </w:p>
    <w:p>
      <w:pPr>
        <w:snapToGrid w:val="0"/>
        <w:spacing w:line="360" w:lineRule="auto"/>
        <w:rPr>
          <w:color w:val="000000"/>
          <w:szCs w:val="21"/>
        </w:rPr>
      </w:pPr>
      <w:r>
        <w:rPr>
          <w:color w:val="000000"/>
          <w:szCs w:val="21"/>
        </w:rPr>
        <w:t xml:space="preserve">地址： </w:t>
      </w:r>
      <w:r>
        <w:rPr>
          <w:color w:val="000000"/>
          <w:szCs w:val="21"/>
          <w:u w:val="dotted"/>
        </w:rPr>
        <w:t xml:space="preserve">                        </w:t>
      </w:r>
      <w:r>
        <w:rPr>
          <w:color w:val="000000"/>
          <w:szCs w:val="21"/>
        </w:rPr>
        <w:t>邮编：</w:t>
      </w:r>
      <w:r>
        <w:rPr>
          <w:color w:val="000000"/>
          <w:szCs w:val="21"/>
          <w:u w:val="dotted"/>
        </w:rPr>
        <w:t xml:space="preserve">                                                </w:t>
      </w:r>
    </w:p>
    <w:p>
      <w:pPr>
        <w:snapToGrid w:val="0"/>
        <w:spacing w:line="360" w:lineRule="auto"/>
        <w:rPr>
          <w:bCs/>
          <w:color w:val="000000"/>
          <w:szCs w:val="21"/>
        </w:rPr>
      </w:pPr>
      <w:r>
        <w:rPr>
          <w:bCs/>
          <w:color w:val="000000"/>
          <w:szCs w:val="21"/>
        </w:rPr>
        <w:t>二、质疑项目基本情况</w:t>
      </w:r>
    </w:p>
    <w:p>
      <w:pPr>
        <w:snapToGrid w:val="0"/>
        <w:spacing w:line="360" w:lineRule="auto"/>
        <w:rPr>
          <w:color w:val="000000"/>
          <w:szCs w:val="21"/>
        </w:rPr>
      </w:pPr>
      <w:r>
        <w:rPr>
          <w:color w:val="000000"/>
          <w:szCs w:val="21"/>
        </w:rPr>
        <w:t>质疑项目的名称：</w:t>
      </w:r>
      <w:r>
        <w:rPr>
          <w:color w:val="000000"/>
          <w:szCs w:val="21"/>
          <w:u w:val="dotted"/>
        </w:rPr>
        <w:t xml:space="preserve">                                      </w:t>
      </w:r>
    </w:p>
    <w:p>
      <w:pPr>
        <w:snapToGrid w:val="0"/>
        <w:spacing w:line="360" w:lineRule="auto"/>
        <w:rPr>
          <w:color w:val="000000"/>
          <w:szCs w:val="21"/>
        </w:rPr>
      </w:pPr>
      <w:r>
        <w:rPr>
          <w:color w:val="000000"/>
          <w:szCs w:val="21"/>
        </w:rPr>
        <w:t>质疑项目的编号：</w:t>
      </w:r>
      <w:r>
        <w:rPr>
          <w:color w:val="000000"/>
          <w:szCs w:val="21"/>
          <w:u w:val="dotted"/>
        </w:rPr>
        <w:t xml:space="preserve">               </w:t>
      </w:r>
      <w:r>
        <w:rPr>
          <w:color w:val="000000"/>
          <w:szCs w:val="21"/>
        </w:rPr>
        <w:t>包号：</w:t>
      </w:r>
      <w:r>
        <w:rPr>
          <w:color w:val="000000"/>
          <w:szCs w:val="21"/>
          <w:u w:val="dotted"/>
        </w:rPr>
        <w:t xml:space="preserve">                 </w:t>
      </w:r>
    </w:p>
    <w:p>
      <w:pPr>
        <w:snapToGrid w:val="0"/>
        <w:spacing w:line="360" w:lineRule="auto"/>
        <w:rPr>
          <w:color w:val="000000"/>
          <w:szCs w:val="21"/>
          <w:u w:val="dotted"/>
        </w:rPr>
      </w:pPr>
      <w:r>
        <w:rPr>
          <w:color w:val="000000"/>
          <w:szCs w:val="21"/>
        </w:rPr>
        <w:t>采购人名称：</w:t>
      </w:r>
      <w:r>
        <w:rPr>
          <w:color w:val="000000"/>
          <w:szCs w:val="21"/>
          <w:u w:val="dotted"/>
        </w:rPr>
        <w:t xml:space="preserve">                                         </w:t>
      </w:r>
    </w:p>
    <w:p>
      <w:pPr>
        <w:snapToGrid w:val="0"/>
        <w:spacing w:line="360" w:lineRule="auto"/>
        <w:rPr>
          <w:color w:val="000000"/>
          <w:szCs w:val="21"/>
        </w:rPr>
      </w:pPr>
      <w:r>
        <w:rPr>
          <w:color w:val="000000"/>
          <w:szCs w:val="21"/>
        </w:rPr>
        <w:t>采购文件获取日期：</w:t>
      </w:r>
      <w:r>
        <w:rPr>
          <w:color w:val="000000"/>
          <w:szCs w:val="21"/>
          <w:u w:val="dotted"/>
        </w:rPr>
        <w:t xml:space="preserve">                                           </w:t>
      </w:r>
    </w:p>
    <w:p>
      <w:pPr>
        <w:snapToGrid w:val="0"/>
        <w:spacing w:line="360" w:lineRule="auto"/>
        <w:rPr>
          <w:bCs/>
          <w:color w:val="000000"/>
          <w:szCs w:val="21"/>
        </w:rPr>
      </w:pPr>
      <w:r>
        <w:rPr>
          <w:bCs/>
          <w:color w:val="000000"/>
          <w:szCs w:val="21"/>
        </w:rPr>
        <w:t>三、质疑事项具体内容</w:t>
      </w:r>
    </w:p>
    <w:p>
      <w:pPr>
        <w:snapToGrid w:val="0"/>
        <w:spacing w:line="360" w:lineRule="auto"/>
        <w:rPr>
          <w:color w:val="000000"/>
          <w:szCs w:val="21"/>
          <w:u w:val="dotted"/>
        </w:rPr>
      </w:pPr>
      <w:r>
        <w:rPr>
          <w:color w:val="000000"/>
          <w:szCs w:val="21"/>
        </w:rPr>
        <w:t>质疑事项1：</w:t>
      </w:r>
      <w:r>
        <w:rPr>
          <w:color w:val="000000"/>
          <w:szCs w:val="21"/>
          <w:u w:val="dotted"/>
        </w:rPr>
        <w:t xml:space="preserve">                                         </w:t>
      </w:r>
    </w:p>
    <w:p>
      <w:pPr>
        <w:snapToGrid w:val="0"/>
        <w:spacing w:line="360" w:lineRule="auto"/>
        <w:rPr>
          <w:color w:val="000000"/>
          <w:szCs w:val="21"/>
          <w:u w:val="dotted"/>
        </w:rPr>
      </w:pPr>
      <w:r>
        <w:rPr>
          <w:color w:val="000000"/>
          <w:szCs w:val="21"/>
        </w:rPr>
        <w:t>事实依据：</w:t>
      </w:r>
      <w:r>
        <w:rPr>
          <w:color w:val="000000"/>
          <w:szCs w:val="21"/>
          <w:u w:val="dotted"/>
        </w:rPr>
        <w:t xml:space="preserve">                                          </w:t>
      </w:r>
    </w:p>
    <w:p>
      <w:pPr>
        <w:snapToGrid w:val="0"/>
        <w:spacing w:line="360" w:lineRule="auto"/>
        <w:rPr>
          <w:color w:val="000000"/>
          <w:szCs w:val="21"/>
        </w:rPr>
      </w:pPr>
      <w:r>
        <w:rPr>
          <w:color w:val="000000"/>
          <w:szCs w:val="21"/>
          <w:u w:val="dotted"/>
        </w:rPr>
        <w:t xml:space="preserve">                                                       </w:t>
      </w:r>
    </w:p>
    <w:p>
      <w:pPr>
        <w:snapToGrid w:val="0"/>
        <w:spacing w:line="360" w:lineRule="auto"/>
        <w:rPr>
          <w:color w:val="000000"/>
          <w:szCs w:val="21"/>
          <w:u w:val="dotted"/>
        </w:rPr>
      </w:pPr>
      <w:r>
        <w:rPr>
          <w:color w:val="000000"/>
          <w:szCs w:val="21"/>
        </w:rPr>
        <w:t>法律依据：</w:t>
      </w:r>
      <w:r>
        <w:rPr>
          <w:color w:val="000000"/>
          <w:szCs w:val="21"/>
          <w:u w:val="dotted"/>
        </w:rPr>
        <w:t xml:space="preserve">                                          </w:t>
      </w:r>
    </w:p>
    <w:p>
      <w:pPr>
        <w:snapToGrid w:val="0"/>
        <w:spacing w:line="360" w:lineRule="auto"/>
        <w:rPr>
          <w:color w:val="000000"/>
          <w:szCs w:val="21"/>
          <w:u w:val="dotted"/>
        </w:rPr>
      </w:pPr>
      <w:r>
        <w:rPr>
          <w:color w:val="000000"/>
          <w:szCs w:val="21"/>
          <w:u w:val="dotted"/>
        </w:rPr>
        <w:t xml:space="preserve">                                                     </w:t>
      </w:r>
    </w:p>
    <w:p>
      <w:pPr>
        <w:snapToGrid w:val="0"/>
        <w:spacing w:line="360" w:lineRule="auto"/>
        <w:rPr>
          <w:color w:val="000000"/>
          <w:szCs w:val="21"/>
          <w:u w:val="dotted"/>
        </w:rPr>
      </w:pPr>
      <w:r>
        <w:rPr>
          <w:color w:val="000000"/>
          <w:szCs w:val="21"/>
        </w:rPr>
        <w:t>质疑事项2</w:t>
      </w:r>
    </w:p>
    <w:p>
      <w:pPr>
        <w:snapToGrid w:val="0"/>
        <w:spacing w:line="360" w:lineRule="auto"/>
        <w:rPr>
          <w:color w:val="000000"/>
          <w:szCs w:val="21"/>
        </w:rPr>
      </w:pPr>
      <w:r>
        <w:rPr>
          <w:color w:val="000000"/>
          <w:szCs w:val="21"/>
        </w:rPr>
        <w:t>……</w:t>
      </w:r>
    </w:p>
    <w:p>
      <w:pPr>
        <w:snapToGrid w:val="0"/>
        <w:spacing w:line="360" w:lineRule="auto"/>
        <w:rPr>
          <w:bCs/>
          <w:color w:val="000000"/>
          <w:szCs w:val="21"/>
        </w:rPr>
      </w:pPr>
      <w:r>
        <w:rPr>
          <w:bCs/>
          <w:color w:val="000000"/>
          <w:szCs w:val="21"/>
        </w:rPr>
        <w:t>四、与质疑事项相关的质疑请求</w:t>
      </w:r>
    </w:p>
    <w:p>
      <w:pPr>
        <w:snapToGrid w:val="0"/>
        <w:spacing w:line="360" w:lineRule="auto"/>
        <w:rPr>
          <w:color w:val="000000"/>
          <w:szCs w:val="21"/>
          <w:u w:val="dotted"/>
        </w:rPr>
      </w:pPr>
      <w:r>
        <w:rPr>
          <w:color w:val="000000"/>
          <w:szCs w:val="21"/>
        </w:rPr>
        <w:t>请求：</w:t>
      </w:r>
      <w:r>
        <w:rPr>
          <w:color w:val="000000"/>
          <w:szCs w:val="21"/>
          <w:u w:val="dotted"/>
        </w:rPr>
        <w:t xml:space="preserve">                                               </w:t>
      </w:r>
    </w:p>
    <w:p>
      <w:pPr>
        <w:spacing w:line="360" w:lineRule="auto"/>
        <w:rPr>
          <w:color w:val="000000"/>
          <w:szCs w:val="21"/>
        </w:rPr>
      </w:pPr>
      <w:r>
        <w:rPr>
          <w:color w:val="000000"/>
          <w:szCs w:val="21"/>
        </w:rPr>
        <w:t xml:space="preserve">签字(签章)：                   公章：                      </w:t>
      </w:r>
    </w:p>
    <w:p>
      <w:pPr>
        <w:spacing w:line="360" w:lineRule="auto"/>
        <w:rPr>
          <w:color w:val="000000"/>
          <w:szCs w:val="21"/>
        </w:rPr>
      </w:pPr>
      <w:r>
        <w:rPr>
          <w:color w:val="000000"/>
          <w:szCs w:val="21"/>
        </w:rPr>
        <w:t xml:space="preserve">日期：    </w:t>
      </w:r>
    </w:p>
    <w:p>
      <w:pPr>
        <w:spacing w:line="360" w:lineRule="auto"/>
        <w:rPr>
          <w:b/>
          <w:color w:val="000000"/>
          <w:szCs w:val="21"/>
        </w:rPr>
      </w:pPr>
    </w:p>
    <w:p>
      <w:pPr>
        <w:spacing w:line="360" w:lineRule="auto"/>
        <w:rPr>
          <w:b/>
          <w:color w:val="000000"/>
          <w:szCs w:val="21"/>
        </w:rPr>
      </w:pPr>
    </w:p>
    <w:p>
      <w:pPr>
        <w:spacing w:line="360" w:lineRule="auto"/>
        <w:rPr>
          <w:b/>
          <w:color w:val="000000"/>
          <w:szCs w:val="21"/>
        </w:rPr>
      </w:pPr>
      <w:r>
        <w:rPr>
          <w:b/>
          <w:color w:val="000000"/>
          <w:szCs w:val="21"/>
        </w:rPr>
        <w:t>质疑函制作说明：</w:t>
      </w:r>
    </w:p>
    <w:p>
      <w:pPr>
        <w:widowControl/>
        <w:spacing w:line="360" w:lineRule="auto"/>
        <w:ind w:firstLine="420" w:firstLineChars="200"/>
        <w:jc w:val="left"/>
        <w:rPr>
          <w:color w:val="000000"/>
          <w:szCs w:val="21"/>
        </w:rPr>
      </w:pPr>
      <w:r>
        <w:rPr>
          <w:color w:val="000000"/>
          <w:szCs w:val="21"/>
        </w:rPr>
        <w:t>1.供应商提出质疑时，应提交质疑函和必要的证明材料。</w:t>
      </w:r>
    </w:p>
    <w:p>
      <w:pPr>
        <w:widowControl/>
        <w:spacing w:line="360" w:lineRule="auto"/>
        <w:ind w:firstLine="420" w:firstLineChars="200"/>
        <w:jc w:val="left"/>
        <w:rPr>
          <w:color w:val="000000"/>
          <w:szCs w:val="21"/>
        </w:rPr>
      </w:pPr>
      <w:r>
        <w:rPr>
          <w:color w:val="000000"/>
          <w:szCs w:val="21"/>
        </w:rPr>
        <w:t>2.质疑供应商若委托代理人进行质疑的，质疑函应按要求列明“授权代表”的有关内容，并在附件中提交由质疑</w:t>
      </w:r>
      <w:r>
        <w:rPr>
          <w:color w:val="000000"/>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color w:val="000000"/>
          <w:szCs w:val="21"/>
        </w:rPr>
      </w:pPr>
      <w:r>
        <w:rPr>
          <w:rFonts w:hint="eastAsia"/>
          <w:color w:val="000000"/>
          <w:szCs w:val="21"/>
        </w:rPr>
        <w:t>3</w:t>
      </w:r>
      <w:r>
        <w:rPr>
          <w:color w:val="000000"/>
          <w:szCs w:val="21"/>
        </w:rPr>
        <w:t>.质疑函的质疑事项应具体、明确，并有必要的事实依据和法律依据。</w:t>
      </w:r>
    </w:p>
    <w:p>
      <w:pPr>
        <w:widowControl/>
        <w:spacing w:line="360" w:lineRule="auto"/>
        <w:ind w:firstLine="420" w:firstLineChars="200"/>
        <w:jc w:val="left"/>
        <w:rPr>
          <w:color w:val="000000"/>
          <w:szCs w:val="21"/>
        </w:rPr>
      </w:pPr>
      <w:r>
        <w:rPr>
          <w:rFonts w:hint="eastAsia"/>
          <w:color w:val="000000"/>
          <w:szCs w:val="21"/>
        </w:rPr>
        <w:t>4</w:t>
      </w:r>
      <w:r>
        <w:rPr>
          <w:color w:val="000000"/>
          <w:szCs w:val="21"/>
        </w:rPr>
        <w:t>.质疑函的质疑请求应与质疑事项相关。</w:t>
      </w:r>
    </w:p>
    <w:p>
      <w:pPr>
        <w:widowControl/>
        <w:spacing w:line="360" w:lineRule="auto"/>
        <w:ind w:firstLine="420" w:firstLineChars="200"/>
        <w:jc w:val="left"/>
        <w:rPr>
          <w:color w:val="000000"/>
          <w:szCs w:val="21"/>
        </w:rPr>
      </w:pPr>
      <w:r>
        <w:rPr>
          <w:rFonts w:hint="eastAsia"/>
          <w:color w:val="000000"/>
          <w:szCs w:val="21"/>
        </w:rPr>
        <w:t>5</w:t>
      </w:r>
      <w:r>
        <w:rPr>
          <w:color w:val="000000"/>
          <w:szCs w:val="21"/>
        </w:rPr>
        <w:t>.质疑供应商为自然人的，质疑函应由本人签字；质疑供应商为法人或者其他组织的，质疑函应由法定代表人、主要负责人，或者其授权代表签字或者盖章，并加盖公章。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000000"/>
          <w:spacing w:val="6"/>
          <w:szCs w:val="21"/>
        </w:rPr>
      </w:pPr>
      <w:r>
        <w:rPr>
          <w:b/>
          <w:color w:val="000000"/>
          <w:spacing w:val="6"/>
          <w:szCs w:val="21"/>
        </w:rPr>
        <w:br w:type="page"/>
      </w:r>
      <w:r>
        <w:rPr>
          <w:b/>
          <w:color w:val="000000"/>
          <w:spacing w:val="6"/>
          <w:szCs w:val="21"/>
        </w:rPr>
        <w:t>附件4：投诉书范本及制作说明</w:t>
      </w:r>
    </w:p>
    <w:p>
      <w:pPr>
        <w:spacing w:line="360" w:lineRule="auto"/>
        <w:jc w:val="center"/>
        <w:rPr>
          <w:b/>
          <w:color w:val="000000"/>
          <w:szCs w:val="21"/>
        </w:rPr>
      </w:pPr>
    </w:p>
    <w:p>
      <w:pPr>
        <w:spacing w:line="360" w:lineRule="auto"/>
        <w:jc w:val="center"/>
        <w:rPr>
          <w:b/>
          <w:color w:val="000000"/>
          <w:spacing w:val="6"/>
          <w:szCs w:val="21"/>
        </w:rPr>
      </w:pPr>
      <w:r>
        <w:rPr>
          <w:b/>
          <w:color w:val="000000"/>
          <w:spacing w:val="6"/>
          <w:szCs w:val="21"/>
        </w:rPr>
        <w:t>投诉书范本</w:t>
      </w:r>
    </w:p>
    <w:p>
      <w:pPr>
        <w:spacing w:line="360" w:lineRule="auto"/>
        <w:rPr>
          <w:color w:val="000000"/>
          <w:szCs w:val="21"/>
        </w:rPr>
      </w:pPr>
      <w:r>
        <w:rPr>
          <w:color w:val="000000"/>
          <w:szCs w:val="21"/>
        </w:rPr>
        <w:t>一、投诉相关主体基本情况</w:t>
      </w:r>
    </w:p>
    <w:p>
      <w:pPr>
        <w:spacing w:line="360" w:lineRule="auto"/>
        <w:rPr>
          <w:color w:val="000000"/>
          <w:szCs w:val="21"/>
          <w:u w:val="dotted"/>
        </w:rPr>
      </w:pPr>
      <w:r>
        <w:rPr>
          <w:color w:val="000000"/>
          <w:szCs w:val="21"/>
        </w:rPr>
        <w:t>投诉人：</w:t>
      </w:r>
      <w:r>
        <w:rPr>
          <w:color w:val="000000"/>
          <w:szCs w:val="21"/>
          <w:u w:val="dotted"/>
        </w:rPr>
        <w:t xml:space="preserve">                                               </w:t>
      </w:r>
    </w:p>
    <w:p>
      <w:pPr>
        <w:spacing w:line="360" w:lineRule="auto"/>
        <w:rPr>
          <w:color w:val="000000"/>
          <w:szCs w:val="21"/>
          <w:u w:val="single"/>
        </w:rPr>
      </w:pPr>
      <w:r>
        <w:rPr>
          <w:color w:val="000000"/>
          <w:szCs w:val="21"/>
        </w:rPr>
        <w:t>地     址：</w:t>
      </w:r>
      <w:r>
        <w:rPr>
          <w:color w:val="000000"/>
          <w:szCs w:val="21"/>
          <w:u w:val="dotted"/>
        </w:rPr>
        <w:t xml:space="preserve">                             </w:t>
      </w:r>
      <w:r>
        <w:rPr>
          <w:color w:val="000000"/>
          <w:szCs w:val="21"/>
        </w:rPr>
        <w:t>邮编：</w:t>
      </w:r>
      <w:r>
        <w:rPr>
          <w:color w:val="000000"/>
          <w:szCs w:val="21"/>
          <w:u w:val="dotted"/>
        </w:rPr>
        <w:t xml:space="preserve">         </w:t>
      </w:r>
      <w:r>
        <w:rPr>
          <w:color w:val="000000"/>
          <w:szCs w:val="21"/>
          <w:u w:val="single"/>
        </w:rPr>
        <w:t xml:space="preserve">   </w:t>
      </w:r>
    </w:p>
    <w:p>
      <w:pPr>
        <w:tabs>
          <w:tab w:val="left" w:pos="6510"/>
        </w:tabs>
        <w:spacing w:line="360" w:lineRule="auto"/>
        <w:jc w:val="left"/>
        <w:rPr>
          <w:color w:val="000000"/>
          <w:szCs w:val="21"/>
        </w:rPr>
      </w:pPr>
      <w:r>
        <w:rPr>
          <w:color w:val="000000"/>
          <w:szCs w:val="21"/>
        </w:rPr>
        <w:t>法定代表人/主要负责人：</w:t>
      </w:r>
      <w:r>
        <w:rPr>
          <w:color w:val="000000"/>
          <w:szCs w:val="21"/>
          <w:u w:val="dotted"/>
        </w:rPr>
        <w:t xml:space="preserve">                                   </w:t>
      </w:r>
      <w:r>
        <w:rPr>
          <w:color w:val="000000"/>
          <w:szCs w:val="21"/>
        </w:rPr>
        <w:t xml:space="preserve">  </w:t>
      </w:r>
    </w:p>
    <w:p>
      <w:pPr>
        <w:tabs>
          <w:tab w:val="left" w:pos="6510"/>
        </w:tabs>
        <w:spacing w:line="360" w:lineRule="auto"/>
        <w:rPr>
          <w:color w:val="000000"/>
          <w:szCs w:val="21"/>
          <w:u w:val="dotted"/>
        </w:rPr>
      </w:pPr>
      <w:r>
        <w:rPr>
          <w:color w:val="000000"/>
          <w:szCs w:val="21"/>
        </w:rPr>
        <w:t>联系电话：</w:t>
      </w:r>
      <w:r>
        <w:rPr>
          <w:color w:val="000000"/>
          <w:szCs w:val="21"/>
          <w:u w:val="dotted"/>
        </w:rPr>
        <w:t xml:space="preserve">                                             </w:t>
      </w:r>
    </w:p>
    <w:p>
      <w:pPr>
        <w:spacing w:line="360" w:lineRule="auto"/>
        <w:rPr>
          <w:color w:val="000000"/>
          <w:szCs w:val="21"/>
          <w:u w:val="dotted"/>
        </w:rPr>
      </w:pPr>
      <w:r>
        <w:rPr>
          <w:color w:val="000000"/>
          <w:szCs w:val="21"/>
        </w:rPr>
        <w:t>授权代表：</w:t>
      </w:r>
      <w:r>
        <w:rPr>
          <w:color w:val="000000"/>
          <w:szCs w:val="21"/>
          <w:u w:val="dotted"/>
        </w:rPr>
        <w:t xml:space="preserve">             </w:t>
      </w:r>
      <w:r>
        <w:rPr>
          <w:color w:val="000000"/>
          <w:szCs w:val="21"/>
        </w:rPr>
        <w:t>联系电话</w:t>
      </w:r>
      <w:r>
        <w:rPr>
          <w:color w:val="000000"/>
          <w:szCs w:val="21"/>
          <w:u w:val="dotted"/>
        </w:rPr>
        <w:t xml:space="preserve">：                  </w:t>
      </w:r>
    </w:p>
    <w:p>
      <w:pPr>
        <w:spacing w:line="360" w:lineRule="auto"/>
        <w:rPr>
          <w:color w:val="000000"/>
          <w:szCs w:val="21"/>
          <w:u w:val="dotted"/>
        </w:rPr>
      </w:pPr>
      <w:r>
        <w:rPr>
          <w:color w:val="000000"/>
          <w:szCs w:val="21"/>
        </w:rPr>
        <w:t>地     址：</w:t>
      </w:r>
      <w:r>
        <w:rPr>
          <w:color w:val="000000"/>
          <w:szCs w:val="21"/>
          <w:u w:val="dotted"/>
        </w:rPr>
        <w:t xml:space="preserve">                             </w:t>
      </w:r>
      <w:r>
        <w:rPr>
          <w:color w:val="000000"/>
          <w:szCs w:val="21"/>
        </w:rPr>
        <w:t>邮编：</w:t>
      </w:r>
      <w:r>
        <w:rPr>
          <w:color w:val="000000"/>
          <w:szCs w:val="21"/>
          <w:u w:val="dotted"/>
        </w:rPr>
        <w:t xml:space="preserve">         </w:t>
      </w:r>
      <w:r>
        <w:rPr>
          <w:color w:val="000000"/>
          <w:szCs w:val="21"/>
          <w:u w:val="single"/>
        </w:rPr>
        <w:t xml:space="preserve"> </w:t>
      </w:r>
      <w:r>
        <w:rPr>
          <w:color w:val="000000"/>
          <w:szCs w:val="21"/>
          <w:u w:val="dotted"/>
        </w:rPr>
        <w:t xml:space="preserve">                   </w:t>
      </w:r>
    </w:p>
    <w:p>
      <w:pPr>
        <w:spacing w:line="360" w:lineRule="auto"/>
        <w:rPr>
          <w:color w:val="000000"/>
          <w:szCs w:val="21"/>
          <w:u w:val="single"/>
        </w:rPr>
      </w:pPr>
      <w:r>
        <w:rPr>
          <w:color w:val="000000"/>
          <w:szCs w:val="21"/>
        </w:rPr>
        <w:t>被投诉人1：</w:t>
      </w:r>
      <w:r>
        <w:rPr>
          <w:color w:val="000000"/>
          <w:szCs w:val="21"/>
          <w:u w:val="dotted"/>
        </w:rPr>
        <w:t xml:space="preserve">                                           </w:t>
      </w:r>
      <w:r>
        <w:rPr>
          <w:color w:val="000000"/>
          <w:szCs w:val="21"/>
          <w:u w:val="single"/>
        </w:rPr>
        <w:t xml:space="preserve">  </w:t>
      </w:r>
    </w:p>
    <w:p>
      <w:pPr>
        <w:spacing w:line="360" w:lineRule="auto"/>
        <w:rPr>
          <w:color w:val="000000"/>
          <w:szCs w:val="21"/>
          <w:u w:val="single"/>
        </w:rPr>
      </w:pPr>
      <w:r>
        <w:rPr>
          <w:color w:val="000000"/>
          <w:szCs w:val="21"/>
        </w:rPr>
        <w:t>地     址：</w:t>
      </w:r>
      <w:r>
        <w:rPr>
          <w:color w:val="000000"/>
          <w:szCs w:val="21"/>
          <w:u w:val="dotted"/>
        </w:rPr>
        <w:t xml:space="preserve">                             </w:t>
      </w:r>
      <w:r>
        <w:rPr>
          <w:color w:val="000000"/>
          <w:szCs w:val="21"/>
        </w:rPr>
        <w:t>邮编：</w:t>
      </w:r>
      <w:r>
        <w:rPr>
          <w:color w:val="000000"/>
          <w:szCs w:val="21"/>
          <w:u w:val="dotted"/>
        </w:rPr>
        <w:t xml:space="preserve">          </w:t>
      </w:r>
      <w:r>
        <w:rPr>
          <w:color w:val="000000"/>
          <w:szCs w:val="21"/>
          <w:u w:val="single"/>
        </w:rPr>
        <w:t xml:space="preserve"> </w:t>
      </w:r>
    </w:p>
    <w:p>
      <w:pPr>
        <w:spacing w:line="360" w:lineRule="auto"/>
        <w:rPr>
          <w:color w:val="000000"/>
          <w:szCs w:val="21"/>
          <w:u w:val="single"/>
        </w:rPr>
      </w:pPr>
      <w:r>
        <w:rPr>
          <w:color w:val="000000"/>
          <w:szCs w:val="21"/>
        </w:rPr>
        <w:t>联系人：</w:t>
      </w:r>
      <w:r>
        <w:rPr>
          <w:color w:val="000000"/>
          <w:szCs w:val="21"/>
          <w:u w:val="dotted"/>
        </w:rPr>
        <w:t xml:space="preserve">               </w:t>
      </w:r>
      <w:r>
        <w:rPr>
          <w:color w:val="000000"/>
          <w:szCs w:val="21"/>
        </w:rPr>
        <w:t>联系电话：</w:t>
      </w:r>
      <w:r>
        <w:rPr>
          <w:color w:val="000000"/>
          <w:szCs w:val="21"/>
          <w:u w:val="dotted"/>
        </w:rPr>
        <w:t xml:space="preserve">                      </w:t>
      </w:r>
      <w:r>
        <w:rPr>
          <w:color w:val="000000"/>
          <w:szCs w:val="21"/>
          <w:u w:val="single"/>
        </w:rPr>
        <w:t xml:space="preserve"> </w:t>
      </w:r>
    </w:p>
    <w:p>
      <w:pPr>
        <w:spacing w:line="360" w:lineRule="auto"/>
        <w:rPr>
          <w:color w:val="000000"/>
          <w:szCs w:val="21"/>
        </w:rPr>
      </w:pPr>
      <w:r>
        <w:rPr>
          <w:color w:val="000000"/>
          <w:szCs w:val="21"/>
        </w:rPr>
        <w:t>被投诉人2</w:t>
      </w:r>
    </w:p>
    <w:p>
      <w:pPr>
        <w:spacing w:line="360" w:lineRule="auto"/>
        <w:rPr>
          <w:color w:val="000000"/>
          <w:szCs w:val="21"/>
          <w:u w:val="dotted"/>
        </w:rPr>
      </w:pPr>
      <w:r>
        <w:rPr>
          <w:color w:val="000000"/>
          <w:szCs w:val="21"/>
        </w:rPr>
        <w:t>……</w:t>
      </w:r>
    </w:p>
    <w:p>
      <w:pPr>
        <w:spacing w:line="360" w:lineRule="auto"/>
        <w:rPr>
          <w:color w:val="000000"/>
          <w:szCs w:val="21"/>
          <w:u w:val="single"/>
        </w:rPr>
      </w:pPr>
      <w:r>
        <w:rPr>
          <w:color w:val="000000"/>
          <w:szCs w:val="21"/>
        </w:rPr>
        <w:t>相关供应商：</w:t>
      </w:r>
      <w:r>
        <w:rPr>
          <w:color w:val="000000"/>
          <w:szCs w:val="21"/>
          <w:u w:val="dotted"/>
        </w:rPr>
        <w:t xml:space="preserve">                                           </w:t>
      </w:r>
      <w:r>
        <w:rPr>
          <w:color w:val="000000"/>
          <w:szCs w:val="21"/>
          <w:u w:val="single"/>
        </w:rPr>
        <w:t xml:space="preserve">    </w:t>
      </w:r>
    </w:p>
    <w:p>
      <w:pPr>
        <w:spacing w:line="360" w:lineRule="auto"/>
        <w:rPr>
          <w:color w:val="000000"/>
          <w:szCs w:val="21"/>
          <w:u w:val="single"/>
        </w:rPr>
      </w:pPr>
      <w:r>
        <w:rPr>
          <w:color w:val="000000"/>
          <w:szCs w:val="21"/>
        </w:rPr>
        <w:t>地     址：</w:t>
      </w:r>
      <w:r>
        <w:rPr>
          <w:color w:val="000000"/>
          <w:szCs w:val="21"/>
          <w:u w:val="dotted"/>
        </w:rPr>
        <w:t xml:space="preserve">                             </w:t>
      </w:r>
      <w:r>
        <w:rPr>
          <w:color w:val="000000"/>
          <w:szCs w:val="21"/>
        </w:rPr>
        <w:t>邮编：</w:t>
      </w:r>
      <w:r>
        <w:rPr>
          <w:color w:val="000000"/>
          <w:szCs w:val="21"/>
          <w:u w:val="dotted"/>
        </w:rPr>
        <w:t xml:space="preserve">          </w:t>
      </w:r>
      <w:r>
        <w:rPr>
          <w:color w:val="000000"/>
          <w:szCs w:val="21"/>
          <w:u w:val="single"/>
        </w:rPr>
        <w:t xml:space="preserve"> </w:t>
      </w:r>
    </w:p>
    <w:p>
      <w:pPr>
        <w:spacing w:line="360" w:lineRule="auto"/>
        <w:rPr>
          <w:color w:val="000000"/>
          <w:szCs w:val="21"/>
          <w:u w:val="single"/>
        </w:rPr>
      </w:pPr>
      <w:r>
        <w:rPr>
          <w:color w:val="000000"/>
          <w:szCs w:val="21"/>
        </w:rPr>
        <w:t>联系人：</w:t>
      </w:r>
      <w:r>
        <w:rPr>
          <w:color w:val="000000"/>
          <w:szCs w:val="21"/>
          <w:u w:val="dotted"/>
        </w:rPr>
        <w:t xml:space="preserve">               </w:t>
      </w:r>
      <w:r>
        <w:rPr>
          <w:color w:val="000000"/>
          <w:szCs w:val="21"/>
        </w:rPr>
        <w:t>联系电话：</w:t>
      </w:r>
      <w:r>
        <w:rPr>
          <w:color w:val="000000"/>
          <w:szCs w:val="21"/>
          <w:u w:val="dotted"/>
        </w:rPr>
        <w:t xml:space="preserve">                      </w:t>
      </w:r>
      <w:r>
        <w:rPr>
          <w:color w:val="000000"/>
          <w:szCs w:val="21"/>
          <w:u w:val="single"/>
        </w:rPr>
        <w:t xml:space="preserve">      </w:t>
      </w:r>
    </w:p>
    <w:p>
      <w:pPr>
        <w:spacing w:line="360" w:lineRule="auto"/>
        <w:rPr>
          <w:color w:val="000000"/>
          <w:szCs w:val="21"/>
        </w:rPr>
      </w:pPr>
      <w:r>
        <w:rPr>
          <w:color w:val="000000"/>
          <w:szCs w:val="21"/>
        </w:rPr>
        <w:t>二、投诉项目基本情况</w:t>
      </w:r>
    </w:p>
    <w:p>
      <w:pPr>
        <w:spacing w:line="360" w:lineRule="auto"/>
        <w:rPr>
          <w:color w:val="000000"/>
          <w:szCs w:val="21"/>
          <w:u w:val="dotted"/>
        </w:rPr>
      </w:pPr>
      <w:r>
        <w:rPr>
          <w:color w:val="000000"/>
          <w:szCs w:val="21"/>
        </w:rPr>
        <w:t>采购</w:t>
      </w:r>
      <w:r>
        <w:rPr>
          <w:color w:val="000000"/>
          <w:kern w:val="0"/>
          <w:szCs w:val="21"/>
          <w:lang w:val="zh-CN"/>
        </w:rPr>
        <w:t>项目名称</w:t>
      </w:r>
      <w:r>
        <w:rPr>
          <w:color w:val="000000"/>
          <w:szCs w:val="21"/>
        </w:rPr>
        <w:t>：</w:t>
      </w:r>
      <w:r>
        <w:rPr>
          <w:color w:val="000000"/>
          <w:szCs w:val="21"/>
          <w:u w:val="dotted"/>
        </w:rPr>
        <w:t xml:space="preserve">                                        </w:t>
      </w:r>
    </w:p>
    <w:p>
      <w:pPr>
        <w:spacing w:line="360" w:lineRule="auto"/>
        <w:rPr>
          <w:color w:val="000000"/>
          <w:szCs w:val="21"/>
          <w:u w:val="single"/>
        </w:rPr>
      </w:pPr>
      <w:r>
        <w:rPr>
          <w:color w:val="000000"/>
          <w:szCs w:val="21"/>
        </w:rPr>
        <w:t>采购项目编号：</w:t>
      </w:r>
      <w:r>
        <w:rPr>
          <w:color w:val="000000"/>
          <w:szCs w:val="21"/>
          <w:u w:val="dotted"/>
        </w:rPr>
        <w:t xml:space="preserve">                 </w:t>
      </w:r>
      <w:r>
        <w:rPr>
          <w:color w:val="000000"/>
          <w:szCs w:val="21"/>
        </w:rPr>
        <w:t>包号：</w:t>
      </w:r>
      <w:r>
        <w:rPr>
          <w:color w:val="000000"/>
          <w:szCs w:val="21"/>
          <w:u w:val="dotted"/>
        </w:rPr>
        <w:t xml:space="preserve">              </w:t>
      </w:r>
    </w:p>
    <w:p>
      <w:pPr>
        <w:spacing w:line="360" w:lineRule="auto"/>
        <w:rPr>
          <w:color w:val="000000"/>
          <w:szCs w:val="21"/>
        </w:rPr>
      </w:pPr>
      <w:r>
        <w:rPr>
          <w:color w:val="000000"/>
          <w:szCs w:val="21"/>
        </w:rPr>
        <w:t>采购人名称：</w:t>
      </w:r>
      <w:r>
        <w:rPr>
          <w:color w:val="000000"/>
          <w:szCs w:val="21"/>
          <w:u w:val="dotted"/>
        </w:rPr>
        <w:t xml:space="preserve">                                           </w:t>
      </w:r>
      <w:r>
        <w:rPr>
          <w:color w:val="000000"/>
          <w:szCs w:val="21"/>
          <w:u w:val="single"/>
        </w:rPr>
        <w:t xml:space="preserve">  </w:t>
      </w:r>
    </w:p>
    <w:p>
      <w:pPr>
        <w:spacing w:line="360" w:lineRule="auto"/>
        <w:rPr>
          <w:color w:val="000000"/>
          <w:szCs w:val="21"/>
          <w:u w:val="single"/>
        </w:rPr>
      </w:pPr>
      <w:r>
        <w:rPr>
          <w:color w:val="000000"/>
          <w:szCs w:val="21"/>
        </w:rPr>
        <w:t>代理机构名称：</w:t>
      </w:r>
      <w:r>
        <w:rPr>
          <w:color w:val="000000"/>
          <w:szCs w:val="21"/>
          <w:u w:val="dotted"/>
        </w:rPr>
        <w:t xml:space="preserve">                                         </w:t>
      </w:r>
    </w:p>
    <w:p>
      <w:pPr>
        <w:spacing w:line="360" w:lineRule="auto"/>
        <w:rPr>
          <w:color w:val="000000"/>
          <w:szCs w:val="21"/>
          <w:u w:val="dotted"/>
        </w:rPr>
      </w:pPr>
      <w:r>
        <w:rPr>
          <w:color w:val="000000"/>
          <w:szCs w:val="21"/>
        </w:rPr>
        <w:t>采购文件公告：</w:t>
      </w:r>
      <w:r>
        <w:rPr>
          <w:color w:val="000000"/>
          <w:szCs w:val="21"/>
          <w:u w:val="dotted"/>
        </w:rPr>
        <w:t xml:space="preserve">是/否 </w:t>
      </w:r>
      <w:r>
        <w:rPr>
          <w:color w:val="000000"/>
          <w:szCs w:val="21"/>
        </w:rPr>
        <w:t>公告期限：</w:t>
      </w:r>
      <w:r>
        <w:rPr>
          <w:color w:val="000000"/>
          <w:szCs w:val="21"/>
          <w:u w:val="dotted"/>
        </w:rPr>
        <w:t xml:space="preserve">                                 </w:t>
      </w:r>
    </w:p>
    <w:p>
      <w:pPr>
        <w:spacing w:line="360" w:lineRule="auto"/>
        <w:rPr>
          <w:color w:val="000000"/>
          <w:szCs w:val="21"/>
          <w:u w:val="single"/>
        </w:rPr>
      </w:pPr>
      <w:r>
        <w:rPr>
          <w:color w:val="000000"/>
          <w:szCs w:val="21"/>
        </w:rPr>
        <w:t>采购结果公告：</w:t>
      </w:r>
      <w:r>
        <w:rPr>
          <w:color w:val="000000"/>
          <w:szCs w:val="21"/>
          <w:u w:val="dotted"/>
        </w:rPr>
        <w:t xml:space="preserve">是/否 </w:t>
      </w:r>
      <w:r>
        <w:rPr>
          <w:color w:val="000000"/>
          <w:szCs w:val="21"/>
        </w:rPr>
        <w:t>公告期限：</w:t>
      </w:r>
      <w:r>
        <w:rPr>
          <w:color w:val="000000"/>
          <w:szCs w:val="21"/>
          <w:u w:val="dotted"/>
        </w:rPr>
        <w:t xml:space="preserve">                        </w:t>
      </w:r>
    </w:p>
    <w:p>
      <w:pPr>
        <w:spacing w:line="360" w:lineRule="auto"/>
        <w:rPr>
          <w:color w:val="000000"/>
          <w:szCs w:val="21"/>
        </w:rPr>
      </w:pPr>
      <w:r>
        <w:rPr>
          <w:color w:val="000000"/>
          <w:szCs w:val="21"/>
        </w:rPr>
        <w:t>三、质疑基本情况</w:t>
      </w:r>
    </w:p>
    <w:p>
      <w:pPr>
        <w:spacing w:line="360" w:lineRule="auto"/>
        <w:ind w:firstLine="420" w:firstLineChars="200"/>
        <w:rPr>
          <w:color w:val="000000"/>
          <w:szCs w:val="21"/>
          <w:u w:val="dotted"/>
        </w:rPr>
      </w:pPr>
      <w:r>
        <w:rPr>
          <w:color w:val="000000"/>
          <w:szCs w:val="21"/>
        </w:rPr>
        <w:t>投诉人于</w:t>
      </w:r>
      <w:r>
        <w:rPr>
          <w:color w:val="000000"/>
          <w:szCs w:val="21"/>
          <w:u w:val="dotted"/>
        </w:rPr>
        <w:t xml:space="preserve">   </w:t>
      </w:r>
      <w:r>
        <w:rPr>
          <w:color w:val="000000"/>
          <w:szCs w:val="21"/>
        </w:rPr>
        <w:t>年</w:t>
      </w:r>
      <w:r>
        <w:rPr>
          <w:color w:val="000000"/>
          <w:szCs w:val="21"/>
          <w:u w:val="dotted"/>
        </w:rPr>
        <w:t xml:space="preserve">   </w:t>
      </w:r>
      <w:r>
        <w:rPr>
          <w:color w:val="000000"/>
          <w:szCs w:val="21"/>
        </w:rPr>
        <w:t>月</w:t>
      </w:r>
      <w:r>
        <w:rPr>
          <w:color w:val="000000"/>
          <w:szCs w:val="21"/>
          <w:u w:val="dotted"/>
        </w:rPr>
        <w:t xml:space="preserve">  </w:t>
      </w:r>
      <w:r>
        <w:rPr>
          <w:color w:val="000000"/>
          <w:szCs w:val="21"/>
        </w:rPr>
        <w:t>日,向</w:t>
      </w:r>
      <w:r>
        <w:rPr>
          <w:color w:val="000000"/>
          <w:szCs w:val="21"/>
          <w:u w:val="dotted"/>
        </w:rPr>
        <w:t xml:space="preserve">                   </w:t>
      </w:r>
      <w:r>
        <w:rPr>
          <w:color w:val="000000"/>
          <w:szCs w:val="21"/>
        </w:rPr>
        <w:t>提出质疑，质疑事项为：</w:t>
      </w:r>
      <w:r>
        <w:rPr>
          <w:color w:val="000000"/>
          <w:szCs w:val="21"/>
          <w:u w:val="dotted"/>
        </w:rPr>
        <w:t xml:space="preserve">                                </w:t>
      </w:r>
    </w:p>
    <w:p>
      <w:pPr>
        <w:spacing w:line="360" w:lineRule="auto"/>
        <w:rPr>
          <w:color w:val="000000"/>
          <w:szCs w:val="21"/>
          <w:u w:val="dotted"/>
        </w:rPr>
      </w:pPr>
      <w:r>
        <w:rPr>
          <w:color w:val="000000"/>
          <w:szCs w:val="21"/>
          <w:u w:val="dotted"/>
        </w:rPr>
        <w:t xml:space="preserve">                                                     </w:t>
      </w:r>
      <w:r>
        <w:rPr>
          <w:color w:val="000000"/>
          <w:szCs w:val="21"/>
        </w:rPr>
        <w:t xml:space="preserve">  </w:t>
      </w:r>
    </w:p>
    <w:p>
      <w:pPr>
        <w:spacing w:line="360" w:lineRule="auto"/>
        <w:ind w:firstLine="315" w:firstLineChars="150"/>
        <w:rPr>
          <w:color w:val="000000"/>
          <w:szCs w:val="21"/>
        </w:rPr>
      </w:pPr>
      <w:r>
        <w:rPr>
          <w:color w:val="000000"/>
          <w:szCs w:val="21"/>
          <w:u w:val="dotted"/>
        </w:rPr>
        <w:t>采购人/代理机构</w:t>
      </w:r>
      <w:r>
        <w:rPr>
          <w:color w:val="000000"/>
          <w:szCs w:val="21"/>
        </w:rPr>
        <w:t>于</w:t>
      </w:r>
      <w:r>
        <w:rPr>
          <w:color w:val="000000"/>
          <w:szCs w:val="21"/>
          <w:u w:val="dotted"/>
        </w:rPr>
        <w:t xml:space="preserve">   </w:t>
      </w:r>
      <w:r>
        <w:rPr>
          <w:color w:val="000000"/>
          <w:szCs w:val="21"/>
        </w:rPr>
        <w:t>年</w:t>
      </w:r>
      <w:r>
        <w:rPr>
          <w:color w:val="000000"/>
          <w:szCs w:val="21"/>
          <w:u w:val="dotted"/>
        </w:rPr>
        <w:t xml:space="preserve">   </w:t>
      </w:r>
      <w:r>
        <w:rPr>
          <w:color w:val="000000"/>
          <w:szCs w:val="21"/>
        </w:rPr>
        <w:t>月</w:t>
      </w:r>
      <w:r>
        <w:rPr>
          <w:color w:val="000000"/>
          <w:szCs w:val="21"/>
          <w:u w:val="dotted"/>
        </w:rPr>
        <w:t xml:space="preserve">   </w:t>
      </w:r>
      <w:r>
        <w:rPr>
          <w:color w:val="000000"/>
          <w:szCs w:val="21"/>
        </w:rPr>
        <w:t>日,就质疑事项作出了答复/没有在法定期限内作出答复。</w:t>
      </w:r>
    </w:p>
    <w:p>
      <w:pPr>
        <w:spacing w:line="360" w:lineRule="auto"/>
        <w:rPr>
          <w:color w:val="000000"/>
          <w:szCs w:val="21"/>
        </w:rPr>
      </w:pPr>
      <w:r>
        <w:rPr>
          <w:color w:val="000000"/>
          <w:szCs w:val="21"/>
        </w:rPr>
        <w:t>四、投诉事项具体内容</w:t>
      </w:r>
    </w:p>
    <w:p>
      <w:pPr>
        <w:spacing w:line="360" w:lineRule="auto"/>
        <w:rPr>
          <w:color w:val="000000"/>
          <w:szCs w:val="21"/>
          <w:u w:val="single"/>
        </w:rPr>
      </w:pPr>
      <w:r>
        <w:rPr>
          <w:color w:val="000000"/>
          <w:szCs w:val="21"/>
        </w:rPr>
        <w:t>投诉事项 1：</w:t>
      </w:r>
      <w:r>
        <w:rPr>
          <w:color w:val="000000"/>
          <w:szCs w:val="21"/>
          <w:u w:val="dotted"/>
        </w:rPr>
        <w:t xml:space="preserve">                                       </w:t>
      </w:r>
    </w:p>
    <w:p>
      <w:pPr>
        <w:spacing w:line="360" w:lineRule="auto"/>
        <w:rPr>
          <w:color w:val="000000"/>
          <w:szCs w:val="21"/>
        </w:rPr>
      </w:pPr>
      <w:r>
        <w:rPr>
          <w:color w:val="000000"/>
          <w:szCs w:val="21"/>
        </w:rPr>
        <w:t>事实依据：</w:t>
      </w:r>
      <w:r>
        <w:rPr>
          <w:color w:val="000000"/>
          <w:szCs w:val="21"/>
          <w:u w:val="dotted"/>
        </w:rPr>
        <w:t xml:space="preserve">                                         </w:t>
      </w:r>
    </w:p>
    <w:p>
      <w:pPr>
        <w:spacing w:line="360" w:lineRule="auto"/>
        <w:rPr>
          <w:color w:val="000000"/>
          <w:szCs w:val="21"/>
          <w:u w:val="dotted"/>
        </w:rPr>
      </w:pPr>
      <w:r>
        <w:rPr>
          <w:color w:val="000000"/>
          <w:szCs w:val="21"/>
          <w:u w:val="dotted"/>
        </w:rPr>
        <w:t xml:space="preserve">                                                      </w:t>
      </w:r>
    </w:p>
    <w:p>
      <w:pPr>
        <w:spacing w:line="360" w:lineRule="auto"/>
        <w:rPr>
          <w:color w:val="000000"/>
          <w:szCs w:val="21"/>
          <w:u w:val="single"/>
        </w:rPr>
      </w:pPr>
      <w:r>
        <w:rPr>
          <w:color w:val="000000"/>
          <w:szCs w:val="21"/>
        </w:rPr>
        <w:t>法律依据：</w:t>
      </w:r>
      <w:r>
        <w:rPr>
          <w:color w:val="000000"/>
          <w:szCs w:val="21"/>
          <w:u w:val="dotted"/>
        </w:rPr>
        <w:t xml:space="preserve">                                          </w:t>
      </w:r>
    </w:p>
    <w:p>
      <w:pPr>
        <w:spacing w:line="360" w:lineRule="auto"/>
        <w:rPr>
          <w:color w:val="000000"/>
          <w:szCs w:val="21"/>
          <w:u w:val="dotted"/>
        </w:rPr>
      </w:pPr>
      <w:r>
        <w:rPr>
          <w:color w:val="000000"/>
          <w:szCs w:val="21"/>
          <w:u w:val="dotted"/>
        </w:rPr>
        <w:t xml:space="preserve">                                                      </w:t>
      </w:r>
    </w:p>
    <w:p>
      <w:pPr>
        <w:spacing w:line="360" w:lineRule="auto"/>
        <w:rPr>
          <w:color w:val="000000"/>
          <w:szCs w:val="21"/>
        </w:rPr>
      </w:pPr>
      <w:r>
        <w:rPr>
          <w:color w:val="000000"/>
          <w:szCs w:val="21"/>
        </w:rPr>
        <w:t>投诉事项2</w:t>
      </w:r>
    </w:p>
    <w:p>
      <w:pPr>
        <w:spacing w:line="360" w:lineRule="auto"/>
        <w:rPr>
          <w:color w:val="000000"/>
          <w:szCs w:val="21"/>
          <w:u w:val="dotted"/>
        </w:rPr>
      </w:pPr>
      <w:r>
        <w:rPr>
          <w:color w:val="000000"/>
          <w:szCs w:val="21"/>
        </w:rPr>
        <w:t>……</w:t>
      </w:r>
    </w:p>
    <w:p>
      <w:pPr>
        <w:spacing w:line="360" w:lineRule="auto"/>
        <w:rPr>
          <w:color w:val="000000"/>
          <w:szCs w:val="21"/>
        </w:rPr>
      </w:pPr>
      <w:r>
        <w:rPr>
          <w:color w:val="000000"/>
          <w:szCs w:val="21"/>
        </w:rPr>
        <w:t>五、与投诉事项相关的投诉请求</w:t>
      </w:r>
    </w:p>
    <w:p>
      <w:pPr>
        <w:spacing w:line="360" w:lineRule="auto"/>
        <w:rPr>
          <w:color w:val="000000"/>
          <w:szCs w:val="21"/>
        </w:rPr>
      </w:pPr>
      <w:r>
        <w:rPr>
          <w:color w:val="000000"/>
          <w:szCs w:val="21"/>
        </w:rPr>
        <w:t>请求：</w:t>
      </w:r>
      <w:r>
        <w:rPr>
          <w:color w:val="000000"/>
          <w:szCs w:val="21"/>
          <w:u w:val="dotted"/>
        </w:rPr>
        <w:t xml:space="preserve">                                              </w:t>
      </w:r>
      <w:r>
        <w:rPr>
          <w:color w:val="000000"/>
          <w:szCs w:val="21"/>
        </w:rPr>
        <w:t xml:space="preserve"> </w:t>
      </w:r>
    </w:p>
    <w:p>
      <w:pPr>
        <w:spacing w:line="360" w:lineRule="auto"/>
        <w:rPr>
          <w:color w:val="000000"/>
          <w:szCs w:val="21"/>
          <w:u w:val="single"/>
        </w:rPr>
      </w:pPr>
      <w:r>
        <w:rPr>
          <w:color w:val="000000"/>
          <w:szCs w:val="21"/>
        </w:rPr>
        <w:t xml:space="preserve">                                                                                                    </w:t>
      </w:r>
    </w:p>
    <w:p>
      <w:pPr>
        <w:spacing w:line="360" w:lineRule="auto"/>
        <w:rPr>
          <w:color w:val="000000"/>
          <w:szCs w:val="21"/>
        </w:rPr>
      </w:pPr>
      <w:r>
        <w:rPr>
          <w:color w:val="000000"/>
          <w:szCs w:val="21"/>
        </w:rPr>
        <w:t xml:space="preserve">签字(签章)：                   公章：                      </w:t>
      </w:r>
    </w:p>
    <w:p>
      <w:pPr>
        <w:spacing w:line="360" w:lineRule="auto"/>
        <w:rPr>
          <w:color w:val="000000"/>
          <w:szCs w:val="21"/>
        </w:rPr>
      </w:pPr>
      <w:r>
        <w:rPr>
          <w:color w:val="000000"/>
          <w:szCs w:val="21"/>
        </w:rPr>
        <w:t xml:space="preserve">日期：    </w:t>
      </w:r>
    </w:p>
    <w:p>
      <w:pPr>
        <w:spacing w:line="360" w:lineRule="auto"/>
        <w:rPr>
          <w:b/>
          <w:color w:val="000000"/>
          <w:szCs w:val="21"/>
        </w:rPr>
      </w:pPr>
    </w:p>
    <w:p>
      <w:pPr>
        <w:spacing w:line="360" w:lineRule="auto"/>
        <w:rPr>
          <w:b/>
          <w:color w:val="000000"/>
          <w:szCs w:val="21"/>
        </w:rPr>
      </w:pPr>
    </w:p>
    <w:p>
      <w:pPr>
        <w:spacing w:line="360" w:lineRule="auto"/>
        <w:rPr>
          <w:b/>
          <w:color w:val="000000"/>
          <w:szCs w:val="21"/>
        </w:rPr>
      </w:pPr>
      <w:r>
        <w:rPr>
          <w:b/>
          <w:color w:val="000000"/>
          <w:szCs w:val="21"/>
        </w:rPr>
        <w:t>投诉书制作说明：</w:t>
      </w:r>
    </w:p>
    <w:p>
      <w:pPr>
        <w:widowControl/>
        <w:spacing w:line="360" w:lineRule="auto"/>
        <w:ind w:firstLine="420" w:firstLineChars="200"/>
        <w:rPr>
          <w:color w:val="000000"/>
          <w:kern w:val="0"/>
          <w:szCs w:val="21"/>
        </w:rPr>
      </w:pPr>
      <w:r>
        <w:rPr>
          <w:color w:val="000000"/>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000000"/>
          <w:szCs w:val="21"/>
        </w:rPr>
      </w:pPr>
      <w:r>
        <w:rPr>
          <w:color w:val="000000"/>
          <w:szCs w:val="21"/>
        </w:rPr>
        <w:t>2.投诉人若委托代理人进行投诉的，投诉书应按照要求列明“授权代表”的有关内容，并在附件中提交由</w:t>
      </w:r>
      <w:r>
        <w:rPr>
          <w:color w:val="000000"/>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color w:val="000000"/>
          <w:szCs w:val="21"/>
        </w:rPr>
      </w:pPr>
      <w:r>
        <w:rPr>
          <w:rFonts w:hint="eastAsia"/>
          <w:color w:val="000000"/>
          <w:szCs w:val="21"/>
        </w:rPr>
        <w:t>3</w:t>
      </w:r>
      <w:r>
        <w:rPr>
          <w:color w:val="000000"/>
          <w:szCs w:val="21"/>
        </w:rPr>
        <w:t>.投诉书应简要列明质疑事项，质疑函、质疑答复等作为附件材料提供。</w:t>
      </w:r>
    </w:p>
    <w:p>
      <w:pPr>
        <w:widowControl/>
        <w:spacing w:line="360" w:lineRule="auto"/>
        <w:ind w:firstLine="420" w:firstLineChars="200"/>
        <w:jc w:val="left"/>
        <w:rPr>
          <w:color w:val="000000"/>
          <w:szCs w:val="21"/>
        </w:rPr>
      </w:pPr>
      <w:r>
        <w:rPr>
          <w:rFonts w:hint="eastAsia"/>
          <w:color w:val="000000"/>
          <w:szCs w:val="21"/>
        </w:rPr>
        <w:t>4</w:t>
      </w:r>
      <w:r>
        <w:rPr>
          <w:color w:val="000000"/>
          <w:szCs w:val="21"/>
        </w:rPr>
        <w:t>.投诉书的投诉事项应具体、明确，并有必要的事实依据和法律依据。</w:t>
      </w:r>
    </w:p>
    <w:p>
      <w:pPr>
        <w:widowControl/>
        <w:spacing w:line="360" w:lineRule="auto"/>
        <w:ind w:firstLine="420" w:firstLineChars="200"/>
        <w:jc w:val="left"/>
        <w:rPr>
          <w:color w:val="000000"/>
          <w:szCs w:val="21"/>
        </w:rPr>
      </w:pPr>
      <w:r>
        <w:rPr>
          <w:rFonts w:hint="eastAsia"/>
          <w:color w:val="000000"/>
          <w:szCs w:val="21"/>
        </w:rPr>
        <w:t>5</w:t>
      </w:r>
      <w:r>
        <w:rPr>
          <w:color w:val="000000"/>
          <w:szCs w:val="21"/>
        </w:rPr>
        <w:t>.投诉书的投诉请求应与投诉事项相关。</w:t>
      </w:r>
    </w:p>
    <w:p>
      <w:pPr>
        <w:pStyle w:val="20"/>
        <w:ind w:left="0" w:leftChars="0" w:firstLine="404"/>
      </w:pPr>
      <w:r>
        <w:rPr>
          <w:rFonts w:hint="eastAsia" w:ascii="Times New Roman" w:hAnsi="Times New Roman"/>
          <w:color w:val="000000"/>
          <w:szCs w:val="21"/>
        </w:rPr>
        <w:t>6</w:t>
      </w:r>
      <w:r>
        <w:rPr>
          <w:rFonts w:ascii="Times New Roman" w:hAnsi="Times New Roman"/>
          <w:color w:val="000000"/>
          <w:szCs w:val="21"/>
        </w:rPr>
        <w:t>.投诉人为自然人的，投诉书应当由本人签字；投诉人为法人或者其他组织的，投诉书应当由法定代表人、主要负责人，或者其授权代表签字或者盖章，并加盖公章。</w:t>
      </w:r>
    </w:p>
    <w:p/>
    <w:sectPr>
      <w:footerReference r:id="rId7" w:type="default"/>
      <w:pgSz w:w="11906" w:h="16838"/>
      <w:pgMar w:top="930" w:right="1800" w:bottom="93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Univers-Condense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fldChar w:fldCharType="begin"/>
    </w:r>
    <w:r>
      <w:rPr>
        <w:rStyle w:val="23"/>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w:t>
                          </w:r>
                          <w:r>
                            <w:t xml:space="preserve">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w:t>
                    </w:r>
                    <w:r>
                      <w:t xml:space="preserve"> 31 -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szCs w:val="21"/>
      </w:rPr>
      <w:drawing>
        <wp:anchor distT="0" distB="0" distL="114300" distR="114300" simplePos="0" relativeHeight="251660288" behindDoc="1" locked="0" layoutInCell="1" allowOverlap="1">
          <wp:simplePos x="0" y="0"/>
          <wp:positionH relativeFrom="column">
            <wp:posOffset>-753745</wp:posOffset>
          </wp:positionH>
          <wp:positionV relativeFrom="paragraph">
            <wp:posOffset>-374015</wp:posOffset>
          </wp:positionV>
          <wp:extent cx="2040255" cy="319405"/>
          <wp:effectExtent l="0" t="0" r="17145" b="4445"/>
          <wp:wrapTight wrapText="bothSides">
            <wp:wrapPolygon>
              <wp:start x="0" y="0"/>
              <wp:lineTo x="0" y="20612"/>
              <wp:lineTo x="21378" y="20612"/>
              <wp:lineTo x="21378" y="0"/>
              <wp:lineTo x="0" y="0"/>
            </wp:wrapPolygon>
          </wp:wrapTight>
          <wp:docPr id="2" name="图片 1" descr="7875ddcc4f332c14d63932039e79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875ddcc4f332c14d63932039e792fb"/>
                  <pic:cNvPicPr>
                    <a:picLocks noChangeAspect="1"/>
                  </pic:cNvPicPr>
                </pic:nvPicPr>
                <pic:blipFill>
                  <a:blip r:embed="rId1"/>
                  <a:stretch>
                    <a:fillRect/>
                  </a:stretch>
                </pic:blipFill>
                <pic:spPr>
                  <a:xfrm>
                    <a:off x="0" y="0"/>
                    <a:ext cx="2040255" cy="319405"/>
                  </a:xfrm>
                  <a:prstGeom prst="rect">
                    <a:avLst/>
                  </a:prstGeom>
                  <a:noFill/>
                  <a:ln>
                    <a:noFill/>
                  </a:ln>
                </pic:spPr>
              </pic:pic>
            </a:graphicData>
          </a:graphic>
        </wp:anchor>
      </w:drawing>
    </w:r>
    <w:r>
      <w:rPr>
        <w:rFonts w:hint="eastAsia"/>
      </w:rPr>
      <w:t>瑞安市妇幼保健院血透分析系统及设备采购项目（重）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302D7A7"/>
    <w:multiLevelType w:val="singleLevel"/>
    <w:tmpl w:val="F302D7A7"/>
    <w:lvl w:ilvl="0" w:tentative="0">
      <w:start w:val="3"/>
      <w:numFmt w:val="chineseCounting"/>
      <w:suff w:val="nothing"/>
      <w:lvlText w:val="%1、"/>
      <w:lvlJc w:val="left"/>
      <w:rPr>
        <w:rFonts w:hint="eastAsia"/>
      </w:r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C8332B9"/>
    <w:multiLevelType w:val="singleLevel"/>
    <w:tmpl w:val="FC8332B9"/>
    <w:lvl w:ilvl="0" w:tentative="0">
      <w:start w:val="1"/>
      <w:numFmt w:val="decimal"/>
      <w:suff w:val="nothing"/>
      <w:lvlText w:val="（%1）"/>
      <w:lvlJc w:val="left"/>
    </w:lvl>
  </w:abstractNum>
  <w:abstractNum w:abstractNumId="5">
    <w:nsid w:val="FD8902AC"/>
    <w:multiLevelType w:val="singleLevel"/>
    <w:tmpl w:val="FD8902AC"/>
    <w:lvl w:ilvl="0" w:tentative="0">
      <w:start w:val="1"/>
      <w:numFmt w:val="lowerLetter"/>
      <w:lvlText w:val="%1."/>
      <w:lvlJc w:val="left"/>
      <w:pPr>
        <w:ind w:left="425" w:hanging="425"/>
      </w:pPr>
      <w:rPr>
        <w:rFonts w:hint="default"/>
      </w:rPr>
    </w:lvl>
  </w:abstractNum>
  <w:abstractNum w:abstractNumId="6">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92E58DD"/>
    <w:multiLevelType w:val="multilevel"/>
    <w:tmpl w:val="792E58D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170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0"/>
  </w:num>
  <w:num w:numId="2">
    <w:abstractNumId w:val="1"/>
  </w:num>
  <w:num w:numId="3">
    <w:abstractNumId w:val="4"/>
  </w:num>
  <w:num w:numId="4">
    <w:abstractNumId w:val="2"/>
  </w:num>
  <w:num w:numId="5">
    <w:abstractNumId w:val="5"/>
  </w:num>
  <w:num w:numId="6">
    <w:abstractNumId w:val="3"/>
  </w:num>
  <w:num w:numId="7">
    <w:abstractNumId w:val="0"/>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zUyYjI4ZWJhMTZhNzAxMTBmMjE4NWU5OGQ5ZjQifQ=="/>
  </w:docVars>
  <w:rsids>
    <w:rsidRoot w:val="00410821"/>
    <w:rsid w:val="00410821"/>
    <w:rsid w:val="00553735"/>
    <w:rsid w:val="006C42BA"/>
    <w:rsid w:val="0090263D"/>
    <w:rsid w:val="00E50E39"/>
    <w:rsid w:val="011B0898"/>
    <w:rsid w:val="016D0F28"/>
    <w:rsid w:val="02783976"/>
    <w:rsid w:val="04326E8B"/>
    <w:rsid w:val="04E85D07"/>
    <w:rsid w:val="05A77424"/>
    <w:rsid w:val="079830EE"/>
    <w:rsid w:val="08EA3C5D"/>
    <w:rsid w:val="099A7294"/>
    <w:rsid w:val="099D7DD8"/>
    <w:rsid w:val="0ACF7E40"/>
    <w:rsid w:val="0B2A6468"/>
    <w:rsid w:val="0C831895"/>
    <w:rsid w:val="0D0C7587"/>
    <w:rsid w:val="0FF363A1"/>
    <w:rsid w:val="10F20D97"/>
    <w:rsid w:val="122939A9"/>
    <w:rsid w:val="122E2FDC"/>
    <w:rsid w:val="13B62861"/>
    <w:rsid w:val="13EA4D6F"/>
    <w:rsid w:val="144A6904"/>
    <w:rsid w:val="14515DD5"/>
    <w:rsid w:val="14F0383F"/>
    <w:rsid w:val="159468C1"/>
    <w:rsid w:val="15A63190"/>
    <w:rsid w:val="16A1196C"/>
    <w:rsid w:val="17EB2EE9"/>
    <w:rsid w:val="1A5948D2"/>
    <w:rsid w:val="1B09565B"/>
    <w:rsid w:val="1B70137B"/>
    <w:rsid w:val="1B944B74"/>
    <w:rsid w:val="1C125C09"/>
    <w:rsid w:val="1C35334A"/>
    <w:rsid w:val="1C8D765C"/>
    <w:rsid w:val="1D09110D"/>
    <w:rsid w:val="1DA8406C"/>
    <w:rsid w:val="1E5B441F"/>
    <w:rsid w:val="1E605592"/>
    <w:rsid w:val="1F5154F2"/>
    <w:rsid w:val="211C1B34"/>
    <w:rsid w:val="21512CF8"/>
    <w:rsid w:val="21F30AB1"/>
    <w:rsid w:val="22301785"/>
    <w:rsid w:val="224E4B29"/>
    <w:rsid w:val="229A208F"/>
    <w:rsid w:val="230A15AF"/>
    <w:rsid w:val="23DA1943"/>
    <w:rsid w:val="2436614D"/>
    <w:rsid w:val="249417A4"/>
    <w:rsid w:val="24A82D95"/>
    <w:rsid w:val="253638A0"/>
    <w:rsid w:val="25597FCE"/>
    <w:rsid w:val="25DA35BD"/>
    <w:rsid w:val="2677652E"/>
    <w:rsid w:val="27A12B8F"/>
    <w:rsid w:val="280B461F"/>
    <w:rsid w:val="289946AD"/>
    <w:rsid w:val="28BC55CF"/>
    <w:rsid w:val="297512A9"/>
    <w:rsid w:val="2A402C46"/>
    <w:rsid w:val="2B2C3ABE"/>
    <w:rsid w:val="2C5550B6"/>
    <w:rsid w:val="2CC408B6"/>
    <w:rsid w:val="2D7B065C"/>
    <w:rsid w:val="2D8473F2"/>
    <w:rsid w:val="2DA27F2E"/>
    <w:rsid w:val="2F5E4B3B"/>
    <w:rsid w:val="2F9B4539"/>
    <w:rsid w:val="305B0759"/>
    <w:rsid w:val="30F63B8A"/>
    <w:rsid w:val="30FA6D61"/>
    <w:rsid w:val="32066B02"/>
    <w:rsid w:val="328D1096"/>
    <w:rsid w:val="32D41D05"/>
    <w:rsid w:val="33557238"/>
    <w:rsid w:val="34222FA3"/>
    <w:rsid w:val="342B14DC"/>
    <w:rsid w:val="34A37280"/>
    <w:rsid w:val="34BB7937"/>
    <w:rsid w:val="359F5389"/>
    <w:rsid w:val="36581B37"/>
    <w:rsid w:val="371C7760"/>
    <w:rsid w:val="37517350"/>
    <w:rsid w:val="376D2DA2"/>
    <w:rsid w:val="37982C31"/>
    <w:rsid w:val="386A108F"/>
    <w:rsid w:val="39451DD0"/>
    <w:rsid w:val="396513C2"/>
    <w:rsid w:val="3A41679B"/>
    <w:rsid w:val="3B996114"/>
    <w:rsid w:val="3BAE2CB4"/>
    <w:rsid w:val="3C002DFB"/>
    <w:rsid w:val="3CE435AE"/>
    <w:rsid w:val="3DE34CF0"/>
    <w:rsid w:val="3E122F4B"/>
    <w:rsid w:val="3F424E33"/>
    <w:rsid w:val="402002C6"/>
    <w:rsid w:val="4259152E"/>
    <w:rsid w:val="436F31C4"/>
    <w:rsid w:val="442D034D"/>
    <w:rsid w:val="46281FBD"/>
    <w:rsid w:val="464C1F44"/>
    <w:rsid w:val="47DF18AA"/>
    <w:rsid w:val="490177EE"/>
    <w:rsid w:val="494277F7"/>
    <w:rsid w:val="494A439A"/>
    <w:rsid w:val="4A67453C"/>
    <w:rsid w:val="4A746B91"/>
    <w:rsid w:val="4B1460A9"/>
    <w:rsid w:val="4BF31290"/>
    <w:rsid w:val="4C545634"/>
    <w:rsid w:val="4DF74D1B"/>
    <w:rsid w:val="4E05631D"/>
    <w:rsid w:val="4E7D4BFC"/>
    <w:rsid w:val="4E9C3238"/>
    <w:rsid w:val="4EE323D1"/>
    <w:rsid w:val="50482354"/>
    <w:rsid w:val="50B0738B"/>
    <w:rsid w:val="50B57695"/>
    <w:rsid w:val="50C335DB"/>
    <w:rsid w:val="52A57847"/>
    <w:rsid w:val="53404982"/>
    <w:rsid w:val="537C1C9F"/>
    <w:rsid w:val="5599630A"/>
    <w:rsid w:val="55D358F9"/>
    <w:rsid w:val="56262364"/>
    <w:rsid w:val="58725054"/>
    <w:rsid w:val="5A5D17C7"/>
    <w:rsid w:val="5AE53AF9"/>
    <w:rsid w:val="5B4D345E"/>
    <w:rsid w:val="5C460975"/>
    <w:rsid w:val="5D4F1A28"/>
    <w:rsid w:val="5D975303"/>
    <w:rsid w:val="5F4A54CE"/>
    <w:rsid w:val="5F4F0E5B"/>
    <w:rsid w:val="61094891"/>
    <w:rsid w:val="615D2F60"/>
    <w:rsid w:val="619106FC"/>
    <w:rsid w:val="61972366"/>
    <w:rsid w:val="63112111"/>
    <w:rsid w:val="635844E7"/>
    <w:rsid w:val="65646CE3"/>
    <w:rsid w:val="665F1CCC"/>
    <w:rsid w:val="66A15A87"/>
    <w:rsid w:val="69244C90"/>
    <w:rsid w:val="6C923AA2"/>
    <w:rsid w:val="6D207039"/>
    <w:rsid w:val="6DBE7E41"/>
    <w:rsid w:val="6DD94267"/>
    <w:rsid w:val="6E2123FB"/>
    <w:rsid w:val="6E52341D"/>
    <w:rsid w:val="6E7764B9"/>
    <w:rsid w:val="6ECD083C"/>
    <w:rsid w:val="6F0169EE"/>
    <w:rsid w:val="6F31251E"/>
    <w:rsid w:val="716E6B42"/>
    <w:rsid w:val="71A87217"/>
    <w:rsid w:val="724E0B35"/>
    <w:rsid w:val="741B0EB4"/>
    <w:rsid w:val="741D2E7E"/>
    <w:rsid w:val="75730E96"/>
    <w:rsid w:val="764E6789"/>
    <w:rsid w:val="769245DD"/>
    <w:rsid w:val="771E6148"/>
    <w:rsid w:val="774B4D65"/>
    <w:rsid w:val="791B54B2"/>
    <w:rsid w:val="79E7505A"/>
    <w:rsid w:val="7B09415C"/>
    <w:rsid w:val="7C691566"/>
    <w:rsid w:val="7D60687A"/>
    <w:rsid w:val="7E19208B"/>
    <w:rsid w:val="7F5B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jc w:val="center"/>
      <w:outlineLvl w:val="0"/>
    </w:pPr>
    <w:rPr>
      <w:b/>
      <w:bCs/>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qFormat/>
    <w:uiPriority w:val="0"/>
    <w:pPr>
      <w:numPr>
        <w:ilvl w:val="3"/>
        <w:numId w:val="1"/>
      </w:numPr>
      <w:autoSpaceDE w:val="0"/>
      <w:autoSpaceDN w:val="0"/>
      <w:adjustRightInd w:val="0"/>
      <w:snapToGrid w:val="0"/>
      <w:spacing w:line="360" w:lineRule="auto"/>
      <w:outlineLvl w:val="3"/>
    </w:pPr>
    <w:rPr>
      <w:rFonts w:ascii="宋体" w:hAnsi="Arial"/>
      <w:color w:val="000000"/>
      <w:sz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200" w:lineRule="exact"/>
      <w:ind w:firstLine="301"/>
    </w:pPr>
    <w:rPr>
      <w:rFonts w:ascii="宋体" w:hAnsi="Courier New"/>
      <w:spacing w:val="-4"/>
      <w:sz w:val="18"/>
      <w:szCs w:val="2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Plain Text"/>
    <w:basedOn w:val="1"/>
    <w:qFormat/>
    <w:uiPriority w:val="0"/>
    <w:pPr>
      <w:spacing w:beforeLines="50" w:afterLines="50" w:line="400" w:lineRule="exact"/>
    </w:pPr>
    <w:rPr>
      <w:rFonts w:ascii="宋体" w:hAnsi="Courier New"/>
      <w:sz w:val="24"/>
    </w:rPr>
  </w:style>
  <w:style w:type="paragraph" w:styleId="11">
    <w:name w:val="Body Text Indent 2"/>
    <w:basedOn w:val="1"/>
    <w:qFormat/>
    <w:uiPriority w:val="99"/>
    <w:pPr>
      <w:widowControl/>
      <w:spacing w:line="480" w:lineRule="atLeast"/>
      <w:ind w:firstLine="480"/>
    </w:pPr>
    <w:rPr>
      <w:rFonts w:ascii="宋体"/>
      <w:kern w:val="0"/>
      <w:sz w:val="24"/>
      <w:szCs w:val="20"/>
    </w:rPr>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5">
    <w:name w:val="toc 1"/>
    <w:basedOn w:val="1"/>
    <w:next w:val="1"/>
    <w:qFormat/>
    <w:uiPriority w:val="39"/>
  </w:style>
  <w:style w:type="paragraph" w:styleId="16">
    <w:name w:val="footnote text"/>
    <w:basedOn w:val="1"/>
    <w:unhideWhenUsed/>
    <w:qFormat/>
    <w:uiPriority w:val="0"/>
    <w:pPr>
      <w:snapToGrid w:val="0"/>
      <w:jc w:val="left"/>
    </w:pPr>
    <w:rPr>
      <w:sz w:val="18"/>
      <w:szCs w:val="18"/>
    </w:rPr>
  </w:style>
  <w:style w:type="paragraph" w:styleId="17">
    <w:name w:val="Body Text Indent 3"/>
    <w:basedOn w:val="1"/>
    <w:qFormat/>
    <w:uiPriority w:val="99"/>
    <w:pPr>
      <w:autoSpaceDE w:val="0"/>
      <w:autoSpaceDN w:val="0"/>
      <w:spacing w:line="400" w:lineRule="atLeast"/>
      <w:ind w:firstLine="443" w:firstLineChars="200"/>
      <w:textAlignment w:val="bottom"/>
    </w:pPr>
    <w:rPr>
      <w:rFonts w:eastAsia="黑体"/>
      <w:color w:val="000000"/>
      <w:sz w:val="24"/>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2"/>
    <w:unhideWhenUsed/>
    <w:qFormat/>
    <w:uiPriority w:val="0"/>
    <w:pPr>
      <w:tabs>
        <w:tab w:val="left" w:pos="1680"/>
      </w:tabs>
      <w:spacing w:after="120" w:line="360" w:lineRule="auto"/>
      <w:ind w:left="420" w:leftChars="200" w:firstLine="420" w:firstLineChars="200"/>
    </w:pPr>
    <w:rPr>
      <w:rFonts w:ascii="Calibri" w:hAnsi="Calibri"/>
      <w:sz w:val="21"/>
      <w:szCs w:val="22"/>
    </w:rPr>
  </w:style>
  <w:style w:type="character" w:styleId="23">
    <w:name w:val="page number"/>
    <w:qFormat/>
    <w:uiPriority w:val="0"/>
  </w:style>
  <w:style w:type="character" w:styleId="24">
    <w:name w:val="Hyperlink"/>
    <w:qFormat/>
    <w:uiPriority w:val="99"/>
    <w:rPr>
      <w:rFonts w:hint="eastAsia" w:ascii="宋体" w:hAnsi="宋体" w:eastAsia="宋体" w:cs="宋体"/>
      <w:color w:val="000000"/>
      <w:sz w:val="18"/>
      <w:szCs w:val="18"/>
      <w:u w:val="none"/>
    </w:rPr>
  </w:style>
  <w:style w:type="character" w:styleId="25">
    <w:name w:val="annotation reference"/>
    <w:basedOn w:val="22"/>
    <w:qFormat/>
    <w:uiPriority w:val="0"/>
    <w:rPr>
      <w:sz w:val="21"/>
      <w:szCs w:val="21"/>
    </w:rPr>
  </w:style>
  <w:style w:type="paragraph" w:customStyle="1" w:styleId="26">
    <w:name w:val="AbsatzTableFormat"/>
    <w:basedOn w:val="1"/>
    <w:qFormat/>
    <w:uiPriority w:val="0"/>
    <w:pPr>
      <w:widowControl/>
      <w:jc w:val="left"/>
    </w:pPr>
    <w:rPr>
      <w:rFonts w:ascii="Arial Narrow" w:hAnsi="Arial Narrow"/>
      <w:bCs/>
      <w:kern w:val="0"/>
      <w:sz w:val="22"/>
      <w:szCs w:val="21"/>
      <w:lang w:val="de-DE"/>
    </w:rPr>
  </w:style>
  <w:style w:type="character" w:customStyle="1" w:styleId="27">
    <w:name w:val="Anrede1IhrZeichen"/>
    <w:qFormat/>
    <w:uiPriority w:val="0"/>
    <w:rPr>
      <w:rFonts w:hint="default" w:ascii="Arial" w:hAnsi="Arial"/>
      <w:sz w:val="20"/>
    </w:rPr>
  </w:style>
  <w:style w:type="paragraph" w:customStyle="1" w:styleId="28">
    <w:name w:val="列出段落1"/>
    <w:basedOn w:val="1"/>
    <w:qFormat/>
    <w:uiPriority w:val="34"/>
    <w:pPr>
      <w:ind w:firstLine="420" w:firstLineChars="200"/>
    </w:pPr>
    <w:rPr>
      <w:szCs w:val="22"/>
    </w:rPr>
  </w:style>
  <w:style w:type="paragraph" w:customStyle="1" w:styleId="29">
    <w:name w:val="List Paragraph_23fe4057-0b61-4cc6-8901-e2d1d58ffaab"/>
    <w:basedOn w:val="1"/>
    <w:qFormat/>
    <w:uiPriority w:val="0"/>
    <w:pPr>
      <w:ind w:firstLine="420" w:firstLineChars="200"/>
    </w:pPr>
    <w:rPr>
      <w:rFonts w:ascii="Calibri" w:hAnsi="Calibri"/>
      <w:szCs w:val="22"/>
    </w:rPr>
  </w:style>
  <w:style w:type="paragraph" w:customStyle="1" w:styleId="30">
    <w:name w:val="Body text|2"/>
    <w:basedOn w:val="1"/>
    <w:qFormat/>
    <w:uiPriority w:val="0"/>
    <w:pPr>
      <w:spacing w:after="400"/>
      <w:jc w:val="center"/>
    </w:pPr>
    <w:rPr>
      <w:rFonts w:ascii="宋体" w:hAnsi="宋体" w:cs="宋体"/>
      <w:sz w:val="30"/>
      <w:szCs w:val="30"/>
      <w:lang w:val="zh-CN" w:bidi="zh-CN"/>
    </w:rPr>
  </w:style>
  <w:style w:type="paragraph" w:customStyle="1" w:styleId="31">
    <w:name w:val="Body text|1"/>
    <w:basedOn w:val="1"/>
    <w:qFormat/>
    <w:uiPriority w:val="0"/>
    <w:pPr>
      <w:spacing w:line="324" w:lineRule="auto"/>
      <w:jc w:val="left"/>
    </w:pPr>
    <w:rPr>
      <w:rFonts w:ascii="宋体" w:hAnsi="宋体" w:cs="宋体"/>
      <w:sz w:val="20"/>
      <w:lang w:val="zh-CN" w:bidi="zh-CN"/>
    </w:rPr>
  </w:style>
  <w:style w:type="paragraph" w:customStyle="1" w:styleId="3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33">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4">
    <w:name w:val="样式1"/>
    <w:basedOn w:val="1"/>
    <w:qFormat/>
    <w:uiPriority w:val="0"/>
    <w:pPr>
      <w:spacing w:line="360" w:lineRule="exact"/>
      <w:ind w:firstLine="200" w:firstLineChars="200"/>
    </w:pPr>
    <w:rPr>
      <w:rFonts w:ascii="Arial" w:hAnsi="Arial"/>
    </w:rPr>
  </w:style>
  <w:style w:type="paragraph" w:customStyle="1" w:styleId="35">
    <w:name w:val="纯文本1"/>
    <w:basedOn w:val="36"/>
    <w:qFormat/>
    <w:uiPriority w:val="0"/>
    <w:pPr>
      <w:widowControl/>
      <w:jc w:val="left"/>
    </w:pPr>
    <w:rPr>
      <w:rFonts w:ascii="宋体" w:hAnsi="Courier New"/>
    </w:rPr>
  </w:style>
  <w:style w:type="paragraph" w:customStyle="1" w:styleId="3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character" w:customStyle="1" w:styleId="38">
    <w:name w:val="标题 1 Char"/>
    <w:link w:val="3"/>
    <w:qFormat/>
    <w:uiPriority w:val="0"/>
    <w:rPr>
      <w:b/>
      <w:bCs/>
      <w:sz w:val="24"/>
    </w:rPr>
  </w:style>
  <w:style w:type="character" w:customStyle="1" w:styleId="39">
    <w:name w:val="fontstyle01"/>
    <w:qFormat/>
    <w:uiPriority w:val="0"/>
    <w:rPr>
      <w:rFonts w:hint="eastAsia" w:ascii="宋体" w:hAnsi="宋体" w:eastAsia="宋体"/>
      <w:color w:val="000000"/>
      <w:sz w:val="22"/>
      <w:szCs w:val="22"/>
    </w:rPr>
  </w:style>
  <w:style w:type="table" w:customStyle="1" w:styleId="40">
    <w:name w:val="Table Normal"/>
    <w:unhideWhenUsed/>
    <w:qFormat/>
    <w:uiPriority w:val="0"/>
    <w:tblPr>
      <w:tblCellMar>
        <w:top w:w="0" w:type="dxa"/>
        <w:left w:w="0" w:type="dxa"/>
        <w:bottom w:w="0" w:type="dxa"/>
        <w:right w:w="0" w:type="dxa"/>
      </w:tblCellMar>
    </w:tblPr>
  </w:style>
  <w:style w:type="character" w:customStyle="1" w:styleId="41">
    <w:name w:val="批注框文本 Char"/>
    <w:basedOn w:val="22"/>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42081</Words>
  <Characters>45515</Characters>
  <Lines>375</Lines>
  <Paragraphs>105</Paragraphs>
  <TotalTime>100</TotalTime>
  <ScaleCrop>false</ScaleCrop>
  <LinksUpToDate>false</LinksUpToDate>
  <CharactersWithSpaces>49469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2022-08-20T01:51:00Z</dcterms:created>
  <dc:creator>DELL</dc:creator>
  <cp:lastModifiedBy>天下为攻</cp:lastModifiedBy>
  <cp:lastPrinted>2022-11-26T02:05:00Z</cp:lastPrinted>
  <dcterms:modified xsi:type="dcterms:W3CDTF">2022-11-28T03:20:23Z</dcterms:modified>
  <dc:title>瑞安市妇幼保健院血透分析系统及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FBD4A93542E04BB5942604FBB5C67E0F</vt:lpwstr>
  </property>
</Properties>
</file>