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36"/>
          <w:szCs w:val="36"/>
        </w:rPr>
      </w:pPr>
      <w:r>
        <w:rPr>
          <w:rFonts w:hint="eastAsia" w:ascii="宋体" w:hAnsi="宋体" w:cs="宋体"/>
          <w:i w:val="0"/>
          <w:iCs w:val="0"/>
          <w:caps w:val="0"/>
          <w:color w:val="auto"/>
          <w:spacing w:val="0"/>
          <w:sz w:val="21"/>
          <w:szCs w:val="21"/>
          <w:lang w:val="en-US" w:eastAsia="zh-CN"/>
        </w:rPr>
        <w:t xml:space="preserve">                                                  </w:t>
      </w:r>
      <w:r>
        <w:drawing>
          <wp:inline distT="0" distB="0" distL="114300" distR="114300">
            <wp:extent cx="6028055" cy="8350885"/>
            <wp:effectExtent l="0" t="0" r="1079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6028055" cy="8350885"/>
                    </a:xfrm>
                    <a:prstGeom prst="rect">
                      <a:avLst/>
                    </a:prstGeom>
                    <a:noFill/>
                    <a:ln>
                      <a:noFill/>
                    </a:ln>
                  </pic:spPr>
                </pic:pic>
              </a:graphicData>
            </a:graphic>
          </wp:inline>
        </w:drawing>
      </w:r>
    </w:p>
    <w:p>
      <w:pPr>
        <w:spacing w:line="360" w:lineRule="auto"/>
        <w:jc w:val="center"/>
        <w:rPr>
          <w:rFonts w:ascii="宋体" w:hAnsi="宋体"/>
          <w:b/>
          <w:sz w:val="36"/>
        </w:rPr>
      </w:pPr>
    </w:p>
    <w:p>
      <w:pPr>
        <w:spacing w:line="360" w:lineRule="auto"/>
        <w:jc w:val="center"/>
        <w:rPr>
          <w:rFonts w:hint="eastAsia" w:ascii="宋体" w:hAnsi="宋体"/>
          <w:b/>
          <w:sz w:val="36"/>
        </w:rPr>
      </w:pPr>
      <w:r>
        <w:rPr>
          <w:rFonts w:hint="eastAsia" w:ascii="宋体" w:hAnsi="宋体"/>
          <w:b/>
          <w:sz w:val="36"/>
        </w:rPr>
        <w:t>目    录</w:t>
      </w:r>
    </w:p>
    <w:p>
      <w:pPr>
        <w:pStyle w:val="2"/>
        <w:numPr>
          <w:ilvl w:val="-1"/>
          <w:numId w:val="0"/>
        </w:numPr>
        <w:ind w:left="-54" w:firstLine="0"/>
      </w:pPr>
    </w:p>
    <w:p>
      <w:pPr>
        <w:pStyle w:val="28"/>
        <w:tabs>
          <w:tab w:val="right" w:leader="dot" w:pos="8930"/>
        </w:tabs>
      </w:pPr>
      <w:r>
        <w:rPr>
          <w:rFonts w:ascii="宋体" w:hAnsi="宋体"/>
          <w:b/>
        </w:rPr>
        <w:fldChar w:fldCharType="begin"/>
      </w:r>
      <w:r>
        <w:rPr>
          <w:rFonts w:ascii="宋体" w:hAnsi="宋体"/>
          <w:b/>
        </w:rPr>
        <w:instrText xml:space="preserve"> TOC \o "1-3" \h \z \u </w:instrText>
      </w:r>
      <w:r>
        <w:rPr>
          <w:rFonts w:ascii="宋体" w:hAnsi="宋体"/>
          <w:b/>
        </w:rPr>
        <w:fldChar w:fldCharType="separate"/>
      </w:r>
      <w:r>
        <w:rPr>
          <w:rFonts w:ascii="宋体" w:hAnsi="宋体"/>
        </w:rPr>
        <w:fldChar w:fldCharType="begin"/>
      </w:r>
      <w:r>
        <w:rPr>
          <w:rFonts w:ascii="宋体" w:hAnsi="宋体"/>
        </w:rPr>
        <w:instrText xml:space="preserve"> HYPERLINK \l _Toc20307 </w:instrText>
      </w:r>
      <w:r>
        <w:rPr>
          <w:rFonts w:ascii="宋体" w:hAnsi="宋体"/>
        </w:rPr>
        <w:fldChar w:fldCharType="separate"/>
      </w:r>
      <w:r>
        <w:rPr>
          <w:rFonts w:hint="eastAsia" w:ascii="宋体" w:hAnsi="宋体"/>
          <w:szCs w:val="32"/>
        </w:rPr>
        <w:t>第一部分  采购公告</w:t>
      </w:r>
      <w:r>
        <w:tab/>
      </w:r>
      <w:r>
        <w:fldChar w:fldCharType="begin"/>
      </w:r>
      <w:r>
        <w:instrText xml:space="preserve"> PAGEREF _Toc20307 \h </w:instrText>
      </w:r>
      <w:r>
        <w:fldChar w:fldCharType="separate"/>
      </w:r>
      <w:r>
        <w:t>1</w:t>
      </w:r>
      <w:r>
        <w:fldChar w:fldCharType="end"/>
      </w:r>
      <w:r>
        <w:rPr>
          <w:rFonts w:ascii="宋体" w:hAnsi="宋体"/>
        </w:rPr>
        <w:fldChar w:fldCharType="end"/>
      </w:r>
    </w:p>
    <w:p>
      <w:pPr>
        <w:pStyle w:val="28"/>
        <w:tabs>
          <w:tab w:val="right" w:leader="dot" w:pos="8930"/>
        </w:tabs>
      </w:pPr>
      <w:r>
        <w:rPr>
          <w:rFonts w:ascii="宋体" w:hAnsi="宋体"/>
        </w:rPr>
        <w:fldChar w:fldCharType="begin"/>
      </w:r>
      <w:r>
        <w:rPr>
          <w:rFonts w:ascii="宋体" w:hAnsi="宋体"/>
        </w:rPr>
        <w:instrText xml:space="preserve"> HYPERLINK \l _Toc1389 </w:instrText>
      </w:r>
      <w:r>
        <w:rPr>
          <w:rFonts w:ascii="宋体" w:hAnsi="宋体"/>
        </w:rPr>
        <w:fldChar w:fldCharType="separate"/>
      </w:r>
      <w:r>
        <w:rPr>
          <w:rFonts w:hint="eastAsia" w:ascii="宋体" w:hAnsi="宋体"/>
          <w:szCs w:val="32"/>
        </w:rPr>
        <w:t xml:space="preserve">第二部分 </w:t>
      </w:r>
      <w:r>
        <w:rPr>
          <w:rFonts w:hint="eastAsia" w:ascii="宋体" w:hAnsi="宋体"/>
          <w:szCs w:val="32"/>
          <w:lang w:val="en-US" w:eastAsia="zh-CN"/>
        </w:rPr>
        <w:t xml:space="preserve"> </w:t>
      </w:r>
      <w:r>
        <w:rPr>
          <w:rFonts w:hint="eastAsia" w:ascii="宋体" w:hAnsi="宋体"/>
          <w:szCs w:val="32"/>
        </w:rPr>
        <w:t>招标项目需求</w:t>
      </w:r>
      <w:r>
        <w:tab/>
      </w:r>
      <w:r>
        <w:fldChar w:fldCharType="begin"/>
      </w:r>
      <w:r>
        <w:instrText xml:space="preserve"> PAGEREF _Toc1389 \h </w:instrText>
      </w:r>
      <w:r>
        <w:fldChar w:fldCharType="separate"/>
      </w:r>
      <w:r>
        <w:t>6</w:t>
      </w:r>
      <w:r>
        <w:fldChar w:fldCharType="end"/>
      </w:r>
      <w:r>
        <w:rPr>
          <w:rFonts w:ascii="宋体" w:hAnsi="宋体"/>
        </w:rPr>
        <w:fldChar w:fldCharType="end"/>
      </w:r>
    </w:p>
    <w:p>
      <w:pPr>
        <w:pStyle w:val="28"/>
        <w:tabs>
          <w:tab w:val="right" w:leader="dot" w:pos="8930"/>
        </w:tabs>
      </w:pPr>
      <w:r>
        <w:rPr>
          <w:rFonts w:ascii="宋体" w:hAnsi="宋体"/>
        </w:rPr>
        <w:fldChar w:fldCharType="begin"/>
      </w:r>
      <w:r>
        <w:rPr>
          <w:rFonts w:ascii="宋体" w:hAnsi="宋体"/>
        </w:rPr>
        <w:instrText xml:space="preserve"> HYPERLINK \l _Toc14280 </w:instrText>
      </w:r>
      <w:r>
        <w:rPr>
          <w:rFonts w:ascii="宋体" w:hAnsi="宋体"/>
        </w:rPr>
        <w:fldChar w:fldCharType="separate"/>
      </w:r>
      <w:r>
        <w:rPr>
          <w:rFonts w:hint="eastAsia" w:ascii="宋体" w:hAnsi="宋体"/>
          <w:szCs w:val="32"/>
        </w:rPr>
        <w:t>第三部分  投标资料表</w:t>
      </w:r>
      <w:r>
        <w:tab/>
      </w:r>
      <w:r>
        <w:fldChar w:fldCharType="begin"/>
      </w:r>
      <w:r>
        <w:instrText xml:space="preserve"> PAGEREF _Toc14280 \h </w:instrText>
      </w:r>
      <w:r>
        <w:fldChar w:fldCharType="separate"/>
      </w:r>
      <w:r>
        <w:t>16</w:t>
      </w:r>
      <w:r>
        <w:fldChar w:fldCharType="end"/>
      </w:r>
      <w:r>
        <w:rPr>
          <w:rFonts w:ascii="宋体" w:hAnsi="宋体"/>
        </w:rPr>
        <w:fldChar w:fldCharType="end"/>
      </w:r>
    </w:p>
    <w:p>
      <w:pPr>
        <w:pStyle w:val="28"/>
        <w:tabs>
          <w:tab w:val="right" w:leader="dot" w:pos="8930"/>
        </w:tabs>
      </w:pPr>
      <w:r>
        <w:rPr>
          <w:rFonts w:ascii="宋体" w:hAnsi="宋体"/>
        </w:rPr>
        <w:fldChar w:fldCharType="begin"/>
      </w:r>
      <w:r>
        <w:rPr>
          <w:rFonts w:ascii="宋体" w:hAnsi="宋体"/>
        </w:rPr>
        <w:instrText xml:space="preserve"> HYPERLINK \l _Toc31596 </w:instrText>
      </w:r>
      <w:r>
        <w:rPr>
          <w:rFonts w:ascii="宋体" w:hAnsi="宋体"/>
        </w:rPr>
        <w:fldChar w:fldCharType="separate"/>
      </w:r>
      <w:r>
        <w:rPr>
          <w:rFonts w:hint="eastAsia"/>
          <w:szCs w:val="32"/>
        </w:rPr>
        <w:t xml:space="preserve">第四部分 </w:t>
      </w:r>
      <w:r>
        <w:rPr>
          <w:rFonts w:hint="eastAsia"/>
          <w:szCs w:val="32"/>
          <w:lang w:val="en-US" w:eastAsia="zh-CN"/>
        </w:rPr>
        <w:t xml:space="preserve"> </w:t>
      </w:r>
      <w:r>
        <w:rPr>
          <w:rFonts w:hint="eastAsia"/>
          <w:szCs w:val="32"/>
        </w:rPr>
        <w:t>投标人须知</w:t>
      </w:r>
      <w:r>
        <w:tab/>
      </w:r>
      <w:r>
        <w:fldChar w:fldCharType="begin"/>
      </w:r>
      <w:r>
        <w:instrText xml:space="preserve"> PAGEREF _Toc31596 \h </w:instrText>
      </w:r>
      <w:r>
        <w:fldChar w:fldCharType="separate"/>
      </w:r>
      <w:r>
        <w:t>19</w:t>
      </w:r>
      <w:r>
        <w:fldChar w:fldCharType="end"/>
      </w:r>
      <w:r>
        <w:rPr>
          <w:rFonts w:ascii="宋体" w:hAnsi="宋体"/>
        </w:rPr>
        <w:fldChar w:fldCharType="end"/>
      </w:r>
    </w:p>
    <w:p>
      <w:pPr>
        <w:pStyle w:val="28"/>
        <w:tabs>
          <w:tab w:val="right" w:leader="dot" w:pos="8930"/>
        </w:tabs>
      </w:pPr>
      <w:r>
        <w:rPr>
          <w:rFonts w:ascii="宋体" w:hAnsi="宋体"/>
        </w:rPr>
        <w:fldChar w:fldCharType="begin"/>
      </w:r>
      <w:r>
        <w:rPr>
          <w:rFonts w:ascii="宋体" w:hAnsi="宋体"/>
        </w:rPr>
        <w:instrText xml:space="preserve"> HYPERLINK \l _Toc25798 </w:instrText>
      </w:r>
      <w:r>
        <w:rPr>
          <w:rFonts w:ascii="宋体" w:hAnsi="宋体"/>
        </w:rPr>
        <w:fldChar w:fldCharType="separate"/>
      </w:r>
      <w:r>
        <w:rPr>
          <w:rFonts w:hint="eastAsia" w:ascii="宋体" w:hAnsi="宋体"/>
          <w:szCs w:val="32"/>
        </w:rPr>
        <w:t>第五部分  合同格式</w:t>
      </w:r>
      <w:r>
        <w:tab/>
      </w:r>
      <w:r>
        <w:fldChar w:fldCharType="begin"/>
      </w:r>
      <w:r>
        <w:instrText xml:space="preserve"> PAGEREF _Toc25798 \h </w:instrText>
      </w:r>
      <w:r>
        <w:fldChar w:fldCharType="separate"/>
      </w:r>
      <w:r>
        <w:t>34</w:t>
      </w:r>
      <w:r>
        <w:fldChar w:fldCharType="end"/>
      </w:r>
      <w:r>
        <w:rPr>
          <w:rFonts w:ascii="宋体" w:hAnsi="宋体"/>
        </w:rPr>
        <w:fldChar w:fldCharType="end"/>
      </w:r>
    </w:p>
    <w:p>
      <w:pPr>
        <w:pStyle w:val="28"/>
        <w:tabs>
          <w:tab w:val="right" w:leader="dot" w:pos="8930"/>
        </w:tabs>
      </w:pPr>
      <w:r>
        <w:rPr>
          <w:rFonts w:ascii="宋体" w:hAnsi="宋体"/>
        </w:rPr>
        <w:fldChar w:fldCharType="begin"/>
      </w:r>
      <w:r>
        <w:rPr>
          <w:rFonts w:ascii="宋体" w:hAnsi="宋体"/>
        </w:rPr>
        <w:instrText xml:space="preserve"> HYPERLINK \l _Toc19643 </w:instrText>
      </w:r>
      <w:r>
        <w:rPr>
          <w:rFonts w:ascii="宋体" w:hAnsi="宋体"/>
        </w:rPr>
        <w:fldChar w:fldCharType="separate"/>
      </w:r>
      <w:r>
        <w:rPr>
          <w:rFonts w:hint="eastAsia" w:ascii="宋体" w:hAnsi="宋体"/>
          <w:szCs w:val="32"/>
        </w:rPr>
        <w:t>第六部分  评标办法</w:t>
      </w:r>
      <w:r>
        <w:tab/>
      </w:r>
      <w:r>
        <w:fldChar w:fldCharType="begin"/>
      </w:r>
      <w:r>
        <w:instrText xml:space="preserve"> PAGEREF _Toc19643 \h </w:instrText>
      </w:r>
      <w:r>
        <w:fldChar w:fldCharType="separate"/>
      </w:r>
      <w:r>
        <w:t>45</w:t>
      </w:r>
      <w:r>
        <w:fldChar w:fldCharType="end"/>
      </w:r>
      <w:r>
        <w:rPr>
          <w:rFonts w:ascii="宋体" w:hAnsi="宋体"/>
        </w:rPr>
        <w:fldChar w:fldCharType="end"/>
      </w:r>
    </w:p>
    <w:p>
      <w:pPr>
        <w:pStyle w:val="28"/>
        <w:tabs>
          <w:tab w:val="right" w:leader="dot" w:pos="8930"/>
        </w:tabs>
      </w:pPr>
      <w:r>
        <w:rPr>
          <w:rFonts w:ascii="宋体" w:hAnsi="宋体"/>
        </w:rPr>
        <w:fldChar w:fldCharType="begin"/>
      </w:r>
      <w:r>
        <w:rPr>
          <w:rFonts w:ascii="宋体" w:hAnsi="宋体"/>
        </w:rPr>
        <w:instrText xml:space="preserve"> HYPERLINK \l _Toc15869 </w:instrText>
      </w:r>
      <w:r>
        <w:rPr>
          <w:rFonts w:ascii="宋体" w:hAnsi="宋体"/>
        </w:rPr>
        <w:fldChar w:fldCharType="separate"/>
      </w:r>
      <w:r>
        <w:rPr>
          <w:rFonts w:hint="eastAsia" w:ascii="宋体" w:hAnsi="宋体"/>
          <w:szCs w:val="32"/>
        </w:rPr>
        <w:t xml:space="preserve">第七部分 </w:t>
      </w:r>
      <w:r>
        <w:rPr>
          <w:rFonts w:hint="eastAsia" w:ascii="宋体" w:hAnsi="宋体"/>
          <w:szCs w:val="32"/>
          <w:lang w:val="en-US" w:eastAsia="zh-CN"/>
        </w:rPr>
        <w:t xml:space="preserve"> </w:t>
      </w:r>
      <w:r>
        <w:rPr>
          <w:rFonts w:hint="eastAsia" w:ascii="宋体" w:hAnsi="宋体"/>
          <w:szCs w:val="32"/>
        </w:rPr>
        <w:t>投标文件格式</w:t>
      </w:r>
      <w:r>
        <w:tab/>
      </w:r>
      <w:r>
        <w:fldChar w:fldCharType="begin"/>
      </w:r>
      <w:r>
        <w:instrText xml:space="preserve"> PAGEREF _Toc15869 \h </w:instrText>
      </w:r>
      <w:r>
        <w:fldChar w:fldCharType="separate"/>
      </w:r>
      <w:r>
        <w:t>51</w:t>
      </w:r>
      <w:r>
        <w:fldChar w:fldCharType="end"/>
      </w:r>
      <w:r>
        <w:rPr>
          <w:rFonts w:ascii="宋体" w:hAnsi="宋体"/>
        </w:rPr>
        <w:fldChar w:fldCharType="end"/>
      </w:r>
    </w:p>
    <w:p>
      <w:pPr>
        <w:spacing w:line="360" w:lineRule="auto"/>
        <w:rPr>
          <w:rFonts w:ascii="宋体" w:hAnsi="宋体"/>
          <w:b/>
          <w:sz w:val="36"/>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b/>
        </w:rPr>
        <w:fldChar w:fldCharType="end"/>
      </w:r>
    </w:p>
    <w:p>
      <w:pPr>
        <w:spacing w:line="360" w:lineRule="auto"/>
        <w:jc w:val="center"/>
        <w:rPr>
          <w:rFonts w:ascii="宋体" w:hAnsi="宋体"/>
          <w:b/>
          <w:sz w:val="36"/>
        </w:rPr>
      </w:pPr>
    </w:p>
    <w:p>
      <w:pPr>
        <w:pStyle w:val="3"/>
        <w:spacing w:beforeLines="0" w:afterLines="0" w:line="360" w:lineRule="auto"/>
        <w:rPr>
          <w:rFonts w:ascii="宋体" w:hAnsi="宋体"/>
          <w:sz w:val="32"/>
          <w:szCs w:val="32"/>
        </w:rPr>
      </w:pPr>
      <w:bookmarkStart w:id="0" w:name="_Toc298230957"/>
      <w:r>
        <w:rPr>
          <w:rFonts w:ascii="宋体" w:hAnsi="宋体"/>
          <w:sz w:val="32"/>
          <w:szCs w:val="32"/>
        </w:rPr>
        <w:br w:type="page"/>
      </w:r>
    </w:p>
    <w:p>
      <w:pPr>
        <w:pStyle w:val="3"/>
        <w:spacing w:beforeLines="0" w:afterLines="0" w:line="360" w:lineRule="auto"/>
        <w:rPr>
          <w:rFonts w:ascii="宋体" w:hAnsi="宋体"/>
          <w:sz w:val="32"/>
          <w:szCs w:val="32"/>
        </w:rPr>
      </w:pPr>
      <w:bookmarkStart w:id="1" w:name="_Toc20307"/>
      <w:bookmarkStart w:id="2" w:name="_Toc136345082"/>
      <w:r>
        <w:rPr>
          <w:rFonts w:hint="eastAsia" w:ascii="宋体" w:hAnsi="宋体"/>
          <w:sz w:val="32"/>
          <w:szCs w:val="32"/>
        </w:rPr>
        <w:t>第一部分</w:t>
      </w:r>
      <w:bookmarkEnd w:id="0"/>
      <w:r>
        <w:rPr>
          <w:rFonts w:hint="eastAsia" w:ascii="宋体" w:hAnsi="宋体"/>
          <w:sz w:val="32"/>
          <w:szCs w:val="32"/>
        </w:rPr>
        <w:t xml:space="preserve">  采购公告</w:t>
      </w:r>
      <w:bookmarkEnd w:id="1"/>
      <w:bookmarkEnd w:id="2"/>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u w:val="single"/>
        </w:rPr>
        <w:t>庄桥老街街区更新项目活力街区更新工程全过程咨询项目</w:t>
      </w:r>
      <w:r>
        <w:rPr>
          <w:rFonts w:hint="eastAsia" w:ascii="宋体" w:hAnsi="宋体"/>
        </w:rPr>
        <w:t>的潜在投标人应在</w:t>
      </w:r>
      <w:r>
        <w:rPr>
          <w:rFonts w:hint="eastAsia" w:ascii="宋体" w:hAnsi="宋体"/>
          <w:u w:val="single"/>
        </w:rPr>
        <w:t>政府采购云平台（</w:t>
      </w:r>
      <w:r>
        <w:fldChar w:fldCharType="begin"/>
      </w:r>
      <w:r>
        <w:instrText xml:space="preserve"> HYPERLINK "http://www.zcygov.cn）获取（下载）招标文件，并于2020年" </w:instrText>
      </w:r>
      <w:r>
        <w:fldChar w:fldCharType="separate"/>
      </w:r>
      <w:r>
        <w:rPr>
          <w:rStyle w:val="45"/>
          <w:rFonts w:hint="eastAsia" w:ascii="宋体" w:hAnsi="宋体"/>
          <w:color w:val="auto"/>
        </w:rPr>
        <w:t>www.zcygov.cn）获取（下载）招标文件，并于202</w:t>
      </w:r>
      <w:r>
        <w:rPr>
          <w:rStyle w:val="45"/>
          <w:rFonts w:hint="eastAsia" w:ascii="宋体" w:hAnsi="宋体"/>
          <w:color w:val="auto"/>
          <w:lang w:val="en-US" w:eastAsia="zh-CN"/>
        </w:rPr>
        <w:t>5</w:t>
      </w:r>
      <w:r>
        <w:rPr>
          <w:rStyle w:val="45"/>
          <w:rFonts w:hint="eastAsia" w:ascii="宋体" w:hAnsi="宋体"/>
          <w:bCs/>
          <w:color w:val="auto"/>
        </w:rPr>
        <w:t>年</w:t>
      </w:r>
      <w:r>
        <w:rPr>
          <w:rStyle w:val="45"/>
          <w:rFonts w:hint="eastAsia" w:ascii="宋体" w:hAnsi="宋体"/>
          <w:bCs/>
          <w:color w:val="auto"/>
        </w:rPr>
        <w:fldChar w:fldCharType="end"/>
      </w:r>
      <w:r>
        <w:rPr>
          <w:rFonts w:hint="eastAsia" w:ascii="宋体" w:hAnsi="宋体"/>
          <w:bCs/>
          <w:u w:val="single"/>
          <w:lang w:val="en-US" w:eastAsia="zh-CN"/>
        </w:rPr>
        <w:t>7</w:t>
      </w:r>
      <w:r>
        <w:rPr>
          <w:rFonts w:hint="eastAsia" w:ascii="宋体" w:hAnsi="宋体"/>
          <w:bCs/>
          <w:u w:val="single"/>
        </w:rPr>
        <w:t>月</w:t>
      </w:r>
      <w:r>
        <w:rPr>
          <w:rFonts w:hint="eastAsia" w:ascii="宋体" w:hAnsi="宋体"/>
          <w:bCs/>
          <w:u w:val="single"/>
          <w:lang w:val="en-US" w:eastAsia="zh-CN"/>
        </w:rPr>
        <w:t>30</w:t>
      </w:r>
      <w:r>
        <w:rPr>
          <w:rFonts w:hint="eastAsia" w:ascii="宋体" w:hAnsi="宋体"/>
          <w:bCs/>
          <w:u w:val="single"/>
        </w:rPr>
        <w:t>日09点00分（</w:t>
      </w:r>
      <w:r>
        <w:rPr>
          <w:rFonts w:hint="eastAsia" w:ascii="宋体" w:hAnsi="宋体"/>
          <w:bCs/>
        </w:rPr>
        <w:t>北京时间）前递交投标文件</w:t>
      </w:r>
      <w:r>
        <w:rPr>
          <w:rFonts w:hint="eastAsia" w:ascii="宋体" w:hAnsi="宋体"/>
        </w:rPr>
        <w:t>。</w:t>
      </w:r>
    </w:p>
    <w:p>
      <w:pPr>
        <w:ind w:firstLine="200"/>
        <w:rPr>
          <w:rFonts w:ascii="宋体" w:hAnsi="宋体"/>
        </w:rPr>
      </w:pPr>
    </w:p>
    <w:p>
      <w:pPr>
        <w:pStyle w:val="4"/>
        <w:spacing w:line="360" w:lineRule="auto"/>
        <w:jc w:val="both"/>
        <w:rPr>
          <w:rFonts w:ascii="宋体" w:hAnsi="宋体" w:cs="宋体"/>
          <w:sz w:val="21"/>
          <w:szCs w:val="21"/>
        </w:rPr>
      </w:pPr>
      <w:bookmarkStart w:id="3" w:name="_Toc136345083"/>
      <w:bookmarkStart w:id="4" w:name="_Toc136017621"/>
      <w:bookmarkStart w:id="5" w:name="_Toc35393790"/>
      <w:bookmarkStart w:id="6" w:name="_Toc35393621"/>
      <w:bookmarkStart w:id="7" w:name="_Toc14447"/>
      <w:bookmarkStart w:id="8" w:name="_Toc28359079"/>
      <w:bookmarkStart w:id="9" w:name="_Toc28359002"/>
      <w:bookmarkStart w:id="10" w:name="_Hlk24379207"/>
      <w:r>
        <w:rPr>
          <w:rFonts w:hint="eastAsia" w:ascii="宋体" w:hAnsi="宋体" w:cs="宋体"/>
          <w:sz w:val="21"/>
          <w:szCs w:val="21"/>
        </w:rPr>
        <w:t>一、项目基本情况</w:t>
      </w:r>
      <w:bookmarkEnd w:id="3"/>
      <w:bookmarkEnd w:id="4"/>
      <w:bookmarkEnd w:id="5"/>
      <w:bookmarkEnd w:id="6"/>
      <w:bookmarkEnd w:id="7"/>
      <w:bookmarkEnd w:id="8"/>
      <w:bookmarkEnd w:id="9"/>
    </w:p>
    <w:bookmarkEnd w:id="10"/>
    <w:p>
      <w:pPr>
        <w:spacing w:line="360" w:lineRule="auto"/>
        <w:ind w:firstLine="420" w:firstLineChars="200"/>
        <w:rPr>
          <w:rFonts w:ascii="宋体" w:hAnsi="宋体"/>
        </w:rPr>
      </w:pPr>
      <w:r>
        <w:rPr>
          <w:rFonts w:hint="eastAsia" w:ascii="宋体" w:hAnsi="宋体"/>
        </w:rPr>
        <w:t>项目编号：NBGODOZB225090G</w:t>
      </w:r>
    </w:p>
    <w:p>
      <w:pPr>
        <w:spacing w:line="360" w:lineRule="auto"/>
        <w:ind w:firstLine="420" w:firstLineChars="200"/>
        <w:rPr>
          <w:rFonts w:ascii="宋体" w:hAnsi="宋体"/>
          <w:color w:val="auto"/>
          <w:highlight w:val="none"/>
        </w:rPr>
      </w:pPr>
      <w:r>
        <w:rPr>
          <w:rFonts w:hint="eastAsia" w:ascii="宋体" w:hAnsi="宋体"/>
          <w:color w:val="auto"/>
          <w:highlight w:val="none"/>
        </w:rPr>
        <w:t>项目名称：庄桥老街街区更新项目活力街区更新工程全过程咨询项目</w:t>
      </w:r>
    </w:p>
    <w:p>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预算金额（元）：</w:t>
      </w:r>
      <w:r>
        <w:rPr>
          <w:rFonts w:hint="eastAsia" w:ascii="宋体" w:hAnsi="宋体" w:eastAsia="宋体" w:cs="宋体"/>
          <w:color w:val="auto"/>
          <w:sz w:val="21"/>
          <w:szCs w:val="21"/>
          <w:highlight w:val="none"/>
          <w:lang w:val="en-US" w:eastAsia="zh-CN"/>
        </w:rPr>
        <w:t>111788</w:t>
      </w:r>
      <w:r>
        <w:rPr>
          <w:rFonts w:hint="eastAsia" w:ascii="宋体" w:hAnsi="宋体"/>
          <w:color w:val="auto"/>
          <w:highlight w:val="none"/>
          <w:lang w:val="en-US" w:eastAsia="zh-CN"/>
        </w:rPr>
        <w:t>0.00</w:t>
      </w:r>
    </w:p>
    <w:p>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最高限价（</w:t>
      </w:r>
      <w:r>
        <w:rPr>
          <w:rFonts w:hint="eastAsia" w:ascii="宋体" w:hAnsi="宋体"/>
          <w:color w:val="auto"/>
          <w:highlight w:val="none"/>
          <w:lang w:val="en-US" w:eastAsia="zh-CN"/>
        </w:rPr>
        <w:t>%</w:t>
      </w:r>
      <w:r>
        <w:rPr>
          <w:rFonts w:hint="eastAsia" w:ascii="宋体" w:hAnsi="宋体"/>
          <w:color w:val="auto"/>
          <w:highlight w:val="none"/>
        </w:rPr>
        <w:t>）：</w:t>
      </w:r>
      <w:r>
        <w:rPr>
          <w:rFonts w:hint="eastAsia" w:ascii="宋体" w:hAnsi="宋体"/>
          <w:color w:val="auto"/>
          <w:highlight w:val="none"/>
          <w:lang w:val="en-US" w:eastAsia="zh-CN"/>
        </w:rPr>
        <w:t xml:space="preserve"> 折扣率100%</w:t>
      </w:r>
    </w:p>
    <w:p>
      <w:pPr>
        <w:spacing w:line="360" w:lineRule="auto"/>
        <w:ind w:firstLine="420" w:firstLineChars="200"/>
        <w:rPr>
          <w:rFonts w:ascii="宋体" w:hAnsi="宋体"/>
          <w:color w:val="auto"/>
          <w:highlight w:val="none"/>
        </w:rPr>
      </w:pPr>
      <w:r>
        <w:rPr>
          <w:rFonts w:hint="eastAsia" w:ascii="宋体" w:hAnsi="宋体"/>
          <w:color w:val="auto"/>
          <w:highlight w:val="none"/>
        </w:rPr>
        <w:t>采购需求：</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  标项名称：庄桥老街街区更新项目活力街区更新工程全过程咨询项目</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  数量：1项</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  预算金额（元）：</w:t>
      </w:r>
      <w:r>
        <w:rPr>
          <w:rFonts w:hint="eastAsia" w:ascii="宋体" w:hAnsi="宋体" w:eastAsia="宋体" w:cs="宋体"/>
          <w:color w:val="auto"/>
          <w:sz w:val="21"/>
          <w:szCs w:val="21"/>
          <w:highlight w:val="none"/>
          <w:lang w:val="en-US" w:eastAsia="zh-CN"/>
        </w:rPr>
        <w:t>111788</w:t>
      </w:r>
      <w:r>
        <w:rPr>
          <w:rFonts w:hint="eastAsia" w:ascii="宋体" w:hAnsi="宋体"/>
          <w:color w:val="auto"/>
          <w:highlight w:val="none"/>
          <w:lang w:val="en-US" w:eastAsia="zh-CN"/>
        </w:rPr>
        <w:t>0.00</w:t>
      </w:r>
    </w:p>
    <w:p>
      <w:pPr>
        <w:spacing w:line="360" w:lineRule="auto"/>
        <w:ind w:firstLine="420" w:firstLineChars="200"/>
        <w:rPr>
          <w:rFonts w:ascii="宋体" w:hAnsi="宋体" w:cs="仿宋_GB2312"/>
          <w:color w:val="auto"/>
          <w:szCs w:val="21"/>
          <w:highlight w:val="none"/>
        </w:rPr>
      </w:pPr>
      <w:r>
        <w:rPr>
          <w:rFonts w:hint="eastAsia" w:ascii="宋体" w:hAnsi="宋体"/>
          <w:color w:val="auto"/>
          <w:highlight w:val="none"/>
        </w:rPr>
        <w:t xml:space="preserve">  简要规格描述或项目基本概况介绍、用途：由采购人委托中标人负责</w:t>
      </w:r>
      <w:r>
        <w:rPr>
          <w:rFonts w:hint="eastAsia" w:ascii="宋体" w:hAnsi="宋体"/>
          <w:color w:val="auto"/>
          <w:highlight w:val="none"/>
          <w:u w:val="single"/>
        </w:rPr>
        <w:t>庄桥老街街区更新项目活力街区更新工程全过程咨询</w:t>
      </w:r>
      <w:r>
        <w:rPr>
          <w:rFonts w:hint="eastAsia" w:ascii="宋体" w:hAnsi="宋体"/>
          <w:color w:val="auto"/>
          <w:highlight w:val="none"/>
        </w:rPr>
        <w:t>服务工作，内容包括：</w:t>
      </w:r>
      <w:r>
        <w:rPr>
          <w:rFonts w:hint="eastAsia" w:ascii="宋体" w:hAnsi="宋体" w:eastAsia="宋体" w:cs="宋体"/>
          <w:color w:val="auto"/>
          <w:sz w:val="21"/>
          <w:szCs w:val="21"/>
          <w:highlight w:val="none"/>
          <w:lang w:val="zh-CN"/>
        </w:rPr>
        <w:t>项目建设管理服务</w:t>
      </w:r>
      <w:r>
        <w:rPr>
          <w:rFonts w:hint="eastAsia" w:ascii="宋体" w:hAnsi="宋体"/>
          <w:color w:val="auto"/>
          <w:highlight w:val="none"/>
          <w:lang w:eastAsia="zh-CN"/>
        </w:rPr>
        <w:t>（</w:t>
      </w:r>
      <w:r>
        <w:rPr>
          <w:rFonts w:hint="eastAsia" w:ascii="宋体" w:hAnsi="宋体"/>
          <w:color w:val="auto"/>
          <w:highlight w:val="none"/>
          <w:lang w:val="en-US" w:eastAsia="zh-CN"/>
        </w:rPr>
        <w:t>不含前期服务</w:t>
      </w:r>
      <w:r>
        <w:rPr>
          <w:rFonts w:hint="eastAsia" w:ascii="宋体" w:hAnsi="宋体"/>
          <w:color w:val="auto"/>
          <w:highlight w:val="none"/>
          <w:lang w:eastAsia="zh-CN"/>
        </w:rPr>
        <w:t>）</w:t>
      </w:r>
      <w:r>
        <w:rPr>
          <w:rFonts w:hint="eastAsia" w:ascii="宋体" w:hAnsi="宋体"/>
          <w:color w:val="auto"/>
          <w:highlight w:val="none"/>
        </w:rPr>
        <w:t>、监理、施工阶段全过程工程造价控制服务（不含招标控制价及工程量清单编制</w:t>
      </w:r>
      <w:r>
        <w:rPr>
          <w:rFonts w:hint="eastAsia" w:ascii="宋体" w:hAnsi="宋体"/>
          <w:color w:val="auto"/>
          <w:highlight w:val="none"/>
          <w:lang w:eastAsia="zh-CN"/>
        </w:rPr>
        <w:t>、</w:t>
      </w:r>
      <w:r>
        <w:rPr>
          <w:rFonts w:hint="eastAsia" w:ascii="宋体" w:hAnsi="宋体"/>
          <w:color w:val="auto"/>
          <w:highlight w:val="none"/>
          <w:lang w:val="en-US" w:eastAsia="zh-CN"/>
        </w:rPr>
        <w:t>不含结算审核</w:t>
      </w:r>
      <w:r>
        <w:rPr>
          <w:rFonts w:hint="eastAsia" w:ascii="宋体" w:hAnsi="宋体"/>
          <w:color w:val="auto"/>
          <w:highlight w:val="none"/>
        </w:rPr>
        <w:t>）及其他受到采购人委托的相关工作，</w:t>
      </w:r>
      <w:r>
        <w:rPr>
          <w:rFonts w:hint="eastAsia" w:ascii="宋体" w:hAnsi="宋体"/>
          <w:color w:val="auto"/>
          <w:highlight w:val="none"/>
          <w:lang w:val="en-US" w:eastAsia="zh-CN"/>
        </w:rPr>
        <w:t>具体</w:t>
      </w:r>
      <w:r>
        <w:rPr>
          <w:rFonts w:hint="eastAsia" w:ascii="宋体" w:hAnsi="宋体"/>
          <w:color w:val="auto"/>
          <w:highlight w:val="none"/>
        </w:rPr>
        <w:t>详见第二部分招标项目需求。</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  备注：</w:t>
      </w:r>
    </w:p>
    <w:p>
      <w:pPr>
        <w:spacing w:line="360" w:lineRule="auto"/>
        <w:ind w:firstLine="420" w:firstLineChars="200"/>
        <w:rPr>
          <w:rFonts w:ascii="宋体" w:hAnsi="宋体"/>
        </w:rPr>
      </w:pPr>
      <w:r>
        <w:rPr>
          <w:rFonts w:hint="eastAsia" w:ascii="宋体" w:hAnsi="宋体"/>
          <w:color w:val="auto"/>
          <w:highlight w:val="none"/>
        </w:rPr>
        <w:t>合同履行期限：自签订合同之日起至工程竣工验收通过、缺陷责任期</w:t>
      </w:r>
      <w:r>
        <w:rPr>
          <w:rFonts w:hint="eastAsia" w:ascii="宋体" w:hAnsi="宋体"/>
        </w:rPr>
        <w:t>满，且全部资料归档，财务决算审计完成止。</w:t>
      </w:r>
    </w:p>
    <w:p>
      <w:pPr>
        <w:spacing w:line="360" w:lineRule="auto"/>
        <w:ind w:firstLine="420" w:firstLineChars="200"/>
        <w:rPr>
          <w:rFonts w:ascii="宋体" w:hAnsi="宋体"/>
        </w:rPr>
      </w:pPr>
      <w:bookmarkStart w:id="11" w:name="_Toc28359080"/>
      <w:bookmarkStart w:id="12" w:name="_Toc28359003"/>
      <w:bookmarkStart w:id="13" w:name="_Toc35393622"/>
      <w:bookmarkStart w:id="14" w:name="_Toc35393791"/>
      <w:r>
        <w:rPr>
          <w:rFonts w:hint="eastAsia" w:ascii="宋体" w:hAnsi="宋体"/>
        </w:rPr>
        <w:t>本项目（是）接受联合体投标。</w:t>
      </w:r>
    </w:p>
    <w:p>
      <w:pPr>
        <w:pStyle w:val="4"/>
        <w:spacing w:line="360" w:lineRule="auto"/>
        <w:jc w:val="both"/>
        <w:rPr>
          <w:rFonts w:ascii="宋体" w:hAnsi="宋体" w:cs="宋体"/>
          <w:sz w:val="21"/>
          <w:szCs w:val="21"/>
        </w:rPr>
      </w:pPr>
      <w:bookmarkStart w:id="15" w:name="_Toc136345084"/>
      <w:bookmarkStart w:id="16" w:name="_Toc136017622"/>
      <w:bookmarkStart w:id="17" w:name="_Toc8054"/>
      <w:r>
        <w:rPr>
          <w:rFonts w:hint="eastAsia" w:ascii="宋体" w:hAnsi="宋体" w:cs="宋体"/>
          <w:sz w:val="21"/>
          <w:szCs w:val="21"/>
        </w:rPr>
        <w:t>二、申请人的资格要求：</w:t>
      </w:r>
      <w:bookmarkEnd w:id="11"/>
      <w:bookmarkEnd w:id="12"/>
      <w:bookmarkEnd w:id="13"/>
      <w:bookmarkEnd w:id="14"/>
      <w:bookmarkEnd w:id="15"/>
      <w:bookmarkEnd w:id="16"/>
      <w:bookmarkEnd w:id="17"/>
    </w:p>
    <w:p>
      <w:pPr>
        <w:spacing w:line="360" w:lineRule="auto"/>
        <w:ind w:firstLine="420" w:firstLineChars="200"/>
        <w:rPr>
          <w:rFonts w:ascii="宋体" w:hAnsi="宋体"/>
        </w:rPr>
      </w:pPr>
      <w:bookmarkStart w:id="18" w:name="_Toc28359004"/>
      <w:bookmarkStart w:id="19" w:name="_Toc28359081"/>
      <w:r>
        <w:rPr>
          <w:rFonts w:hint="eastAsia" w:ascii="宋体" w:hAnsi="宋体"/>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rPr>
      </w:pPr>
      <w:r>
        <w:rPr>
          <w:rFonts w:hint="eastAsia" w:ascii="宋体" w:hAnsi="宋体"/>
        </w:rPr>
        <w:t>2.落实政府采购政策需满足的资格要求：</w:t>
      </w:r>
      <w:r>
        <w:rPr>
          <w:rFonts w:hint="eastAsia" w:ascii="宋体" w:hAnsi="宋体"/>
          <w:u w:val="single"/>
        </w:rPr>
        <w:t>本项目属于专门面向中小企业采购的项目，服务全部由符合政策要求的中小企业承接，提供中小企业声明函</w:t>
      </w:r>
      <w:r>
        <w:rPr>
          <w:rFonts w:hint="eastAsia" w:ascii="宋体" w:hAnsi="宋体"/>
        </w:rPr>
        <w:t>；</w:t>
      </w:r>
    </w:p>
    <w:p>
      <w:pPr>
        <w:spacing w:line="360" w:lineRule="auto"/>
        <w:ind w:firstLine="420" w:firstLineChars="200"/>
        <w:rPr>
          <w:rFonts w:hint="eastAsia" w:ascii="宋体" w:hAnsi="宋体"/>
        </w:rPr>
      </w:pPr>
      <w:r>
        <w:rPr>
          <w:rFonts w:hint="eastAsia" w:ascii="宋体" w:hAnsi="宋体"/>
        </w:rPr>
        <w:t>3.本项目的特定资格要求：</w:t>
      </w:r>
    </w:p>
    <w:p>
      <w:pPr>
        <w:spacing w:line="360" w:lineRule="auto"/>
        <w:ind w:firstLine="420" w:firstLineChars="200"/>
        <w:rPr>
          <w:rFonts w:hint="eastAsia" w:ascii="宋体" w:hAnsi="宋体"/>
        </w:rPr>
      </w:pPr>
      <w:r>
        <w:rPr>
          <w:rFonts w:hint="eastAsia" w:ascii="宋体" w:hAnsi="宋体"/>
        </w:rPr>
        <w:t>3.1工程监理专项咨询服务须</w:t>
      </w:r>
      <w:r>
        <w:rPr>
          <w:rFonts w:hint="eastAsia" w:ascii="宋体" w:hAnsi="宋体"/>
          <w:u w:val="single"/>
        </w:rPr>
        <w:t>具有中华人民共和国住房和城乡建设部门核发的</w:t>
      </w:r>
      <w:r>
        <w:rPr>
          <w:rFonts w:hint="eastAsia" w:ascii="宋体" w:hAnsi="宋体" w:eastAsia="宋体" w:cs="Times New Roman"/>
          <w:color w:val="auto"/>
          <w:sz w:val="21"/>
          <w:szCs w:val="20"/>
          <w:highlight w:val="none"/>
          <w:u w:val="single"/>
          <w:lang w:val="en-US" w:eastAsia="zh-CN"/>
        </w:rPr>
        <w:t>市政公用工程</w:t>
      </w:r>
      <w:r>
        <w:rPr>
          <w:rFonts w:hint="eastAsia" w:ascii="宋体" w:hAnsi="宋体" w:eastAsia="宋体" w:cs="Times New Roman"/>
          <w:color w:val="auto"/>
          <w:sz w:val="21"/>
          <w:szCs w:val="20"/>
          <w:highlight w:val="none"/>
          <w:u w:val="single"/>
        </w:rPr>
        <w:t>监理乙级</w:t>
      </w:r>
      <w:r>
        <w:rPr>
          <w:rFonts w:hint="eastAsia" w:ascii="宋体" w:hAnsi="宋体"/>
          <w:u w:val="single"/>
        </w:rPr>
        <w:t>及以上资质或工程监理综合资质；</w:t>
      </w:r>
    </w:p>
    <w:p>
      <w:pPr>
        <w:spacing w:line="360" w:lineRule="auto"/>
        <w:ind w:firstLine="420" w:firstLineChars="200"/>
        <w:rPr>
          <w:rFonts w:ascii="宋体" w:hAnsi="宋体"/>
        </w:rPr>
      </w:pPr>
      <w:r>
        <w:rPr>
          <w:rFonts w:hint="eastAsia" w:ascii="宋体" w:hAnsi="宋体"/>
        </w:rPr>
        <w:t>3.2若联合体投标的，</w:t>
      </w:r>
      <w:r>
        <w:rPr>
          <w:rFonts w:hint="eastAsia" w:ascii="宋体" w:hAnsi="宋体"/>
          <w:u w:val="single"/>
        </w:rPr>
        <w:t>牵头人应承担项目建设管理服务，且拟派项目负责人应由联合体牵头人派出。联合体成员（含联合体牵头人）个数不得超过2家；联合体各方均为中型企业或小型企业或微型企业。</w:t>
      </w:r>
    </w:p>
    <w:p>
      <w:pPr>
        <w:pStyle w:val="4"/>
        <w:spacing w:line="360" w:lineRule="auto"/>
        <w:jc w:val="both"/>
        <w:rPr>
          <w:rFonts w:ascii="宋体" w:hAnsi="宋体" w:cs="宋体"/>
          <w:sz w:val="21"/>
          <w:szCs w:val="21"/>
        </w:rPr>
      </w:pPr>
      <w:bookmarkStart w:id="20" w:name="_Toc136345085"/>
      <w:bookmarkStart w:id="21" w:name="_Toc136017623"/>
      <w:bookmarkStart w:id="22" w:name="_Toc35393792"/>
      <w:bookmarkStart w:id="23" w:name="_Toc35393623"/>
      <w:bookmarkStart w:id="24" w:name="_Toc14783"/>
      <w:r>
        <w:rPr>
          <w:rFonts w:hint="eastAsia" w:ascii="宋体" w:hAnsi="宋体" w:cs="宋体"/>
          <w:sz w:val="21"/>
          <w:szCs w:val="21"/>
        </w:rPr>
        <w:t>三、获取招标文件</w:t>
      </w:r>
      <w:bookmarkEnd w:id="18"/>
      <w:bookmarkEnd w:id="19"/>
      <w:bookmarkEnd w:id="20"/>
      <w:bookmarkEnd w:id="21"/>
      <w:bookmarkEnd w:id="22"/>
      <w:bookmarkEnd w:id="23"/>
      <w:bookmarkEnd w:id="24"/>
    </w:p>
    <w:p>
      <w:pPr>
        <w:spacing w:line="360" w:lineRule="auto"/>
        <w:ind w:firstLine="420" w:firstLineChars="200"/>
        <w:rPr>
          <w:rFonts w:ascii="宋体" w:hAnsi="宋体" w:cs="宋体"/>
          <w:szCs w:val="21"/>
        </w:rPr>
      </w:pPr>
      <w:r>
        <w:rPr>
          <w:rFonts w:hint="eastAsia" w:ascii="宋体" w:hAnsi="宋体" w:cs="宋体"/>
        </w:rPr>
        <w:t>时间：</w:t>
      </w:r>
      <w:r>
        <w:rPr>
          <w:rFonts w:hint="eastAsia" w:ascii="宋体" w:hAnsi="宋体"/>
          <w:u w:val="single"/>
        </w:rPr>
        <w:t>202</w:t>
      </w:r>
      <w:r>
        <w:rPr>
          <w:rFonts w:hint="eastAsia" w:ascii="宋体" w:hAnsi="宋体"/>
          <w:u w:val="single"/>
          <w:lang w:val="en-US" w:eastAsia="zh-CN"/>
        </w:rPr>
        <w:t>5</w:t>
      </w:r>
      <w:r>
        <w:rPr>
          <w:rFonts w:hint="eastAsia" w:ascii="宋体" w:hAnsi="宋体"/>
          <w:bCs/>
          <w:u w:val="single"/>
        </w:rPr>
        <w:t>年</w:t>
      </w:r>
      <w:r>
        <w:rPr>
          <w:rFonts w:hint="eastAsia" w:ascii="宋体" w:hAnsi="宋体"/>
          <w:bCs/>
          <w:u w:val="single"/>
          <w:lang w:val="en-US" w:eastAsia="zh-CN"/>
        </w:rPr>
        <w:t>7</w:t>
      </w:r>
      <w:r>
        <w:rPr>
          <w:rFonts w:hint="eastAsia" w:ascii="宋体" w:hAnsi="宋体"/>
          <w:bCs/>
          <w:u w:val="single"/>
        </w:rPr>
        <w:t>月</w:t>
      </w:r>
      <w:r>
        <w:rPr>
          <w:rFonts w:hint="eastAsia" w:ascii="宋体" w:hAnsi="宋体"/>
          <w:bCs/>
          <w:u w:val="single"/>
          <w:lang w:val="en-US" w:eastAsia="zh-CN"/>
        </w:rPr>
        <w:t>10</w:t>
      </w:r>
      <w:r>
        <w:rPr>
          <w:rFonts w:hint="eastAsia" w:ascii="宋体" w:hAnsi="宋体"/>
          <w:bCs/>
          <w:u w:val="single"/>
        </w:rPr>
        <w:t>日</w:t>
      </w:r>
      <w:r>
        <w:rPr>
          <w:rFonts w:hint="eastAsia" w:ascii="宋体" w:hAnsi="宋体"/>
        </w:rPr>
        <w:t>至</w:t>
      </w:r>
      <w:r>
        <w:rPr>
          <w:rFonts w:hint="eastAsia" w:ascii="宋体" w:hAnsi="宋体"/>
          <w:u w:val="single"/>
        </w:rPr>
        <w:t>202</w:t>
      </w:r>
      <w:r>
        <w:rPr>
          <w:rFonts w:hint="eastAsia" w:ascii="宋体" w:hAnsi="宋体"/>
          <w:u w:val="single"/>
          <w:lang w:val="en-US" w:eastAsia="zh-CN"/>
        </w:rPr>
        <w:t>5</w:t>
      </w:r>
      <w:r>
        <w:rPr>
          <w:rFonts w:hint="eastAsia" w:ascii="宋体" w:hAnsi="宋体"/>
          <w:bCs/>
          <w:u w:val="single"/>
        </w:rPr>
        <w:t>年</w:t>
      </w:r>
      <w:r>
        <w:rPr>
          <w:rFonts w:hint="eastAsia" w:ascii="宋体" w:hAnsi="宋体"/>
          <w:bCs/>
          <w:u w:val="single"/>
          <w:lang w:val="en-US" w:eastAsia="zh-CN"/>
        </w:rPr>
        <w:t>7</w:t>
      </w:r>
      <w:r>
        <w:rPr>
          <w:rFonts w:hint="eastAsia" w:ascii="宋体" w:hAnsi="宋体"/>
          <w:bCs/>
          <w:u w:val="single"/>
        </w:rPr>
        <w:t>月</w:t>
      </w:r>
      <w:r>
        <w:rPr>
          <w:rFonts w:hint="eastAsia" w:ascii="宋体" w:hAnsi="宋体"/>
          <w:bCs/>
          <w:u w:val="single"/>
          <w:lang w:val="en-US" w:eastAsia="zh-CN"/>
        </w:rPr>
        <w:t>17</w:t>
      </w:r>
      <w:r>
        <w:rPr>
          <w:rFonts w:hint="eastAsia" w:ascii="宋体" w:hAnsi="宋体"/>
          <w:bCs/>
          <w:u w:val="single"/>
        </w:rPr>
        <w:t>日</w:t>
      </w:r>
      <w:r>
        <w:rPr>
          <w:rFonts w:hint="eastAsia" w:ascii="宋体" w:hAnsi="宋体" w:cs="宋体"/>
        </w:rPr>
        <w:t>，每天上午</w:t>
      </w:r>
      <w:r>
        <w:rPr>
          <w:rFonts w:hint="eastAsia" w:ascii="宋体" w:hAnsi="宋体" w:cs="宋体"/>
          <w:u w:val="single"/>
        </w:rPr>
        <w:t>00:00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12:00</w:t>
      </w:r>
      <w:r>
        <w:rPr>
          <w:rFonts w:hint="eastAsia" w:ascii="宋体" w:hAnsi="宋体" w:cs="宋体"/>
        </w:rPr>
        <w:t>至</w:t>
      </w:r>
      <w:r>
        <w:rPr>
          <w:rFonts w:hint="eastAsia" w:ascii="宋体" w:hAnsi="宋体" w:cs="宋体"/>
          <w:u w:val="single"/>
        </w:rPr>
        <w:t>23:59</w:t>
      </w:r>
      <w:r>
        <w:rPr>
          <w:rFonts w:hint="eastAsia" w:ascii="宋体" w:hAnsi="宋体" w:cs="宋体"/>
        </w:rPr>
        <w:t>（北京时间，线上获取法定节假日均可，线下获取文件法定节假日除外）</w:t>
      </w:r>
    </w:p>
    <w:p>
      <w:pPr>
        <w:spacing w:line="360" w:lineRule="auto"/>
        <w:ind w:firstLine="420" w:firstLineChars="200"/>
        <w:rPr>
          <w:rFonts w:ascii="宋体" w:hAnsi="宋体" w:cs="宋体"/>
          <w:u w:val="single"/>
        </w:rPr>
      </w:pPr>
      <w:r>
        <w:rPr>
          <w:rFonts w:hint="eastAsia" w:ascii="宋体" w:hAnsi="宋体" w:cs="宋体"/>
        </w:rPr>
        <w:t>地点（网址）：</w:t>
      </w:r>
      <w:r>
        <w:rPr>
          <w:rFonts w:hint="eastAsia" w:ascii="宋体" w:hAnsi="宋体"/>
        </w:rPr>
        <w:t>政府采购云平台（http://www.zcygov.cn/）。</w:t>
      </w:r>
    </w:p>
    <w:p>
      <w:pPr>
        <w:snapToGrid w:val="0"/>
        <w:spacing w:line="400" w:lineRule="exact"/>
        <w:ind w:firstLine="411" w:firstLineChars="196"/>
        <w:rPr>
          <w:rFonts w:ascii="宋体" w:hAnsi="宋体" w:cs="宋体"/>
        </w:rPr>
      </w:pPr>
      <w:r>
        <w:rPr>
          <w:rFonts w:hint="eastAsia" w:ascii="宋体" w:hAnsi="宋体" w:cs="宋体"/>
        </w:rPr>
        <w:t xml:space="preserve">方式：（1）本项目招标文件实行“政府采购云平台”在线获取，不提供招标文件纸质版。投标人获取招标文件前应先完成“政府采购云平台”的账号注册； </w:t>
      </w:r>
    </w:p>
    <w:p>
      <w:pPr>
        <w:snapToGrid w:val="0"/>
        <w:spacing w:line="400" w:lineRule="exact"/>
        <w:ind w:firstLine="411" w:firstLineChars="196"/>
        <w:rPr>
          <w:rFonts w:ascii="宋体" w:hAnsi="宋体" w:cs="宋体"/>
        </w:rPr>
      </w:pPr>
      <w:r>
        <w:rPr>
          <w:rFonts w:hint="eastAsia" w:ascii="宋体" w:hAnsi="宋体" w:cs="宋体"/>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pPr>
        <w:snapToGrid w:val="0"/>
        <w:spacing w:line="400" w:lineRule="exact"/>
        <w:ind w:firstLine="411" w:firstLineChars="196"/>
        <w:rPr>
          <w:rFonts w:ascii="宋体" w:hAnsi="宋体" w:cs="宋体"/>
        </w:rPr>
      </w:pPr>
      <w:r>
        <w:rPr>
          <w:rFonts w:hint="eastAsia" w:ascii="宋体" w:hAnsi="宋体" w:cs="宋体"/>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szCs w:val="21"/>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szCs w:val="21"/>
        </w:rPr>
        <w:t>文件</w:t>
      </w:r>
      <w:r>
        <w:rPr>
          <w:rFonts w:hint="eastAsia" w:cs="Arial" w:asciiTheme="minorEastAsia" w:hAnsiTheme="minorEastAsia" w:eastAsiaTheme="minorEastAsia"/>
          <w:szCs w:val="21"/>
        </w:rPr>
        <w:t>的投标人提交的投标文件。</w:t>
      </w:r>
    </w:p>
    <w:p>
      <w:pPr>
        <w:snapToGrid w:val="0"/>
        <w:spacing w:line="400" w:lineRule="exact"/>
        <w:ind w:firstLine="411" w:firstLineChars="196"/>
        <w:rPr>
          <w:rFonts w:ascii="宋体" w:hAnsi="宋体" w:cs="宋体"/>
        </w:rPr>
      </w:pPr>
      <w:r>
        <w:rPr>
          <w:rFonts w:hint="eastAsia" w:ascii="宋体" w:hAnsi="宋体" w:cs="宋体"/>
        </w:rPr>
        <w:t xml:space="preserve">注：请投标人按上述要求获取招标文件，如未在“政采云”系统内完成相关流程，引起的投标无效责任自负。  </w:t>
      </w:r>
    </w:p>
    <w:p>
      <w:pPr>
        <w:spacing w:line="360" w:lineRule="auto"/>
        <w:ind w:firstLine="420" w:firstLineChars="200"/>
        <w:rPr>
          <w:rFonts w:ascii="宋体" w:hAnsi="宋体" w:cs="宋体"/>
        </w:rPr>
      </w:pPr>
      <w:r>
        <w:rPr>
          <w:rFonts w:hint="eastAsia" w:ascii="宋体" w:hAnsi="宋体" w:cs="宋体"/>
        </w:rPr>
        <w:t>售价：0元。</w:t>
      </w:r>
    </w:p>
    <w:p>
      <w:pPr>
        <w:spacing w:line="360" w:lineRule="auto"/>
        <w:ind w:firstLine="420" w:firstLineChars="200"/>
        <w:rPr>
          <w:rFonts w:ascii="宋体" w:hAnsi="宋体" w:cs="宋体"/>
        </w:rPr>
      </w:pPr>
    </w:p>
    <w:p>
      <w:pPr>
        <w:pStyle w:val="4"/>
        <w:spacing w:line="360" w:lineRule="auto"/>
        <w:jc w:val="both"/>
        <w:rPr>
          <w:rFonts w:ascii="宋体" w:hAnsi="宋体" w:cs="宋体"/>
          <w:sz w:val="21"/>
          <w:szCs w:val="21"/>
        </w:rPr>
      </w:pPr>
      <w:bookmarkStart w:id="25" w:name="_Toc28359005"/>
      <w:bookmarkStart w:id="26" w:name="_Toc28359082"/>
      <w:bookmarkStart w:id="27" w:name="_Toc35393793"/>
      <w:bookmarkStart w:id="28" w:name="_Toc6519"/>
      <w:bookmarkStart w:id="29" w:name="_Toc35393624"/>
      <w:bookmarkStart w:id="30" w:name="_Toc136017624"/>
      <w:bookmarkStart w:id="31" w:name="_Toc136345086"/>
      <w:r>
        <w:rPr>
          <w:rFonts w:hint="eastAsia" w:ascii="宋体" w:hAnsi="宋体" w:cs="宋体"/>
          <w:sz w:val="21"/>
          <w:szCs w:val="21"/>
        </w:rPr>
        <w:t>四、提交投标文件</w:t>
      </w:r>
      <w:bookmarkEnd w:id="25"/>
      <w:bookmarkEnd w:id="26"/>
      <w:r>
        <w:rPr>
          <w:rFonts w:hint="eastAsia" w:ascii="宋体" w:hAnsi="宋体" w:cs="宋体"/>
          <w:sz w:val="21"/>
          <w:szCs w:val="21"/>
        </w:rPr>
        <w:t>截止时间、开标时间和地点</w:t>
      </w:r>
      <w:bookmarkEnd w:id="27"/>
      <w:bookmarkEnd w:id="28"/>
      <w:bookmarkEnd w:id="29"/>
      <w:bookmarkEnd w:id="30"/>
      <w:bookmarkEnd w:id="31"/>
    </w:p>
    <w:p>
      <w:pPr>
        <w:spacing w:line="360" w:lineRule="auto"/>
        <w:ind w:firstLine="420" w:firstLineChars="200"/>
        <w:rPr>
          <w:rFonts w:ascii="宋体" w:hAnsi="宋体"/>
          <w:bCs/>
          <w:szCs w:val="21"/>
        </w:rPr>
      </w:pPr>
      <w:r>
        <w:rPr>
          <w:rFonts w:hint="eastAsia" w:ascii="宋体" w:hAnsi="宋体" w:cs="宋体"/>
        </w:rPr>
        <w:t>提交投标文件截止时间：</w:t>
      </w:r>
      <w:r>
        <w:rPr>
          <w:rFonts w:hint="eastAsia" w:ascii="宋体" w:hAnsi="宋体"/>
          <w:u w:val="single"/>
        </w:rPr>
        <w:t>202</w:t>
      </w:r>
      <w:r>
        <w:rPr>
          <w:rFonts w:hint="eastAsia" w:ascii="宋体" w:hAnsi="宋体"/>
          <w:u w:val="single"/>
          <w:lang w:val="en-US" w:eastAsia="zh-CN"/>
        </w:rPr>
        <w:t>5</w:t>
      </w:r>
      <w:r>
        <w:rPr>
          <w:rFonts w:hint="eastAsia" w:ascii="宋体" w:hAnsi="宋体"/>
          <w:bCs/>
          <w:u w:val="single"/>
        </w:rPr>
        <w:t>年</w:t>
      </w:r>
      <w:r>
        <w:rPr>
          <w:rFonts w:hint="eastAsia" w:ascii="宋体" w:hAnsi="宋体"/>
          <w:bCs/>
          <w:u w:val="single"/>
          <w:lang w:val="en-US" w:eastAsia="zh-CN"/>
        </w:rPr>
        <w:t>7</w:t>
      </w:r>
      <w:r>
        <w:rPr>
          <w:rFonts w:hint="eastAsia" w:ascii="宋体" w:hAnsi="宋体"/>
          <w:bCs/>
          <w:u w:val="single"/>
        </w:rPr>
        <w:t>月</w:t>
      </w:r>
      <w:r>
        <w:rPr>
          <w:rFonts w:hint="eastAsia" w:ascii="宋体" w:hAnsi="宋体"/>
          <w:bCs/>
          <w:u w:val="single"/>
          <w:lang w:val="en-US" w:eastAsia="zh-CN"/>
        </w:rPr>
        <w:t>30</w:t>
      </w:r>
      <w:r>
        <w:rPr>
          <w:rFonts w:hint="eastAsia" w:ascii="宋体" w:hAnsi="宋体"/>
          <w:bCs/>
          <w:u w:val="single"/>
        </w:rPr>
        <w:t>日09点00分</w:t>
      </w:r>
      <w:r>
        <w:rPr>
          <w:rFonts w:hint="eastAsia" w:ascii="宋体" w:hAnsi="宋体"/>
          <w:bCs/>
        </w:rPr>
        <w:t>（北京时间）。</w:t>
      </w:r>
    </w:p>
    <w:p>
      <w:pPr>
        <w:spacing w:line="360" w:lineRule="auto"/>
        <w:ind w:firstLine="420" w:firstLineChars="200"/>
        <w:rPr>
          <w:rFonts w:ascii="宋体" w:hAnsi="宋体" w:cs="Arial"/>
          <w:szCs w:val="21"/>
        </w:rPr>
      </w:pPr>
      <w:r>
        <w:rPr>
          <w:rFonts w:hint="eastAsia" w:ascii="宋体" w:hAnsi="宋体" w:cs="Arial"/>
          <w:szCs w:val="21"/>
        </w:rPr>
        <w:t>投标地点（网址）：</w:t>
      </w:r>
      <w:r>
        <w:rPr>
          <w:rFonts w:hint="eastAsia" w:ascii="宋体" w:hAnsi="宋体" w:cs="Arial"/>
          <w:szCs w:val="21"/>
          <w:u w:val="single"/>
        </w:rPr>
        <w:t>政采云平台（www.zcygov.cn）（线上）</w:t>
      </w:r>
    </w:p>
    <w:p>
      <w:pPr>
        <w:spacing w:line="360" w:lineRule="auto"/>
        <w:ind w:firstLine="420" w:firstLineChars="200"/>
        <w:rPr>
          <w:rFonts w:ascii="宋体" w:hAnsi="宋体" w:cs="Arial"/>
          <w:szCs w:val="21"/>
        </w:rPr>
      </w:pPr>
      <w:r>
        <w:rPr>
          <w:rFonts w:hint="eastAsia" w:ascii="宋体" w:hAnsi="宋体" w:cs="Arial"/>
          <w:szCs w:val="21"/>
        </w:rPr>
        <w:t>开标时间：</w:t>
      </w:r>
      <w:r>
        <w:rPr>
          <w:rFonts w:hint="eastAsia" w:ascii="宋体" w:hAnsi="宋体"/>
          <w:u w:val="single"/>
        </w:rPr>
        <w:t>202</w:t>
      </w:r>
      <w:r>
        <w:rPr>
          <w:rFonts w:hint="eastAsia" w:ascii="宋体" w:hAnsi="宋体"/>
          <w:u w:val="single"/>
          <w:lang w:val="en-US" w:eastAsia="zh-CN"/>
        </w:rPr>
        <w:t>5</w:t>
      </w:r>
      <w:r>
        <w:rPr>
          <w:rFonts w:hint="eastAsia" w:ascii="宋体" w:hAnsi="宋体"/>
          <w:bCs/>
          <w:u w:val="single"/>
        </w:rPr>
        <w:t>年</w:t>
      </w:r>
      <w:r>
        <w:rPr>
          <w:rFonts w:hint="eastAsia" w:ascii="宋体" w:hAnsi="宋体"/>
          <w:bCs/>
          <w:u w:val="single"/>
          <w:lang w:val="en-US" w:eastAsia="zh-CN"/>
        </w:rPr>
        <w:t>7</w:t>
      </w:r>
      <w:r>
        <w:rPr>
          <w:rFonts w:hint="eastAsia" w:ascii="宋体" w:hAnsi="宋体"/>
          <w:bCs/>
          <w:u w:val="single"/>
        </w:rPr>
        <w:t>月</w:t>
      </w:r>
      <w:r>
        <w:rPr>
          <w:rFonts w:hint="eastAsia" w:ascii="宋体" w:hAnsi="宋体"/>
          <w:bCs/>
          <w:u w:val="single"/>
          <w:lang w:val="en-US" w:eastAsia="zh-CN"/>
        </w:rPr>
        <w:t>30</w:t>
      </w:r>
      <w:r>
        <w:rPr>
          <w:rFonts w:hint="eastAsia" w:ascii="宋体" w:hAnsi="宋体"/>
          <w:bCs/>
          <w:u w:val="single"/>
        </w:rPr>
        <w:t>日09点00分</w:t>
      </w:r>
      <w:r>
        <w:rPr>
          <w:rFonts w:hint="eastAsia" w:ascii="宋体" w:hAnsi="宋体" w:cs="Arial"/>
          <w:szCs w:val="21"/>
        </w:rPr>
        <w:t xml:space="preserve"> （北京时间）</w:t>
      </w:r>
    </w:p>
    <w:p>
      <w:pPr>
        <w:spacing w:line="360" w:lineRule="auto"/>
        <w:ind w:firstLine="420" w:firstLineChars="200"/>
        <w:rPr>
          <w:rFonts w:ascii="宋体" w:hAnsi="宋体"/>
        </w:rPr>
      </w:pPr>
      <w:r>
        <w:rPr>
          <w:rFonts w:hint="eastAsia" w:ascii="宋体" w:hAnsi="宋体" w:cs="Arial"/>
          <w:szCs w:val="21"/>
        </w:rPr>
        <w:t>开标地点（网址）：</w:t>
      </w:r>
      <w:r>
        <w:rPr>
          <w:rFonts w:hint="eastAsia" w:ascii="宋体" w:hAnsi="宋体" w:cs="Arial"/>
          <w:szCs w:val="21"/>
          <w:u w:val="single"/>
        </w:rPr>
        <w:t>宁波市江北区政务服务中心开标室</w:t>
      </w:r>
      <w:r>
        <w:rPr>
          <w:rFonts w:hint="eastAsia" w:ascii="宋体" w:hAnsi="宋体" w:cs="宋体"/>
          <w:szCs w:val="21"/>
          <w:u w:val="single"/>
        </w:rPr>
        <w:t>（江北区育才路138号北投大厦南楼7楼）。本项目通过“政府采购云平台”实行在线电子投标，投标人应在线参加开标。</w:t>
      </w:r>
    </w:p>
    <w:p>
      <w:pPr>
        <w:spacing w:line="360" w:lineRule="auto"/>
        <w:ind w:firstLine="420" w:firstLineChars="200"/>
        <w:rPr>
          <w:rFonts w:ascii="宋体" w:hAnsi="宋体"/>
          <w:bCs/>
          <w:u w:val="single"/>
        </w:rPr>
      </w:pPr>
    </w:p>
    <w:p>
      <w:pPr>
        <w:pStyle w:val="4"/>
        <w:spacing w:line="360" w:lineRule="auto"/>
        <w:jc w:val="both"/>
        <w:rPr>
          <w:rFonts w:ascii="宋体" w:hAnsi="宋体" w:cs="宋体"/>
          <w:sz w:val="21"/>
          <w:szCs w:val="21"/>
        </w:rPr>
      </w:pPr>
      <w:bookmarkStart w:id="32" w:name="_Toc35393794"/>
      <w:bookmarkStart w:id="33" w:name="_Toc35393625"/>
      <w:bookmarkStart w:id="34" w:name="_Toc22666"/>
      <w:bookmarkStart w:id="35" w:name="_Toc28359007"/>
      <w:bookmarkStart w:id="36" w:name="_Toc136017625"/>
      <w:bookmarkStart w:id="37" w:name="_Toc136345087"/>
      <w:bookmarkStart w:id="38" w:name="_Toc28359084"/>
      <w:r>
        <w:rPr>
          <w:rFonts w:hint="eastAsia" w:ascii="宋体" w:hAnsi="宋体" w:cs="宋体"/>
          <w:sz w:val="21"/>
          <w:szCs w:val="21"/>
        </w:rPr>
        <w:t>五、公告期限</w:t>
      </w:r>
      <w:bookmarkEnd w:id="32"/>
      <w:bookmarkEnd w:id="33"/>
      <w:bookmarkEnd w:id="34"/>
      <w:bookmarkEnd w:id="35"/>
      <w:bookmarkEnd w:id="36"/>
      <w:bookmarkEnd w:id="37"/>
      <w:bookmarkEnd w:id="38"/>
    </w:p>
    <w:p>
      <w:pPr>
        <w:spacing w:line="360" w:lineRule="auto"/>
        <w:ind w:firstLine="420" w:firstLineChars="200"/>
        <w:rPr>
          <w:rFonts w:ascii="宋体" w:hAnsi="宋体" w:cs="宋体"/>
          <w:kern w:val="0"/>
        </w:rPr>
      </w:pPr>
      <w:r>
        <w:rPr>
          <w:rFonts w:hint="eastAsia" w:ascii="宋体" w:hAnsi="宋体" w:cs="宋体"/>
          <w:kern w:val="0"/>
        </w:rPr>
        <w:t>自本公告发布之日起5个工作日。</w:t>
      </w:r>
    </w:p>
    <w:p>
      <w:pPr>
        <w:spacing w:line="360" w:lineRule="auto"/>
        <w:ind w:firstLine="420" w:firstLineChars="200"/>
        <w:rPr>
          <w:rFonts w:ascii="宋体" w:hAnsi="宋体" w:cs="宋体"/>
          <w:kern w:val="0"/>
          <w:szCs w:val="21"/>
        </w:rPr>
      </w:pPr>
    </w:p>
    <w:p>
      <w:pPr>
        <w:pStyle w:val="4"/>
        <w:spacing w:line="360" w:lineRule="auto"/>
        <w:jc w:val="both"/>
        <w:rPr>
          <w:rFonts w:ascii="宋体" w:hAnsi="宋体" w:cs="宋体"/>
          <w:sz w:val="21"/>
          <w:szCs w:val="21"/>
        </w:rPr>
      </w:pPr>
      <w:bookmarkStart w:id="39" w:name="_Toc35393626"/>
      <w:bookmarkStart w:id="40" w:name="_Toc720"/>
      <w:bookmarkStart w:id="41" w:name="_Toc136345088"/>
      <w:bookmarkStart w:id="42" w:name="_Toc35393795"/>
      <w:bookmarkStart w:id="43" w:name="_Toc136017626"/>
      <w:r>
        <w:rPr>
          <w:rFonts w:hint="eastAsia" w:ascii="宋体" w:hAnsi="宋体" w:cs="宋体"/>
          <w:sz w:val="21"/>
          <w:szCs w:val="21"/>
        </w:rPr>
        <w:t>六、其他补充事宜</w:t>
      </w:r>
      <w:bookmarkEnd w:id="39"/>
      <w:bookmarkEnd w:id="40"/>
      <w:bookmarkEnd w:id="41"/>
      <w:bookmarkEnd w:id="42"/>
      <w:bookmarkEnd w:id="43"/>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lang w:val="en-US" w:eastAsia="zh-CN"/>
        </w:rPr>
        <w:t>3</w:t>
      </w:r>
      <w:r>
        <w:rPr>
          <w:rFonts w:hint="eastAsia" w:cs="宋体" w:asciiTheme="minorEastAsia" w:hAnsiTheme="minorEastAsia" w:eastAsiaTheme="minorEastAsia"/>
        </w:rPr>
        <w:t>.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.其他事项：</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.1落实政策：</w:t>
      </w:r>
      <w:r>
        <w:rPr>
          <w:rFonts w:hint="eastAsia" w:hAnsi="宋体" w:cs="宋体"/>
        </w:rPr>
        <w:t>政府采购促进中小企业发展；政府采购支持监狱企业发展；政府采购促进残疾人就业；扶持不发达地区和少数民族地区。</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.2</w:t>
      </w:r>
      <w:r>
        <w:rPr>
          <w:rFonts w:hint="eastAsia" w:ascii="宋体" w:hAnsi="宋体" w:cs="宋体"/>
          <w:szCs w:val="21"/>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3各投标人应在开标前确保成为浙江省政府采购网正式注册入库投标人，并完成CA数字证书办理。因未注册入库、未办理CA数字证书等原因造成无法投标或投标失败等后果由投标人自行承担。（具体操作详见投标人电子交易操作指南：</w:t>
      </w:r>
      <w:bookmarkStart w:id="44" w:name="OLE_LINK1"/>
      <w:r>
        <w:rPr>
          <w:rFonts w:hint="eastAsia" w:cs="宋体" w:asciiTheme="minorEastAsia" w:hAnsiTheme="minorEastAsia" w:eastAsiaTheme="minorEastAsia"/>
          <w:szCs w:val="21"/>
        </w:rPr>
        <w:t>https://helpcenter.zcygov.cn/document/#/document/dashboard?siteCode=beijing</w:t>
      </w:r>
      <w:bookmarkEnd w:id="44"/>
      <w:r>
        <w:rPr>
          <w:rFonts w:hint="eastAsia" w:cs="宋体" w:asciiTheme="minorEastAsia" w:hAnsiTheme="minorEastAsia" w:eastAsiaTheme="minorEastAsia"/>
          <w:szCs w:val="21"/>
        </w:rPr>
        <w:t xml:space="preserve">）。 </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.4本次政府采购活动有关信息在“浙江政府采购网（http://zfcg.czt.zj.gov.cn/）”、“宁波政府采购网http://www.nbzfcg.cn/”、</w:t>
      </w:r>
      <w:r>
        <w:rPr>
          <w:rFonts w:hint="eastAsia" w:ascii="宋体" w:hAnsi="宋体" w:cs="宋体"/>
          <w:szCs w:val="21"/>
        </w:rPr>
        <w:t>“宁波市公共资源交易电子服务系统 (https://jyxt.zwb.ningbo.gov.cn:4011/website/home) ”</w:t>
      </w:r>
      <w:r>
        <w:rPr>
          <w:rFonts w:hint="eastAsia" w:cs="宋体" w:asciiTheme="minorEastAsia" w:hAnsiTheme="minorEastAsia" w:eastAsiaTheme="minorEastAsia"/>
          <w:szCs w:val="21"/>
        </w:rPr>
        <w:t>网站上公布，公布信息视同送达所有潜在投标人。</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 xml:space="preserve">.5投标人提交电子备份投标文件方式： </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 xml:space="preserve">.5.1采用邮寄方式提交电子备份投标文件，需按以下要求递交： </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投标人须在开标日期前一天</w:t>
      </w:r>
      <w:r>
        <w:rPr>
          <w:rFonts w:cs="宋体" w:asciiTheme="minorEastAsia" w:hAnsiTheme="minorEastAsia" w:eastAsiaTheme="minorEastAsia"/>
          <w:szCs w:val="21"/>
        </w:rPr>
        <w:t>17</w:t>
      </w:r>
      <w:r>
        <w:rPr>
          <w:rFonts w:hint="eastAsia" w:cs="宋体" w:asciiTheme="minorEastAsia" w:hAnsiTheme="minorEastAsia" w:eastAsiaTheme="minorEastAsia"/>
          <w:szCs w:val="21"/>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.5.2采用现场递交方式递交电子备份投标文件：递交人员可在投标截止时间前递交至</w:t>
      </w:r>
      <w:r>
        <w:rPr>
          <w:rFonts w:hint="eastAsia" w:cs="宋体" w:asciiTheme="minorEastAsia" w:hAnsiTheme="minorEastAsia" w:eastAsiaTheme="minorEastAsia"/>
          <w:szCs w:val="21"/>
          <w:lang w:val="en-US" w:eastAsia="zh-CN"/>
        </w:rPr>
        <w:t>开标</w:t>
      </w:r>
      <w:r>
        <w:rPr>
          <w:rFonts w:hint="eastAsia" w:cs="宋体" w:asciiTheme="minorEastAsia" w:hAnsiTheme="minorEastAsia" w:eastAsiaTheme="minorEastAsia"/>
          <w:szCs w:val="21"/>
        </w:rPr>
        <w:t>地点。若投标人因未按上述要求办理而导致无法准时进入开标现场的，由投标人自行负责。</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电子备份投标文件邮寄地址为：</w:t>
      </w:r>
      <w:r>
        <w:rPr>
          <w:rFonts w:hint="eastAsia" w:cs="宋体" w:asciiTheme="minorEastAsia" w:hAnsiTheme="minorEastAsia" w:eastAsiaTheme="minorEastAsia"/>
        </w:rPr>
        <w:t>宁波市鄞州区世纪大道北段555号名汇东方19楼1921室</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收件人：邱工     联系方式：0574-87329207</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.6中标通知书领取方式：根据投标人要求采用邮寄或采购代理机构现场领取。</w:t>
      </w:r>
    </w:p>
    <w:p>
      <w:pPr>
        <w:pStyle w:val="4"/>
        <w:spacing w:line="360" w:lineRule="auto"/>
        <w:jc w:val="both"/>
        <w:rPr>
          <w:rFonts w:ascii="宋体" w:hAnsi="宋体" w:cs="宋体"/>
          <w:sz w:val="21"/>
          <w:szCs w:val="21"/>
        </w:rPr>
      </w:pPr>
      <w:bookmarkStart w:id="45" w:name="_Toc28359085"/>
      <w:bookmarkStart w:id="46" w:name="_Toc35393796"/>
      <w:bookmarkStart w:id="47" w:name="_Toc28359008"/>
      <w:bookmarkStart w:id="48" w:name="_Toc35393627"/>
      <w:bookmarkStart w:id="49" w:name="_Toc136345089"/>
      <w:bookmarkStart w:id="50" w:name="_Toc136017627"/>
      <w:bookmarkStart w:id="51" w:name="_Toc1775"/>
      <w:r>
        <w:rPr>
          <w:rFonts w:hint="eastAsia" w:ascii="宋体" w:hAnsi="宋体" w:cs="宋体"/>
          <w:sz w:val="21"/>
          <w:szCs w:val="21"/>
        </w:rPr>
        <w:t>七、</w:t>
      </w:r>
      <w:bookmarkEnd w:id="45"/>
      <w:bookmarkEnd w:id="46"/>
      <w:bookmarkEnd w:id="47"/>
      <w:bookmarkEnd w:id="48"/>
      <w:r>
        <w:rPr>
          <w:rFonts w:hint="eastAsia" w:ascii="宋体" w:hAnsi="宋体" w:cs="宋体"/>
          <w:sz w:val="21"/>
          <w:szCs w:val="21"/>
        </w:rPr>
        <w:t>对本次招标提出询问、质疑、投诉，请按以下方式联系。</w:t>
      </w:r>
      <w:bookmarkEnd w:id="49"/>
      <w:bookmarkEnd w:id="50"/>
      <w:bookmarkEnd w:id="51"/>
    </w:p>
    <w:p>
      <w:pPr>
        <w:widowControl/>
        <w:spacing w:line="360" w:lineRule="auto"/>
        <w:ind w:firstLine="420" w:firstLineChars="200"/>
        <w:jc w:val="left"/>
        <w:rPr>
          <w:rFonts w:ascii="宋体" w:hAnsi="宋体" w:cs="宋体"/>
          <w:szCs w:val="21"/>
        </w:rPr>
      </w:pPr>
      <w:r>
        <w:rPr>
          <w:rFonts w:hint="eastAsia" w:ascii="宋体" w:hAnsi="宋体" w:cs="宋体"/>
        </w:rPr>
        <w:t>1.采购人信息</w:t>
      </w:r>
    </w:p>
    <w:p>
      <w:pPr>
        <w:widowControl/>
        <w:spacing w:line="360" w:lineRule="auto"/>
        <w:ind w:firstLine="420" w:firstLineChars="200"/>
        <w:jc w:val="left"/>
        <w:rPr>
          <w:rFonts w:ascii="宋体" w:hAnsi="宋体" w:cs="宋体"/>
        </w:rPr>
      </w:pPr>
      <w:r>
        <w:rPr>
          <w:rFonts w:hint="eastAsia" w:ascii="宋体" w:hAnsi="宋体" w:cs="宋体"/>
        </w:rPr>
        <w:t>名    称：</w:t>
      </w:r>
      <w:r>
        <w:rPr>
          <w:rFonts w:hint="eastAsia" w:ascii="宋体" w:hAnsi="宋体" w:cs="宋体"/>
          <w:u w:val="single"/>
        </w:rPr>
        <w:t>宁波市江北区人民政府庄桥街道办事处</w:t>
      </w:r>
      <w:r>
        <w:rPr>
          <w:rFonts w:hint="eastAsia" w:ascii="宋体" w:hAnsi="宋体" w:cs="宋体"/>
        </w:rPr>
        <w:t xml:space="preserve"> </w:t>
      </w:r>
    </w:p>
    <w:p>
      <w:pPr>
        <w:widowControl/>
        <w:spacing w:line="360" w:lineRule="auto"/>
        <w:ind w:firstLine="420" w:firstLineChars="200"/>
        <w:jc w:val="left"/>
        <w:rPr>
          <w:rFonts w:ascii="宋体" w:hAnsi="宋体" w:cs="宋体"/>
          <w:u w:val="single"/>
        </w:rPr>
      </w:pPr>
      <w:r>
        <w:rPr>
          <w:rFonts w:hint="eastAsia" w:ascii="宋体" w:hAnsi="宋体" w:cs="宋体"/>
        </w:rPr>
        <w:t>地    址：</w:t>
      </w:r>
      <w:r>
        <w:rPr>
          <w:rFonts w:hint="eastAsia" w:ascii="宋体" w:hAnsi="宋体" w:cs="宋体"/>
          <w:u w:val="single"/>
        </w:rPr>
        <w:t>江北区庄桥街道北环西路500号</w:t>
      </w:r>
    </w:p>
    <w:p>
      <w:pPr>
        <w:widowControl/>
        <w:spacing w:line="360" w:lineRule="auto"/>
        <w:ind w:firstLine="420" w:firstLineChars="200"/>
        <w:jc w:val="left"/>
        <w:rPr>
          <w:rFonts w:ascii="宋体" w:hAnsi="宋体" w:cs="宋体"/>
          <w:u w:val="single"/>
        </w:rPr>
      </w:pPr>
      <w:r>
        <w:rPr>
          <w:rFonts w:hint="eastAsia" w:ascii="宋体" w:hAnsi="宋体" w:cs="宋体"/>
        </w:rPr>
        <w:t>项目联系人（询问）：</w:t>
      </w:r>
      <w:r>
        <w:rPr>
          <w:rFonts w:hint="eastAsia" w:ascii="宋体" w:hAnsi="宋体" w:cs="宋体"/>
          <w:u w:val="single"/>
        </w:rPr>
        <w:t>卢老师</w:t>
      </w:r>
    </w:p>
    <w:p>
      <w:pPr>
        <w:widowControl/>
        <w:spacing w:line="360" w:lineRule="auto"/>
        <w:ind w:firstLine="420" w:firstLineChars="200"/>
        <w:jc w:val="left"/>
        <w:rPr>
          <w:rFonts w:ascii="宋体" w:hAnsi="宋体" w:cs="宋体"/>
          <w:u w:val="single"/>
        </w:rPr>
      </w:pPr>
      <w:r>
        <w:rPr>
          <w:rFonts w:hint="eastAsia" w:ascii="宋体" w:hAnsi="宋体" w:cs="宋体"/>
        </w:rPr>
        <w:t>项目联系方式（询问）：</w:t>
      </w:r>
      <w:r>
        <w:rPr>
          <w:rFonts w:ascii="宋体" w:hAnsi="宋体" w:cs="宋体"/>
          <w:u w:val="single"/>
        </w:rPr>
        <w:t>0574-</w:t>
      </w:r>
      <w:r>
        <w:rPr>
          <w:rFonts w:hint="eastAsia" w:ascii="宋体" w:hAnsi="宋体" w:cs="宋体"/>
          <w:u w:val="single"/>
        </w:rPr>
        <w:t>83021887</w:t>
      </w:r>
    </w:p>
    <w:p>
      <w:pPr>
        <w:widowControl/>
        <w:spacing w:line="360" w:lineRule="auto"/>
        <w:ind w:firstLine="420" w:firstLineChars="200"/>
        <w:jc w:val="left"/>
        <w:rPr>
          <w:rFonts w:ascii="宋体" w:hAnsi="宋体" w:cs="宋体"/>
          <w:u w:val="single"/>
        </w:rPr>
      </w:pPr>
      <w:r>
        <w:rPr>
          <w:rFonts w:hint="eastAsia" w:ascii="宋体" w:hAnsi="宋体" w:cs="宋体"/>
        </w:rPr>
        <w:t>质疑联系人：</w:t>
      </w:r>
      <w:r>
        <w:rPr>
          <w:rFonts w:hint="eastAsia" w:ascii="宋体" w:hAnsi="宋体" w:cs="宋体"/>
          <w:u w:val="single"/>
        </w:rPr>
        <w:t>卢老师</w:t>
      </w:r>
    </w:p>
    <w:p>
      <w:pPr>
        <w:widowControl/>
        <w:spacing w:line="360" w:lineRule="auto"/>
        <w:ind w:firstLine="420" w:firstLineChars="200"/>
        <w:jc w:val="left"/>
        <w:rPr>
          <w:rFonts w:ascii="宋体" w:hAnsi="宋体" w:cs="宋体"/>
        </w:rPr>
      </w:pPr>
      <w:r>
        <w:rPr>
          <w:rFonts w:hint="eastAsia" w:ascii="宋体" w:hAnsi="宋体" w:cs="宋体"/>
        </w:rPr>
        <w:t>质疑联系方式：</w:t>
      </w:r>
      <w:r>
        <w:rPr>
          <w:rFonts w:ascii="宋体" w:hAnsi="宋体" w:cs="宋体"/>
          <w:u w:val="single"/>
        </w:rPr>
        <w:t>0574-</w:t>
      </w:r>
      <w:r>
        <w:rPr>
          <w:rFonts w:hint="eastAsia" w:ascii="宋体" w:hAnsi="宋体" w:cs="宋体"/>
          <w:u w:val="single"/>
        </w:rPr>
        <w:t>83021887</w:t>
      </w:r>
    </w:p>
    <w:p>
      <w:pPr>
        <w:widowControl/>
        <w:spacing w:line="360" w:lineRule="auto"/>
        <w:ind w:firstLine="420" w:firstLineChars="200"/>
        <w:jc w:val="left"/>
        <w:rPr>
          <w:rFonts w:ascii="宋体" w:hAnsi="宋体" w:cs="宋体"/>
        </w:rPr>
      </w:pPr>
    </w:p>
    <w:p>
      <w:pPr>
        <w:widowControl/>
        <w:spacing w:line="360" w:lineRule="auto"/>
        <w:ind w:firstLine="420" w:firstLineChars="200"/>
        <w:jc w:val="left"/>
        <w:rPr>
          <w:rFonts w:ascii="宋体" w:hAnsi="宋体" w:cs="宋体"/>
        </w:rPr>
      </w:pPr>
      <w:r>
        <w:rPr>
          <w:rFonts w:hint="eastAsia" w:ascii="宋体" w:hAnsi="宋体" w:cs="宋体"/>
        </w:rPr>
        <w:t>2.采购代理机构信息</w:t>
      </w:r>
    </w:p>
    <w:p>
      <w:pPr>
        <w:widowControl/>
        <w:spacing w:line="360" w:lineRule="auto"/>
        <w:ind w:firstLine="420" w:firstLineChars="200"/>
        <w:jc w:val="left"/>
        <w:rPr>
          <w:rFonts w:ascii="宋体" w:hAnsi="宋体" w:cs="宋体"/>
        </w:rPr>
      </w:pPr>
      <w:r>
        <w:rPr>
          <w:rFonts w:hint="eastAsia" w:ascii="宋体" w:hAnsi="宋体" w:cs="宋体"/>
        </w:rPr>
        <w:t xml:space="preserve">名    称：  </w:t>
      </w:r>
      <w:r>
        <w:rPr>
          <w:rFonts w:hint="eastAsia" w:ascii="宋体" w:hAnsi="宋体" w:cs="宋体"/>
          <w:u w:val="single"/>
        </w:rPr>
        <w:t>宁波国际投资咨询有限公司</w:t>
      </w:r>
    </w:p>
    <w:p>
      <w:pPr>
        <w:widowControl/>
        <w:spacing w:line="360" w:lineRule="auto"/>
        <w:ind w:firstLine="420" w:firstLineChars="200"/>
        <w:jc w:val="left"/>
        <w:rPr>
          <w:rFonts w:ascii="宋体" w:hAnsi="宋体" w:cs="宋体"/>
        </w:rPr>
      </w:pPr>
      <w:r>
        <w:rPr>
          <w:rFonts w:hint="eastAsia" w:ascii="宋体" w:hAnsi="宋体" w:cs="宋体"/>
        </w:rPr>
        <w:t xml:space="preserve">地    址：  </w:t>
      </w:r>
      <w:r>
        <w:rPr>
          <w:rFonts w:hint="eastAsia" w:ascii="宋体" w:hAnsi="宋体" w:cs="Arial"/>
          <w:szCs w:val="21"/>
          <w:u w:val="single"/>
        </w:rPr>
        <w:t>宁波市世纪大道北段555号名汇东方大厦19楼1920室</w:t>
      </w:r>
    </w:p>
    <w:p>
      <w:pPr>
        <w:widowControl/>
        <w:spacing w:line="360" w:lineRule="auto"/>
        <w:ind w:firstLine="420" w:firstLineChars="200"/>
        <w:jc w:val="left"/>
        <w:rPr>
          <w:rFonts w:hint="eastAsia" w:ascii="宋体" w:hAnsi="宋体" w:eastAsia="宋体" w:cs="宋体"/>
          <w:u w:val="single"/>
          <w:lang w:eastAsia="zh-CN"/>
        </w:rPr>
      </w:pPr>
      <w:r>
        <w:rPr>
          <w:rFonts w:hint="eastAsia" w:ascii="宋体" w:hAnsi="宋体" w:cs="宋体"/>
        </w:rPr>
        <w:t>项目联系人（询问）：</w:t>
      </w:r>
      <w:r>
        <w:rPr>
          <w:rFonts w:hint="eastAsia" w:ascii="宋体" w:hAnsi="宋体" w:cs="宋体"/>
          <w:u w:val="single"/>
          <w:lang w:val="en-US" w:eastAsia="zh-CN"/>
        </w:rPr>
        <w:t>邱晔</w:t>
      </w:r>
      <w:r>
        <w:rPr>
          <w:rFonts w:hint="eastAsia" w:ascii="宋体" w:hAnsi="宋体" w:cs="宋体"/>
          <w:u w:val="single"/>
        </w:rPr>
        <w:t>、</w:t>
      </w:r>
      <w:r>
        <w:rPr>
          <w:rFonts w:hint="eastAsia" w:ascii="宋体" w:hAnsi="宋体" w:cs="宋体"/>
          <w:u w:val="single"/>
          <w:lang w:val="en-US" w:eastAsia="zh-CN"/>
        </w:rPr>
        <w:t>史梦铅</w:t>
      </w:r>
      <w:r>
        <w:rPr>
          <w:rFonts w:hint="eastAsia" w:ascii="宋体" w:hAnsi="宋体" w:cs="宋体"/>
          <w:u w:val="single"/>
        </w:rPr>
        <w:t>、</w:t>
      </w:r>
      <w:r>
        <w:rPr>
          <w:rFonts w:hint="eastAsia" w:ascii="宋体" w:hAnsi="宋体" w:cs="宋体"/>
          <w:u w:val="single"/>
          <w:lang w:val="en-US" w:eastAsia="zh-CN"/>
        </w:rPr>
        <w:t>袁航</w:t>
      </w:r>
    </w:p>
    <w:p>
      <w:pPr>
        <w:widowControl/>
        <w:spacing w:line="360" w:lineRule="auto"/>
        <w:ind w:firstLine="420" w:firstLineChars="200"/>
        <w:jc w:val="left"/>
        <w:rPr>
          <w:rFonts w:ascii="宋体" w:hAnsi="宋体" w:cs="宋体"/>
          <w:u w:val="single"/>
        </w:rPr>
      </w:pPr>
      <w:r>
        <w:rPr>
          <w:rFonts w:hint="eastAsia" w:ascii="宋体" w:hAnsi="宋体" w:cs="宋体"/>
        </w:rPr>
        <w:t>项目联系方式（询问）：</w:t>
      </w:r>
      <w:r>
        <w:rPr>
          <w:rFonts w:ascii="宋体" w:hAnsi="宋体" w:cs="宋体"/>
          <w:u w:val="single"/>
        </w:rPr>
        <w:t>0574-</w:t>
      </w:r>
      <w:r>
        <w:rPr>
          <w:rFonts w:hint="eastAsia" w:ascii="宋体" w:hAnsi="宋体" w:cs="宋体"/>
          <w:u w:val="single"/>
        </w:rPr>
        <w:t>87329207</w:t>
      </w:r>
    </w:p>
    <w:p>
      <w:pPr>
        <w:widowControl/>
        <w:spacing w:line="360" w:lineRule="auto"/>
        <w:ind w:firstLine="420" w:firstLineChars="200"/>
        <w:jc w:val="left"/>
        <w:rPr>
          <w:rFonts w:hint="eastAsia" w:ascii="宋体" w:hAnsi="宋体" w:eastAsia="宋体" w:cs="宋体"/>
          <w:color w:val="000000" w:themeColor="text1"/>
          <w:u w:val="single"/>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质疑联系人：</w:t>
      </w:r>
      <w:r>
        <w:rPr>
          <w:rFonts w:hint="eastAsia" w:ascii="宋体" w:hAnsi="宋体" w:cs="宋体"/>
          <w:color w:val="000000" w:themeColor="text1"/>
          <w:u w:val="single"/>
          <w:lang w:val="en-US" w:eastAsia="zh-CN"/>
          <w14:textFill>
            <w14:solidFill>
              <w14:schemeClr w14:val="tx1"/>
            </w14:solidFill>
          </w14:textFill>
        </w:rPr>
        <w:t>陈琦阳</w:t>
      </w:r>
    </w:p>
    <w:p>
      <w:pPr>
        <w:widowControl/>
        <w:spacing w:line="360" w:lineRule="auto"/>
        <w:ind w:firstLine="420" w:firstLineChars="20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质疑联系方式：</w:t>
      </w:r>
      <w:r>
        <w:rPr>
          <w:rFonts w:hint="eastAsia" w:ascii="宋体" w:hAnsi="宋体" w:cs="宋体"/>
          <w:color w:val="000000" w:themeColor="text1"/>
          <w:u w:val="single"/>
          <w14:textFill>
            <w14:solidFill>
              <w14:schemeClr w14:val="tx1"/>
            </w14:solidFill>
          </w14:textFill>
        </w:rPr>
        <w:t>0574- 5571741</w:t>
      </w:r>
      <w:r>
        <w:rPr>
          <w:rFonts w:hint="eastAsia" w:ascii="宋体" w:hAnsi="宋体" w:cs="宋体"/>
          <w:color w:val="000000" w:themeColor="text1"/>
          <w:u w:val="single"/>
          <w:lang w:val="en-US" w:eastAsia="zh-CN"/>
          <w14:textFill>
            <w14:solidFill>
              <w14:schemeClr w14:val="tx1"/>
            </w14:solidFill>
          </w14:textFill>
        </w:rPr>
        <w:t>9</w:t>
      </w:r>
    </w:p>
    <w:p>
      <w:pPr>
        <w:widowControl/>
        <w:spacing w:line="360" w:lineRule="auto"/>
        <w:ind w:firstLine="420" w:firstLineChars="200"/>
        <w:jc w:val="left"/>
        <w:rPr>
          <w:rFonts w:hint="default" w:ascii="宋体" w:hAnsi="宋体" w:eastAsia="宋体" w:cs="宋体"/>
          <w:lang w:val="en-US" w:eastAsia="zh-CN"/>
        </w:rPr>
      </w:pPr>
      <w:r>
        <w:rPr>
          <w:rFonts w:hint="eastAsia" w:ascii="宋体" w:hAnsi="宋体" w:cs="宋体"/>
        </w:rPr>
        <w:t xml:space="preserve">电子邮箱： </w:t>
      </w:r>
      <w:r>
        <w:rPr>
          <w:rFonts w:hint="eastAsia" w:ascii="宋体" w:hAnsi="宋体" w:cs="宋体"/>
          <w:u w:val="single"/>
          <w:lang w:val="en-US" w:eastAsia="zh-CN"/>
        </w:rPr>
        <w:t>361822969@qq.com</w:t>
      </w:r>
    </w:p>
    <w:p>
      <w:pPr>
        <w:widowControl/>
        <w:spacing w:line="360" w:lineRule="auto"/>
        <w:ind w:firstLine="420" w:firstLineChars="200"/>
        <w:jc w:val="left"/>
        <w:rPr>
          <w:rFonts w:ascii="宋体" w:hAnsi="宋体" w:cs="宋体"/>
        </w:rPr>
      </w:pPr>
    </w:p>
    <w:p>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监管部门：</w:t>
      </w:r>
      <w:r>
        <w:rPr>
          <w:rFonts w:hint="eastAsia" w:ascii="宋体" w:hAnsi="宋体" w:cs="宋体"/>
          <w:color w:val="000000"/>
          <w:szCs w:val="21"/>
          <w:u w:val="single"/>
        </w:rPr>
        <w:t>宁波市江北区财政局</w:t>
      </w:r>
    </w:p>
    <w:p>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w:t>
      </w:r>
      <w:r>
        <w:rPr>
          <w:rFonts w:hint="eastAsia" w:ascii="宋体" w:hAnsi="宋体" w:cs="宋体"/>
          <w:color w:val="000000"/>
          <w:szCs w:val="21"/>
          <w:u w:val="single"/>
        </w:rPr>
        <w:t>宁波市江北区大庆南路181号</w:t>
      </w:r>
    </w:p>
    <w:p>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szCs w:val="21"/>
          <w:u w:val="single"/>
        </w:rPr>
        <w:t>张老师</w:t>
      </w:r>
    </w:p>
    <w:p>
      <w:pPr>
        <w:widowControl/>
        <w:spacing w:line="360" w:lineRule="auto"/>
        <w:ind w:firstLine="420" w:firstLineChars="200"/>
        <w:jc w:val="left"/>
        <w:rPr>
          <w:rFonts w:hint="default" w:ascii="宋体" w:hAnsi="宋体" w:eastAsia="宋体" w:cs="宋体"/>
          <w:color w:val="000000"/>
          <w:szCs w:val="21"/>
          <w:lang w:val="en-US" w:eastAsia="zh-CN"/>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szCs w:val="21"/>
          <w:u w:val="single"/>
        </w:rPr>
        <w:t>0574-873880</w:t>
      </w:r>
      <w:r>
        <w:rPr>
          <w:rFonts w:hint="eastAsia" w:ascii="宋体" w:hAnsi="宋体" w:cs="宋体"/>
          <w:color w:val="000000"/>
          <w:szCs w:val="21"/>
          <w:u w:val="single"/>
          <w:lang w:val="en-US" w:eastAsia="zh-CN"/>
        </w:rPr>
        <w:t>62</w:t>
      </w:r>
    </w:p>
    <w:p>
      <w:pPr>
        <w:pStyle w:val="16"/>
        <w:rPr>
          <w:rFonts w:ascii="宋体" w:hAnsi="宋体" w:cs="宋体"/>
        </w:rPr>
      </w:pPr>
    </w:p>
    <w:p>
      <w:pPr>
        <w:spacing w:line="360" w:lineRule="auto"/>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pPr>
        <w:spacing w:line="360" w:lineRule="auto"/>
        <w:rPr>
          <w:rFonts w:ascii="宋体" w:hAnsi="宋体" w:cs="宋体"/>
          <w:szCs w:val="21"/>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cs="宋体"/>
          <w:szCs w:val="21"/>
        </w:rPr>
        <w:t>CA问题联系电话（人工）：汇信CA 400-888-4636；天谷CA 400-087-8198。</w:t>
      </w:r>
    </w:p>
    <w:p>
      <w:pPr>
        <w:pStyle w:val="3"/>
        <w:spacing w:beforeLines="0" w:afterLines="0" w:line="360" w:lineRule="auto"/>
        <w:rPr>
          <w:rFonts w:ascii="宋体" w:hAnsi="宋体"/>
          <w:sz w:val="32"/>
          <w:szCs w:val="32"/>
        </w:rPr>
      </w:pPr>
      <w:bookmarkStart w:id="52" w:name="_Toc136345090"/>
      <w:bookmarkStart w:id="53" w:name="_Toc1389"/>
      <w:r>
        <w:rPr>
          <w:rFonts w:hint="eastAsia" w:ascii="宋体" w:hAnsi="宋体"/>
          <w:sz w:val="32"/>
          <w:szCs w:val="32"/>
        </w:rPr>
        <w:t>第二部分 招标项目需求</w:t>
      </w:r>
      <w:bookmarkEnd w:id="52"/>
      <w:bookmarkEnd w:id="53"/>
    </w:p>
    <w:p>
      <w:pPr>
        <w:jc w:val="center"/>
        <w:rPr>
          <w:sz w:val="28"/>
          <w:szCs w:val="28"/>
        </w:rPr>
      </w:pPr>
      <w:r>
        <w:rPr>
          <w:rFonts w:hint="eastAsia"/>
          <w:sz w:val="28"/>
          <w:szCs w:val="28"/>
        </w:rPr>
        <w:t>项目需求前附表</w:t>
      </w:r>
    </w:p>
    <w:tbl>
      <w:tblPr>
        <w:tblStyle w:val="38"/>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2382" w:type="dxa"/>
            <w:vAlign w:val="center"/>
          </w:tcPr>
          <w:p>
            <w:pPr>
              <w:spacing w:line="360" w:lineRule="auto"/>
              <w:jc w:val="center"/>
              <w:rPr>
                <w:rFonts w:ascii="宋体" w:hAnsi="宋体" w:cs="宋体"/>
                <w:b/>
                <w:szCs w:val="21"/>
              </w:rPr>
            </w:pPr>
            <w:r>
              <w:rPr>
                <w:rFonts w:hint="eastAsia" w:ascii="宋体" w:hAnsi="宋体" w:cs="宋体"/>
                <w:b/>
                <w:szCs w:val="21"/>
              </w:rPr>
              <w:t>项目</w:t>
            </w:r>
          </w:p>
        </w:tc>
        <w:tc>
          <w:tcPr>
            <w:tcW w:w="5332" w:type="dxa"/>
            <w:vAlign w:val="center"/>
          </w:tcPr>
          <w:p>
            <w:pPr>
              <w:spacing w:line="360" w:lineRule="auto"/>
              <w:jc w:val="center"/>
              <w:rPr>
                <w:rFonts w:ascii="宋体" w:hAnsi="宋体" w:cs="宋体"/>
                <w:b/>
                <w:szCs w:val="21"/>
              </w:rPr>
            </w:pPr>
            <w:r>
              <w:rPr>
                <w:rFonts w:hint="eastAsia" w:ascii="宋体" w:hAnsi="宋体" w:cs="宋体"/>
                <w:b/>
                <w:szCs w:val="21"/>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采购内容</w:t>
            </w:r>
          </w:p>
        </w:tc>
        <w:tc>
          <w:tcPr>
            <w:tcW w:w="5332" w:type="dxa"/>
            <w:vAlign w:val="center"/>
          </w:tcPr>
          <w:p>
            <w:pPr>
              <w:spacing w:line="360" w:lineRule="auto"/>
              <w:jc w:val="left"/>
              <w:rPr>
                <w:rFonts w:ascii="宋体" w:hAnsi="宋体" w:cs="宋体"/>
                <w:szCs w:val="21"/>
              </w:rPr>
            </w:pPr>
            <w:r>
              <w:rPr>
                <w:rFonts w:hint="eastAsia" w:ascii="宋体" w:hAnsi="宋体" w:cs="宋体"/>
                <w:szCs w:val="21"/>
              </w:rPr>
              <w:t>详见第一部分《采购公告》及本部分“技术要求”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单位及数量</w:t>
            </w:r>
          </w:p>
        </w:tc>
        <w:tc>
          <w:tcPr>
            <w:tcW w:w="5332" w:type="dxa"/>
            <w:vAlign w:val="center"/>
          </w:tcPr>
          <w:p>
            <w:pPr>
              <w:spacing w:line="360" w:lineRule="auto"/>
              <w:jc w:val="left"/>
              <w:rPr>
                <w:rFonts w:ascii="宋体" w:hAnsi="宋体" w:cs="宋体"/>
                <w:szCs w:val="21"/>
              </w:rPr>
            </w:pPr>
            <w:r>
              <w:rPr>
                <w:rFonts w:hint="eastAsia" w:ascii="宋体" w:hAnsi="宋体" w:cs="宋体"/>
                <w:szCs w:val="21"/>
              </w:rPr>
              <w:t>详见第一部分《采购公告》及本部分“技术要求”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2382" w:type="dxa"/>
            <w:vAlign w:val="center"/>
          </w:tcPr>
          <w:p>
            <w:pPr>
              <w:spacing w:line="360" w:lineRule="auto"/>
              <w:jc w:val="left"/>
              <w:textAlignment w:val="baseline"/>
              <w:rPr>
                <w:rFonts w:ascii="宋体" w:hAnsi="宋体" w:cs="宋体"/>
                <w:szCs w:val="21"/>
              </w:rPr>
            </w:pPr>
            <w:r>
              <w:rPr>
                <w:rFonts w:hint="eastAsia" w:ascii="宋体" w:hAnsi="宋体" w:cs="宋体"/>
                <w:szCs w:val="21"/>
              </w:rPr>
              <w:t>交付或者实施的时间和地点</w:t>
            </w:r>
          </w:p>
        </w:tc>
        <w:tc>
          <w:tcPr>
            <w:tcW w:w="5332" w:type="dxa"/>
            <w:vAlign w:val="center"/>
          </w:tcPr>
          <w:p>
            <w:pPr>
              <w:spacing w:line="360" w:lineRule="auto"/>
              <w:jc w:val="left"/>
              <w:rPr>
                <w:rFonts w:ascii="宋体" w:hAnsi="宋体" w:cs="宋体"/>
                <w:szCs w:val="21"/>
              </w:rPr>
            </w:pPr>
            <w:r>
              <w:rPr>
                <w:rFonts w:hint="eastAsia" w:ascii="宋体" w:hAnsi="宋体" w:cs="宋体"/>
                <w:szCs w:val="21"/>
              </w:rPr>
              <w:t>详见商务要求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2382" w:type="dxa"/>
            <w:vAlign w:val="center"/>
          </w:tcPr>
          <w:p>
            <w:pPr>
              <w:spacing w:line="360" w:lineRule="auto"/>
              <w:jc w:val="left"/>
              <w:textAlignment w:val="baseline"/>
              <w:rPr>
                <w:rFonts w:ascii="宋体" w:hAnsi="宋体" w:cs="宋体"/>
                <w:szCs w:val="21"/>
              </w:rPr>
            </w:pPr>
            <w:r>
              <w:rPr>
                <w:rFonts w:hint="eastAsia" w:ascii="宋体" w:hAnsi="宋体" w:cs="宋体"/>
                <w:szCs w:val="21"/>
              </w:rPr>
              <w:t>需实现的功能或者目标</w:t>
            </w:r>
          </w:p>
        </w:tc>
        <w:tc>
          <w:tcPr>
            <w:tcW w:w="5332" w:type="dxa"/>
            <w:vAlign w:val="center"/>
          </w:tcPr>
          <w:p>
            <w:pPr>
              <w:spacing w:line="360" w:lineRule="auto"/>
              <w:jc w:val="left"/>
              <w:rPr>
                <w:rFonts w:ascii="宋体" w:hAnsi="宋体" w:cs="宋体"/>
                <w:szCs w:val="21"/>
              </w:rPr>
            </w:pPr>
            <w:r>
              <w:rPr>
                <w:rFonts w:hint="eastAsia" w:ascii="宋体" w:hAnsi="宋体" w:cs="宋体"/>
                <w:szCs w:val="21"/>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2382" w:type="dxa"/>
            <w:vAlign w:val="center"/>
          </w:tcPr>
          <w:p>
            <w:pPr>
              <w:spacing w:line="360" w:lineRule="auto"/>
              <w:jc w:val="left"/>
              <w:textAlignment w:val="baseline"/>
              <w:rPr>
                <w:rFonts w:ascii="宋体" w:hAnsi="宋体" w:cs="宋体"/>
                <w:szCs w:val="21"/>
              </w:rPr>
            </w:pPr>
            <w:r>
              <w:rPr>
                <w:rFonts w:hint="eastAsia" w:ascii="宋体" w:hAnsi="宋体" w:cs="宋体"/>
                <w:szCs w:val="21"/>
              </w:rPr>
              <w:t>采购标的需执行的标准</w:t>
            </w:r>
          </w:p>
        </w:tc>
        <w:tc>
          <w:tcPr>
            <w:tcW w:w="5332" w:type="dxa"/>
            <w:vAlign w:val="center"/>
          </w:tcPr>
          <w:p>
            <w:pPr>
              <w:spacing w:line="360" w:lineRule="exact"/>
              <w:jc w:val="left"/>
              <w:rPr>
                <w:rFonts w:ascii="宋体" w:hAnsi="宋体" w:cs="宋体"/>
                <w:szCs w:val="21"/>
              </w:rPr>
            </w:pPr>
            <w:r>
              <w:rPr>
                <w:rFonts w:hint="eastAsia" w:ascii="宋体" w:hAnsi="宋体" w:cs="宋体"/>
                <w:szCs w:val="21"/>
              </w:rPr>
              <w:t>执行国家、地方、有关机构所有相关的技术规范与标准，且确保所采用的技术规范、标准必须是国家或有关机构发布的最新版本，无论此版本在此有无提及。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技术规格要求</w:t>
            </w:r>
          </w:p>
        </w:tc>
        <w:tc>
          <w:tcPr>
            <w:tcW w:w="5332"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7</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物理特性要求</w:t>
            </w:r>
          </w:p>
        </w:tc>
        <w:tc>
          <w:tcPr>
            <w:tcW w:w="5332"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8</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质量、安全要求</w:t>
            </w:r>
          </w:p>
        </w:tc>
        <w:tc>
          <w:tcPr>
            <w:tcW w:w="5332"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9</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服务标准、期限、效率(培训等）</w:t>
            </w:r>
          </w:p>
        </w:tc>
        <w:tc>
          <w:tcPr>
            <w:tcW w:w="5332" w:type="dxa"/>
            <w:vAlign w:val="center"/>
          </w:tcPr>
          <w:p>
            <w:pPr>
              <w:spacing w:line="360" w:lineRule="exact"/>
              <w:jc w:val="left"/>
              <w:rPr>
                <w:rFonts w:ascii="宋体" w:hAnsi="宋体" w:cs="宋体"/>
                <w:szCs w:val="21"/>
              </w:rPr>
            </w:pPr>
            <w:r>
              <w:rPr>
                <w:rFonts w:hint="eastAsia" w:ascii="宋体" w:hAnsi="宋体" w:cs="宋体"/>
                <w:szCs w:val="21"/>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验收标准</w:t>
            </w:r>
          </w:p>
        </w:tc>
        <w:tc>
          <w:tcPr>
            <w:tcW w:w="5332" w:type="dxa"/>
            <w:vAlign w:val="center"/>
          </w:tcPr>
          <w:p>
            <w:pPr>
              <w:spacing w:line="360" w:lineRule="exact"/>
              <w:jc w:val="left"/>
              <w:rPr>
                <w:rFonts w:ascii="宋体" w:hAnsi="宋体" w:cs="宋体"/>
                <w:szCs w:val="21"/>
              </w:rPr>
            </w:pPr>
            <w:r>
              <w:rPr>
                <w:rFonts w:hint="eastAsia" w:ascii="宋体" w:hAnsi="宋体" w:cs="宋体"/>
                <w:szCs w:val="21"/>
              </w:rPr>
              <w:t>通过采购人组织的专家评审。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现场踏勘</w:t>
            </w:r>
          </w:p>
        </w:tc>
        <w:tc>
          <w:tcPr>
            <w:tcW w:w="5332" w:type="dxa"/>
            <w:vAlign w:val="center"/>
          </w:tcPr>
          <w:p>
            <w:pPr>
              <w:spacing w:line="360" w:lineRule="exact"/>
              <w:jc w:val="left"/>
              <w:rPr>
                <w:rFonts w:ascii="宋体" w:hAnsi="宋体" w:cs="宋体"/>
                <w:szCs w:val="21"/>
              </w:rPr>
            </w:pPr>
            <w:r>
              <w:rPr>
                <w:rFonts w:hint="eastAsia" w:ascii="宋体" w:hAnsi="宋体" w:cs="宋体"/>
                <w:szCs w:val="21"/>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2382" w:type="dxa"/>
            <w:vAlign w:val="center"/>
          </w:tcPr>
          <w:p>
            <w:pPr>
              <w:spacing w:line="360" w:lineRule="exact"/>
              <w:jc w:val="left"/>
              <w:rPr>
                <w:rFonts w:ascii="宋体" w:hAnsi="宋体" w:cs="宋体"/>
                <w:szCs w:val="21"/>
              </w:rPr>
            </w:pPr>
            <w:r>
              <w:rPr>
                <w:rFonts w:hint="eastAsia" w:ascii="宋体" w:hAnsi="宋体" w:cs="宋体"/>
                <w:szCs w:val="21"/>
              </w:rPr>
              <w:t>演示时间及地点</w:t>
            </w:r>
          </w:p>
        </w:tc>
        <w:tc>
          <w:tcPr>
            <w:tcW w:w="5332" w:type="dxa"/>
            <w:vAlign w:val="center"/>
          </w:tcPr>
          <w:p>
            <w:pPr>
              <w:spacing w:line="360" w:lineRule="exact"/>
              <w:rPr>
                <w:rFonts w:hint="eastAsia" w:ascii="宋体" w:hAnsi="宋体" w:eastAsia="宋体" w:cs="宋体"/>
                <w:szCs w:val="21"/>
                <w:lang w:eastAsia="zh-CN"/>
              </w:rPr>
            </w:pPr>
            <w:r>
              <w:rPr>
                <w:rFonts w:hint="eastAsia" w:ascii="宋体" w:hAnsi="宋体" w:cs="宋体"/>
                <w:szCs w:val="21"/>
                <w:lang w:val="en-US" w:eastAsia="zh-CN"/>
              </w:rPr>
              <w:t>无</w:t>
            </w:r>
          </w:p>
        </w:tc>
      </w:tr>
    </w:tbl>
    <w:p>
      <w:pPr>
        <w:spacing w:line="360" w:lineRule="auto"/>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spacing w:line="360" w:lineRule="auto"/>
        <w:rPr>
          <w:rFonts w:ascii="宋体" w:hAnsi="宋体" w:cs="宋体"/>
          <w:sz w:val="24"/>
          <w:szCs w:val="24"/>
        </w:rPr>
      </w:pPr>
      <w:r>
        <w:rPr>
          <w:rFonts w:hint="eastAsia" w:ascii="宋体" w:hAnsi="宋体" w:cs="宋体"/>
          <w:sz w:val="24"/>
          <w:szCs w:val="24"/>
          <w:lang w:val="en-US" w:eastAsia="zh-CN"/>
        </w:rPr>
        <w:t>一、</w:t>
      </w:r>
      <w:r>
        <w:rPr>
          <w:rFonts w:hint="eastAsia" w:ascii="宋体" w:hAnsi="宋体" w:cs="宋体"/>
          <w:sz w:val="24"/>
          <w:szCs w:val="24"/>
        </w:rPr>
        <w:t>商务要求：</w:t>
      </w:r>
    </w:p>
    <w:tbl>
      <w:tblPr>
        <w:tblStyle w:val="38"/>
        <w:tblW w:w="8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5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bCs/>
                <w:szCs w:val="21"/>
              </w:rPr>
            </w:pPr>
            <w:r>
              <w:rPr>
                <w:rFonts w:hint="eastAsia" w:ascii="宋体" w:hAnsi="宋体" w:cs="宋体"/>
                <w:b/>
                <w:bCs/>
                <w:szCs w:val="21"/>
              </w:rPr>
              <w:t>项目</w:t>
            </w:r>
          </w:p>
        </w:tc>
        <w:tc>
          <w:tcPr>
            <w:tcW w:w="5943"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bCs/>
                <w:szCs w:val="21"/>
              </w:rPr>
            </w:pPr>
            <w:r>
              <w:rPr>
                <w:rFonts w:hint="eastAsia" w:ascii="宋体" w:hAnsi="宋体" w:cs="宋体"/>
                <w:b/>
                <w:bCs/>
                <w:szCs w:val="21"/>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rPr>
            </w:pPr>
            <w:r>
              <w:rPr>
                <w:rFonts w:hint="eastAsia" w:ascii="宋体" w:hAnsi="宋体" w:cs="宋体"/>
                <w:szCs w:val="21"/>
              </w:rPr>
              <w:t>▲1、服务期</w:t>
            </w:r>
          </w:p>
        </w:tc>
        <w:tc>
          <w:tcPr>
            <w:tcW w:w="5943" w:type="dxa"/>
            <w:tcBorders>
              <w:top w:val="single" w:color="auto" w:sz="4" w:space="0"/>
              <w:left w:val="single" w:color="auto" w:sz="4" w:space="0"/>
              <w:bottom w:val="single" w:color="auto" w:sz="4" w:space="0"/>
              <w:right w:val="single" w:color="auto" w:sz="4" w:space="0"/>
            </w:tcBorders>
            <w:vAlign w:val="center"/>
          </w:tcPr>
          <w:p>
            <w:pPr>
              <w:spacing w:line="264" w:lineRule="auto"/>
              <w:rPr>
                <w:rFonts w:ascii="宋体" w:hAnsi="宋体" w:cs="宋体"/>
                <w:szCs w:val="21"/>
              </w:rPr>
            </w:pPr>
            <w:r>
              <w:rPr>
                <w:rFonts w:hint="eastAsia" w:ascii="宋体" w:hAnsi="宋体" w:eastAsia="宋体" w:cs="宋体"/>
                <w:color w:val="auto"/>
                <w:sz w:val="21"/>
                <w:szCs w:val="21"/>
                <w:highlight w:val="none"/>
              </w:rPr>
              <w:t>全过程工程咨询服务期限自签订合同之日起至工程竣工验收通过、缺陷责任期满，且全部资料归档，财务决算审计完成止。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rPr>
            </w:pPr>
            <w:r>
              <w:rPr>
                <w:rFonts w:hint="eastAsia" w:ascii="宋体" w:hAnsi="宋体" w:cs="宋体"/>
                <w:szCs w:val="21"/>
              </w:rPr>
              <w:t>2、服务地点</w:t>
            </w:r>
          </w:p>
        </w:tc>
        <w:tc>
          <w:tcPr>
            <w:tcW w:w="5943" w:type="dxa"/>
            <w:tcBorders>
              <w:top w:val="single" w:color="auto" w:sz="4" w:space="0"/>
              <w:left w:val="single" w:color="auto" w:sz="4" w:space="0"/>
              <w:bottom w:val="single" w:color="auto" w:sz="4" w:space="0"/>
              <w:right w:val="single" w:color="auto" w:sz="4" w:space="0"/>
            </w:tcBorders>
            <w:vAlign w:val="center"/>
          </w:tcPr>
          <w:p>
            <w:pPr>
              <w:spacing w:line="264" w:lineRule="auto"/>
              <w:rPr>
                <w:rFonts w:ascii="宋体" w:hAnsi="宋体" w:cs="宋体"/>
                <w:szCs w:val="21"/>
              </w:rPr>
            </w:pPr>
            <w:r>
              <w:rPr>
                <w:rFonts w:hint="eastAsia" w:ascii="宋体" w:hAnsi="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2556" w:type="dxa"/>
            <w:vMerge w:val="restart"/>
            <w:tcBorders>
              <w:top w:val="single" w:color="auto" w:sz="4" w:space="0"/>
              <w:left w:val="single" w:color="auto" w:sz="4" w:space="0"/>
              <w:right w:val="single" w:color="auto" w:sz="4" w:space="0"/>
            </w:tcBorders>
            <w:vAlign w:val="center"/>
          </w:tcPr>
          <w:p>
            <w:pPr>
              <w:spacing w:line="264" w:lineRule="auto"/>
              <w:jc w:val="center"/>
              <w:rPr>
                <w:rFonts w:ascii="宋体" w:hAnsi="宋体" w:cs="宋体"/>
                <w:szCs w:val="21"/>
              </w:rPr>
            </w:pPr>
            <w:r>
              <w:rPr>
                <w:rFonts w:hint="eastAsia" w:ascii="宋体" w:hAnsi="宋体" w:cs="宋体"/>
                <w:szCs w:val="21"/>
              </w:rPr>
              <w:t>▲3、付款条件</w:t>
            </w:r>
            <w:r>
              <w:rPr>
                <w:rFonts w:hint="eastAsia" w:ascii="宋体" w:hAnsi="宋体" w:cs="宋体"/>
                <w:bCs/>
                <w:color w:val="auto"/>
                <w:sz w:val="21"/>
                <w:szCs w:val="21"/>
                <w:highlight w:val="none"/>
              </w:rPr>
              <w:t>【注：（1）各类款项支付在对应工作内容完成后由</w:t>
            </w:r>
            <w:r>
              <w:rPr>
                <w:rFonts w:hint="eastAsia" w:ascii="宋体" w:hAnsi="宋体" w:cs="宋体"/>
                <w:bCs/>
                <w:color w:val="auto"/>
                <w:sz w:val="21"/>
                <w:szCs w:val="21"/>
                <w:highlight w:val="none"/>
                <w:lang w:eastAsia="zh-CN"/>
              </w:rPr>
              <w:t>中标人</w:t>
            </w:r>
            <w:r>
              <w:rPr>
                <w:rFonts w:hint="eastAsia" w:ascii="宋体" w:hAnsi="宋体" w:cs="宋体"/>
                <w:bCs/>
                <w:color w:val="auto"/>
                <w:sz w:val="21"/>
                <w:szCs w:val="21"/>
                <w:highlight w:val="none"/>
              </w:rPr>
              <w:t>分别提出付款申请；（2）若联合体</w:t>
            </w:r>
            <w:r>
              <w:rPr>
                <w:rFonts w:hint="eastAsia" w:ascii="宋体" w:hAnsi="宋体" w:cs="宋体"/>
                <w:bCs/>
                <w:color w:val="auto"/>
                <w:sz w:val="21"/>
                <w:szCs w:val="21"/>
                <w:highlight w:val="none"/>
                <w:lang w:val="en-US" w:eastAsia="zh-CN"/>
              </w:rPr>
              <w:t>中标</w:t>
            </w:r>
            <w:r>
              <w:rPr>
                <w:rFonts w:hint="eastAsia" w:ascii="宋体" w:hAnsi="宋体" w:cs="宋体"/>
                <w:bCs/>
                <w:color w:val="auto"/>
                <w:sz w:val="21"/>
                <w:szCs w:val="21"/>
                <w:highlight w:val="none"/>
              </w:rPr>
              <w:t>的，则由联合体各方按各自负责的内容提出申请，报采购人确认，费用由采购人直接支付给联合体各方。】</w:t>
            </w:r>
          </w:p>
        </w:tc>
        <w:tc>
          <w:tcPr>
            <w:tcW w:w="5943"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ascii="宋体" w:hAnsi="宋体" w:cs="宋体"/>
                <w:szCs w:val="21"/>
              </w:rPr>
            </w:pPr>
            <w:r>
              <w:rPr>
                <w:rFonts w:hint="eastAsia" w:ascii="宋体" w:hAnsi="宋体" w:cs="宋体"/>
                <w:szCs w:val="21"/>
              </w:rPr>
              <w:t>项目建设管理费、工程监理服务费付款方式：</w:t>
            </w:r>
          </w:p>
          <w:p>
            <w:pPr>
              <w:numPr>
                <w:ilvl w:val="0"/>
                <w:numId w:val="2"/>
              </w:numPr>
              <w:spacing w:line="264" w:lineRule="auto"/>
              <w:rPr>
                <w:rFonts w:hint="eastAsia" w:ascii="宋体" w:hAnsi="宋体" w:cs="宋体"/>
                <w:szCs w:val="21"/>
              </w:rPr>
            </w:pPr>
            <w:r>
              <w:rPr>
                <w:rFonts w:hint="eastAsia" w:ascii="宋体" w:hAnsi="宋体" w:cs="宋体"/>
                <w:szCs w:val="21"/>
              </w:rPr>
              <w:t>预付款：在合同生效以及具备实施条件后7个工作日内支付暂定合同价（项目建设管理服务费+项目工程监理服务费）的40%。中标人于合同签订前书面承诺放弃预付款或降低预付款支付比例的，可不适用本条款。</w:t>
            </w:r>
          </w:p>
          <w:p>
            <w:pPr>
              <w:numPr>
                <w:ilvl w:val="0"/>
                <w:numId w:val="2"/>
              </w:numPr>
              <w:spacing w:line="264" w:lineRule="auto"/>
              <w:rPr>
                <w:rFonts w:hint="eastAsia" w:ascii="宋体" w:hAnsi="宋体" w:cs="宋体"/>
                <w:szCs w:val="21"/>
              </w:rPr>
            </w:pPr>
            <w:r>
              <w:rPr>
                <w:rFonts w:hint="eastAsia" w:ascii="宋体" w:hAnsi="宋体" w:cs="宋体"/>
                <w:szCs w:val="21"/>
              </w:rPr>
              <w:t>工程施工工程量达到50%时且收到中标人提供的发票后7个工作日内支付至暂定合同价（项目建设管理服务费+项目工程监理服务费）的</w:t>
            </w:r>
            <w:r>
              <w:rPr>
                <w:rFonts w:hint="eastAsia" w:ascii="宋体" w:hAnsi="宋体" w:cs="宋体"/>
                <w:szCs w:val="21"/>
                <w:lang w:val="en-US" w:eastAsia="zh-CN"/>
              </w:rPr>
              <w:t>60</w:t>
            </w:r>
            <w:r>
              <w:rPr>
                <w:rFonts w:hint="eastAsia" w:ascii="宋体" w:hAnsi="宋体" w:cs="宋体"/>
                <w:szCs w:val="21"/>
              </w:rPr>
              <w:t>%。</w:t>
            </w:r>
          </w:p>
          <w:p>
            <w:pPr>
              <w:spacing w:line="264" w:lineRule="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）项目竣工验收合格且收到中标人提供的发票后7个工作日内支付至暂定合同价（项目建设管理服务费+项目工程监理服务费）的</w:t>
            </w:r>
            <w:r>
              <w:rPr>
                <w:rFonts w:hint="eastAsia" w:ascii="宋体" w:hAnsi="宋体" w:cs="宋体"/>
                <w:szCs w:val="21"/>
                <w:lang w:val="en-US" w:eastAsia="zh-CN"/>
              </w:rPr>
              <w:t>80</w:t>
            </w:r>
            <w:r>
              <w:rPr>
                <w:rFonts w:hint="eastAsia" w:ascii="宋体" w:hAnsi="宋体" w:cs="宋体"/>
                <w:szCs w:val="21"/>
              </w:rPr>
              <w:t>%。</w:t>
            </w:r>
          </w:p>
          <w:p>
            <w:pPr>
              <w:spacing w:line="264"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）项目竣工决算审计完成且收到中标人提供的发票后7个工作日内由采购人向中标人支付采购人审定结算价的100%。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2556" w:type="dxa"/>
            <w:vMerge w:val="continue"/>
            <w:tcBorders>
              <w:left w:val="single" w:color="auto" w:sz="4" w:space="0"/>
              <w:bottom w:val="single" w:color="auto" w:sz="4" w:space="0"/>
              <w:right w:val="single" w:color="auto" w:sz="4" w:space="0"/>
            </w:tcBorders>
            <w:vAlign w:val="center"/>
          </w:tcPr>
          <w:p>
            <w:pPr>
              <w:spacing w:line="264" w:lineRule="auto"/>
              <w:jc w:val="center"/>
              <w:rPr>
                <w:rFonts w:hint="eastAsia" w:ascii="宋体" w:hAnsi="宋体" w:cs="宋体"/>
                <w:szCs w:val="21"/>
              </w:rPr>
            </w:pPr>
          </w:p>
        </w:tc>
        <w:tc>
          <w:tcPr>
            <w:tcW w:w="5943"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ascii="宋体" w:hAnsi="宋体" w:cs="宋体"/>
                <w:szCs w:val="21"/>
              </w:rPr>
            </w:pPr>
            <w:r>
              <w:rPr>
                <w:rFonts w:hint="eastAsia" w:ascii="宋体" w:hAnsi="宋体" w:cs="宋体"/>
                <w:szCs w:val="21"/>
              </w:rPr>
              <w:t>施工阶段全过程工程造价控制费（</w:t>
            </w:r>
            <w:r>
              <w:rPr>
                <w:rFonts w:hint="eastAsia" w:ascii="宋体" w:hAnsi="宋体" w:cs="宋体"/>
                <w:szCs w:val="21"/>
                <w:lang w:eastAsia="zh-CN"/>
              </w:rPr>
              <w:t>不含招标控制价及工程量清单编制、</w:t>
            </w:r>
            <w:r>
              <w:rPr>
                <w:rFonts w:hint="eastAsia" w:ascii="宋体" w:hAnsi="宋体" w:cs="宋体"/>
                <w:szCs w:val="21"/>
                <w:lang w:val="en-US" w:eastAsia="zh-CN"/>
              </w:rPr>
              <w:t>不含结算审核</w:t>
            </w:r>
            <w:r>
              <w:rPr>
                <w:rFonts w:hint="eastAsia" w:ascii="宋体" w:hAnsi="宋体" w:cs="宋体"/>
                <w:szCs w:val="21"/>
              </w:rPr>
              <w:t>费用）付款方式：</w:t>
            </w:r>
          </w:p>
          <w:p>
            <w:pPr>
              <w:spacing w:line="264" w:lineRule="auto"/>
              <w:rPr>
                <w:rFonts w:hint="eastAsia" w:ascii="宋体" w:hAnsi="宋体" w:cs="宋体"/>
                <w:szCs w:val="21"/>
              </w:rPr>
            </w:pPr>
            <w:r>
              <w:rPr>
                <w:rFonts w:hint="eastAsia" w:ascii="宋体" w:hAnsi="宋体" w:cs="宋体"/>
                <w:szCs w:val="21"/>
              </w:rPr>
              <w:t>施工阶</w:t>
            </w:r>
            <w:r>
              <w:rPr>
                <w:rFonts w:hint="eastAsia" w:ascii="宋体" w:hAnsi="宋体" w:cs="宋体"/>
                <w:szCs w:val="21"/>
                <w:highlight w:val="none"/>
              </w:rPr>
              <w:t>段全过程工程造价控制费（不含招标控制价及工程量清单编制</w:t>
            </w:r>
            <w:r>
              <w:rPr>
                <w:rFonts w:hint="eastAsia" w:ascii="宋体" w:hAnsi="宋体"/>
                <w:highlight w:val="none"/>
                <w:lang w:eastAsia="zh-CN"/>
              </w:rPr>
              <w:t>、</w:t>
            </w:r>
            <w:r>
              <w:rPr>
                <w:rFonts w:hint="eastAsia" w:ascii="宋体" w:hAnsi="宋体"/>
                <w:highlight w:val="none"/>
                <w:lang w:val="en-US" w:eastAsia="zh-CN"/>
              </w:rPr>
              <w:t>不含结算审核</w:t>
            </w:r>
            <w:r>
              <w:rPr>
                <w:rFonts w:hint="eastAsia" w:ascii="宋体" w:hAnsi="宋体" w:cs="宋体"/>
                <w:szCs w:val="21"/>
                <w:highlight w:val="none"/>
              </w:rPr>
              <w:t>）付</w:t>
            </w:r>
            <w:r>
              <w:rPr>
                <w:rFonts w:hint="eastAsia" w:ascii="宋体" w:hAnsi="宋体" w:cs="宋体"/>
                <w:szCs w:val="21"/>
              </w:rPr>
              <w:t>款方式：在施工阶段全过程工程造价控制咨询服务结束，并出具跟踪审计报告后一个月内，一次性支付对应咨询费用。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556"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rPr>
            </w:pPr>
            <w:r>
              <w:rPr>
                <w:rFonts w:hint="eastAsia" w:ascii="宋体" w:hAnsi="宋体" w:cs="宋体"/>
                <w:szCs w:val="21"/>
              </w:rPr>
              <w:t>4、履约保证金</w:t>
            </w:r>
          </w:p>
        </w:tc>
        <w:tc>
          <w:tcPr>
            <w:tcW w:w="594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kern w:val="0"/>
              </w:rPr>
            </w:pPr>
            <w:r>
              <w:rPr>
                <w:rFonts w:hint="eastAsia" w:ascii="宋体" w:hAnsi="宋体" w:cs="宋体"/>
                <w:bCs/>
              </w:rPr>
              <w:t>1、</w:t>
            </w:r>
            <w:r>
              <w:rPr>
                <w:rFonts w:hint="eastAsia" w:ascii="宋体" w:hAnsi="宋体" w:cs="宋体"/>
                <w:bCs/>
                <w:kern w:val="0"/>
              </w:rPr>
              <w:t>履约保证金金额：合同总价的</w:t>
            </w:r>
            <w:r>
              <w:rPr>
                <w:rFonts w:hint="eastAsia" w:ascii="宋体" w:hAnsi="宋体" w:cs="宋体"/>
                <w:bCs/>
                <w:kern w:val="0"/>
                <w:lang w:val="en-US" w:eastAsia="zh-CN"/>
              </w:rPr>
              <w:t>0.5</w:t>
            </w:r>
            <w:r>
              <w:rPr>
                <w:rFonts w:hint="eastAsia" w:ascii="宋体" w:hAnsi="宋体" w:cs="宋体"/>
                <w:bCs/>
                <w:kern w:val="0"/>
              </w:rPr>
              <w:t>%。</w:t>
            </w:r>
          </w:p>
          <w:p>
            <w:pPr>
              <w:spacing w:line="264" w:lineRule="auto"/>
              <w:rPr>
                <w:rFonts w:hint="eastAsia" w:ascii="宋体" w:hAnsi="宋体" w:eastAsia="宋体" w:cs="宋体"/>
                <w:szCs w:val="21"/>
                <w:lang w:eastAsia="zh-CN"/>
              </w:rPr>
            </w:pPr>
            <w:r>
              <w:rPr>
                <w:rFonts w:hint="eastAsia" w:ascii="宋体" w:hAnsi="宋体" w:cs="宋体"/>
                <w:bCs/>
              </w:rPr>
              <w:t>2、履约保证金形式：支票、电汇、汇票、本票、保函等采购人认可的非现金形式。中标人应于</w:t>
            </w:r>
            <w:r>
              <w:rPr>
                <w:bCs/>
                <w:szCs w:val="21"/>
              </w:rPr>
              <w:t>合同签订后7日内</w:t>
            </w:r>
            <w:r>
              <w:rPr>
                <w:rFonts w:hint="eastAsia" w:ascii="宋体" w:hAnsi="宋体" w:cs="宋体"/>
                <w:bCs/>
              </w:rPr>
              <w:t>将履约保证金交至采购人指定账户。合同履行期间，中标人不得将履约保证金取回或作任何抵押。履约保证金于项目通过终验后5个工作日内无息退还（中标人未按合同要求进行履约的情形除外，如出现未按合同要求履约的情形按合同约定执行）。</w:t>
            </w:r>
          </w:p>
        </w:tc>
      </w:tr>
    </w:tbl>
    <w:p>
      <w:pPr>
        <w:widowControl/>
        <w:jc w:val="left"/>
        <w:rPr>
          <w:rFonts w:cs="仿宋" w:asciiTheme="minorEastAsia" w:hAnsiTheme="minorEastAsia" w:eastAsiaTheme="minorEastAsia"/>
          <w:sz w:val="24"/>
          <w:szCs w:val="28"/>
        </w:rPr>
      </w:pPr>
      <w:r>
        <w:rPr>
          <w:rFonts w:cs="仿宋" w:asciiTheme="minorEastAsia" w:hAnsiTheme="minorEastAsia" w:eastAsiaTheme="minorEastAsia"/>
          <w:sz w:val="24"/>
          <w:szCs w:val="28"/>
        </w:rPr>
        <w:br w:type="page"/>
      </w:r>
    </w:p>
    <w:p>
      <w:pPr>
        <w:spacing w:line="360" w:lineRule="auto"/>
        <w:jc w:val="left"/>
        <w:outlineLvl w:val="2"/>
        <w:rPr>
          <w:rFonts w:cs="仿宋" w:asciiTheme="minorEastAsia" w:hAnsiTheme="minorEastAsia" w:eastAsiaTheme="minorEastAsia"/>
          <w:b/>
          <w:bCs/>
          <w:sz w:val="24"/>
          <w:szCs w:val="28"/>
        </w:rPr>
      </w:pPr>
      <w:bookmarkStart w:id="54" w:name="_Toc28239"/>
      <w:bookmarkStart w:id="55" w:name="_Toc136017643"/>
      <w:bookmarkStart w:id="56" w:name="_Toc136345091"/>
      <w:r>
        <w:rPr>
          <w:rFonts w:hint="eastAsia" w:cs="仿宋" w:asciiTheme="minorEastAsia" w:hAnsiTheme="minorEastAsia" w:eastAsiaTheme="minorEastAsia"/>
          <w:b/>
          <w:bCs/>
          <w:sz w:val="24"/>
          <w:szCs w:val="28"/>
          <w:lang w:val="en-US" w:eastAsia="zh-CN"/>
        </w:rPr>
        <w:t>二、</w:t>
      </w:r>
      <w:r>
        <w:rPr>
          <w:rFonts w:hint="eastAsia" w:cs="仿宋" w:asciiTheme="minorEastAsia" w:hAnsiTheme="minorEastAsia" w:eastAsiaTheme="minorEastAsia"/>
          <w:b/>
          <w:bCs/>
          <w:sz w:val="24"/>
          <w:szCs w:val="28"/>
        </w:rPr>
        <w:t>技术要求</w:t>
      </w:r>
      <w:bookmarkEnd w:id="54"/>
      <w:bookmarkEnd w:id="55"/>
      <w:bookmarkEnd w:id="56"/>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本项目名称庄桥老街街区更新项目活力街区更新工程，项目位于江北区庄桥街道。建设规模及内容</w:t>
      </w:r>
      <w:bookmarkStart w:id="57" w:name="_Hlk120902304"/>
      <w:r>
        <w:rPr>
          <w:rFonts w:hint="eastAsia" w:ascii="宋体" w:hAnsi="宋体" w:eastAsia="宋体" w:cs="宋体"/>
          <w:b w:val="0"/>
          <w:bCs w:val="0"/>
          <w:color w:val="auto"/>
          <w:sz w:val="21"/>
          <w:szCs w:val="21"/>
          <w:highlight w:val="none"/>
          <w:lang w:val="en-US" w:eastAsia="zh-CN"/>
        </w:rPr>
        <w:t>：庄桥老街街区更新项目活力街区更新工程主要包括滨河步道贯通、垃圾点整治、人行路面铺装改造修复、河岸绿化提升、公园改造、巷道环境整治、公共服务设施配置等。</w:t>
      </w:r>
    </w:p>
    <w:bookmarkEnd w:id="57"/>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工期：本项目建设期约8个月，计划2025年</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月开工，202</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月竣工。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资金：本项目总投资算约4316万元，其中工程费用约3668万元。</w:t>
      </w:r>
    </w:p>
    <w:p>
      <w:pPr>
        <w:pStyle w:val="16"/>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招标范围</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为节约投资成本，有效缩短工期，提高服务质量及管理水平，本项目采用全过程咨询管理模式，全过程咨询服务内容如下：</w:t>
      </w:r>
      <w:r>
        <w:rPr>
          <w:rFonts w:hint="eastAsia" w:ascii="宋体" w:hAnsi="宋体" w:eastAsia="宋体" w:cs="宋体"/>
          <w:color w:val="auto"/>
          <w:sz w:val="21"/>
          <w:szCs w:val="21"/>
          <w:highlight w:val="none"/>
          <w:lang w:val="zh-CN"/>
        </w:rPr>
        <w:t>项目建设管理服务</w:t>
      </w:r>
      <w:r>
        <w:rPr>
          <w:rFonts w:hint="eastAsia" w:ascii="宋体" w:hAnsi="宋体"/>
          <w:lang w:eastAsia="zh-CN"/>
        </w:rPr>
        <w:t>（</w:t>
      </w:r>
      <w:r>
        <w:rPr>
          <w:rFonts w:hint="eastAsia" w:ascii="宋体" w:hAnsi="宋体"/>
          <w:lang w:val="en-US" w:eastAsia="zh-CN"/>
        </w:rPr>
        <w:t>不含前期服务</w:t>
      </w:r>
      <w:r>
        <w:rPr>
          <w:rFonts w:hint="eastAsia" w:ascii="宋体" w:hAnsi="宋体"/>
          <w:lang w:eastAsia="zh-CN"/>
        </w:rPr>
        <w:t>）</w:t>
      </w:r>
      <w:r>
        <w:rPr>
          <w:rFonts w:hint="eastAsia" w:ascii="宋体" w:hAnsi="宋体" w:eastAsia="宋体" w:cs="宋体"/>
          <w:color w:val="auto"/>
          <w:sz w:val="21"/>
          <w:szCs w:val="21"/>
          <w:highlight w:val="none"/>
          <w:lang w:val="zh-CN"/>
        </w:rPr>
        <w:t>、工程监理、施工阶段全过程工程造价控制服务（不含招标控制价及工程量清单编制</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不含结算审核</w:t>
      </w:r>
      <w:r>
        <w:rPr>
          <w:rFonts w:hint="eastAsia" w:ascii="宋体" w:hAnsi="宋体" w:eastAsia="宋体" w:cs="宋体"/>
          <w:color w:val="auto"/>
          <w:sz w:val="21"/>
          <w:szCs w:val="21"/>
          <w:highlight w:val="none"/>
          <w:lang w:val="zh-CN"/>
        </w:rPr>
        <w:t>）及其他受到采购人委托的相关工作</w:t>
      </w:r>
      <w:r>
        <w:rPr>
          <w:rFonts w:hint="eastAsia" w:ascii="宋体" w:hAnsi="宋体" w:eastAsia="宋体" w:cs="宋体"/>
          <w:color w:val="auto"/>
          <w:sz w:val="21"/>
          <w:szCs w:val="21"/>
          <w:highlight w:val="none"/>
          <w:lang w:val="en-US" w:eastAsia="zh-CN"/>
        </w:rPr>
        <w:t>，根据浙价服【2009】84号等文件的收费标准，按照3668万元的工程费用计算。</w:t>
      </w:r>
    </w:p>
    <w:p>
      <w:pPr>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（三）服务期限</w:t>
      </w:r>
    </w:p>
    <w:p>
      <w:pPr>
        <w:numPr>
          <w:ilvl w:val="0"/>
          <w:numId w:val="0"/>
        </w:numPr>
        <w:spacing w:line="360" w:lineRule="auto"/>
        <w:ind w:leftChars="0"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全过程工程咨询服务期限自签订合同之日起至工程竣工验收通过、缺陷责任期满，且全部资料归档，财务决算审计完成止。</w:t>
      </w:r>
    </w:p>
    <w:p>
      <w:pPr>
        <w:adjustRightIn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）对投入本项目人员的要求</w:t>
      </w:r>
    </w:p>
    <w:tbl>
      <w:tblPr>
        <w:tblStyle w:val="38"/>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80"/>
        <w:gridCol w:w="1780"/>
        <w:gridCol w:w="2281"/>
        <w:gridCol w:w="681"/>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配置岗位要求</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专业要求</w:t>
            </w:r>
          </w:p>
        </w:tc>
        <w:tc>
          <w:tcPr>
            <w:tcW w:w="1246"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执业资格或职称要求</w:t>
            </w:r>
          </w:p>
        </w:tc>
        <w:tc>
          <w:tcPr>
            <w:tcW w:w="3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数量要求</w:t>
            </w:r>
          </w:p>
        </w:tc>
        <w:tc>
          <w:tcPr>
            <w:tcW w:w="1066"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工程建设类</w:t>
            </w:r>
          </w:p>
        </w:tc>
        <w:tc>
          <w:tcPr>
            <w:tcW w:w="1246"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注册执业资格（包括一级注册建造师或注册造价工程师或注册监理工程师）和具有工程类（或工程经济类）高级及以上专业技术职称</w:t>
            </w:r>
          </w:p>
        </w:tc>
        <w:tc>
          <w:tcPr>
            <w:tcW w:w="3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1066" w:type="pct"/>
            <w:vAlign w:val="center"/>
          </w:tcPr>
          <w:p>
            <w:pPr>
              <w:keepNext w:val="0"/>
              <w:keepLines w:val="0"/>
              <w:suppressLineNumbers w:val="0"/>
              <w:autoSpaceDE w:val="0"/>
              <w:autoSpaceDN w:val="0"/>
              <w:adjustRightInd/>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不可兼任拟派总监理工程师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val="en-US" w:eastAsia="zh-CN"/>
              </w:rPr>
              <w:t>市政类</w:t>
            </w:r>
          </w:p>
        </w:tc>
        <w:tc>
          <w:tcPr>
            <w:tcW w:w="1246"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国家注册监理工程师</w:t>
            </w:r>
          </w:p>
        </w:tc>
        <w:tc>
          <w:tcPr>
            <w:tcW w:w="3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1066" w:type="pct"/>
            <w:vMerge w:val="restar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文件中无需提供人员信息，提供承诺书即可。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专业监理工程师</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val="en-US" w:eastAsia="zh-CN"/>
              </w:rPr>
              <w:t>市政类</w:t>
            </w:r>
          </w:p>
        </w:tc>
        <w:tc>
          <w:tcPr>
            <w:tcW w:w="1246"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监理工程师及以上</w:t>
            </w:r>
          </w:p>
        </w:tc>
        <w:tc>
          <w:tcPr>
            <w:tcW w:w="3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1066" w:type="pct"/>
            <w:vMerge w:val="continue"/>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监理员</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val="en-US" w:eastAsia="zh-CN"/>
              </w:rPr>
              <w:t>市政类</w:t>
            </w:r>
          </w:p>
        </w:tc>
        <w:tc>
          <w:tcPr>
            <w:tcW w:w="1246"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监理员及以上</w:t>
            </w:r>
          </w:p>
        </w:tc>
        <w:tc>
          <w:tcPr>
            <w:tcW w:w="3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1066" w:type="pct"/>
            <w:vMerge w:val="continue"/>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现场管理</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工程建设类</w:t>
            </w:r>
          </w:p>
        </w:tc>
        <w:tc>
          <w:tcPr>
            <w:tcW w:w="1246"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1066" w:type="pct"/>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现场管理</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工程建设类</w:t>
            </w:r>
          </w:p>
        </w:tc>
        <w:tc>
          <w:tcPr>
            <w:tcW w:w="1246" w:type="pct"/>
            <w:vAlign w:val="center"/>
          </w:tcPr>
          <w:p>
            <w:pPr>
              <w:keepNext w:val="0"/>
              <w:keepLines w:val="0"/>
              <w:suppressLineNumbers w:val="0"/>
              <w:autoSpaceDE w:val="0"/>
              <w:autoSpaceDN w:val="0"/>
              <w:adjustRightInd/>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3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tc>
        <w:tc>
          <w:tcPr>
            <w:tcW w:w="1066" w:type="pct"/>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7</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资料员</w:t>
            </w:r>
          </w:p>
        </w:tc>
        <w:tc>
          <w:tcPr>
            <w:tcW w:w="9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46" w:type="pct"/>
            <w:vAlign w:val="center"/>
          </w:tcPr>
          <w:p>
            <w:pPr>
              <w:keepNext w:val="0"/>
              <w:keepLines w:val="0"/>
              <w:suppressLineNumbers w:val="0"/>
              <w:autoSpaceDE w:val="0"/>
              <w:autoSpaceDN w:val="0"/>
              <w:adjustRightInd/>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372"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tc>
        <w:tc>
          <w:tcPr>
            <w:tcW w:w="1066" w:type="pct"/>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8</w:t>
            </w:r>
          </w:p>
        </w:tc>
        <w:tc>
          <w:tcPr>
            <w:tcW w:w="972" w:type="pct"/>
            <w:shd w:val="clear" w:color="auto" w:fill="auto"/>
            <w:vAlign w:val="center"/>
          </w:tcPr>
          <w:p>
            <w:pPr>
              <w:keepNext w:val="0"/>
              <w:keepLines w:val="0"/>
              <w:suppressLineNumbers w:val="0"/>
              <w:autoSpaceDE w:val="0"/>
              <w:autoSpaceDN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造价管理</w:t>
            </w:r>
          </w:p>
        </w:tc>
        <w:tc>
          <w:tcPr>
            <w:tcW w:w="972" w:type="pct"/>
            <w:shd w:val="clear" w:color="auto" w:fill="auto"/>
            <w:vAlign w:val="center"/>
          </w:tcPr>
          <w:p>
            <w:pPr>
              <w:keepNext w:val="0"/>
              <w:keepLines w:val="0"/>
              <w:suppressLineNumbers w:val="0"/>
              <w:autoSpaceDE w:val="0"/>
              <w:autoSpaceDN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工程建设类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安装专业</w:t>
            </w:r>
            <w:r>
              <w:rPr>
                <w:rFonts w:hint="eastAsia" w:ascii="宋体" w:hAnsi="宋体" w:eastAsia="宋体" w:cs="宋体"/>
                <w:color w:val="auto"/>
                <w:sz w:val="21"/>
                <w:szCs w:val="21"/>
                <w:highlight w:val="none"/>
                <w:lang w:eastAsia="zh-CN"/>
              </w:rPr>
              <w:t>）</w:t>
            </w:r>
          </w:p>
        </w:tc>
        <w:tc>
          <w:tcPr>
            <w:tcW w:w="1246" w:type="pct"/>
            <w:shd w:val="clear" w:color="auto" w:fill="auto"/>
            <w:vAlign w:val="center"/>
          </w:tcPr>
          <w:p>
            <w:pPr>
              <w:keepNext w:val="0"/>
              <w:keepLines w:val="0"/>
              <w:suppressLineNumbers w:val="0"/>
              <w:autoSpaceDE w:val="0"/>
              <w:autoSpaceDN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级注册造价工程师</w:t>
            </w:r>
          </w:p>
        </w:tc>
        <w:tc>
          <w:tcPr>
            <w:tcW w:w="372" w:type="pct"/>
            <w:shd w:val="clear" w:color="auto" w:fill="auto"/>
            <w:vAlign w:val="center"/>
          </w:tcPr>
          <w:p>
            <w:pPr>
              <w:keepNext w:val="0"/>
              <w:keepLines w:val="0"/>
              <w:suppressLineNumbers w:val="0"/>
              <w:autoSpaceDE w:val="0"/>
              <w:autoSpaceDN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tc>
        <w:tc>
          <w:tcPr>
            <w:tcW w:w="1066" w:type="pct"/>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9</w:t>
            </w:r>
          </w:p>
        </w:tc>
        <w:tc>
          <w:tcPr>
            <w:tcW w:w="972" w:type="pct"/>
            <w:shd w:val="clear" w:color="auto" w:fill="auto"/>
            <w:vAlign w:val="center"/>
          </w:tcPr>
          <w:p>
            <w:pPr>
              <w:keepNext w:val="0"/>
              <w:keepLines w:val="0"/>
              <w:suppressLineNumbers w:val="0"/>
              <w:autoSpaceDE w:val="0"/>
              <w:autoSpaceDN w:val="0"/>
              <w:adjustRightInd/>
              <w:spacing w:before="0" w:beforeAutospacing="0" w:after="0" w:afterAutospacing="0" w:line="36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造价管理</w:t>
            </w:r>
          </w:p>
        </w:tc>
        <w:tc>
          <w:tcPr>
            <w:tcW w:w="972" w:type="pct"/>
            <w:shd w:val="clear" w:color="auto" w:fill="auto"/>
            <w:vAlign w:val="center"/>
          </w:tcPr>
          <w:p>
            <w:pPr>
              <w:keepNext w:val="0"/>
              <w:keepLines w:val="0"/>
              <w:suppressLineNumbers w:val="0"/>
              <w:autoSpaceDE w:val="0"/>
              <w:autoSpaceDN w:val="0"/>
              <w:adjustRightInd/>
              <w:spacing w:before="0" w:beforeAutospacing="0" w:after="0" w:afterAutospacing="0" w:line="36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工程建设类（市政专业）</w:t>
            </w:r>
          </w:p>
        </w:tc>
        <w:tc>
          <w:tcPr>
            <w:tcW w:w="1246" w:type="pct"/>
            <w:shd w:val="clear" w:color="auto" w:fill="auto"/>
            <w:vAlign w:val="center"/>
          </w:tcPr>
          <w:p>
            <w:pPr>
              <w:keepNext w:val="0"/>
              <w:keepLines w:val="0"/>
              <w:suppressLineNumbers w:val="0"/>
              <w:autoSpaceDE w:val="0"/>
              <w:autoSpaceDN w:val="0"/>
              <w:adjustRightInd/>
              <w:spacing w:before="0" w:beforeAutospacing="0" w:after="0" w:afterAutospacing="0" w:line="36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一级注册造价工程师</w:t>
            </w:r>
          </w:p>
        </w:tc>
        <w:tc>
          <w:tcPr>
            <w:tcW w:w="372" w:type="pct"/>
            <w:shd w:val="clear" w:color="auto" w:fill="auto"/>
            <w:vAlign w:val="center"/>
          </w:tcPr>
          <w:p>
            <w:pPr>
              <w:keepNext w:val="0"/>
              <w:keepLines w:val="0"/>
              <w:suppressLineNumbers w:val="0"/>
              <w:autoSpaceDE w:val="0"/>
              <w:autoSpaceDN w:val="0"/>
              <w:adjustRightInd/>
              <w:spacing w:before="0" w:beforeAutospacing="0" w:after="0" w:afterAutospacing="0" w:line="36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1066" w:type="pct"/>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lang w:val="en-US" w:eastAsia="zh-CN"/>
              </w:rPr>
            </w:pPr>
          </w:p>
        </w:tc>
      </w:tr>
    </w:tbl>
    <w:p>
      <w:pPr>
        <w:adjustRightInd/>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注：1、本表所列人员为最低配备要求；供应商应根据工程实际情况适当增加人员配备，增加的人员由供应商自行补充填写。</w:t>
      </w:r>
    </w:p>
    <w:p>
      <w:pPr>
        <w:adjustRightInd/>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2、本表要求具备的所有注册证书注册单位必须为受托人本单位。</w:t>
      </w:r>
    </w:p>
    <w:p>
      <w:pPr>
        <w:adjustRightInd/>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3、本项目拟派总监理工程师及其他监理人员采用承诺制，供应商须在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文件中提供拟派监理人员承诺书（格式详见《第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部分</w:t>
      </w:r>
      <w:r>
        <w:rPr>
          <w:rFonts w:hint="eastAsia" w:ascii="宋体" w:hAnsi="宋体" w:eastAsia="宋体" w:cs="宋体"/>
          <w:color w:val="auto"/>
          <w:sz w:val="21"/>
          <w:szCs w:val="21"/>
          <w:highlight w:val="none"/>
          <w:lang w:val="en-US" w:eastAsia="zh-CN"/>
        </w:rPr>
        <w:t xml:space="preserve"> 投标文件格式</w:t>
      </w:r>
      <w:r>
        <w:rPr>
          <w:rFonts w:hint="eastAsia" w:ascii="宋体" w:hAnsi="宋体" w:eastAsia="宋体" w:cs="宋体"/>
          <w:color w:val="auto"/>
          <w:sz w:val="21"/>
          <w:szCs w:val="21"/>
          <w:highlight w:val="none"/>
          <w:lang w:val="zh-CN"/>
        </w:rPr>
        <w:t>》）。</w:t>
      </w:r>
    </w:p>
    <w:p>
      <w:pPr>
        <w:adjustRightInd/>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4、本表的项目人员要求具有相应的职业资格证书或职称证书的，专业以职称证书或执业证书或相关注册证书或毕业证书为准，受托人需将人员的相关证书复印件附入</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文件中（拟派监理部人员除外）。</w:t>
      </w:r>
    </w:p>
    <w:p>
      <w:pPr>
        <w:adjustRightInd/>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）对投入本项目的办公及检测设备的要求</w:t>
      </w:r>
    </w:p>
    <w:tbl>
      <w:tblPr>
        <w:tblStyle w:val="38"/>
        <w:tblW w:w="522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108" w:type="dxa"/>
          <w:bottom w:w="28" w:type="dxa"/>
          <w:right w:w="108" w:type="dxa"/>
        </w:tblCellMar>
      </w:tblPr>
      <w:tblGrid>
        <w:gridCol w:w="804"/>
        <w:gridCol w:w="3982"/>
        <w:gridCol w:w="1514"/>
        <w:gridCol w:w="2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tblHeader/>
          <w:jc w:val="center"/>
        </w:trPr>
        <w:tc>
          <w:tcPr>
            <w:tcW w:w="442"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86"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所需设备名称</w:t>
            </w:r>
          </w:p>
        </w:tc>
        <w:tc>
          <w:tcPr>
            <w:tcW w:w="831"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540"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442"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86"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计算机及相关软件</w:t>
            </w:r>
          </w:p>
        </w:tc>
        <w:tc>
          <w:tcPr>
            <w:tcW w:w="831"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壹套</w:t>
            </w:r>
          </w:p>
        </w:tc>
        <w:tc>
          <w:tcPr>
            <w:tcW w:w="1540"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442"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86"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办公设备</w:t>
            </w:r>
          </w:p>
        </w:tc>
        <w:tc>
          <w:tcPr>
            <w:tcW w:w="831"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若干</w:t>
            </w:r>
          </w:p>
        </w:tc>
        <w:tc>
          <w:tcPr>
            <w:tcW w:w="1540"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442"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86"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经纬仪、水准仪、便携式红外线测距仪等测试设备</w:t>
            </w:r>
          </w:p>
        </w:tc>
        <w:tc>
          <w:tcPr>
            <w:tcW w:w="831"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若干</w:t>
            </w:r>
          </w:p>
        </w:tc>
        <w:tc>
          <w:tcPr>
            <w:tcW w:w="1540"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442"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86"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必备检验设备</w:t>
            </w:r>
          </w:p>
        </w:tc>
        <w:tc>
          <w:tcPr>
            <w:tcW w:w="831"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壹套</w:t>
            </w:r>
          </w:p>
        </w:tc>
        <w:tc>
          <w:tcPr>
            <w:tcW w:w="1540"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442"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86"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通讯工具</w:t>
            </w:r>
          </w:p>
        </w:tc>
        <w:tc>
          <w:tcPr>
            <w:tcW w:w="831"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每人壹部手机</w:t>
            </w:r>
          </w:p>
        </w:tc>
        <w:tc>
          <w:tcPr>
            <w:tcW w:w="1540"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保持24小时畅通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442"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86"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交通工具</w:t>
            </w:r>
          </w:p>
        </w:tc>
        <w:tc>
          <w:tcPr>
            <w:tcW w:w="831"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自理</w:t>
            </w:r>
          </w:p>
        </w:tc>
        <w:tc>
          <w:tcPr>
            <w:tcW w:w="1540"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442"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86"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办公用房</w:t>
            </w:r>
          </w:p>
        </w:tc>
        <w:tc>
          <w:tcPr>
            <w:tcW w:w="831"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自理</w:t>
            </w:r>
          </w:p>
        </w:tc>
        <w:tc>
          <w:tcPr>
            <w:tcW w:w="1540"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442"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86"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考勤机</w:t>
            </w:r>
          </w:p>
        </w:tc>
        <w:tc>
          <w:tcPr>
            <w:tcW w:w="831"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若干</w:t>
            </w:r>
          </w:p>
        </w:tc>
        <w:tc>
          <w:tcPr>
            <w:tcW w:w="1540"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放置在委托人指定办公室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442"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86"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联网电脑</w:t>
            </w:r>
          </w:p>
        </w:tc>
        <w:tc>
          <w:tcPr>
            <w:tcW w:w="831"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若干</w:t>
            </w:r>
          </w:p>
        </w:tc>
        <w:tc>
          <w:tcPr>
            <w:tcW w:w="1540"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放置在委托人指定办公室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442"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86"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完成监理工作所需的其他工具、设备</w:t>
            </w:r>
          </w:p>
        </w:tc>
        <w:tc>
          <w:tcPr>
            <w:tcW w:w="831"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若干</w:t>
            </w:r>
          </w:p>
        </w:tc>
        <w:tc>
          <w:tcPr>
            <w:tcW w:w="1540" w:type="pct"/>
            <w:tcBorders>
              <w:tl2br w:val="nil"/>
              <w:tr2bl w:val="nil"/>
            </w:tcBorders>
            <w:vAlign w:val="center"/>
          </w:tcPr>
          <w:p>
            <w:pPr>
              <w:keepNext w:val="0"/>
              <w:keepLines w:val="0"/>
              <w:suppressLineNumbers w:val="0"/>
              <w:autoSpaceDE w:val="0"/>
              <w:autoSpaceDN w:val="0"/>
              <w:adjustRightInd/>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bl>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注：上表所列办公及检测设备为委托人对本项目的基本配置要求，受托人应在保证项目工期及工程质量的前提下，根据项目具体情况自行增加，不得减配。</w:t>
      </w:r>
    </w:p>
    <w:p>
      <w:pPr>
        <w:adjustRightInd/>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）服务要求</w:t>
      </w:r>
    </w:p>
    <w:p>
      <w:pPr>
        <w:pStyle w:val="212"/>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1、项目建设管理服务</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负责项目各类合同的起草、谈判、签订和管理工作，并按《中华人民共和国民法典》行使采购人</w:t>
      </w:r>
      <w:r>
        <w:rPr>
          <w:rFonts w:hint="eastAsia" w:ascii="宋体" w:hAnsi="宋体" w:eastAsia="宋体" w:cs="宋体"/>
          <w:color w:val="auto"/>
          <w:sz w:val="21"/>
          <w:szCs w:val="21"/>
          <w:highlight w:val="none"/>
          <w:lang w:val="en-US" w:eastAsia="zh-CN"/>
        </w:rPr>
        <w:t>权利</w:t>
      </w:r>
      <w:r>
        <w:rPr>
          <w:rFonts w:hint="eastAsia" w:ascii="宋体" w:hAnsi="宋体" w:eastAsia="宋体" w:cs="宋体"/>
          <w:color w:val="auto"/>
          <w:sz w:val="21"/>
          <w:szCs w:val="21"/>
          <w:highlight w:val="none"/>
        </w:rPr>
        <w:t>，履行采购人的职责和义务。</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负责项目进度的管理。</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（1）负责按照项目要求，编制项目进度总体计划，并报采购人审定。</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（2）按批准的进度计划实施工作，确保项目如期完成。</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（3）定期组织召开项目例会，及时分析、协调、平衡和调整项目进度，定期向采购人上报有关进度的信息、报表。</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（4）其他项目进度管理工作。</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负责工程质量管理。</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（1）按照国家相关标准、行业标准、地方标准或者其他标准、规范要求，建立质量保证体系，严格管理，确保项目质量达到预定目标。</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（2）对质量负责，发生质量事故时应及时查明原因和具体责任，并及时组织事故处理方案的实施。</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（3）负责组织项目实施过程中分项分部的验收，包括隐蔽工程和各类材料的验收。</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（4）其他项目质量管理工作。</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负责项目管理工作。</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（1）通过招标择优选择的服务单位，实施时应实行科学管理，严格造价审核。</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（2）负责编报投资计划，经审核后报采购人办理资金支付；协助办理在保修期内工程尾款的支付。</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（3）严格按照批准的项目规模、功能、标准和预算限额组织检测修复，如有改变项目投资控制范围的调整意见，应提供投资增减情况分析报采购人按程序申报调整项目预算。</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（4）其他项目管理工作。</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负责按有关规定进行安全管理和文明施工管理。</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负责项目相关档案和信息管理，待项目竣工验收后提交完整的归档资料给采购人，并根据宁波市城建档案相关办法及国家档案局有关标准和要求对建设工程文件档案进行案卷整理、归档。</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负责设立项目基建专户，专人管理，专款专用，严格对项目实施的财务活动进行会计核算和财务管理。</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项目管理单位及与其有隶属关系的单位不得在本项目中承担施工、材料供应等工作。</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负责处理施工过程中引起的投诉、信访事件，经采购人同意后做好书面回复工作。</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按采购人要求做好月度总结及项目总结，每月15号前提交月度总结给采购人。</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组织招标代理工作，并根据项目进度情况，协调、审查招标文件、组织招投标工作等。</w:t>
      </w:r>
    </w:p>
    <w:p>
      <w:pPr>
        <w:spacing w:beforeLines="0" w:line="440" w:lineRule="exact"/>
        <w:ind w:firstLine="420" w:firstLineChars="200"/>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1.12</w:t>
      </w:r>
      <w:r>
        <w:rPr>
          <w:rFonts w:hint="eastAsia" w:ascii="宋体" w:hAnsi="宋体" w:cs="宋体"/>
          <w:color w:val="auto"/>
          <w:szCs w:val="21"/>
          <w:highlight w:val="none"/>
          <w:lang w:val="en-US" w:eastAsia="zh-CN"/>
        </w:rPr>
        <w:t>负责</w:t>
      </w:r>
      <w:r>
        <w:rPr>
          <w:rFonts w:hint="eastAsia" w:ascii="宋体" w:hAnsi="宋体" w:cs="宋体"/>
          <w:color w:val="auto"/>
          <w:szCs w:val="21"/>
          <w:highlight w:val="none"/>
        </w:rPr>
        <w:t>施工前</w:t>
      </w:r>
      <w:r>
        <w:rPr>
          <w:rFonts w:hint="eastAsia" w:ascii="宋体" w:hAnsi="宋体" w:cs="宋体"/>
          <w:color w:val="auto"/>
          <w:szCs w:val="21"/>
          <w:highlight w:val="none"/>
          <w:lang w:eastAsia="zh-CN"/>
        </w:rPr>
        <w:t>、</w:t>
      </w:r>
      <w:r>
        <w:rPr>
          <w:rFonts w:hint="eastAsia" w:ascii="宋体" w:hAnsi="宋体" w:cs="宋体"/>
          <w:color w:val="auto"/>
          <w:szCs w:val="21"/>
          <w:highlight w:val="none"/>
        </w:rPr>
        <w:t>中</w:t>
      </w:r>
      <w:r>
        <w:rPr>
          <w:rFonts w:hint="eastAsia" w:ascii="宋体" w:hAnsi="宋体" w:cs="宋体"/>
          <w:color w:val="auto"/>
          <w:szCs w:val="21"/>
          <w:highlight w:val="none"/>
          <w:lang w:eastAsia="zh-CN"/>
        </w:rPr>
        <w:t>、</w:t>
      </w:r>
      <w:r>
        <w:rPr>
          <w:rFonts w:hint="eastAsia" w:ascii="宋体" w:hAnsi="宋体" w:cs="宋体"/>
          <w:color w:val="auto"/>
          <w:szCs w:val="21"/>
          <w:highlight w:val="none"/>
        </w:rPr>
        <w:t>后影像资料</w:t>
      </w:r>
      <w:r>
        <w:rPr>
          <w:rFonts w:hint="eastAsia" w:ascii="宋体" w:hAnsi="宋体" w:cs="宋体"/>
          <w:color w:val="auto"/>
          <w:szCs w:val="21"/>
          <w:highlight w:val="none"/>
          <w:lang w:val="en-US" w:eastAsia="zh-CN"/>
        </w:rPr>
        <w:t>收集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进行</w:t>
      </w:r>
      <w:r>
        <w:rPr>
          <w:rFonts w:hint="eastAsia" w:ascii="宋体" w:hAnsi="宋体" w:cs="宋体"/>
          <w:color w:val="auto"/>
          <w:szCs w:val="21"/>
          <w:highlight w:val="none"/>
        </w:rPr>
        <w:t>专题归档并制作改造效果对比视频，相关费用在</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中自行考虑。</w:t>
      </w:r>
    </w:p>
    <w:p>
      <w:pPr>
        <w:spacing w:beforeLines="0"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1.13负责</w:t>
      </w:r>
      <w:r>
        <w:rPr>
          <w:rFonts w:hint="eastAsia" w:ascii="宋体" w:hAnsi="宋体" w:eastAsia="宋体" w:cs="宋体"/>
          <w:color w:val="auto"/>
          <w:sz w:val="21"/>
          <w:szCs w:val="21"/>
          <w:highlight w:val="none"/>
        </w:rPr>
        <w:t>考勤机的安装及使用，并对受托人人员考勤情况进行随机抽查，</w:t>
      </w:r>
      <w:r>
        <w:rPr>
          <w:rFonts w:hint="eastAsia" w:ascii="宋体" w:hAnsi="宋体" w:cs="宋体"/>
          <w:color w:val="auto"/>
          <w:sz w:val="21"/>
          <w:szCs w:val="21"/>
          <w:highlight w:val="none"/>
        </w:rPr>
        <w:t>项目验收后提供考勤报告</w:t>
      </w:r>
      <w:r>
        <w:rPr>
          <w:rFonts w:hint="eastAsia" w:ascii="宋体" w:hAnsi="宋体" w:cs="宋体"/>
          <w:color w:val="auto"/>
          <w:sz w:val="21"/>
          <w:szCs w:val="21"/>
          <w:highlight w:val="none"/>
          <w:lang w:eastAsia="zh-CN"/>
        </w:rPr>
        <w:t>。</w:t>
      </w:r>
    </w:p>
    <w:p>
      <w:pPr>
        <w:pStyle w:val="212"/>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2、监理服务 </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（1）按相关规定编制全过程实施方案、全过程工期实施计划、全过程实施细则，报委托人同意后实施。</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（2）熟悉合同文件，了解施工现场。</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（3）参与设计交底工作，审查承包人提交的复测结果、施工图变更设计和施工组织设计，督促和检查承包人建立质量保证体系、安全保证体系。</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（4）检查施工承包人的开工准备工作，审批施工组织设计，签认开工报告，批准单项工程开工报告。</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（5）审查承包人授权的常驻现场代表的资质，以及其他派驻到现场的主要技术、管理人员的资质；审查特殊作业人员上岗证件。</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（6）建立监理的试验、检测工作体系，按照规定的频率独立开展监理的试验、检测工作。</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（7）审批承包人拟用于本工程的原始材料、成套设备的品质。</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审查施工承包人实施工程的实施方案及主要方法或工艺，审批施工承包人提交的各项安全专项方案；还应对施工承包人在施工过程中采取的环境保护措施和施工安全、文明措施加强监督和管理；验收承包人的工地试验室，审核其人员资质。</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（9）审查施工承包人拟用于本工程的机械设备的性能与数量。</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（10）审查承包人提交的总体进度计划，检查和督促承包人实施进度计划、核批承包人的修正计划。</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（11）审查分包合同和分包人的资质，控制重要外购成品件或半成品的质量。</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（12）审查承包人提交的总体进度计划，检查和督促承包人实施进度计划、核批承包人的修正计划。</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（13）参加第一次开始的工地监理会议和主持日常工地监理会议，参加造价专题例会，参加跟踪审计造价会议。</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要求承包人按照合同条件、技术规范和监理程序进行施工、通过旁站、巡视、检测、整体验收等手段全面监督、检查和控制工程质量；尤其须注意对进场材料、设备的平行检验及对混凝土浇筑等关键部分、关键工序实行全过程旁站。</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对已完成工程量进行准确的计量，对工程量的增减做好实测实量，保存好原始凭证，并接受委托人代表检核，重大工程量的计量按宁波市有关文件和合同约定执行，审核变更的工作量并签署确认意见（工程量变更的对外确认只能由委托人进行），对上报进度款的工作量进行审核确认后，交委托人最终确认。</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（16）对承包人安全、文明施工进行监管，督促承包单位做好半成品保护，对施工单位成品保护工作的质量与效果进行经常性检查，要避免因成品保护不善造成操作损坏或污染，影响工程整体质量。</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（17）签发中间交工文件。</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调查、处理工程质量缺陷和事故，与设计、施工单位一起提出改进措施和方法，出现重大质量和安全事故时，督促承包人按规定上报有关部门。对施工现场安全、质量管理进行监管，如发生安全质量事故或区级以上相关行政单位通报批评，与施工单位等被通报批评单位接受相应处罚。</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（19）签认工程款及其他费用中期支付凭证。</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（20）发布停（复）工令，须事先经委托人核准同意。</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（21）发布变更令（重大、重要变更报委托人核准，凡涉及工程造价须事前经委托人核准）。</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（22）受理合同事宜，根据合同规定进行评估和处理。</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（23）根据合同规定处理违约事件，协调争端，在诉讼或仲裁过程中作证。</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（24）编制监理工作周报、月报及委托人要求编制的报表（或文件等）在每周一、每月25日前向委托人递交。</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（25）对承包人的交工申请进行评估，主持对拟交工工程的检查和验收，签认交工文件，签署监理意见。</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（26）督促、检查承包人按工程管理部门和委托人的要求编制竣工文件，审核竣工文件和竣工图并签署意见，配合审计工作，并做好归档工作。</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（27）配合委托人的竣工验收、工程移交和各种预验工作，督促整改意见的落实；</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（28）对施工承包人的项目负责人及现场管理人员进行考勤。</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（29）编制监理方面的竣工文件。</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（30）根据监理工作日记和造价变更工作日记，配合委托人做好决算和结算审计工作，对结算中有关争议内容出具公正、独立的书面意见，并提供相关依据。</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（31）配合委托人做好竣工验收和验收后的维保和工程移交工作。</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（32）工程完工后，向委托人提交项目履约评估报告。</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（33）按监理规范规定的其他工作。</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（34）遵守委托人内部规章制度，接受委托人的履约考核，对现场安全、质量、进度等管控不力的，按照委托人规章制度标准扣除违约金。</w:t>
      </w:r>
    </w:p>
    <w:p>
      <w:pPr>
        <w:pStyle w:val="212"/>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3、施工阶段全过程工程造价控制服务（不含招标控制价及工程量清单编制</w:t>
      </w:r>
      <w:r>
        <w:rPr>
          <w:rFonts w:hint="eastAsia" w:ascii="宋体" w:hAnsi="宋体"/>
          <w:highlight w:val="none"/>
          <w:lang w:eastAsia="zh-CN"/>
        </w:rPr>
        <w:t>、</w:t>
      </w:r>
      <w:r>
        <w:rPr>
          <w:rFonts w:hint="eastAsia" w:ascii="宋体" w:hAnsi="宋体"/>
          <w:highlight w:val="none"/>
          <w:lang w:val="en-US" w:eastAsia="zh-CN"/>
        </w:rPr>
        <w:t>不含结算审核</w:t>
      </w:r>
      <w:r>
        <w:rPr>
          <w:rFonts w:hint="eastAsia" w:ascii="宋体" w:hAnsi="宋体" w:eastAsia="宋体" w:cs="宋体"/>
          <w:b/>
          <w:bCs/>
          <w:color w:val="auto"/>
          <w:sz w:val="21"/>
          <w:szCs w:val="21"/>
          <w:highlight w:val="none"/>
        </w:rPr>
        <w:t>）</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（1）了解项目基本情况，包括项目前期资料、招投标文件、施工合同、结算方式等内容；</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（2）制定造价控制的实施流程，对施工单位报送的工程预算进行审核，确定造价控制目标。</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）了解中标施工单位的施工组织设计和主要施工方案是否经济合理；</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）制定现场控制造价步骤与措施；与工程监理单位（质量、进度控制）协调配合，制定控制造价节点与措施，严格签证制度，避免由此给委托人带来的损失；</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协助委托人签署设计变更、工程变更单，对变更的理由、变更的内容、金额提出建议，若发生较大设计变更或市场波动，负责向委托人提交造价测算分析报告，并提供合理的造价控制方法（或建议），并帮助委托人办理重大设计变更的报批手续。变更审核质量达不到委托人的要求并给委托人造成一定损失的，委托人有权视情况处罚；</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在施工过程中如发现清单量误差必须及时书面告知委托人，并测算相关费用；对于清单中已经计算而实际施工中漏掉或改动的工序与结构部件，全过程工程咨询人应该采用现场拍照、录像等手段，以书面资料汇总工程量出入的情况，并计算差价，与证明材料一并交给委托人，以便日后结算备用。如全过程工程咨询人对上述问题未发现或漏报、迟报、误报，给委托人造成损失的，委托人有权处罚；</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）在施工过程中，全过程工程咨询人对施工单位提交的造价变更联系单及时审批完成，因为全过程工程咨询人的错误致使联系单多次修改而影响工期的，委托人有权视情况进行处罚。</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审查项目月、季、年度工程进度报表是否准确，工程量计量、工程款支付是否合理；根据监理签署的施工单位当期实际完成的进度工程量进行复核，按照施工合同中关于进度款的拨付办法，向委托人提出工程进度款拨付意见；</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）审查预付工程款、应付工程款等是否真实、准确、完整；</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审查有关各方签署的措施项目联系单及各种资料是否符合施工实际情况，必要时进行现场拍照、录像，以备查验。结合招标文件、投标文件及工程量清单报价内容，现场核实措施项目与清单报价的措施工程量，并向委托人提出措施项目费用结算意见。</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）根据施工承包合同价、进度计划，编制工程的用款计划书，根据概算进度控制计划，编制年度资金需求计划；</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）参与造价控制有关的工程会议；随时掌握工程进展的实际情况，实施造价控制的跟踪管理；</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会同建设方对特殊材料、设备市场价格的征询或审核；参与无价材料、暂定材料的定牌定价。根据施工图纸的要求，对每种无价材料、暂定材料（招标文件中确定的），全过程工程咨询人协助委托人进行市场询价，确定材料价格，最后经委托人确认。协助委托人进行大型设备的采购与招标。</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）及时提醒委托人可能发生的工程费用索赔问题，提供专业评估意见，估算书及反索赔咨询服务，以保证委托人的利益。建设方、施工方双方提出索赔时，为双方提供确认、反馈索赔等咨询意见；</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）对分阶段竣工的分部工程，对其完工的结算及时进行核定，每个月向委托人提供造价控制动态分析报告。</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）承包方提出索赔时，凭据合同和有关法律、法规，提供咨询意见；</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）提供与造价控制相关的人工、材料、设备等造价信息，过程中协助委托人进行小型材料招标等其他委托人需要的咨询服务。</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）提供工程范围内的所有工程及委托人另行委托的咨询服务。</w:t>
      </w:r>
    </w:p>
    <w:p>
      <w:pPr>
        <w:pStyle w:val="212"/>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、全过程咨询人向委托人提供的附加服务包括如下：</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.1向委托人提供国内和本市工程项目的造价咨询业务有关法律、法令、条例、规定、标准、规范和一般惯例的咨询服务；</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.2向委托人提供涉及委托工程项目的金额、材料、设备等造价信息和规定的咨询服务；</w:t>
      </w:r>
    </w:p>
    <w:p>
      <w:pPr>
        <w:pStyle w:val="212"/>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、双方约定的委托人应提供的建设工程造价咨询材料：</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.1经批准的概算文件；</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.2设计施工图壹套；</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.3建筑施工电源、水源、施工区域总平面布置图；</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.4工程招投标需要的有关文件；</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.5工程预（结）算书及有关设计变更、现场签证、经认可的技术核定单等资料；</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.6其它与造价相关的文件。</w:t>
      </w:r>
    </w:p>
    <w:p>
      <w:pPr>
        <w:pStyle w:val="212"/>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、其他工作内容</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.1本项目的造价咨询服务以完成该委托，提交相关服务成果所必须的时间为服务周期。</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.2本项目的全过程造价咨询服务周期为与建设周期同步。</w:t>
      </w:r>
    </w:p>
    <w:p>
      <w:pPr>
        <w:pStyle w:val="21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.3本合同范围为本项目施工范围内所有的工作内容。</w:t>
      </w:r>
    </w:p>
    <w:p>
      <w:pPr>
        <w:adjustRightIn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全过程咨询报酬</w:t>
      </w:r>
    </w:p>
    <w:p>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本项目工程咨询服务费由项目建设管理费、工程监理费、工程造价咨询费（</w:t>
      </w:r>
      <w:r>
        <w:rPr>
          <w:rFonts w:hint="eastAsia" w:ascii="宋体" w:hAnsi="宋体" w:cs="宋体"/>
          <w:color w:val="auto"/>
          <w:sz w:val="21"/>
          <w:szCs w:val="21"/>
          <w:highlight w:val="none"/>
          <w:lang w:eastAsia="zh-CN"/>
        </w:rPr>
        <w:t>不含招标控制价及工程量清单编制、不含结算</w:t>
      </w:r>
      <w:r>
        <w:rPr>
          <w:rFonts w:hint="eastAsia" w:ascii="宋体" w:hAnsi="宋体" w:cs="宋体"/>
          <w:color w:val="auto"/>
          <w:sz w:val="21"/>
          <w:szCs w:val="21"/>
          <w:highlight w:val="none"/>
          <w:lang w:val="en-US" w:eastAsia="zh-CN"/>
        </w:rPr>
        <w:t>审核</w:t>
      </w:r>
      <w:r>
        <w:rPr>
          <w:rFonts w:hint="eastAsia" w:ascii="宋体" w:hAnsi="宋体" w:eastAsia="宋体" w:cs="宋体"/>
          <w:color w:val="auto"/>
          <w:sz w:val="21"/>
          <w:szCs w:val="21"/>
          <w:highlight w:val="none"/>
        </w:rPr>
        <w:t>费用）费组成。</w:t>
      </w:r>
      <w:r>
        <w:rPr>
          <w:rFonts w:hint="eastAsia" w:ascii="宋体" w:hAnsi="宋体" w:eastAsia="宋体" w:cs="宋体"/>
          <w:b/>
          <w:bCs/>
          <w:color w:val="auto"/>
          <w:sz w:val="21"/>
          <w:szCs w:val="21"/>
          <w:highlight w:val="none"/>
        </w:rPr>
        <w:t>本项目的全过程工程咨询采用报折扣</w:t>
      </w:r>
      <w:r>
        <w:rPr>
          <w:rFonts w:hint="eastAsia" w:ascii="宋体" w:hAnsi="宋体" w:eastAsia="宋体" w:cs="宋体"/>
          <w:b/>
          <w:bCs/>
          <w:color w:val="auto"/>
          <w:sz w:val="21"/>
          <w:szCs w:val="21"/>
          <w:highlight w:val="none"/>
          <w:lang w:val="en-US" w:eastAsia="zh-CN"/>
        </w:rPr>
        <w:t>率</w:t>
      </w:r>
      <w:r>
        <w:rPr>
          <w:rFonts w:hint="eastAsia" w:ascii="宋体" w:hAnsi="宋体" w:eastAsia="宋体" w:cs="宋体"/>
          <w:b/>
          <w:bCs/>
          <w:color w:val="auto"/>
          <w:sz w:val="21"/>
          <w:szCs w:val="21"/>
          <w:highlight w:val="none"/>
        </w:rPr>
        <w:t>的形式，由供应商自行权衡各项服务内容后报出统一折扣，以%表示，最多保留%前两位小数。</w:t>
      </w:r>
      <w:r>
        <w:rPr>
          <w:rFonts w:hint="eastAsia" w:ascii="宋体" w:hAnsi="宋体" w:eastAsia="宋体" w:cs="宋体"/>
          <w:color w:val="auto"/>
          <w:sz w:val="21"/>
          <w:szCs w:val="21"/>
          <w:highlight w:val="none"/>
        </w:rPr>
        <w:t>根据全过程工程咨询服务范围和内容，本项目暂定工程费</w:t>
      </w:r>
      <w:r>
        <w:rPr>
          <w:rFonts w:hint="eastAsia" w:ascii="宋体" w:hAnsi="宋体" w:eastAsia="宋体" w:cs="宋体"/>
          <w:color w:val="auto"/>
          <w:sz w:val="21"/>
          <w:szCs w:val="21"/>
          <w:highlight w:val="none"/>
          <w:lang w:val="en-US" w:eastAsia="zh-CN"/>
        </w:rPr>
        <w:t>3668</w:t>
      </w:r>
      <w:r>
        <w:rPr>
          <w:rFonts w:hint="eastAsia" w:ascii="宋体" w:hAnsi="宋体" w:eastAsia="宋体" w:cs="宋体"/>
          <w:color w:val="auto"/>
          <w:sz w:val="21"/>
          <w:szCs w:val="21"/>
          <w:highlight w:val="none"/>
        </w:rPr>
        <w:t>万元为计费基数，暂定投资额</w:t>
      </w:r>
      <w:r>
        <w:rPr>
          <w:rFonts w:hint="eastAsia" w:ascii="宋体" w:hAnsi="宋体" w:eastAsia="宋体" w:cs="宋体"/>
          <w:color w:val="auto"/>
          <w:sz w:val="21"/>
          <w:szCs w:val="21"/>
          <w:highlight w:val="none"/>
          <w:lang w:val="en-US" w:eastAsia="zh-CN"/>
        </w:rPr>
        <w:t>4316</w:t>
      </w:r>
      <w:r>
        <w:rPr>
          <w:rFonts w:hint="eastAsia" w:ascii="宋体" w:hAnsi="宋体" w:eastAsia="宋体" w:cs="宋体"/>
          <w:color w:val="auto"/>
          <w:sz w:val="21"/>
          <w:szCs w:val="21"/>
          <w:highlight w:val="none"/>
        </w:rPr>
        <w:t>万元为计费基数；全过程咨询服务报酬</w:t>
      </w: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rPr>
        <w:t>约定如下：</w:t>
      </w:r>
    </w:p>
    <w:p>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全过程工程咨询服务费=项目建设管理费+工程监理费+施工阶段全过程工程造价控制费（</w:t>
      </w:r>
      <w:r>
        <w:rPr>
          <w:rFonts w:hint="eastAsia" w:ascii="宋体" w:hAnsi="宋体" w:cs="宋体"/>
          <w:color w:val="auto"/>
          <w:sz w:val="21"/>
          <w:szCs w:val="21"/>
          <w:highlight w:val="none"/>
          <w:lang w:eastAsia="zh-CN"/>
        </w:rPr>
        <w:t>不含招标控制价及工程量清单编制、不含结算</w:t>
      </w:r>
      <w:r>
        <w:rPr>
          <w:rFonts w:hint="eastAsia" w:ascii="宋体" w:hAnsi="宋体" w:cs="宋体"/>
          <w:color w:val="auto"/>
          <w:sz w:val="21"/>
          <w:szCs w:val="21"/>
          <w:highlight w:val="none"/>
          <w:lang w:val="en-US" w:eastAsia="zh-CN"/>
        </w:rPr>
        <w:t>审核</w:t>
      </w:r>
      <w:r>
        <w:rPr>
          <w:rFonts w:hint="eastAsia" w:ascii="宋体" w:hAnsi="宋体" w:eastAsia="宋体" w:cs="宋体"/>
          <w:color w:val="auto"/>
          <w:sz w:val="21"/>
          <w:szCs w:val="21"/>
          <w:highlight w:val="none"/>
        </w:rPr>
        <w:t>费用）。</w:t>
      </w:r>
    </w:p>
    <w:p>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即：全过程工程咨询服务费=</w:t>
      </w:r>
      <w:r>
        <w:rPr>
          <w:rFonts w:hint="eastAsia" w:ascii="宋体" w:hAnsi="宋体" w:eastAsia="宋体" w:cs="宋体"/>
          <w:color w:val="auto"/>
          <w:sz w:val="21"/>
          <w:szCs w:val="21"/>
          <w:highlight w:val="none"/>
          <w:lang w:val="en-US" w:eastAsia="zh-CN"/>
        </w:rPr>
        <w:t>33.494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61.18+17.114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111.788</w:t>
      </w:r>
      <w:r>
        <w:rPr>
          <w:rFonts w:hint="eastAsia" w:ascii="宋体" w:hAnsi="宋体" w:eastAsia="宋体" w:cs="宋体"/>
          <w:color w:val="auto"/>
          <w:sz w:val="21"/>
          <w:szCs w:val="21"/>
          <w:highlight w:val="none"/>
        </w:rPr>
        <w:t>万元。具体计算标准及公式如下：</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七-1</w:t>
      </w:r>
      <w:r>
        <w:rPr>
          <w:rFonts w:hint="eastAsia" w:ascii="宋体" w:hAnsi="宋体" w:eastAsia="宋体" w:cs="宋体"/>
          <w:b/>
          <w:bCs/>
          <w:color w:val="auto"/>
          <w:sz w:val="21"/>
          <w:szCs w:val="21"/>
          <w:highlight w:val="none"/>
        </w:rPr>
        <w:t>）项目建设管理费</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项目建设管理费：采用折扣形式报价。</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1.最高限价计算依据：按《浙江省建设工程其他费用定额（2018版）》规定的项目建设管理费收费标准的</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基础上再打七折</w:t>
      </w:r>
      <w:r>
        <w:rPr>
          <w:rFonts w:hint="eastAsia" w:ascii="宋体" w:hAnsi="宋体" w:eastAsia="宋体" w:cs="宋体"/>
          <w:color w:val="auto"/>
          <w:sz w:val="21"/>
          <w:szCs w:val="21"/>
          <w:highlight w:val="none"/>
        </w:rPr>
        <w:t>。</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2.最高限价计算公式：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1000×2.3%+（3668-1000）×1.7%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7*0.7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33.494</w:t>
      </w:r>
      <w:r>
        <w:rPr>
          <w:rFonts w:hint="eastAsia" w:ascii="宋体" w:hAnsi="宋体" w:eastAsia="宋体" w:cs="宋体"/>
          <w:color w:val="auto"/>
          <w:sz w:val="21"/>
          <w:szCs w:val="21"/>
          <w:highlight w:val="none"/>
        </w:rPr>
        <w:t>万元。</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七-2</w:t>
      </w:r>
      <w:r>
        <w:rPr>
          <w:rFonts w:hint="eastAsia" w:ascii="宋体" w:hAnsi="宋体" w:eastAsia="宋体" w:cs="宋体"/>
          <w:b/>
          <w:bCs/>
          <w:color w:val="auto"/>
          <w:sz w:val="21"/>
          <w:szCs w:val="21"/>
          <w:highlight w:val="none"/>
        </w:rPr>
        <w:t>）工程监理费</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工程监理费：采用折扣形式报价。</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1.最高限价计算依据：按《浙江省建设工程其他费用定额（2018版）》</w:t>
      </w:r>
      <w:r>
        <w:rPr>
          <w:rFonts w:hint="eastAsia" w:ascii="宋体" w:hAnsi="宋体" w:eastAsia="宋体" w:cs="宋体"/>
          <w:color w:val="auto"/>
          <w:sz w:val="21"/>
          <w:szCs w:val="21"/>
          <w:highlight w:val="none"/>
          <w:lang w:val="en-US" w:eastAsia="zh-CN"/>
        </w:rPr>
        <w:t>规定</w:t>
      </w:r>
      <w:r>
        <w:rPr>
          <w:rFonts w:hint="eastAsia" w:ascii="宋体" w:hAnsi="宋体" w:eastAsia="宋体" w:cs="宋体"/>
          <w:color w:val="auto"/>
          <w:sz w:val="21"/>
          <w:szCs w:val="21"/>
          <w:highlight w:val="none"/>
        </w:rPr>
        <w:t>的监理费收费标准的</w:t>
      </w:r>
      <w:r>
        <w:rPr>
          <w:rFonts w:hint="eastAsia" w:ascii="宋体" w:hAnsi="宋体" w:eastAsia="宋体" w:cs="宋体"/>
          <w:color w:val="auto"/>
          <w:sz w:val="21"/>
          <w:szCs w:val="21"/>
          <w:highlight w:val="none"/>
          <w:lang w:val="en-US" w:eastAsia="zh-CN"/>
        </w:rPr>
        <w:t>92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基础上再打九折</w:t>
      </w:r>
      <w:r>
        <w:rPr>
          <w:rFonts w:hint="eastAsia" w:ascii="宋体" w:hAnsi="宋体" w:eastAsia="宋体" w:cs="宋体"/>
          <w:color w:val="auto"/>
          <w:sz w:val="21"/>
          <w:szCs w:val="21"/>
          <w:highlight w:val="none"/>
        </w:rPr>
        <w:t>，本项目专业调整系数</w:t>
      </w:r>
      <w:r>
        <w:rPr>
          <w:rFonts w:hint="eastAsia" w:ascii="宋体" w:hAnsi="宋体" w:eastAsia="宋体" w:cs="宋体"/>
          <w:color w:val="auto"/>
          <w:sz w:val="21"/>
          <w:szCs w:val="21"/>
          <w:highlight w:val="none"/>
          <w:lang w:val="en-US" w:eastAsia="zh-CN"/>
        </w:rPr>
        <w:t>按1计取，</w:t>
      </w:r>
      <w:r>
        <w:rPr>
          <w:rFonts w:hint="eastAsia" w:ascii="宋体" w:hAnsi="宋体" w:eastAsia="宋体" w:cs="宋体"/>
          <w:color w:val="auto"/>
          <w:sz w:val="21"/>
          <w:szCs w:val="21"/>
          <w:highlight w:val="none"/>
        </w:rPr>
        <w:t>工程复杂系数按</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计取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高程调整系数</w:t>
      </w:r>
      <w:r>
        <w:rPr>
          <w:rFonts w:hint="eastAsia" w:ascii="宋体" w:hAnsi="宋体" w:eastAsia="宋体" w:cs="宋体"/>
          <w:color w:val="auto"/>
          <w:sz w:val="21"/>
          <w:szCs w:val="21"/>
          <w:highlight w:val="none"/>
          <w:lang w:val="en-US" w:eastAsia="zh-CN"/>
        </w:rPr>
        <w:t>按1计取</w:t>
      </w:r>
      <w:r>
        <w:rPr>
          <w:rFonts w:hint="eastAsia" w:ascii="宋体" w:hAnsi="宋体" w:eastAsia="宋体" w:cs="宋体"/>
          <w:color w:val="auto"/>
          <w:sz w:val="21"/>
          <w:szCs w:val="21"/>
          <w:highlight w:val="none"/>
        </w:rPr>
        <w:t>。</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2.最高限价计算公式：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62.5+(3668-3000)/(5000-3000)×(96.6-62.5)</w:t>
      </w:r>
      <w:r>
        <w:rPr>
          <w:rFonts w:hint="eastAsia" w:ascii="宋体" w:hAnsi="宋体" w:eastAsia="宋体" w:cs="宋体"/>
          <w:color w:val="auto"/>
          <w:sz w:val="21"/>
          <w:szCs w:val="21"/>
          <w:highlight w:val="none"/>
          <w:lang w:val="en-US" w:eastAsia="zh-CN"/>
        </w:rPr>
        <w:t>]×1×0.92*0.9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61.18</w:t>
      </w:r>
      <w:r>
        <w:rPr>
          <w:rFonts w:hint="eastAsia" w:ascii="宋体" w:hAnsi="宋体" w:eastAsia="宋体" w:cs="宋体"/>
          <w:color w:val="auto"/>
          <w:sz w:val="21"/>
          <w:szCs w:val="21"/>
          <w:highlight w:val="none"/>
        </w:rPr>
        <w:t>万元。</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七-3</w:t>
      </w:r>
      <w:r>
        <w:rPr>
          <w:rFonts w:hint="eastAsia" w:ascii="宋体" w:hAnsi="宋体" w:eastAsia="宋体" w:cs="宋体"/>
          <w:b/>
          <w:bCs/>
          <w:color w:val="auto"/>
          <w:sz w:val="21"/>
          <w:szCs w:val="21"/>
          <w:highlight w:val="none"/>
        </w:rPr>
        <w:t>）施工阶段全过程工程造价控制费（</w:t>
      </w:r>
      <w:r>
        <w:rPr>
          <w:rFonts w:hint="eastAsia" w:ascii="宋体" w:hAnsi="宋体" w:cs="宋体"/>
          <w:b/>
          <w:bCs/>
          <w:color w:val="auto"/>
          <w:sz w:val="21"/>
          <w:szCs w:val="21"/>
          <w:highlight w:val="none"/>
          <w:lang w:eastAsia="zh-CN"/>
        </w:rPr>
        <w:t>不含招标控制价及工程量清单编制、不含结算</w:t>
      </w:r>
      <w:r>
        <w:rPr>
          <w:rFonts w:hint="eastAsia" w:ascii="宋体" w:hAnsi="宋体" w:cs="宋体"/>
          <w:b/>
          <w:bCs/>
          <w:color w:val="auto"/>
          <w:sz w:val="21"/>
          <w:szCs w:val="21"/>
          <w:highlight w:val="none"/>
          <w:lang w:val="en-US" w:eastAsia="zh-CN"/>
        </w:rPr>
        <w:t>审核</w:t>
      </w:r>
      <w:r>
        <w:rPr>
          <w:rFonts w:hint="eastAsia" w:ascii="宋体" w:hAnsi="宋体" w:eastAsia="宋体" w:cs="宋体"/>
          <w:b/>
          <w:bCs/>
          <w:color w:val="auto"/>
          <w:sz w:val="21"/>
          <w:szCs w:val="21"/>
          <w:highlight w:val="none"/>
        </w:rPr>
        <w:t>费用）</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施工阶段全过程工程造价控制费（</w:t>
      </w:r>
      <w:r>
        <w:rPr>
          <w:rFonts w:hint="eastAsia" w:ascii="宋体" w:hAnsi="宋体" w:cs="宋体"/>
          <w:color w:val="auto"/>
          <w:sz w:val="21"/>
          <w:szCs w:val="21"/>
          <w:highlight w:val="none"/>
          <w:lang w:eastAsia="zh-CN"/>
        </w:rPr>
        <w:t>不含招标控制价及工程量清单编制、不含结算</w:t>
      </w:r>
      <w:r>
        <w:rPr>
          <w:rFonts w:hint="eastAsia" w:ascii="宋体" w:hAnsi="宋体" w:cs="宋体"/>
          <w:color w:val="auto"/>
          <w:sz w:val="21"/>
          <w:szCs w:val="21"/>
          <w:highlight w:val="none"/>
          <w:lang w:val="en-US" w:eastAsia="zh-CN"/>
        </w:rPr>
        <w:t>审核</w:t>
      </w:r>
      <w:r>
        <w:rPr>
          <w:rFonts w:hint="eastAsia" w:ascii="宋体" w:hAnsi="宋体" w:eastAsia="宋体" w:cs="宋体"/>
          <w:color w:val="auto"/>
          <w:sz w:val="21"/>
          <w:szCs w:val="21"/>
          <w:highlight w:val="none"/>
        </w:rPr>
        <w:t xml:space="preserve">费用）：采用折扣形式报价。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最高限价计算依据：按《浙江省建设工程造价咨询服务基准收费标准》【浙价服（2009）84号】文中约定的收费标准</w:t>
      </w:r>
      <w:r>
        <w:rPr>
          <w:rFonts w:hint="eastAsia" w:ascii="宋体" w:hAnsi="宋体" w:eastAsia="宋体" w:cs="宋体"/>
          <w:color w:val="auto"/>
          <w:sz w:val="21"/>
          <w:szCs w:val="21"/>
          <w:highlight w:val="none"/>
          <w:lang w:val="en-US" w:eastAsia="zh-CN"/>
        </w:rPr>
        <w:t>基础上打八折</w:t>
      </w:r>
      <w:r>
        <w:rPr>
          <w:rFonts w:hint="eastAsia" w:ascii="宋体" w:hAnsi="宋体" w:eastAsia="宋体" w:cs="宋体"/>
          <w:color w:val="auto"/>
          <w:sz w:val="21"/>
          <w:szCs w:val="21"/>
          <w:highlight w:val="none"/>
        </w:rPr>
        <w:t>。</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最高限价计算公式：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(1.2%-0.36%)+（500-100）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(1.1%-0.33%)+（1000-500）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(1.0%-0.30%)+（</w:t>
      </w:r>
      <w:r>
        <w:rPr>
          <w:rFonts w:hint="eastAsia" w:ascii="宋体" w:hAnsi="宋体" w:eastAsia="宋体" w:cs="宋体"/>
          <w:color w:val="auto"/>
          <w:sz w:val="21"/>
          <w:szCs w:val="21"/>
          <w:highlight w:val="none"/>
          <w:lang w:val="en-US" w:eastAsia="zh-CN"/>
        </w:rPr>
        <w:t>2000</w:t>
      </w:r>
      <w:r>
        <w:rPr>
          <w:rFonts w:hint="eastAsia" w:ascii="宋体" w:hAnsi="宋体" w:eastAsia="宋体" w:cs="宋体"/>
          <w:color w:val="auto"/>
          <w:sz w:val="21"/>
          <w:szCs w:val="21"/>
          <w:highlight w:val="none"/>
        </w:rPr>
        <w:t>-1000）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(0.9%-0.27%)</w:t>
      </w:r>
      <w:r>
        <w:rPr>
          <w:rFonts w:hint="eastAsia" w:ascii="宋体" w:hAnsi="宋体" w:eastAsia="宋体" w:cs="宋体"/>
          <w:color w:val="auto"/>
          <w:sz w:val="21"/>
          <w:szCs w:val="21"/>
          <w:highlight w:val="none"/>
          <w:lang w:val="en-US" w:eastAsia="zh-CN"/>
        </w:rPr>
        <w:t>+（3668-2000）×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17.114</w:t>
      </w:r>
      <w:r>
        <w:rPr>
          <w:rFonts w:hint="eastAsia" w:ascii="宋体" w:hAnsi="宋体" w:eastAsia="宋体" w:cs="宋体"/>
          <w:color w:val="auto"/>
          <w:sz w:val="21"/>
          <w:szCs w:val="21"/>
          <w:highlight w:val="none"/>
        </w:rPr>
        <w:t>万元。</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注：项目建设管理费、工程监理费、施工阶段全过程工程造价控制费（</w:t>
      </w:r>
      <w:r>
        <w:rPr>
          <w:rFonts w:hint="eastAsia" w:ascii="宋体" w:hAnsi="宋体" w:cs="宋体"/>
          <w:color w:val="auto"/>
          <w:sz w:val="21"/>
          <w:szCs w:val="21"/>
          <w:highlight w:val="none"/>
          <w:lang w:eastAsia="zh-CN"/>
        </w:rPr>
        <w:t>不含招标控制价及工程量清单编制、不含结算</w:t>
      </w:r>
      <w:r>
        <w:rPr>
          <w:rFonts w:hint="eastAsia" w:ascii="宋体" w:hAnsi="宋体" w:cs="宋体"/>
          <w:color w:val="auto"/>
          <w:sz w:val="21"/>
          <w:szCs w:val="21"/>
          <w:highlight w:val="none"/>
          <w:lang w:val="en-US" w:eastAsia="zh-CN"/>
        </w:rPr>
        <w:t>审核</w:t>
      </w:r>
      <w:r>
        <w:rPr>
          <w:rFonts w:hint="eastAsia" w:ascii="宋体" w:hAnsi="宋体" w:eastAsia="宋体" w:cs="宋体"/>
          <w:color w:val="auto"/>
          <w:sz w:val="21"/>
          <w:szCs w:val="21"/>
          <w:highlight w:val="none"/>
        </w:rPr>
        <w:t>费用）暂按</w:t>
      </w:r>
      <w:r>
        <w:rPr>
          <w:rFonts w:hint="eastAsia" w:ascii="宋体" w:hAnsi="宋体" w:eastAsia="宋体" w:cs="宋体"/>
          <w:color w:val="auto"/>
          <w:sz w:val="21"/>
          <w:szCs w:val="21"/>
          <w:highlight w:val="none"/>
          <w:lang w:val="en-US" w:eastAsia="zh-CN"/>
        </w:rPr>
        <w:t>3668</w:t>
      </w:r>
      <w:r>
        <w:rPr>
          <w:rFonts w:hint="eastAsia" w:ascii="宋体" w:hAnsi="宋体" w:eastAsia="宋体" w:cs="宋体"/>
          <w:color w:val="auto"/>
          <w:sz w:val="21"/>
          <w:szCs w:val="21"/>
          <w:highlight w:val="none"/>
        </w:rPr>
        <w:t>万元为取费基数，最终结算金额以经审计的工程结算价为准。</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b w:val="0"/>
          <w:bCs w:val="0"/>
          <w:color w:val="auto"/>
          <w:kern w:val="0"/>
          <w:sz w:val="21"/>
          <w:szCs w:val="21"/>
          <w:highlight w:val="none"/>
          <w:lang w:val="en-US" w:eastAsia="zh-CN" w:bidi="ar-SA"/>
        </w:rPr>
        <w:sectPr>
          <w:headerReference r:id="rId9" w:type="default"/>
          <w:pgSz w:w="11907" w:h="16840"/>
          <w:pgMar w:top="1276" w:right="1701" w:bottom="1276" w:left="1701" w:header="720" w:footer="720" w:gutter="0"/>
          <w:cols w:space="720" w:num="1"/>
          <w:docGrid w:type="linesAndChars" w:linePitch="285" w:charSpace="0"/>
        </w:sectPr>
      </w:pPr>
    </w:p>
    <w:p>
      <w:pPr>
        <w:pStyle w:val="3"/>
        <w:spacing w:beforeLines="0" w:afterLines="0" w:line="360" w:lineRule="auto"/>
        <w:rPr>
          <w:rFonts w:ascii="宋体" w:hAnsi="宋体"/>
          <w:sz w:val="32"/>
          <w:szCs w:val="32"/>
        </w:rPr>
      </w:pPr>
      <w:bookmarkStart w:id="58" w:name="_Toc14280"/>
      <w:bookmarkStart w:id="59" w:name="_Toc298230958"/>
      <w:bookmarkStart w:id="60" w:name="_Toc136345099"/>
      <w:r>
        <w:rPr>
          <w:rFonts w:hint="eastAsia" w:ascii="宋体" w:hAnsi="宋体"/>
          <w:sz w:val="32"/>
          <w:szCs w:val="32"/>
        </w:rPr>
        <w:t>第三部分  投标资料表</w:t>
      </w:r>
      <w:bookmarkEnd w:id="58"/>
      <w:bookmarkEnd w:id="59"/>
      <w:bookmarkEnd w:id="60"/>
    </w:p>
    <w:p>
      <w:pPr>
        <w:spacing w:line="360" w:lineRule="auto"/>
        <w:ind w:firstLine="420" w:firstLineChars="200"/>
        <w:rPr>
          <w:rFonts w:ascii="宋体" w:hAnsi="宋体"/>
          <w:szCs w:val="21"/>
        </w:rPr>
      </w:pPr>
      <w:r>
        <w:rPr>
          <w:rFonts w:hint="eastAsia" w:ascii="宋体" w:hAnsi="宋体"/>
          <w:szCs w:val="21"/>
        </w:rPr>
        <w:t>本部分关于本次招标项目的具体要求是对 “投标人须知</w:t>
      </w:r>
      <w:r>
        <w:rPr>
          <w:rFonts w:ascii="宋体" w:hAnsi="宋体"/>
          <w:szCs w:val="21"/>
        </w:rPr>
        <w:t>”</w:t>
      </w:r>
      <w:r>
        <w:rPr>
          <w:rFonts w:hint="eastAsia" w:ascii="宋体" w:hAnsi="宋体"/>
          <w:szCs w:val="21"/>
        </w:rPr>
        <w:t>和</w:t>
      </w:r>
      <w:r>
        <w:rPr>
          <w:rFonts w:ascii="宋体" w:hAnsi="宋体"/>
          <w:szCs w:val="21"/>
        </w:rPr>
        <w:t>“</w:t>
      </w:r>
      <w:r>
        <w:rPr>
          <w:rFonts w:hint="eastAsia" w:ascii="宋体" w:hAnsi="宋体"/>
          <w:szCs w:val="21"/>
        </w:rPr>
        <w:t>合同格式</w:t>
      </w:r>
      <w:r>
        <w:rPr>
          <w:rFonts w:ascii="宋体" w:hAnsi="宋体"/>
          <w:szCs w:val="21"/>
        </w:rPr>
        <w:t>”</w:t>
      </w:r>
      <w:r>
        <w:rPr>
          <w:rFonts w:hint="eastAsia" w:ascii="宋体" w:hAnsi="宋体"/>
          <w:szCs w:val="21"/>
        </w:rPr>
        <w:t>的相关条款的补充和修改，如有矛盾，应以此为准。</w:t>
      </w:r>
    </w:p>
    <w:tbl>
      <w:tblPr>
        <w:tblStyle w:val="38"/>
        <w:tblpPr w:leftFromText="180" w:rightFromText="180" w:vertAnchor="text" w:tblpY="1"/>
        <w:tblOverlap w:val="never"/>
        <w:tblW w:w="8802"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701"/>
      </w:tblGrid>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pPr>
              <w:spacing w:line="360" w:lineRule="auto"/>
              <w:jc w:val="center"/>
              <w:rPr>
                <w:rFonts w:ascii="宋体" w:hAnsi="宋体" w:cs="宋体"/>
                <w:szCs w:val="21"/>
              </w:rPr>
            </w:pPr>
            <w:r>
              <w:rPr>
                <w:rFonts w:hint="eastAsia" w:ascii="宋体" w:hAnsi="宋体" w:cs="宋体"/>
                <w:szCs w:val="21"/>
              </w:rPr>
              <w:t>条款号</w:t>
            </w:r>
          </w:p>
        </w:tc>
        <w:tc>
          <w:tcPr>
            <w:tcW w:w="7701" w:type="dxa"/>
            <w:vAlign w:val="center"/>
          </w:tcPr>
          <w:p>
            <w:pPr>
              <w:spacing w:line="360" w:lineRule="auto"/>
              <w:jc w:val="center"/>
              <w:rPr>
                <w:rFonts w:ascii="宋体" w:hAnsi="宋体" w:cs="宋体"/>
                <w:b/>
                <w:szCs w:val="21"/>
              </w:rPr>
            </w:pPr>
            <w:r>
              <w:rPr>
                <w:rFonts w:hint="eastAsia" w:ascii="宋体" w:hAnsi="宋体" w:cs="宋体"/>
                <w:b/>
                <w:szCs w:val="21"/>
              </w:rPr>
              <w:t>条款内容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pPr>
              <w:spacing w:line="360" w:lineRule="auto"/>
              <w:jc w:val="center"/>
              <w:rPr>
                <w:rFonts w:ascii="宋体" w:hAnsi="宋体" w:cs="宋体"/>
                <w:szCs w:val="21"/>
              </w:rPr>
            </w:pPr>
            <w:r>
              <w:rPr>
                <w:rFonts w:hint="eastAsia" w:ascii="宋体" w:hAnsi="宋体" w:cs="宋体"/>
                <w:szCs w:val="21"/>
              </w:rPr>
              <w:t>1.1</w:t>
            </w:r>
          </w:p>
        </w:tc>
        <w:tc>
          <w:tcPr>
            <w:tcW w:w="7701" w:type="dxa"/>
            <w:vAlign w:val="center"/>
          </w:tcPr>
          <w:p>
            <w:pPr>
              <w:spacing w:line="360" w:lineRule="auto"/>
              <w:rPr>
                <w:rFonts w:ascii="宋体" w:hAnsi="宋体"/>
              </w:rPr>
            </w:pPr>
            <w:r>
              <w:rPr>
                <w:rFonts w:hint="eastAsia" w:ascii="宋体" w:hAnsi="宋体"/>
              </w:rPr>
              <w:t>采购人：</w:t>
            </w:r>
            <w:r>
              <w:rPr>
                <w:rFonts w:hint="eastAsia"/>
              </w:rPr>
              <w:t>宁波市江北区人民政府庄桥街道办事处</w:t>
            </w:r>
          </w:p>
          <w:p>
            <w:pPr>
              <w:spacing w:line="360" w:lineRule="auto"/>
              <w:rPr>
                <w:rFonts w:ascii="宋体" w:hAnsi="宋体"/>
              </w:rPr>
            </w:pPr>
            <w:r>
              <w:rPr>
                <w:rFonts w:hint="eastAsia" w:ascii="宋体" w:hAnsi="宋体"/>
              </w:rPr>
              <w:t>地  址：</w:t>
            </w:r>
            <w:r>
              <w:rPr>
                <w:rFonts w:hint="eastAsia"/>
              </w:rPr>
              <w:t>江北区庄桥街道北环西路500号</w:t>
            </w:r>
          </w:p>
          <w:p>
            <w:pPr>
              <w:spacing w:line="360" w:lineRule="auto"/>
              <w:rPr>
                <w:rFonts w:ascii="宋体" w:hAnsi="宋体"/>
              </w:rPr>
            </w:pPr>
            <w:r>
              <w:rPr>
                <w:rFonts w:hint="eastAsia" w:ascii="宋体" w:hAnsi="宋体"/>
              </w:rPr>
              <w:t>电  话：</w:t>
            </w:r>
            <w:r>
              <w:rPr>
                <w:rFonts w:ascii="宋体" w:hAnsi="宋体"/>
                <w:szCs w:val="21"/>
              </w:rPr>
              <w:t>0574-</w:t>
            </w:r>
            <w:r>
              <w:rPr>
                <w:rFonts w:hint="eastAsia" w:ascii="宋体" w:hAnsi="宋体"/>
                <w:szCs w:val="21"/>
              </w:rPr>
              <w:t>83021887</w:t>
            </w:r>
          </w:p>
          <w:p>
            <w:pPr>
              <w:spacing w:line="360" w:lineRule="auto"/>
            </w:pPr>
            <w:r>
              <w:rPr>
                <w:rFonts w:hint="eastAsia" w:ascii="宋体" w:hAnsi="宋体"/>
              </w:rPr>
              <w:t>联系人：</w:t>
            </w:r>
            <w:r>
              <w:rPr>
                <w:rFonts w:hint="eastAsia"/>
              </w:rPr>
              <w:t>卢老师</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02" w:hRule="atLeast"/>
        </w:trPr>
        <w:tc>
          <w:tcPr>
            <w:tcW w:w="1101" w:type="dxa"/>
            <w:vMerge w:val="continue"/>
            <w:vAlign w:val="center"/>
          </w:tcPr>
          <w:p>
            <w:pPr>
              <w:spacing w:line="360" w:lineRule="auto"/>
              <w:jc w:val="center"/>
              <w:rPr>
                <w:rFonts w:ascii="宋体" w:hAnsi="宋体" w:cs="宋体"/>
                <w:szCs w:val="21"/>
              </w:rPr>
            </w:pPr>
          </w:p>
        </w:tc>
        <w:tc>
          <w:tcPr>
            <w:tcW w:w="7701" w:type="dxa"/>
            <w:vAlign w:val="center"/>
          </w:tcPr>
          <w:p>
            <w:pPr>
              <w:spacing w:line="360" w:lineRule="auto"/>
              <w:rPr>
                <w:rFonts w:ascii="宋体" w:hAnsi="宋体"/>
                <w:u w:val="single"/>
              </w:rPr>
            </w:pPr>
            <w:r>
              <w:rPr>
                <w:rFonts w:hint="eastAsia" w:ascii="宋体" w:hAnsi="宋体"/>
              </w:rPr>
              <w:t>采购代理机构名称：宁波国际投资咨询有限公司</w:t>
            </w:r>
          </w:p>
          <w:p>
            <w:pPr>
              <w:spacing w:line="360" w:lineRule="auto"/>
              <w:rPr>
                <w:rFonts w:ascii="宋体" w:hAnsi="宋体" w:cs="宋体"/>
                <w:bCs/>
              </w:rPr>
            </w:pPr>
            <w:r>
              <w:rPr>
                <w:rFonts w:hint="eastAsia" w:ascii="宋体" w:hAnsi="宋体"/>
                <w:szCs w:val="21"/>
              </w:rPr>
              <w:t xml:space="preserve">地    址：  </w:t>
            </w:r>
            <w:r>
              <w:rPr>
                <w:rFonts w:hint="eastAsia" w:ascii="宋体" w:hAnsi="宋体" w:cs="Arial"/>
                <w:szCs w:val="21"/>
              </w:rPr>
              <w:t>宁波市世纪大道北段555号名汇东方大厦19楼1921室</w:t>
            </w:r>
          </w:p>
          <w:p>
            <w:pPr>
              <w:spacing w:line="360" w:lineRule="auto"/>
              <w:rPr>
                <w:rFonts w:ascii="宋体" w:hAnsi="宋体"/>
                <w:szCs w:val="21"/>
              </w:rPr>
            </w:pPr>
            <w:r>
              <w:rPr>
                <w:rFonts w:hint="eastAsia" w:ascii="宋体" w:hAnsi="宋体"/>
                <w:szCs w:val="21"/>
              </w:rPr>
              <w:t>邮    编：  315040</w:t>
            </w:r>
          </w:p>
          <w:p>
            <w:pPr>
              <w:spacing w:line="360" w:lineRule="auto"/>
              <w:rPr>
                <w:rFonts w:ascii="宋体" w:hAnsi="宋体"/>
                <w:szCs w:val="21"/>
              </w:rPr>
            </w:pPr>
            <w:r>
              <w:rPr>
                <w:rFonts w:hint="eastAsia" w:ascii="宋体" w:hAnsi="宋体"/>
                <w:szCs w:val="21"/>
              </w:rPr>
              <w:t xml:space="preserve">电    话：  </w:t>
            </w:r>
            <w:r>
              <w:rPr>
                <w:rFonts w:hint="eastAsia" w:ascii="宋体" w:hAnsi="宋体" w:cs="宋体"/>
                <w:szCs w:val="21"/>
              </w:rPr>
              <w:t>0574－87329207</w:t>
            </w:r>
          </w:p>
          <w:p>
            <w:pPr>
              <w:spacing w:line="360" w:lineRule="auto"/>
              <w:rPr>
                <w:rFonts w:ascii="宋体" w:hAnsi="宋体"/>
                <w:szCs w:val="21"/>
              </w:rPr>
            </w:pPr>
            <w:r>
              <w:rPr>
                <w:rFonts w:hint="eastAsia" w:ascii="宋体" w:hAnsi="宋体"/>
                <w:szCs w:val="21"/>
              </w:rPr>
              <w:t>电子邮件：  tlx806@126.com</w:t>
            </w:r>
          </w:p>
          <w:p>
            <w:pPr>
              <w:spacing w:line="360" w:lineRule="auto"/>
              <w:rPr>
                <w:rFonts w:ascii="宋体" w:hAnsi="宋体" w:cs="宋体"/>
                <w:szCs w:val="21"/>
              </w:rPr>
            </w:pPr>
            <w:r>
              <w:rPr>
                <w:rFonts w:hint="eastAsia" w:ascii="宋体" w:hAnsi="宋体"/>
                <w:szCs w:val="21"/>
              </w:rPr>
              <w:t>联 系 人：  邱晔、史梦铅、袁航</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1101" w:type="dxa"/>
            <w:vMerge w:val="continue"/>
            <w:vAlign w:val="center"/>
          </w:tcPr>
          <w:p>
            <w:pPr>
              <w:spacing w:line="360" w:lineRule="auto"/>
              <w:jc w:val="center"/>
              <w:rPr>
                <w:rFonts w:ascii="宋体" w:hAnsi="宋体" w:cs="宋体"/>
                <w:szCs w:val="21"/>
              </w:rPr>
            </w:pPr>
          </w:p>
        </w:tc>
        <w:tc>
          <w:tcPr>
            <w:tcW w:w="7701" w:type="dxa"/>
            <w:vAlign w:val="center"/>
          </w:tcPr>
          <w:p>
            <w:pPr>
              <w:spacing w:line="360" w:lineRule="auto"/>
              <w:jc w:val="left"/>
              <w:rPr>
                <w:rFonts w:ascii="宋体" w:hAnsi="宋体"/>
                <w:szCs w:val="21"/>
              </w:rPr>
            </w:pPr>
            <w:r>
              <w:rPr>
                <w:rFonts w:hint="eastAsia" w:ascii="宋体" w:hAnsi="宋体"/>
                <w:szCs w:val="21"/>
              </w:rPr>
              <w:t>项目名称：庄桥老街街区更新项目活力街区更新工程全过程咨询项目</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1101" w:type="dxa"/>
            <w:vAlign w:val="center"/>
          </w:tcPr>
          <w:p>
            <w:pPr>
              <w:spacing w:line="360" w:lineRule="auto"/>
              <w:jc w:val="center"/>
              <w:rPr>
                <w:rFonts w:ascii="宋体" w:hAnsi="宋体" w:cs="宋体"/>
                <w:szCs w:val="21"/>
              </w:rPr>
            </w:pPr>
            <w:r>
              <w:rPr>
                <w:rFonts w:hint="eastAsia" w:ascii="宋体" w:hAnsi="宋体" w:cs="宋体"/>
                <w:szCs w:val="21"/>
              </w:rPr>
              <w:t>3.1</w:t>
            </w:r>
          </w:p>
        </w:tc>
        <w:tc>
          <w:tcPr>
            <w:tcW w:w="7701" w:type="dxa"/>
            <w:vAlign w:val="center"/>
          </w:tcPr>
          <w:p>
            <w:pPr>
              <w:spacing w:line="360" w:lineRule="auto"/>
              <w:jc w:val="left"/>
              <w:rPr>
                <w:rFonts w:ascii="宋体" w:hAnsi="宋体"/>
                <w:szCs w:val="21"/>
              </w:rPr>
            </w:pPr>
            <w:r>
              <w:rPr>
                <w:rFonts w:hint="eastAsia" w:ascii="宋体" w:hAnsi="宋体"/>
                <w:szCs w:val="21"/>
              </w:rPr>
              <w:t>招标范围：详见招标文件第二部分“招标项目需求”。</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60" w:lineRule="auto"/>
              <w:jc w:val="center"/>
              <w:rPr>
                <w:rFonts w:ascii="宋体" w:hAnsi="宋体" w:cs="宋体"/>
                <w:szCs w:val="21"/>
              </w:rPr>
            </w:pPr>
            <w:r>
              <w:rPr>
                <w:rFonts w:hint="eastAsia" w:ascii="宋体" w:hAnsi="宋体" w:cs="宋体"/>
                <w:szCs w:val="21"/>
              </w:rPr>
              <w:t>3.2</w:t>
            </w:r>
          </w:p>
        </w:tc>
        <w:tc>
          <w:tcPr>
            <w:tcW w:w="7701" w:type="dxa"/>
            <w:vAlign w:val="center"/>
          </w:tcPr>
          <w:p>
            <w:pPr>
              <w:spacing w:line="360" w:lineRule="auto"/>
              <w:jc w:val="left"/>
              <w:rPr>
                <w:rFonts w:ascii="宋体" w:hAnsi="宋体"/>
                <w:szCs w:val="21"/>
              </w:rPr>
            </w:pPr>
            <w:r>
              <w:rPr>
                <w:rFonts w:hint="eastAsia" w:ascii="宋体" w:hAnsi="宋体"/>
                <w:szCs w:val="21"/>
              </w:rPr>
              <w:t>本项目不允许分包，不允许转包。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60" w:lineRule="auto"/>
              <w:jc w:val="center"/>
              <w:rPr>
                <w:rFonts w:ascii="宋体" w:hAnsi="宋体" w:cs="宋体"/>
                <w:szCs w:val="21"/>
              </w:rPr>
            </w:pPr>
            <w:r>
              <w:rPr>
                <w:rFonts w:hint="eastAsia" w:ascii="宋体" w:hAnsi="宋体"/>
                <w:b/>
              </w:rPr>
              <w:t>▲</w:t>
            </w:r>
            <w:r>
              <w:rPr>
                <w:rFonts w:hint="eastAsia" w:ascii="宋体" w:hAnsi="宋体" w:cs="宋体"/>
                <w:szCs w:val="21"/>
              </w:rPr>
              <w:t>4.1</w:t>
            </w:r>
          </w:p>
        </w:tc>
        <w:tc>
          <w:tcPr>
            <w:tcW w:w="7701" w:type="dxa"/>
            <w:vAlign w:val="center"/>
          </w:tcPr>
          <w:p>
            <w:pPr>
              <w:spacing w:line="360" w:lineRule="auto"/>
              <w:rPr>
                <w:rFonts w:ascii="宋体" w:hAnsi="宋体"/>
              </w:rPr>
            </w:pPr>
            <w:r>
              <w:rPr>
                <w:rFonts w:hint="eastAsia" w:ascii="宋体" w:hAnsi="宋体"/>
              </w:rPr>
              <w:t xml:space="preserve">合格投标人的资格要求（本项目采用资格后审）：详见采购公告“二、申请人的资格要求”                   </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60" w:lineRule="auto"/>
              <w:jc w:val="center"/>
              <w:rPr>
                <w:rFonts w:ascii="宋体" w:hAnsi="宋体" w:cs="宋体"/>
                <w:szCs w:val="21"/>
              </w:rPr>
            </w:pPr>
            <w:r>
              <w:rPr>
                <w:rFonts w:hint="eastAsia" w:ascii="宋体" w:hAnsi="宋体" w:cs="宋体"/>
                <w:szCs w:val="21"/>
              </w:rPr>
              <w:t>8.1</w:t>
            </w:r>
          </w:p>
        </w:tc>
        <w:tc>
          <w:tcPr>
            <w:tcW w:w="7701" w:type="dxa"/>
            <w:vAlign w:val="center"/>
          </w:tcPr>
          <w:p>
            <w:pPr>
              <w:spacing w:line="360" w:lineRule="auto"/>
              <w:jc w:val="left"/>
              <w:rPr>
                <w:rFonts w:ascii="宋体" w:hAnsi="宋体"/>
                <w:szCs w:val="21"/>
              </w:rPr>
            </w:pPr>
            <w:r>
              <w:rPr>
                <w:rFonts w:hint="eastAsia" w:ascii="宋体" w:hAnsi="宋体"/>
                <w:szCs w:val="21"/>
              </w:rPr>
              <w:t>现场考察：不组织</w:t>
            </w:r>
          </w:p>
          <w:p>
            <w:pPr>
              <w:spacing w:line="360" w:lineRule="auto"/>
              <w:jc w:val="left"/>
              <w:rPr>
                <w:rFonts w:ascii="宋体" w:hAnsi="宋体"/>
                <w:szCs w:val="21"/>
              </w:rPr>
            </w:pPr>
            <w:r>
              <w:rPr>
                <w:rFonts w:hint="eastAsia" w:ascii="宋体" w:hAnsi="宋体"/>
                <w:szCs w:val="21"/>
              </w:rPr>
              <w:t>答疑会：</w:t>
            </w:r>
            <w:r>
              <w:rPr>
                <w:rFonts w:hint="eastAsia" w:ascii="宋体" w:hAnsi="宋体" w:cs="宋体"/>
                <w:szCs w:val="21"/>
              </w:rPr>
              <w:t>不组织</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60" w:lineRule="auto"/>
              <w:jc w:val="center"/>
              <w:rPr>
                <w:rFonts w:ascii="宋体" w:hAnsi="宋体" w:cs="宋体"/>
                <w:szCs w:val="21"/>
              </w:rPr>
            </w:pPr>
            <w:r>
              <w:rPr>
                <w:rFonts w:hint="eastAsia" w:ascii="宋体" w:hAnsi="宋体"/>
                <w:b/>
              </w:rPr>
              <w:t>▲</w:t>
            </w:r>
            <w:r>
              <w:rPr>
                <w:rFonts w:hint="eastAsia" w:ascii="宋体" w:hAnsi="宋体" w:cs="宋体"/>
                <w:szCs w:val="21"/>
              </w:rPr>
              <w:t>9.1</w:t>
            </w:r>
          </w:p>
        </w:tc>
        <w:tc>
          <w:tcPr>
            <w:tcW w:w="7701" w:type="dxa"/>
            <w:vAlign w:val="center"/>
          </w:tcPr>
          <w:p>
            <w:pPr>
              <w:widowControl/>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投标文件组成：本项目实行网上投标，投标人应准备以下投标文件：</w:t>
            </w:r>
          </w:p>
          <w:p>
            <w:pPr>
              <w:widowControl/>
              <w:spacing w:line="36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9.1.1.资格文件</w:t>
            </w:r>
          </w:p>
          <w:p>
            <w:pPr>
              <w:widowControl/>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（1）符合参加政府采购活动应当具备的一般条件的承诺函；</w:t>
            </w:r>
          </w:p>
          <w:p>
            <w:pPr>
              <w:widowControl/>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rFonts w:asciiTheme="minorEastAsia" w:hAnsiTheme="minorEastAsia"/>
                <w:highlight w:val="none"/>
              </w:rPr>
            </w:pPr>
            <w:r>
              <w:rPr>
                <w:rFonts w:hint="eastAsia" w:asciiTheme="minorEastAsia" w:hAnsiTheme="minorEastAsia" w:eastAsiaTheme="minorEastAsia"/>
                <w:highlight w:val="none"/>
              </w:rPr>
              <w:t>（3）</w:t>
            </w:r>
            <w:r>
              <w:rPr>
                <w:rFonts w:hint="eastAsia" w:ascii="宋体" w:hAnsi="宋体"/>
                <w:szCs w:val="21"/>
                <w:highlight w:val="none"/>
              </w:rPr>
              <w:t>联合体协议书（仅为联合体投标时须提供）；</w:t>
            </w:r>
          </w:p>
          <w:p>
            <w:pPr>
              <w:widowControl/>
              <w:spacing w:line="360" w:lineRule="auto"/>
              <w:ind w:firstLine="420" w:firstLineChars="200"/>
              <w:jc w:val="left"/>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rPr>
              <w:t>（4）落实政府采购政策需满足的资格要求</w:t>
            </w:r>
            <w:r>
              <w:rPr>
                <w:rFonts w:hint="eastAsia" w:asciiTheme="minorEastAsia" w:hAnsiTheme="minorEastAsia" w:eastAsiaTheme="minorEastAsia"/>
                <w:highlight w:val="none"/>
                <w:lang w:eastAsia="zh-CN"/>
              </w:rPr>
              <w:t>：</w:t>
            </w:r>
            <w:r>
              <w:rPr>
                <w:rFonts w:hint="eastAsia" w:ascii="宋体" w:hAnsi="宋体" w:cs="宋体"/>
                <w:highlight w:val="none"/>
              </w:rPr>
              <w:t>中小企业声明函</w:t>
            </w:r>
            <w:r>
              <w:rPr>
                <w:rFonts w:hint="eastAsia" w:asciiTheme="minorEastAsia" w:hAnsiTheme="minorEastAsia" w:eastAsiaTheme="minorEastAsia"/>
                <w:highlight w:val="none"/>
              </w:rPr>
              <w:t>；</w:t>
            </w:r>
          </w:p>
          <w:p>
            <w:pPr>
              <w:widowControl/>
              <w:spacing w:line="360" w:lineRule="auto"/>
              <w:ind w:firstLine="420" w:firstLineChars="200"/>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（5）投标人的特定条件的证明文件（如有）。</w:t>
            </w:r>
          </w:p>
          <w:p>
            <w:pPr>
              <w:widowControl/>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附件1：中小企业声明函</w:t>
            </w:r>
          </w:p>
          <w:p>
            <w:pPr>
              <w:widowControl/>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附件2：残疾人福利性单位声明函</w:t>
            </w:r>
          </w:p>
          <w:p>
            <w:pPr>
              <w:widowControl/>
              <w:spacing w:line="36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9.1.2.商务技术文件</w:t>
            </w:r>
          </w:p>
          <w:p>
            <w:pPr>
              <w:widowControl/>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（1）单位负责人的身份证明或单位负责人授权书（投标人的代表若不为单位负责人的，必须提交单位负责人授权书），并提供单位负责人和授权代表的身份证正反两面复印件；</w:t>
            </w:r>
          </w:p>
          <w:p>
            <w:pPr>
              <w:widowControl/>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（2）投标人基本情况表；</w:t>
            </w:r>
          </w:p>
          <w:p>
            <w:pPr>
              <w:widowControl/>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（3）技术条款偏离表；</w:t>
            </w:r>
          </w:p>
          <w:p>
            <w:pPr>
              <w:widowControl/>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（4）商务条款偏离表；</w:t>
            </w:r>
          </w:p>
          <w:p>
            <w:pPr>
              <w:widowControl/>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（5）第六部分“评标办法”中“评分标准”要求提供的资料（如有需提供）。</w:t>
            </w:r>
          </w:p>
          <w:p>
            <w:pPr>
              <w:widowControl/>
              <w:spacing w:line="36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9.1.3.报价文件</w:t>
            </w:r>
          </w:p>
          <w:p>
            <w:pPr>
              <w:tabs>
                <w:tab w:val="left" w:pos="1418"/>
              </w:tabs>
              <w:spacing w:line="360" w:lineRule="auto"/>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（1）投标函；</w:t>
            </w:r>
          </w:p>
          <w:p>
            <w:pPr>
              <w:tabs>
                <w:tab w:val="left" w:pos="1418"/>
              </w:tabs>
              <w:spacing w:line="360" w:lineRule="auto"/>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（2）开标一览表。</w:t>
            </w:r>
          </w:p>
          <w:p>
            <w:pPr>
              <w:widowControl/>
              <w:spacing w:line="36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9.1.4.注意事项</w:t>
            </w:r>
          </w:p>
          <w:p>
            <w:pPr>
              <w:widowControl/>
              <w:spacing w:line="36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▲（1）电子投标文件中所须加盖公章部分均采用 CA 签章。</w:t>
            </w:r>
          </w:p>
          <w:p>
            <w:pPr>
              <w:numPr>
                <w:ilvl w:val="0"/>
                <w:numId w:val="4"/>
              </w:num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上述组成投标文件的各项资料中本招标文件的有规定格式的，应统一按本招标文件的规定格式填写。未有规定格式的资料，投标人应自行编制，但至少要包含以上要求的内容。</w:t>
            </w:r>
          </w:p>
          <w:p>
            <w:pPr>
              <w:numPr>
                <w:ilvl w:val="0"/>
                <w:numId w:val="4"/>
              </w:numPr>
              <w:spacing w:line="360" w:lineRule="auto"/>
              <w:rPr>
                <w:highlight w:val="none"/>
              </w:rPr>
            </w:pPr>
            <w:r>
              <w:rPr>
                <w:rFonts w:hint="eastAsia" w:asciiTheme="minorEastAsia" w:hAnsiTheme="minorEastAsia" w:eastAsiaTheme="minorEastAsia"/>
                <w:highlight w:val="none"/>
              </w:rPr>
              <w:t>投标文件中由委托代理人签字的，投标文件应附法定代表人签署的授权委托书。联合体投标的，投标文件除</w:t>
            </w:r>
            <w:r>
              <w:rPr>
                <w:rFonts w:hint="eastAsia" w:asciiTheme="minorEastAsia" w:hAnsiTheme="minorEastAsia" w:eastAsiaTheme="minorEastAsia"/>
                <w:b/>
                <w:bCs/>
                <w:highlight w:val="none"/>
                <w:u w:val="single"/>
              </w:rPr>
              <w:t>联合体协议书及招标文件要求须联合体双方盖章外</w:t>
            </w:r>
            <w:r>
              <w:rPr>
                <w:rFonts w:hint="eastAsia" w:asciiTheme="minorEastAsia" w:hAnsiTheme="minorEastAsia" w:eastAsiaTheme="minorEastAsia"/>
                <w:highlight w:val="none"/>
              </w:rPr>
              <w:t>，其余招标文件要求投标人盖章处只需联合体的牵头人盖章。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60" w:lineRule="auto"/>
              <w:jc w:val="center"/>
              <w:rPr>
                <w:rFonts w:ascii="宋体" w:hAnsi="宋体" w:cs="宋体"/>
                <w:szCs w:val="21"/>
              </w:rPr>
            </w:pPr>
            <w:r>
              <w:rPr>
                <w:rFonts w:hint="eastAsia" w:ascii="宋体" w:hAnsi="宋体"/>
                <w:b/>
              </w:rPr>
              <w:t>▲</w:t>
            </w:r>
            <w:r>
              <w:rPr>
                <w:rFonts w:hint="eastAsia" w:ascii="宋体" w:hAnsi="宋体" w:cs="宋体"/>
                <w:szCs w:val="21"/>
              </w:rPr>
              <w:t>10.1</w:t>
            </w:r>
          </w:p>
        </w:tc>
        <w:tc>
          <w:tcPr>
            <w:tcW w:w="7701" w:type="dxa"/>
            <w:vAlign w:val="center"/>
          </w:tcPr>
          <w:p>
            <w:pPr>
              <w:spacing w:line="360" w:lineRule="auto"/>
              <w:rPr>
                <w:rFonts w:hint="eastAsia" w:ascii="宋体" w:hAnsi="宋体" w:cs="宋体"/>
                <w:szCs w:val="21"/>
              </w:rPr>
            </w:pPr>
            <w:r>
              <w:rPr>
                <w:rFonts w:hint="eastAsia" w:ascii="宋体" w:hAnsi="宋体" w:cs="宋体"/>
                <w:szCs w:val="21"/>
              </w:rPr>
              <w:t xml:space="preserve">投标报价及费用： </w:t>
            </w:r>
          </w:p>
          <w:p>
            <w:pPr>
              <w:spacing w:line="360" w:lineRule="auto"/>
              <w:rPr>
                <w:rFonts w:hint="eastAsia" w:ascii="宋体" w:hAnsi="宋体" w:cs="宋体"/>
                <w:szCs w:val="21"/>
              </w:rPr>
            </w:pPr>
            <w:r>
              <w:rPr>
                <w:rFonts w:hint="eastAsia" w:ascii="宋体" w:hAnsi="宋体" w:cs="宋体"/>
                <w:szCs w:val="21"/>
              </w:rPr>
              <w:t xml:space="preserve">1、投标报价应按招标文件中相关附表格式填写。 </w:t>
            </w:r>
          </w:p>
          <w:p>
            <w:pPr>
              <w:spacing w:line="360" w:lineRule="auto"/>
              <w:rPr>
                <w:rFonts w:hint="eastAsia" w:ascii="宋体" w:hAnsi="宋体" w:cs="宋体"/>
                <w:szCs w:val="21"/>
              </w:rPr>
            </w:pPr>
            <w:r>
              <w:rPr>
                <w:rFonts w:hint="eastAsia" w:ascii="宋体" w:hAnsi="宋体" w:cs="宋体"/>
                <w:szCs w:val="21"/>
              </w:rPr>
              <w:t xml:space="preserve">2、本投标报价采用折扣率报价，包括但不限于人员费用、监理设备费用、食宿费、交通费、通讯费、管理费、保险、税金、利润等为完成项目建设、竣工验收、设施移交及最终审计的所有费用，采购人不再另行支付其他任何形式的费用。 </w:t>
            </w:r>
          </w:p>
          <w:p>
            <w:pPr>
              <w:spacing w:line="360" w:lineRule="auto"/>
              <w:rPr>
                <w:rFonts w:hint="eastAsia" w:ascii="宋体" w:hAnsi="宋体" w:cs="宋体"/>
                <w:szCs w:val="21"/>
              </w:rPr>
            </w:pPr>
            <w:r>
              <w:rPr>
                <w:rFonts w:hint="eastAsia" w:ascii="宋体" w:hAnsi="宋体" w:cs="宋体"/>
                <w:szCs w:val="21"/>
              </w:rPr>
              <w:t xml:space="preserve">3、投标文件只允许有一个报价，有选择的或有条件的报价将不予接受。 </w:t>
            </w:r>
          </w:p>
          <w:p>
            <w:pPr>
              <w:spacing w:line="360"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、不论投标结果如何，供应商均应自行承担所有与投标有关的全部费用。</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60" w:lineRule="auto"/>
              <w:jc w:val="center"/>
              <w:rPr>
                <w:rFonts w:ascii="宋体" w:hAnsi="宋体" w:cs="宋体"/>
                <w:szCs w:val="21"/>
              </w:rPr>
            </w:pPr>
            <w:r>
              <w:rPr>
                <w:rFonts w:hint="eastAsia" w:ascii="宋体" w:hAnsi="宋体"/>
                <w:b/>
              </w:rPr>
              <w:t>▲</w:t>
            </w:r>
            <w:r>
              <w:rPr>
                <w:rFonts w:hint="eastAsia" w:ascii="宋体" w:hAnsi="宋体" w:cs="宋体"/>
                <w:szCs w:val="21"/>
              </w:rPr>
              <w:t>10.5</w:t>
            </w:r>
          </w:p>
        </w:tc>
        <w:tc>
          <w:tcPr>
            <w:tcW w:w="7701" w:type="dxa"/>
            <w:vAlign w:val="center"/>
          </w:tcPr>
          <w:p>
            <w:pPr>
              <w:spacing w:line="360" w:lineRule="auto"/>
              <w:rPr>
                <w:rFonts w:ascii="宋体" w:hAnsi="宋体" w:cs="宋体"/>
                <w:b/>
                <w:szCs w:val="21"/>
              </w:rPr>
            </w:pPr>
            <w:r>
              <w:rPr>
                <w:rFonts w:hint="eastAsia" w:ascii="宋体" w:hAnsi="宋体" w:cs="宋体"/>
                <w:szCs w:val="21"/>
              </w:rPr>
              <w:t>本项目最高限价（折扣率）为：</w:t>
            </w:r>
            <w:r>
              <w:rPr>
                <w:rFonts w:hint="eastAsia" w:ascii="宋体" w:hAnsi="宋体" w:cs="宋体"/>
                <w:b/>
                <w:bCs/>
                <w:szCs w:val="21"/>
                <w:u w:val="single"/>
              </w:rPr>
              <w:t>折扣率</w:t>
            </w:r>
            <w:r>
              <w:rPr>
                <w:rFonts w:hint="eastAsia" w:ascii="宋体" w:hAnsi="宋体" w:cs="宋体"/>
                <w:b/>
                <w:bCs/>
                <w:szCs w:val="21"/>
                <w:u w:val="single"/>
                <w:lang w:val="en-US" w:eastAsia="zh-CN"/>
              </w:rPr>
              <w:t>10</w:t>
            </w:r>
            <w:r>
              <w:rPr>
                <w:rFonts w:hint="eastAsia" w:ascii="宋体" w:hAnsi="宋体" w:cs="宋体"/>
                <w:b/>
                <w:bCs/>
                <w:szCs w:val="21"/>
                <w:u w:val="single"/>
              </w:rPr>
              <w:t>0%</w:t>
            </w:r>
            <w:r>
              <w:rPr>
                <w:rFonts w:hint="eastAsia" w:ascii="宋体" w:hAnsi="宋体" w:cs="宋体"/>
                <w:szCs w:val="21"/>
              </w:rPr>
              <w:t xml:space="preserve">。本次投标以折扣率形式报价，投标报价超过最高限价（折扣率）的作无效标处理。 </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60" w:lineRule="auto"/>
              <w:jc w:val="center"/>
              <w:rPr>
                <w:rFonts w:ascii="宋体" w:hAnsi="宋体" w:cs="宋体"/>
                <w:szCs w:val="21"/>
              </w:rPr>
            </w:pPr>
            <w:r>
              <w:rPr>
                <w:rFonts w:hint="eastAsia" w:ascii="宋体" w:hAnsi="宋体" w:cs="宋体"/>
                <w:szCs w:val="21"/>
              </w:rPr>
              <w:t>11.3</w:t>
            </w:r>
          </w:p>
        </w:tc>
        <w:tc>
          <w:tcPr>
            <w:tcW w:w="7701" w:type="dxa"/>
            <w:vAlign w:val="center"/>
          </w:tcPr>
          <w:p>
            <w:pPr>
              <w:widowControl/>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投标文件数量要求：</w:t>
            </w:r>
          </w:p>
          <w:p>
            <w:pPr>
              <w:widowControl/>
              <w:spacing w:line="360" w:lineRule="auto"/>
              <w:rPr>
                <w:rFonts w:cs="宋体" w:asciiTheme="minorEastAsia" w:hAnsiTheme="minorEastAsia" w:eastAsiaTheme="minorEastAsia"/>
                <w:kern w:val="0"/>
                <w:sz w:val="24"/>
              </w:rPr>
            </w:pPr>
            <w:r>
              <w:rPr>
                <w:rFonts w:hint="eastAsia" w:ascii="宋体" w:hAnsi="宋体" w:eastAsiaTheme="minorEastAsia"/>
                <w:b/>
              </w:rPr>
              <w:t>▲</w:t>
            </w:r>
            <w:r>
              <w:rPr>
                <w:rFonts w:hint="eastAsia" w:cs="宋体" w:asciiTheme="minorEastAsia" w:hAnsiTheme="minorEastAsia" w:eastAsiaTheme="minorEastAsia"/>
                <w:kern w:val="0"/>
                <w:szCs w:val="21"/>
              </w:rPr>
              <w:t>1、上传到政府采购云平台的电子投标文件（含资格文件 1 份、商务技术文件 1 份、报价文件 1 份）。</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2、以 U 盘形式存储的电子备份投标文件（含资格文件 1 份、商务技术文件 1 份、报价文件1 份）。</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注：（1）电子备份投标文件不作实质性要求，是否提交由投标人自行决定。</w:t>
            </w:r>
          </w:p>
          <w:p>
            <w:pPr>
              <w:widowControl/>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（2）中标人在收到中标通知书后3天内向采购代理机构提供通过电子加密投标文件全套打印装订成册的纸质投标文件2份（加盖公章）。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60" w:lineRule="auto"/>
              <w:jc w:val="center"/>
              <w:rPr>
                <w:rFonts w:ascii="宋体" w:hAnsi="宋体" w:cs="宋体"/>
                <w:szCs w:val="21"/>
              </w:rPr>
            </w:pPr>
            <w:r>
              <w:rPr>
                <w:rFonts w:hint="eastAsia" w:ascii="宋体" w:hAnsi="宋体" w:cs="宋体"/>
                <w:szCs w:val="21"/>
              </w:rPr>
              <w:t>12.1</w:t>
            </w:r>
          </w:p>
        </w:tc>
        <w:tc>
          <w:tcPr>
            <w:tcW w:w="7701" w:type="dxa"/>
            <w:vAlign w:val="center"/>
          </w:tcPr>
          <w:p>
            <w:pPr>
              <w:spacing w:line="360" w:lineRule="auto"/>
              <w:rPr>
                <w:rFonts w:ascii="宋体" w:hAnsi="宋体" w:cs="宋体"/>
                <w:szCs w:val="21"/>
              </w:rPr>
            </w:pPr>
            <w:r>
              <w:rPr>
                <w:rFonts w:hint="eastAsia" w:ascii="宋体" w:hAnsi="宋体" w:cs="宋体"/>
                <w:b/>
                <w:szCs w:val="21"/>
              </w:rPr>
              <w:t>投标有效期</w:t>
            </w:r>
            <w:r>
              <w:rPr>
                <w:rFonts w:hint="eastAsia" w:ascii="宋体" w:hAnsi="宋体" w:cs="宋体"/>
                <w:szCs w:val="21"/>
              </w:rPr>
              <w:t>： 90 天</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60" w:lineRule="auto"/>
              <w:jc w:val="center"/>
              <w:rPr>
                <w:rFonts w:ascii="宋体" w:hAnsi="宋体" w:cs="宋体"/>
                <w:szCs w:val="21"/>
              </w:rPr>
            </w:pPr>
            <w:r>
              <w:rPr>
                <w:rFonts w:hint="eastAsia" w:ascii="宋体" w:hAnsi="宋体" w:cs="宋体"/>
                <w:szCs w:val="21"/>
              </w:rPr>
              <w:t>13.1</w:t>
            </w:r>
          </w:p>
        </w:tc>
        <w:tc>
          <w:tcPr>
            <w:tcW w:w="7701" w:type="dxa"/>
            <w:vAlign w:val="center"/>
          </w:tcPr>
          <w:p>
            <w:pPr>
              <w:spacing w:line="360" w:lineRule="auto"/>
              <w:rPr>
                <w:rFonts w:ascii="宋体" w:hAnsi="宋体"/>
                <w:b/>
              </w:rPr>
            </w:pPr>
            <w:r>
              <w:rPr>
                <w:rFonts w:hint="eastAsia" w:ascii="宋体" w:hAnsi="宋体"/>
                <w:b/>
              </w:rPr>
              <w:t>投标保证金金额：无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60" w:lineRule="auto"/>
              <w:jc w:val="center"/>
              <w:rPr>
                <w:rFonts w:ascii="宋体" w:hAnsi="宋体" w:cs="宋体"/>
                <w:szCs w:val="21"/>
              </w:rPr>
            </w:pPr>
            <w:r>
              <w:rPr>
                <w:rFonts w:hint="eastAsia" w:ascii="宋体" w:hAnsi="宋体" w:cs="宋体"/>
                <w:szCs w:val="21"/>
              </w:rPr>
              <w:t>15.1</w:t>
            </w:r>
          </w:p>
        </w:tc>
        <w:tc>
          <w:tcPr>
            <w:tcW w:w="7701" w:type="dxa"/>
            <w:vAlign w:val="center"/>
          </w:tcPr>
          <w:p>
            <w:pPr>
              <w:spacing w:line="360" w:lineRule="auto"/>
              <w:rPr>
                <w:rFonts w:ascii="宋体" w:hAnsi="宋体" w:cs="宋体"/>
                <w:szCs w:val="21"/>
              </w:rPr>
            </w:pPr>
            <w:r>
              <w:rPr>
                <w:rFonts w:hint="eastAsia" w:ascii="宋体" w:hAnsi="宋体" w:cs="宋体"/>
                <w:szCs w:val="21"/>
              </w:rPr>
              <w:t>投标截止时间：</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lang w:val="en-US" w:eastAsia="zh-CN"/>
              </w:rPr>
              <w:t>7</w:t>
            </w:r>
            <w:r>
              <w:rPr>
                <w:rFonts w:hint="eastAsia" w:ascii="宋体" w:hAnsi="宋体" w:cs="宋体"/>
                <w:szCs w:val="21"/>
              </w:rPr>
              <w:t>月</w:t>
            </w:r>
            <w:r>
              <w:rPr>
                <w:rFonts w:hint="eastAsia" w:ascii="宋体" w:hAnsi="宋体" w:cs="宋体"/>
                <w:szCs w:val="21"/>
                <w:u w:val="single"/>
                <w:lang w:val="en-US" w:eastAsia="zh-CN"/>
              </w:rPr>
              <w:t>30</w:t>
            </w:r>
            <w:r>
              <w:rPr>
                <w:rFonts w:hint="eastAsia" w:ascii="宋体" w:hAnsi="宋体" w:cs="宋体"/>
                <w:szCs w:val="21"/>
              </w:rPr>
              <w:t>日</w:t>
            </w:r>
            <w:r>
              <w:rPr>
                <w:rFonts w:hint="eastAsia" w:ascii="宋体" w:hAnsi="宋体" w:cs="宋体"/>
                <w:szCs w:val="21"/>
                <w:u w:val="single"/>
                <w:lang w:val="en-US" w:eastAsia="zh-CN"/>
              </w:rPr>
              <w:t>09</w:t>
            </w:r>
            <w:r>
              <w:rPr>
                <w:rFonts w:hint="eastAsia" w:ascii="宋体" w:hAnsi="宋体" w:cs="宋体"/>
                <w:szCs w:val="21"/>
              </w:rPr>
              <w:t>：</w:t>
            </w:r>
            <w:r>
              <w:rPr>
                <w:rFonts w:hint="eastAsia" w:ascii="宋体" w:hAnsi="宋体" w:cs="宋体"/>
                <w:szCs w:val="21"/>
                <w:u w:val="single"/>
              </w:rPr>
              <w:t>00</w:t>
            </w:r>
            <w:r>
              <w:rPr>
                <w:rFonts w:hint="eastAsia" w:ascii="宋体" w:hAnsi="宋体" w:cs="宋体"/>
                <w:szCs w:val="21"/>
              </w:rPr>
              <w:t>（北京时间）。</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60" w:lineRule="auto"/>
              <w:jc w:val="center"/>
              <w:rPr>
                <w:rFonts w:ascii="宋体" w:hAnsi="宋体" w:cs="宋体"/>
                <w:szCs w:val="21"/>
              </w:rPr>
            </w:pPr>
            <w:r>
              <w:rPr>
                <w:rFonts w:hint="eastAsia" w:ascii="宋体" w:hAnsi="宋体" w:cs="宋体"/>
                <w:szCs w:val="21"/>
              </w:rPr>
              <w:t>28.1</w:t>
            </w:r>
          </w:p>
        </w:tc>
        <w:tc>
          <w:tcPr>
            <w:tcW w:w="7701" w:type="dxa"/>
            <w:vAlign w:val="center"/>
          </w:tcPr>
          <w:p>
            <w:pPr>
              <w:spacing w:line="360" w:lineRule="auto"/>
              <w:jc w:val="left"/>
              <w:rPr>
                <w:rFonts w:hAnsi="宋体"/>
              </w:rPr>
            </w:pPr>
            <w:r>
              <w:rPr>
                <w:rFonts w:hint="eastAsia" w:hAnsi="宋体"/>
              </w:rPr>
              <w:t>1.本项目招标代理服务费（中标服务费）</w:t>
            </w:r>
            <w:bookmarkStart w:id="183" w:name="_GoBack"/>
            <w:bookmarkEnd w:id="183"/>
            <w:r>
              <w:rPr>
                <w:rFonts w:hint="eastAsia" w:hAnsi="宋体"/>
              </w:rPr>
              <w:t>：</w:t>
            </w:r>
            <w:r>
              <w:rPr>
                <w:rFonts w:hint="eastAsia" w:ascii="宋体" w:hAnsi="宋体" w:cs="宋体"/>
                <w:u w:val="single"/>
                <w:lang w:val="en-US" w:eastAsia="zh-CN"/>
              </w:rPr>
              <w:t>13810</w:t>
            </w:r>
            <w:r>
              <w:rPr>
                <w:rFonts w:hint="eastAsia" w:hAnsi="宋体"/>
                <w:u w:val="single"/>
              </w:rPr>
              <w:t>元</w:t>
            </w:r>
            <w:r>
              <w:rPr>
                <w:rFonts w:hint="eastAsia" w:hAnsi="宋体"/>
              </w:rPr>
              <w:t>。</w:t>
            </w:r>
          </w:p>
          <w:p>
            <w:pPr>
              <w:spacing w:line="360" w:lineRule="auto"/>
              <w:jc w:val="left"/>
              <w:rPr>
                <w:rFonts w:hAnsi="宋体"/>
              </w:rPr>
            </w:pPr>
            <w:r>
              <w:rPr>
                <w:rFonts w:hint="eastAsia" w:hAnsi="宋体"/>
              </w:rPr>
              <w:t>2.中标人负责承担中标服务费，并应在采购代理机构发出中标通知书5个工作日内向采购代理机构支付中标服务费。</w:t>
            </w:r>
          </w:p>
          <w:p>
            <w:pPr>
              <w:spacing w:line="440" w:lineRule="exact"/>
              <w:jc w:val="left"/>
            </w:pPr>
            <w:r>
              <w:rPr>
                <w:rFonts w:hint="eastAsia" w:hAnsi="宋体"/>
              </w:rPr>
              <w:t>3.中标服务费只收现金、银行票汇款、电汇款。</w:t>
            </w:r>
            <w:r>
              <w:rPr>
                <w:rFonts w:ascii="宋体" w:hAnsi="宋体"/>
                <w:szCs w:val="21"/>
              </w:rPr>
              <w:t>请按下述开户银行及账号汇款（汇款单上应注明汇款用途及招标编号</w:t>
            </w:r>
            <w:r>
              <w:rPr>
                <w:rFonts w:hint="eastAsia" w:ascii="宋体" w:hAnsi="宋体"/>
                <w:szCs w:val="21"/>
              </w:rPr>
              <w:t>）：</w:t>
            </w:r>
          </w:p>
          <w:p>
            <w:pPr>
              <w:spacing w:line="360" w:lineRule="auto"/>
              <w:jc w:val="left"/>
              <w:rPr>
                <w:rFonts w:hAnsi="宋体"/>
                <w:b/>
                <w:bCs/>
              </w:rPr>
            </w:pPr>
            <w:r>
              <w:rPr>
                <w:rFonts w:hint="eastAsia" w:hAnsi="宋体"/>
                <w:b/>
                <w:bCs/>
              </w:rPr>
              <w:t>户名：宁波国际投资咨询有限公司</w:t>
            </w:r>
          </w:p>
          <w:p>
            <w:pPr>
              <w:spacing w:line="360" w:lineRule="auto"/>
              <w:jc w:val="left"/>
              <w:rPr>
                <w:rFonts w:hAnsi="宋体"/>
                <w:b/>
                <w:bCs/>
              </w:rPr>
            </w:pPr>
            <w:r>
              <w:rPr>
                <w:rFonts w:hint="eastAsia" w:hAnsi="宋体"/>
                <w:b/>
                <w:bCs/>
              </w:rPr>
              <w:t>开户银行：浦发宁波解放路支行</w:t>
            </w:r>
          </w:p>
          <w:p>
            <w:pPr>
              <w:spacing w:line="360" w:lineRule="auto"/>
              <w:jc w:val="left"/>
              <w:rPr>
                <w:rFonts w:hAnsi="宋体"/>
              </w:rPr>
            </w:pPr>
            <w:r>
              <w:rPr>
                <w:rFonts w:hint="eastAsia" w:hAnsi="宋体"/>
                <w:b/>
                <w:bCs/>
              </w:rPr>
              <w:t>账    号：94150078801400000630</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101" w:type="dxa"/>
            <w:vAlign w:val="center"/>
          </w:tcPr>
          <w:p>
            <w:pPr>
              <w:spacing w:line="360" w:lineRule="auto"/>
              <w:jc w:val="center"/>
              <w:rPr>
                <w:rFonts w:ascii="宋体" w:hAnsi="宋体" w:cs="宋体"/>
                <w:szCs w:val="21"/>
              </w:rPr>
            </w:pPr>
            <w:r>
              <w:rPr>
                <w:rFonts w:hint="eastAsia" w:ascii="宋体" w:hAnsi="宋体" w:cs="宋体"/>
                <w:szCs w:val="21"/>
              </w:rPr>
              <w:t>29</w:t>
            </w:r>
          </w:p>
        </w:tc>
        <w:tc>
          <w:tcPr>
            <w:tcW w:w="7701" w:type="dxa"/>
            <w:vAlign w:val="center"/>
          </w:tcPr>
          <w:p>
            <w:pPr>
              <w:spacing w:line="360" w:lineRule="auto"/>
              <w:ind w:left="788" w:hanging="787" w:hangingChars="375"/>
              <w:rPr>
                <w:rFonts w:ascii="宋体" w:hAnsi="宋体" w:cs="宋体"/>
                <w:szCs w:val="21"/>
              </w:rPr>
            </w:pPr>
            <w:r>
              <w:rPr>
                <w:rFonts w:hint="eastAsia" w:ascii="宋体" w:hAnsi="宋体" w:cs="宋体"/>
                <w:szCs w:val="21"/>
              </w:rPr>
              <w:t>发布本项目招标公告、中标公示的媒体：</w:t>
            </w:r>
          </w:p>
          <w:p>
            <w:pPr>
              <w:spacing w:line="360" w:lineRule="auto"/>
              <w:ind w:left="788" w:hanging="787" w:hangingChars="375"/>
              <w:rPr>
                <w:rFonts w:ascii="宋体" w:hAnsi="宋体" w:cs="宋体"/>
                <w:szCs w:val="21"/>
                <w:u w:val="single"/>
              </w:rPr>
            </w:pPr>
            <w:r>
              <w:rPr>
                <w:rFonts w:hint="eastAsia" w:cs="宋体" w:asciiTheme="minorEastAsia" w:hAnsiTheme="minorEastAsia" w:eastAsiaTheme="minorEastAsia"/>
                <w:szCs w:val="21"/>
              </w:rPr>
              <w:t>浙江政府采购网</w:t>
            </w:r>
            <w:r>
              <w:rPr>
                <w:rFonts w:hint="eastAsia" w:ascii="宋体" w:hAnsi="宋体" w:cs="宋体"/>
                <w:szCs w:val="21"/>
                <w:u w:val="single"/>
              </w:rPr>
              <w:t>https://zfcg.czt.zj.gov.cn/</w:t>
            </w:r>
          </w:p>
          <w:p>
            <w:pPr>
              <w:pStyle w:val="16"/>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宁波政府采购网</w:t>
            </w:r>
            <w:r>
              <w:rPr>
                <w:rFonts w:hint="eastAsia" w:cs="宋体" w:asciiTheme="minorEastAsia" w:hAnsiTheme="minorEastAsia" w:eastAsiaTheme="minorEastAsia"/>
                <w:kern w:val="2"/>
                <w:sz w:val="21"/>
                <w:szCs w:val="21"/>
                <w:u w:val="single"/>
              </w:rPr>
              <w:t>http://www.nbzfcg.cn/</w:t>
            </w:r>
          </w:p>
          <w:p>
            <w:pPr>
              <w:pStyle w:val="16"/>
              <w:wordWrap w:val="0"/>
            </w:pPr>
            <w:r>
              <w:rPr>
                <w:rFonts w:hint="eastAsia" w:cs="宋体" w:asciiTheme="minorEastAsia" w:hAnsiTheme="minorEastAsia" w:eastAsiaTheme="minorEastAsia"/>
                <w:kern w:val="2"/>
                <w:sz w:val="21"/>
                <w:szCs w:val="21"/>
              </w:rPr>
              <w:t xml:space="preserve">宁波市公共资源交易电子服务系统 </w:t>
            </w:r>
            <w:r>
              <w:rPr>
                <w:rFonts w:hint="eastAsia" w:cs="宋体" w:asciiTheme="minorEastAsia" w:hAnsiTheme="minorEastAsia" w:eastAsiaTheme="minorEastAsia"/>
                <w:kern w:val="2"/>
                <w:sz w:val="21"/>
                <w:szCs w:val="21"/>
                <w:u w:val="single"/>
              </w:rPr>
              <w:t>https://jyxt.zwb.ningbo.gov.cn:4011/website/home</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pPr>
              <w:spacing w:line="360" w:lineRule="auto"/>
              <w:jc w:val="center"/>
              <w:rPr>
                <w:rFonts w:ascii="宋体" w:hAnsi="宋体" w:cs="宋体"/>
                <w:szCs w:val="21"/>
              </w:rPr>
            </w:pPr>
            <w:r>
              <w:rPr>
                <w:rFonts w:hint="eastAsia" w:ascii="宋体" w:hAnsi="宋体" w:cs="宋体"/>
                <w:szCs w:val="21"/>
              </w:rPr>
              <w:t>31.1</w:t>
            </w:r>
          </w:p>
        </w:tc>
        <w:tc>
          <w:tcPr>
            <w:tcW w:w="7701" w:type="dxa"/>
            <w:tcBorders>
              <w:bottom w:val="single" w:color="auto" w:sz="12" w:space="0"/>
            </w:tcBorders>
            <w:vAlign w:val="center"/>
          </w:tcPr>
          <w:p>
            <w:pPr>
              <w:spacing w:line="360" w:lineRule="auto"/>
              <w:rPr>
                <w:rFonts w:ascii="宋体" w:hAnsi="宋体" w:cs="宋体"/>
                <w:szCs w:val="21"/>
              </w:rPr>
            </w:pPr>
            <w:r>
              <w:rPr>
                <w:rFonts w:hint="eastAsia" w:ascii="宋体" w:hAnsi="宋体" w:cs="宋体"/>
                <w:szCs w:val="21"/>
              </w:rPr>
              <w:t>本项目对应的中小企业划分标准所属行业：</w:t>
            </w:r>
            <w:r>
              <w:rPr>
                <w:rFonts w:hint="eastAsia" w:ascii="宋体" w:hAnsi="宋体" w:cs="宋体"/>
                <w:b/>
                <w:szCs w:val="21"/>
                <w:u w:val="single"/>
              </w:rPr>
              <w:t>其他未列明行业</w:t>
            </w:r>
          </w:p>
        </w:tc>
      </w:tr>
    </w:tbl>
    <w:p>
      <w:pPr>
        <w:widowControl/>
        <w:spacing w:line="360" w:lineRule="auto"/>
        <w:ind w:firstLine="420" w:firstLineChars="200"/>
        <w:jc w:val="left"/>
        <w:rPr>
          <w:rFonts w:ascii="宋体" w:hAnsi="宋体" w:cs="宋体"/>
          <w:szCs w:val="21"/>
          <w:u w:val="single"/>
        </w:rPr>
        <w:sectPr>
          <w:headerReference r:id="rId10" w:type="default"/>
          <w:footerReference r:id="rId12" w:type="default"/>
          <w:headerReference r:id="rId11" w:type="even"/>
          <w:pgSz w:w="11907" w:h="16840"/>
          <w:pgMar w:top="1276" w:right="1701" w:bottom="1560" w:left="1701" w:header="720" w:footer="720" w:gutter="0"/>
          <w:cols w:space="720" w:num="1"/>
          <w:docGrid w:type="linesAndChars" w:linePitch="286" w:charSpace="0"/>
        </w:sectPr>
      </w:pPr>
    </w:p>
    <w:p>
      <w:pPr>
        <w:pStyle w:val="3"/>
        <w:spacing w:before="286" w:after="286"/>
        <w:rPr>
          <w:sz w:val="32"/>
          <w:szCs w:val="32"/>
        </w:rPr>
        <w:sectPr>
          <w:headerReference r:id="rId13" w:type="default"/>
          <w:type w:val="continuous"/>
          <w:pgSz w:w="11907" w:h="16840"/>
          <w:pgMar w:top="1111" w:right="1701" w:bottom="1428" w:left="1701" w:header="720" w:footer="720" w:gutter="0"/>
          <w:cols w:space="720" w:num="1"/>
          <w:docGrid w:type="linesAndChars" w:linePitch="286" w:charSpace="0"/>
        </w:sectPr>
      </w:pPr>
      <w:bookmarkStart w:id="61" w:name="_Toc316649292"/>
    </w:p>
    <w:p>
      <w:pPr>
        <w:pStyle w:val="3"/>
        <w:spacing w:before="286" w:after="286"/>
        <w:rPr>
          <w:sz w:val="32"/>
          <w:szCs w:val="32"/>
        </w:rPr>
      </w:pPr>
    </w:p>
    <w:p>
      <w:pPr>
        <w:pStyle w:val="3"/>
        <w:spacing w:before="286" w:after="286"/>
        <w:rPr>
          <w:sz w:val="32"/>
          <w:szCs w:val="32"/>
        </w:rPr>
      </w:pPr>
      <w:bookmarkStart w:id="62" w:name="_Toc136345100"/>
      <w:bookmarkStart w:id="63" w:name="_Toc31596"/>
      <w:r>
        <w:rPr>
          <w:rFonts w:hint="eastAsia"/>
          <w:sz w:val="32"/>
          <w:szCs w:val="32"/>
        </w:rPr>
        <w:t>第四部分 投标人须知</w:t>
      </w:r>
      <w:bookmarkEnd w:id="61"/>
      <w:bookmarkEnd w:id="62"/>
      <w:bookmarkEnd w:id="63"/>
    </w:p>
    <w:p>
      <w:pPr>
        <w:jc w:val="center"/>
        <w:outlineLvl w:val="1"/>
        <w:rPr>
          <w:rFonts w:ascii="宋体" w:hAnsi="宋体" w:cs="宋体"/>
          <w:b/>
          <w:sz w:val="28"/>
        </w:rPr>
      </w:pPr>
      <w:bookmarkStart w:id="64" w:name="_Toc513799071"/>
      <w:bookmarkStart w:id="65" w:name="_Toc136017630"/>
      <w:bookmarkStart w:id="66" w:name="_Toc136345101"/>
      <w:bookmarkStart w:id="67" w:name="_Toc2820"/>
      <w:bookmarkStart w:id="68" w:name="_Toc520902394"/>
      <w:bookmarkStart w:id="69" w:name="_Toc440276561"/>
      <w:bookmarkStart w:id="70" w:name="_Toc513798900"/>
      <w:bookmarkStart w:id="71" w:name="_Toc501721199"/>
      <w:bookmarkStart w:id="72" w:name="_Toc481153623"/>
      <w:bookmarkStart w:id="73" w:name="_Toc481153658"/>
      <w:bookmarkStart w:id="74" w:name="_Toc501721427"/>
      <w:bookmarkStart w:id="75" w:name="_Toc502819341"/>
      <w:bookmarkStart w:id="76" w:name="_Toc316649293"/>
      <w:bookmarkStart w:id="77" w:name="_Toc501721316"/>
      <w:bookmarkStart w:id="78" w:name="_Toc497935707"/>
      <w:r>
        <w:rPr>
          <w:rFonts w:hint="eastAsia" w:ascii="宋体" w:hAnsi="宋体" w:cs="宋体"/>
          <w:b/>
          <w:sz w:val="28"/>
        </w:rPr>
        <w:t>A  总则</w:t>
      </w:r>
      <w:bookmarkEnd w:id="64"/>
      <w:bookmarkEnd w:id="65"/>
      <w:bookmarkEnd w:id="66"/>
      <w:bookmarkEnd w:id="67"/>
      <w:bookmarkEnd w:id="68"/>
      <w:bookmarkEnd w:id="69"/>
      <w:bookmarkEnd w:id="70"/>
    </w:p>
    <w:p>
      <w:pPr>
        <w:spacing w:line="360" w:lineRule="auto"/>
        <w:rPr>
          <w:rFonts w:ascii="宋体" w:hAnsi="宋体" w:cs="宋体"/>
          <w:b/>
          <w:szCs w:val="21"/>
        </w:rPr>
      </w:pPr>
      <w:r>
        <w:rPr>
          <w:rFonts w:hint="eastAsia" w:ascii="宋体" w:hAnsi="宋体" w:cs="宋体"/>
          <w:b/>
          <w:szCs w:val="21"/>
        </w:rPr>
        <w:t>1.   适用范围</w:t>
      </w:r>
    </w:p>
    <w:p>
      <w:pPr>
        <w:spacing w:line="360" w:lineRule="auto"/>
        <w:ind w:firstLine="420" w:firstLineChars="200"/>
        <w:rPr>
          <w:rFonts w:ascii="宋体" w:hAnsi="宋体"/>
        </w:rPr>
      </w:pPr>
      <w:r>
        <w:rPr>
          <w:rFonts w:hint="eastAsia" w:ascii="宋体" w:hAnsi="宋体"/>
        </w:rPr>
        <w:t>本招标文件适用于本项目的招标、投标、开标、资格审查及信用信息查询、评标、定标、合同、验收等行为（法律、法规另有规定的，从其规定）。</w:t>
      </w: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2.   定义</w:t>
      </w:r>
    </w:p>
    <w:p>
      <w:pPr>
        <w:spacing w:line="360" w:lineRule="auto"/>
        <w:rPr>
          <w:rFonts w:ascii="宋体" w:hAnsi="宋体" w:cs="宋体"/>
          <w:szCs w:val="21"/>
        </w:rPr>
      </w:pPr>
      <w:r>
        <w:rPr>
          <w:rFonts w:hint="eastAsia" w:ascii="宋体" w:hAnsi="宋体" w:cs="宋体"/>
          <w:b/>
          <w:szCs w:val="21"/>
        </w:rPr>
        <w:t>2.1</w:t>
      </w:r>
      <w:r>
        <w:rPr>
          <w:rFonts w:hint="eastAsia" w:ascii="宋体" w:hAnsi="宋体" w:cs="宋体"/>
          <w:szCs w:val="21"/>
        </w:rPr>
        <w:t xml:space="preserve">  “采购人”、“采购代理机构”和“项目名称”：</w:t>
      </w:r>
      <w:r>
        <w:rPr>
          <w:rFonts w:ascii="宋体" w:hAnsi="宋体" w:cs="宋体"/>
          <w:szCs w:val="21"/>
        </w:rPr>
        <w:t>见</w:t>
      </w:r>
      <w:r>
        <w:rPr>
          <w:rFonts w:hint="eastAsia" w:ascii="宋体" w:hAnsi="宋体" w:cs="宋体"/>
          <w:szCs w:val="21"/>
        </w:rPr>
        <w:t>“投标资料表”</w:t>
      </w:r>
      <w:r>
        <w:rPr>
          <w:rFonts w:ascii="宋体" w:hAnsi="宋体" w:cs="宋体"/>
          <w:szCs w:val="21"/>
        </w:rPr>
        <w:t>。</w:t>
      </w:r>
    </w:p>
    <w:p>
      <w:pPr>
        <w:spacing w:line="360" w:lineRule="auto"/>
        <w:rPr>
          <w:rFonts w:ascii="宋体" w:hAnsi="宋体" w:cs="宋体"/>
          <w:bCs/>
          <w:szCs w:val="21"/>
        </w:rPr>
      </w:pPr>
      <w:r>
        <w:rPr>
          <w:rFonts w:hint="eastAsia" w:ascii="宋体" w:hAnsi="宋体" w:cs="宋体"/>
          <w:b/>
          <w:szCs w:val="21"/>
        </w:rPr>
        <w:t>2.2</w:t>
      </w:r>
      <w:r>
        <w:rPr>
          <w:rFonts w:hint="eastAsia" w:ascii="宋体" w:hAnsi="宋体" w:cs="宋体"/>
          <w:bCs/>
          <w:szCs w:val="21"/>
        </w:rPr>
        <w:t xml:space="preserve">  “供应商”系指采购人发布招标公告后，所有对招标项目有意向、并有可能参加本项目投标的法人、其他组织或者自然人。</w:t>
      </w:r>
    </w:p>
    <w:p>
      <w:pPr>
        <w:spacing w:line="360" w:lineRule="auto"/>
        <w:rPr>
          <w:rFonts w:ascii="宋体" w:hAnsi="宋体" w:cs="宋体"/>
          <w:bCs/>
          <w:szCs w:val="21"/>
        </w:rPr>
      </w:pPr>
      <w:r>
        <w:rPr>
          <w:rFonts w:hint="eastAsia" w:ascii="宋体" w:hAnsi="宋体" w:cs="宋体"/>
          <w:b/>
          <w:szCs w:val="21"/>
        </w:rPr>
        <w:t>2.3</w:t>
      </w:r>
      <w:r>
        <w:rPr>
          <w:rFonts w:hint="eastAsia" w:ascii="宋体" w:hAnsi="宋体" w:cs="宋体"/>
          <w:bCs/>
          <w:szCs w:val="21"/>
        </w:rPr>
        <w:t xml:space="preserve">  “投标人”系指响应招标、参加投标竞争的法人、其他组织或者自然人。</w:t>
      </w:r>
    </w:p>
    <w:p>
      <w:pPr>
        <w:spacing w:line="360" w:lineRule="auto"/>
        <w:rPr>
          <w:rFonts w:ascii="宋体" w:hAnsi="宋体" w:cs="宋体"/>
          <w:bCs/>
          <w:szCs w:val="21"/>
        </w:rPr>
      </w:pPr>
      <w:r>
        <w:rPr>
          <w:rFonts w:hint="eastAsia" w:ascii="宋体" w:hAnsi="宋体" w:cs="宋体"/>
          <w:b/>
          <w:szCs w:val="21"/>
        </w:rPr>
        <w:t xml:space="preserve">2.4  </w:t>
      </w:r>
      <w:r>
        <w:rPr>
          <w:rFonts w:hint="eastAsia" w:ascii="宋体" w:hAnsi="宋体" w:cs="宋体"/>
          <w:bCs/>
          <w:szCs w:val="21"/>
        </w:rPr>
        <w:t>“负责人”系指法人企业的法定负责人，或其他组织为法律、行政法规规定代表单位行使职权的主要负责人，或自然人本人。</w:t>
      </w:r>
    </w:p>
    <w:p>
      <w:pPr>
        <w:spacing w:line="360" w:lineRule="auto"/>
        <w:rPr>
          <w:rFonts w:ascii="宋体" w:hAnsi="宋体" w:cs="宋体"/>
          <w:szCs w:val="21"/>
        </w:rPr>
      </w:pPr>
      <w:r>
        <w:rPr>
          <w:rFonts w:hint="eastAsia" w:ascii="宋体" w:hAnsi="宋体" w:cs="宋体"/>
          <w:b/>
          <w:szCs w:val="21"/>
        </w:rPr>
        <w:t>2.5</w:t>
      </w:r>
      <w:r>
        <w:rPr>
          <w:rFonts w:hint="eastAsia" w:ascii="宋体" w:hAnsi="宋体" w:cs="宋体"/>
          <w:szCs w:val="21"/>
        </w:rPr>
        <w:t xml:space="preserve">  “产品”系指投标人按招标文件规定，须向采购人提供的一切设备、保险、税金、备品备件、工具、手册及其它有关技术资料和材料。</w:t>
      </w:r>
    </w:p>
    <w:p>
      <w:pPr>
        <w:spacing w:line="360" w:lineRule="auto"/>
        <w:rPr>
          <w:rFonts w:ascii="宋体" w:hAnsi="宋体" w:cs="宋体"/>
          <w:szCs w:val="21"/>
        </w:rPr>
      </w:pPr>
      <w:r>
        <w:rPr>
          <w:rFonts w:hint="eastAsia" w:ascii="宋体" w:hAnsi="宋体" w:cs="宋体"/>
          <w:b/>
          <w:szCs w:val="21"/>
        </w:rPr>
        <w:t>2.6</w:t>
      </w:r>
      <w:r>
        <w:rPr>
          <w:rFonts w:hint="eastAsia" w:ascii="宋体" w:hAnsi="宋体" w:cs="宋体"/>
          <w:szCs w:val="21"/>
        </w:rPr>
        <w:t xml:space="preserve">  “服务”系指招标文件规定投标人须承担的安装、调试、技术协助、校准、培训、技术指导以及其它类似的义务。</w:t>
      </w:r>
    </w:p>
    <w:p>
      <w:pPr>
        <w:spacing w:line="360" w:lineRule="auto"/>
        <w:rPr>
          <w:rFonts w:ascii="宋体" w:hAnsi="宋体" w:cs="宋体"/>
          <w:szCs w:val="21"/>
        </w:rPr>
      </w:pPr>
      <w:r>
        <w:rPr>
          <w:rFonts w:hint="eastAsia" w:ascii="宋体" w:hAnsi="宋体" w:cs="宋体"/>
          <w:b/>
          <w:szCs w:val="21"/>
        </w:rPr>
        <w:t>2.7</w:t>
      </w:r>
      <w:r>
        <w:rPr>
          <w:rFonts w:hint="eastAsia" w:ascii="宋体" w:hAnsi="宋体" w:cs="宋体"/>
          <w:szCs w:val="21"/>
        </w:rPr>
        <w:t xml:space="preserve">  “项目”系指投标人按招标文件规定向采购人提供的货物或服务。</w:t>
      </w:r>
    </w:p>
    <w:p>
      <w:pPr>
        <w:spacing w:line="360" w:lineRule="auto"/>
        <w:rPr>
          <w:rFonts w:ascii="宋体" w:hAnsi="宋体" w:cs="宋体"/>
          <w:szCs w:val="21"/>
        </w:rPr>
      </w:pPr>
      <w:r>
        <w:rPr>
          <w:rFonts w:hint="eastAsia" w:ascii="宋体" w:hAnsi="宋体" w:cs="宋体"/>
          <w:b/>
          <w:szCs w:val="21"/>
        </w:rPr>
        <w:t>2.8</w:t>
      </w:r>
      <w:r>
        <w:rPr>
          <w:rFonts w:hint="eastAsia" w:ascii="宋体" w:hAnsi="宋体" w:cs="宋体"/>
          <w:szCs w:val="21"/>
        </w:rPr>
        <w:t xml:space="preserve">  “书面形式”包括信函、传真、邮件等。</w:t>
      </w:r>
    </w:p>
    <w:p>
      <w:pPr>
        <w:spacing w:line="360" w:lineRule="auto"/>
        <w:ind w:left="632" w:hanging="630" w:hangingChars="300"/>
        <w:rPr>
          <w:rFonts w:ascii="宋体" w:hAnsi="宋体" w:cs="宋体"/>
          <w:b/>
          <w:szCs w:val="21"/>
        </w:rPr>
      </w:pPr>
      <w:r>
        <w:rPr>
          <w:rFonts w:hint="eastAsia" w:ascii="宋体" w:hAnsi="宋体" w:cs="宋体"/>
          <w:b/>
          <w:szCs w:val="21"/>
        </w:rPr>
        <w:t>2.9</w:t>
      </w:r>
      <w:r>
        <w:rPr>
          <w:rFonts w:hint="eastAsia" w:ascii="宋体" w:hAnsi="宋体" w:cs="宋体"/>
          <w:szCs w:val="21"/>
        </w:rPr>
        <w:t xml:space="preserve">  “▲”系指实质性要求条款。投标文件对这些条款的任何负偏离将导致投标无效。  “</w:t>
      </w:r>
      <w:sdt>
        <w:sdtPr>
          <w:rPr>
            <w:rFonts w:hint="eastAsia" w:cs="Arial" w:asciiTheme="minorEastAsia" w:hAnsiTheme="minorEastAsia" w:eastAsiaTheme="minorEastAsia"/>
            <w:kern w:val="0"/>
            <w:sz w:val="24"/>
          </w:rPr>
          <w:id w:val="512970236"/>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szCs w:val="24"/>
            </w:rPr>
            <w:t></w:t>
          </w:r>
        </w:sdtContent>
      </w:sdt>
      <w:r>
        <w:rPr>
          <w:rFonts w:hint="eastAsia" w:ascii="宋体" w:hAnsi="宋体" w:cs="宋体"/>
          <w:szCs w:val="21"/>
        </w:rPr>
        <w:t>” 系指适用本项目的要求，“☐” 系指不适用本项目的要求。</w:t>
      </w: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3.   招标范围</w:t>
      </w:r>
    </w:p>
    <w:p>
      <w:pPr>
        <w:spacing w:line="360" w:lineRule="auto"/>
        <w:rPr>
          <w:rFonts w:ascii="宋体" w:hAnsi="宋体"/>
        </w:rPr>
      </w:pPr>
      <w:r>
        <w:rPr>
          <w:rFonts w:hint="eastAsia" w:ascii="宋体" w:hAnsi="宋体" w:cs="宋体"/>
          <w:b/>
          <w:szCs w:val="21"/>
        </w:rPr>
        <w:t xml:space="preserve">3.1  </w:t>
      </w:r>
      <w:r>
        <w:rPr>
          <w:rFonts w:hint="eastAsia" w:ascii="宋体" w:hAnsi="宋体"/>
        </w:rPr>
        <w:t>招标范围：</w:t>
      </w:r>
      <w:r>
        <w:rPr>
          <w:rFonts w:ascii="宋体" w:hAnsi="宋体"/>
        </w:rPr>
        <w:t>见</w:t>
      </w:r>
      <w:r>
        <w:rPr>
          <w:rFonts w:hint="eastAsia" w:ascii="宋体" w:hAnsi="宋体"/>
        </w:rPr>
        <w:t>“投标资料表”</w:t>
      </w:r>
      <w:r>
        <w:rPr>
          <w:rFonts w:ascii="宋体" w:hAnsi="宋体"/>
        </w:rPr>
        <w:t>。</w:t>
      </w:r>
    </w:p>
    <w:p>
      <w:pPr>
        <w:spacing w:line="360" w:lineRule="auto"/>
        <w:rPr>
          <w:rFonts w:ascii="宋体" w:hAnsi="宋体"/>
        </w:rPr>
      </w:pPr>
      <w:r>
        <w:rPr>
          <w:rFonts w:hint="eastAsia" w:ascii="宋体" w:hAnsi="宋体" w:cs="宋体"/>
          <w:b/>
          <w:szCs w:val="21"/>
        </w:rPr>
        <w:t>3.2</w:t>
      </w:r>
      <w:r>
        <w:rPr>
          <w:rFonts w:hint="eastAsia" w:ascii="宋体" w:hAnsi="宋体"/>
        </w:rPr>
        <w:t xml:space="preserve">  本项目转包、分包具体要求在招标文件“投标资料表”中做出规定。</w:t>
      </w:r>
    </w:p>
    <w:p>
      <w:pPr>
        <w:spacing w:line="360" w:lineRule="auto"/>
        <w:ind w:firstLine="210" w:firstLineChars="100"/>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4.   合格的投标人</w:t>
      </w:r>
    </w:p>
    <w:p>
      <w:pPr>
        <w:spacing w:line="360" w:lineRule="auto"/>
        <w:rPr>
          <w:rFonts w:ascii="宋体" w:hAnsi="宋体" w:cs="宋体"/>
          <w:szCs w:val="21"/>
        </w:rPr>
      </w:pPr>
      <w:r>
        <w:rPr>
          <w:rFonts w:hint="eastAsia" w:ascii="宋体" w:hAnsi="宋体" w:cs="宋体"/>
          <w:b/>
          <w:szCs w:val="21"/>
        </w:rPr>
        <w:t xml:space="preserve">4.1  </w:t>
      </w:r>
      <w:r>
        <w:rPr>
          <w:rFonts w:hint="eastAsia" w:ascii="宋体" w:hAnsi="宋体" w:cs="宋体"/>
          <w:szCs w:val="21"/>
        </w:rPr>
        <w:t>合格的投标人应该是：</w:t>
      </w:r>
    </w:p>
    <w:p>
      <w:pPr>
        <w:spacing w:line="440" w:lineRule="exact"/>
        <w:ind w:firstLine="420" w:firstLineChars="200"/>
        <w:rPr>
          <w:rFonts w:ascii="宋体" w:hAnsi="宋体"/>
          <w:szCs w:val="21"/>
        </w:rPr>
      </w:pPr>
      <w:r>
        <w:rPr>
          <w:rFonts w:hint="eastAsia" w:ascii="宋体" w:hAnsi="宋体"/>
          <w:szCs w:val="21"/>
        </w:rPr>
        <w:t>是指向采购人提供货物、工程或者服务的法人、其他组织或者自然人。除金融、保险、通讯、石油石化、电力等特定行业的全国性企业所设立的区域性分支机构允许投标外，其他法人的分支机构不允许参加投标。</w:t>
      </w:r>
    </w:p>
    <w:p>
      <w:pPr>
        <w:spacing w:line="440" w:lineRule="exact"/>
        <w:ind w:firstLine="420" w:firstLineChars="200"/>
        <w:rPr>
          <w:rFonts w:ascii="宋体" w:hAnsi="宋体"/>
          <w:szCs w:val="21"/>
        </w:rPr>
      </w:pPr>
      <w:r>
        <w:rPr>
          <w:rFonts w:hint="eastAsia" w:ascii="宋体" w:hAnsi="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40" w:lineRule="exact"/>
        <w:ind w:firstLine="420" w:firstLineChars="200"/>
        <w:rPr>
          <w:rFonts w:ascii="宋体" w:hAnsi="宋体"/>
          <w:b/>
          <w:szCs w:val="21"/>
        </w:rPr>
      </w:pPr>
      <w:r>
        <w:rPr>
          <w:rFonts w:hint="eastAsia" w:ascii="宋体" w:hAnsi="宋体"/>
          <w:b/>
          <w:szCs w:val="21"/>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pPr>
        <w:spacing w:line="400" w:lineRule="exact"/>
        <w:rPr>
          <w:rFonts w:ascii="宋体" w:hAnsi="宋体" w:cs="宋体"/>
          <w:szCs w:val="21"/>
        </w:rPr>
      </w:pPr>
      <w:r>
        <w:rPr>
          <w:rFonts w:hint="eastAsia" w:ascii="宋体" w:hAnsi="宋体" w:cs="宋体"/>
          <w:b/>
          <w:szCs w:val="21"/>
        </w:rPr>
        <w:t>4.2</w:t>
      </w:r>
      <w:r>
        <w:rPr>
          <w:rFonts w:hint="eastAsia" w:ascii="宋体" w:hAnsi="宋体" w:cs="宋体"/>
          <w:szCs w:val="21"/>
        </w:rPr>
        <w:t xml:space="preserve">  符合本招标文件载明的对上述</w:t>
      </w:r>
      <w:r>
        <w:rPr>
          <w:rFonts w:hint="eastAsia" w:ascii="宋体" w:hAnsi="宋体" w:cs="宋体"/>
          <w:b/>
          <w:szCs w:val="21"/>
        </w:rPr>
        <w:t>4.1</w:t>
      </w:r>
      <w:r>
        <w:rPr>
          <w:rFonts w:hint="eastAsia" w:ascii="宋体" w:hAnsi="宋体" w:cs="宋体"/>
          <w:szCs w:val="21"/>
        </w:rPr>
        <w:t>条的例外的规定或对投标人资格的其他补充要求：详见招标公告。</w:t>
      </w:r>
    </w:p>
    <w:p>
      <w:pPr>
        <w:spacing w:line="400" w:lineRule="exact"/>
        <w:rPr>
          <w:rFonts w:ascii="宋体" w:hAnsi="宋体" w:cs="宋体"/>
          <w:szCs w:val="21"/>
        </w:rPr>
      </w:pPr>
    </w:p>
    <w:p>
      <w:pPr>
        <w:spacing w:line="400" w:lineRule="exact"/>
        <w:rPr>
          <w:rFonts w:ascii="宋体" w:hAnsi="宋体" w:cs="宋体"/>
          <w:b/>
          <w:szCs w:val="21"/>
        </w:rPr>
      </w:pPr>
      <w:r>
        <w:rPr>
          <w:rFonts w:hint="eastAsia" w:ascii="宋体" w:hAnsi="宋体" w:cs="宋体"/>
          <w:b/>
          <w:szCs w:val="21"/>
        </w:rPr>
        <w:t>5.投标人代表</w:t>
      </w:r>
    </w:p>
    <w:p>
      <w:pPr>
        <w:spacing w:line="400" w:lineRule="exact"/>
        <w:rPr>
          <w:rFonts w:ascii="宋体" w:hAnsi="宋体" w:cs="宋体"/>
          <w:szCs w:val="21"/>
        </w:rPr>
      </w:pPr>
      <w:r>
        <w:rPr>
          <w:rFonts w:hint="eastAsia" w:ascii="宋体" w:hAnsi="宋体" w:cs="宋体"/>
          <w:b/>
          <w:szCs w:val="21"/>
        </w:rPr>
        <w:t>5.1</w:t>
      </w:r>
      <w:r>
        <w:rPr>
          <w:rFonts w:hint="eastAsia" w:ascii="宋体" w:hAnsi="宋体" w:cs="宋体"/>
          <w:szCs w:val="21"/>
        </w:rPr>
        <w:t xml:space="preserve">  投标人代表须持有“单位负责人授权书”。单位负责人是指单位法定代表人或者法律、行政法规规定代表单位行使职权的主要负责人（下同）。</w:t>
      </w:r>
    </w:p>
    <w:p>
      <w:pPr>
        <w:spacing w:line="400" w:lineRule="exact"/>
        <w:rPr>
          <w:rFonts w:ascii="宋体" w:hAnsi="宋体" w:cs="宋体"/>
          <w:szCs w:val="21"/>
          <w:shd w:val="pct10" w:color="auto" w:fill="FFFFFF"/>
        </w:rPr>
      </w:pPr>
      <w:r>
        <w:rPr>
          <w:rFonts w:hint="eastAsia" w:ascii="宋体" w:hAnsi="宋体" w:cs="宋体"/>
          <w:b/>
          <w:szCs w:val="21"/>
        </w:rPr>
        <w:t xml:space="preserve">5.2  </w:t>
      </w:r>
      <w:r>
        <w:rPr>
          <w:rFonts w:hint="eastAsia" w:ascii="宋体" w:hAnsi="宋体" w:cs="宋体"/>
          <w:szCs w:val="21"/>
        </w:rPr>
        <w:t>若投标人代表是单位负责人的，则须符合本须知第</w:t>
      </w:r>
      <w:r>
        <w:rPr>
          <w:rFonts w:hint="eastAsia" w:ascii="宋体" w:hAnsi="宋体" w:cs="宋体"/>
          <w:b/>
          <w:szCs w:val="21"/>
        </w:rPr>
        <w:t>9.1</w:t>
      </w:r>
      <w:r>
        <w:rPr>
          <w:rFonts w:hint="eastAsia" w:ascii="宋体" w:hAnsi="宋体" w:cs="宋体"/>
          <w:szCs w:val="21"/>
        </w:rPr>
        <w:t>条的要求。</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b/>
          <w:szCs w:val="21"/>
        </w:rPr>
        <w:t>6.投标费用</w:t>
      </w:r>
    </w:p>
    <w:p>
      <w:pPr>
        <w:spacing w:line="400" w:lineRule="exact"/>
        <w:rPr>
          <w:rFonts w:ascii="宋体" w:hAnsi="宋体" w:cs="宋体"/>
          <w:szCs w:val="21"/>
        </w:rPr>
      </w:pPr>
      <w:r>
        <w:rPr>
          <w:rFonts w:hint="eastAsia" w:ascii="宋体" w:hAnsi="宋体" w:cs="宋体"/>
          <w:b/>
          <w:szCs w:val="21"/>
        </w:rPr>
        <w:t>6.1</w:t>
      </w:r>
      <w:r>
        <w:rPr>
          <w:rFonts w:hint="eastAsia" w:ascii="宋体" w:hAnsi="宋体" w:cs="宋体"/>
          <w:szCs w:val="21"/>
        </w:rPr>
        <w:t xml:space="preserve">  不论招标的结果如何，投标人自行承担其参加本次投标有关的全部费用。</w:t>
      </w:r>
    </w:p>
    <w:p>
      <w:pPr>
        <w:spacing w:line="400" w:lineRule="exact"/>
        <w:jc w:val="center"/>
        <w:rPr>
          <w:rFonts w:ascii="宋体" w:hAnsi="宋体" w:cs="宋体"/>
          <w:b/>
          <w:sz w:val="28"/>
        </w:rPr>
      </w:pPr>
    </w:p>
    <w:p>
      <w:pPr>
        <w:jc w:val="center"/>
        <w:outlineLvl w:val="1"/>
        <w:rPr>
          <w:rFonts w:ascii="宋体" w:hAnsi="宋体" w:cs="宋体"/>
          <w:b/>
          <w:sz w:val="28"/>
        </w:rPr>
      </w:pPr>
      <w:bookmarkStart w:id="79" w:name="_Toc440276562"/>
      <w:bookmarkStart w:id="80" w:name="_Toc136017631"/>
      <w:bookmarkStart w:id="81" w:name="_Toc23716"/>
      <w:bookmarkStart w:id="82" w:name="_Toc513799072"/>
      <w:bookmarkStart w:id="83" w:name="_Toc136345102"/>
      <w:bookmarkStart w:id="84" w:name="_Toc513798901"/>
      <w:bookmarkStart w:id="85" w:name="_Toc520902395"/>
      <w:r>
        <w:rPr>
          <w:rFonts w:hint="eastAsia" w:ascii="宋体" w:hAnsi="宋体" w:cs="宋体"/>
          <w:b/>
          <w:sz w:val="28"/>
        </w:rPr>
        <w:t>B  招标文件</w:t>
      </w:r>
      <w:bookmarkEnd w:id="79"/>
      <w:bookmarkEnd w:id="80"/>
      <w:bookmarkEnd w:id="81"/>
      <w:bookmarkEnd w:id="82"/>
      <w:bookmarkEnd w:id="83"/>
      <w:bookmarkEnd w:id="84"/>
      <w:bookmarkEnd w:id="85"/>
    </w:p>
    <w:p>
      <w:pPr>
        <w:spacing w:line="400" w:lineRule="exact"/>
        <w:rPr>
          <w:rFonts w:ascii="宋体" w:hAnsi="宋体" w:cs="宋体"/>
          <w:szCs w:val="21"/>
        </w:rPr>
      </w:pPr>
      <w:r>
        <w:rPr>
          <w:rFonts w:hint="eastAsia" w:ascii="宋体" w:hAnsi="宋体" w:cs="宋体"/>
          <w:b/>
          <w:szCs w:val="21"/>
        </w:rPr>
        <w:t>7.招标文件的构成</w:t>
      </w:r>
    </w:p>
    <w:p>
      <w:pPr>
        <w:spacing w:line="400" w:lineRule="exact"/>
        <w:rPr>
          <w:rFonts w:ascii="宋体" w:hAnsi="宋体" w:cs="宋体"/>
          <w:szCs w:val="21"/>
        </w:rPr>
      </w:pPr>
      <w:r>
        <w:rPr>
          <w:rFonts w:hint="eastAsia" w:ascii="宋体" w:hAnsi="宋体" w:cs="宋体"/>
          <w:b/>
          <w:szCs w:val="21"/>
        </w:rPr>
        <w:t>7.1</w:t>
      </w:r>
      <w:r>
        <w:rPr>
          <w:rFonts w:hint="eastAsia" w:ascii="宋体" w:hAnsi="宋体" w:cs="宋体"/>
          <w:szCs w:val="21"/>
        </w:rPr>
        <w:t xml:space="preserve"> 招标文件共有七部分。内容如下：</w:t>
      </w:r>
    </w:p>
    <w:p>
      <w:pPr>
        <w:spacing w:line="400" w:lineRule="exact"/>
        <w:ind w:left="281" w:leftChars="134"/>
        <w:rPr>
          <w:rFonts w:ascii="宋体" w:hAnsi="宋体" w:cs="宋体"/>
          <w:szCs w:val="21"/>
        </w:rPr>
      </w:pPr>
      <w:r>
        <w:rPr>
          <w:rFonts w:hint="eastAsia" w:ascii="宋体" w:hAnsi="宋体" w:cs="宋体"/>
          <w:szCs w:val="21"/>
        </w:rPr>
        <w:t>第一部分 招标公告</w:t>
      </w:r>
    </w:p>
    <w:p>
      <w:pPr>
        <w:spacing w:line="400" w:lineRule="exact"/>
        <w:ind w:left="281" w:leftChars="134"/>
        <w:rPr>
          <w:rFonts w:ascii="宋体" w:hAnsi="宋体" w:cs="宋体"/>
          <w:szCs w:val="21"/>
        </w:rPr>
      </w:pPr>
      <w:r>
        <w:rPr>
          <w:rFonts w:hint="eastAsia" w:ascii="宋体" w:hAnsi="宋体" w:cs="宋体"/>
          <w:szCs w:val="21"/>
        </w:rPr>
        <w:t>第二部分 招标项目需求</w:t>
      </w:r>
    </w:p>
    <w:p>
      <w:pPr>
        <w:spacing w:line="400" w:lineRule="exact"/>
        <w:ind w:left="281" w:leftChars="134"/>
        <w:rPr>
          <w:rFonts w:ascii="宋体" w:hAnsi="宋体" w:cs="宋体"/>
          <w:szCs w:val="21"/>
        </w:rPr>
      </w:pPr>
      <w:r>
        <w:rPr>
          <w:rFonts w:hint="eastAsia" w:ascii="宋体" w:hAnsi="宋体" w:cs="宋体"/>
          <w:szCs w:val="21"/>
        </w:rPr>
        <w:t>第三部分 投标资料表</w:t>
      </w:r>
    </w:p>
    <w:p>
      <w:pPr>
        <w:spacing w:line="400" w:lineRule="exact"/>
        <w:ind w:left="281" w:leftChars="134"/>
        <w:rPr>
          <w:rFonts w:ascii="宋体" w:hAnsi="宋体" w:cs="宋体"/>
          <w:szCs w:val="21"/>
        </w:rPr>
      </w:pPr>
      <w:r>
        <w:rPr>
          <w:rFonts w:hint="eastAsia" w:ascii="宋体" w:hAnsi="宋体" w:cs="宋体"/>
          <w:szCs w:val="21"/>
        </w:rPr>
        <w:t>第四部分 投标人须知</w:t>
      </w:r>
    </w:p>
    <w:p>
      <w:pPr>
        <w:spacing w:line="400" w:lineRule="exact"/>
        <w:ind w:left="281" w:leftChars="134"/>
        <w:rPr>
          <w:rFonts w:ascii="宋体" w:hAnsi="宋体" w:cs="宋体"/>
          <w:szCs w:val="21"/>
        </w:rPr>
      </w:pPr>
      <w:r>
        <w:rPr>
          <w:rFonts w:hint="eastAsia" w:ascii="宋体" w:hAnsi="宋体" w:cs="宋体"/>
          <w:szCs w:val="21"/>
        </w:rPr>
        <w:t>第五部分 合同格式</w:t>
      </w:r>
    </w:p>
    <w:p>
      <w:pPr>
        <w:spacing w:line="400" w:lineRule="exact"/>
        <w:ind w:left="281" w:leftChars="134"/>
        <w:rPr>
          <w:rFonts w:ascii="宋体" w:hAnsi="宋体" w:cs="宋体"/>
          <w:szCs w:val="21"/>
        </w:rPr>
      </w:pPr>
      <w:r>
        <w:rPr>
          <w:rFonts w:hint="eastAsia" w:ascii="宋体" w:hAnsi="宋体" w:cs="宋体"/>
          <w:szCs w:val="21"/>
        </w:rPr>
        <w:t>第六部分 评标办法</w:t>
      </w:r>
    </w:p>
    <w:p>
      <w:pPr>
        <w:spacing w:line="400" w:lineRule="exact"/>
        <w:ind w:left="281" w:leftChars="134"/>
        <w:rPr>
          <w:rFonts w:ascii="宋体" w:hAnsi="宋体" w:cs="宋体"/>
          <w:szCs w:val="21"/>
        </w:rPr>
      </w:pPr>
      <w:r>
        <w:rPr>
          <w:rFonts w:hint="eastAsia" w:ascii="宋体" w:hAnsi="宋体" w:cs="宋体"/>
          <w:szCs w:val="21"/>
        </w:rPr>
        <w:t>第七部分 投标文件格式</w:t>
      </w:r>
    </w:p>
    <w:p>
      <w:pPr>
        <w:spacing w:line="400" w:lineRule="exact"/>
        <w:ind w:firstLine="420" w:firstLineChars="200"/>
        <w:rPr>
          <w:rFonts w:ascii="宋体" w:hAnsi="宋体" w:cs="宋体"/>
          <w:b/>
          <w:szCs w:val="21"/>
        </w:rPr>
      </w:pPr>
      <w:r>
        <w:rPr>
          <w:rFonts w:hint="eastAsia" w:ascii="宋体" w:hAnsi="宋体" w:cs="宋体"/>
          <w:b/>
          <w:szCs w:val="21"/>
        </w:rPr>
        <w:t>投标人应详细阅读招标文件的全部内容和要求，不按招标文件的要求提供投标文件和资料导致的风险由投标人承担。</w:t>
      </w:r>
    </w:p>
    <w:p>
      <w:pPr>
        <w:spacing w:line="400" w:lineRule="exact"/>
        <w:rPr>
          <w:rFonts w:ascii="宋体" w:hAnsi="宋体" w:cs="宋体"/>
          <w:szCs w:val="21"/>
        </w:rPr>
      </w:pPr>
      <w:r>
        <w:rPr>
          <w:rFonts w:hint="eastAsia" w:ascii="宋体" w:hAnsi="宋体" w:cs="宋体"/>
          <w:b/>
          <w:szCs w:val="21"/>
        </w:rPr>
        <w:t xml:space="preserve">7.2 </w:t>
      </w:r>
      <w:r>
        <w:rPr>
          <w:rFonts w:hint="eastAsia" w:ascii="宋体" w:hAnsi="宋体" w:cs="宋体"/>
          <w:szCs w:val="21"/>
        </w:rPr>
        <w:t>与本项目有关的澄清或者修改的内容为招标文件的组成部分。</w:t>
      </w:r>
    </w:p>
    <w:p>
      <w:pPr>
        <w:spacing w:line="400" w:lineRule="exact"/>
        <w:ind w:firstLine="210" w:firstLineChars="100"/>
        <w:rPr>
          <w:rFonts w:ascii="宋体" w:hAnsi="宋体" w:cs="宋体"/>
          <w:b/>
          <w:szCs w:val="21"/>
        </w:rPr>
      </w:pPr>
    </w:p>
    <w:p>
      <w:pPr>
        <w:spacing w:line="400" w:lineRule="exact"/>
        <w:rPr>
          <w:rFonts w:ascii="宋体" w:hAnsi="宋体" w:cs="宋体"/>
          <w:b/>
          <w:szCs w:val="21"/>
        </w:rPr>
      </w:pPr>
      <w:r>
        <w:rPr>
          <w:rFonts w:hint="eastAsia" w:ascii="宋体" w:hAnsi="宋体" w:cs="宋体"/>
          <w:b/>
          <w:szCs w:val="21"/>
        </w:rPr>
        <w:t>8.招标文件的澄清和修改</w:t>
      </w:r>
    </w:p>
    <w:p>
      <w:pPr>
        <w:spacing w:line="400" w:lineRule="exact"/>
        <w:rPr>
          <w:rFonts w:ascii="宋体" w:hAnsi="宋体" w:cs="宋体"/>
          <w:szCs w:val="21"/>
        </w:rPr>
      </w:pPr>
      <w:r>
        <w:rPr>
          <w:rFonts w:hint="eastAsia" w:ascii="宋体" w:hAnsi="宋体" w:cs="宋体"/>
          <w:b/>
          <w:szCs w:val="21"/>
        </w:rPr>
        <w:t>8.1</w:t>
      </w:r>
      <w:r>
        <w:rPr>
          <w:rFonts w:hint="eastAsia" w:ascii="宋体" w:hAnsi="宋体" w:cs="宋体"/>
          <w:szCs w:val="21"/>
        </w:rPr>
        <w:t>采购人或者采购代理机构可以在招标文件提供期限截止后，组织已获取招标文件的潜在投标人现场考察或者召开开标前答疑会。组织现场考察或者召开答疑会的在招标文件“投标资料表”中载明。</w:t>
      </w:r>
    </w:p>
    <w:p>
      <w:pPr>
        <w:spacing w:line="400" w:lineRule="exact"/>
        <w:rPr>
          <w:rFonts w:ascii="宋体" w:hAnsi="宋体" w:cs="宋体"/>
          <w:szCs w:val="21"/>
        </w:rPr>
      </w:pPr>
      <w:r>
        <w:rPr>
          <w:rFonts w:hint="eastAsia" w:ascii="宋体" w:hAnsi="宋体" w:cs="宋体"/>
          <w:b/>
          <w:szCs w:val="21"/>
        </w:rPr>
        <w:t xml:space="preserve">8.2  </w:t>
      </w:r>
      <w:r>
        <w:rPr>
          <w:rFonts w:hint="eastAsia" w:ascii="宋体" w:hAnsi="宋体" w:cs="宋体"/>
          <w:szCs w:val="21"/>
        </w:rPr>
        <w:t>若潜在投标人对招标文件有疑点，要求采购人澄清的，应以书面形式通知采购代理机构，要求澄清的截止时间同有效质疑的截止时间。</w:t>
      </w:r>
    </w:p>
    <w:p>
      <w:pPr>
        <w:spacing w:line="400" w:lineRule="exact"/>
        <w:rPr>
          <w:rFonts w:ascii="宋体" w:hAnsi="宋体" w:cs="宋体"/>
          <w:szCs w:val="21"/>
        </w:rPr>
      </w:pPr>
      <w:r>
        <w:rPr>
          <w:rFonts w:hint="eastAsia" w:ascii="宋体" w:hAnsi="宋体" w:cs="宋体"/>
          <w:b/>
          <w:szCs w:val="21"/>
        </w:rPr>
        <w:t>8.3</w:t>
      </w:r>
      <w:r>
        <w:rPr>
          <w:rFonts w:hint="eastAsia" w:ascii="宋体" w:hAnsi="宋体" w:cs="宋体"/>
          <w:szCs w:val="21"/>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pPr>
        <w:spacing w:line="400" w:lineRule="exact"/>
        <w:rPr>
          <w:rFonts w:ascii="宋体" w:hAnsi="宋体" w:cs="宋体"/>
          <w:szCs w:val="21"/>
        </w:rPr>
      </w:pPr>
      <w:r>
        <w:rPr>
          <w:rFonts w:hint="eastAsia" w:ascii="宋体" w:hAnsi="宋体" w:cs="宋体"/>
          <w:b/>
          <w:szCs w:val="21"/>
        </w:rPr>
        <w:t>8.4</w:t>
      </w:r>
      <w:r>
        <w:rPr>
          <w:rFonts w:hint="eastAsia" w:ascii="宋体" w:hAnsi="宋体" w:cs="宋体"/>
          <w:szCs w:val="21"/>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pPr>
        <w:spacing w:line="400" w:lineRule="exact"/>
        <w:rPr>
          <w:rFonts w:ascii="宋体" w:hAnsi="宋体" w:cs="宋体"/>
          <w:szCs w:val="24"/>
          <w:u w:val="single"/>
        </w:rPr>
      </w:pPr>
    </w:p>
    <w:p>
      <w:pPr>
        <w:jc w:val="center"/>
        <w:outlineLvl w:val="1"/>
        <w:rPr>
          <w:rFonts w:ascii="宋体" w:hAnsi="宋体" w:cs="宋体"/>
          <w:b/>
          <w:sz w:val="28"/>
        </w:rPr>
      </w:pPr>
      <w:bookmarkStart w:id="86" w:name="_Toc440276563"/>
      <w:bookmarkStart w:id="87" w:name="_Toc520902396"/>
      <w:bookmarkStart w:id="88" w:name="_Toc513798902"/>
      <w:bookmarkStart w:id="89" w:name="_Toc136345103"/>
      <w:bookmarkStart w:id="90" w:name="_Toc513799073"/>
      <w:bookmarkStart w:id="91" w:name="_Toc136017632"/>
      <w:bookmarkStart w:id="92" w:name="_Toc30401"/>
      <w:r>
        <w:rPr>
          <w:rFonts w:hint="eastAsia" w:ascii="宋体" w:hAnsi="宋体" w:cs="宋体"/>
          <w:b/>
          <w:sz w:val="28"/>
        </w:rPr>
        <w:t>C  投标文件</w:t>
      </w:r>
      <w:bookmarkEnd w:id="86"/>
      <w:bookmarkEnd w:id="87"/>
      <w:bookmarkEnd w:id="88"/>
      <w:bookmarkEnd w:id="89"/>
      <w:bookmarkEnd w:id="90"/>
      <w:bookmarkEnd w:id="91"/>
      <w:bookmarkEnd w:id="92"/>
    </w:p>
    <w:p>
      <w:pPr>
        <w:spacing w:line="360" w:lineRule="auto"/>
        <w:rPr>
          <w:rFonts w:ascii="宋体" w:hAnsi="宋体" w:cs="宋体"/>
          <w:b/>
          <w:szCs w:val="21"/>
        </w:rPr>
      </w:pPr>
      <w:r>
        <w:rPr>
          <w:rFonts w:hint="eastAsia" w:ascii="宋体" w:hAnsi="宋体" w:cs="宋体"/>
          <w:b/>
          <w:szCs w:val="21"/>
        </w:rPr>
        <w:t>9. 投标文件的组成</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b/>
          <w:szCs w:val="21"/>
        </w:rPr>
        <w:t>9.1</w:t>
      </w:r>
      <w:r>
        <w:rPr>
          <w:rFonts w:hint="eastAsia" w:cs="宋体" w:asciiTheme="minorEastAsia" w:hAnsiTheme="minorEastAsia" w:eastAsiaTheme="minorEastAsia"/>
          <w:b/>
          <w:bCs/>
          <w:kern w:val="0"/>
          <w:szCs w:val="21"/>
        </w:rPr>
        <w:t xml:space="preserve">投标文件的形式和效力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（1）投标文件分为电子投标文件以及备份投标文件，备份投标文件为以 U 盘存储的电子备份投标文件。</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（2）电子投标文件，按“政采云供应商项目采购-电子招投标操作指南”及本招标文件要求制作、加密并递交。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pPr>
        <w:spacing w:line="400" w:lineRule="exact"/>
        <w:ind w:firstLine="420" w:firstLineChars="200"/>
        <w:rPr>
          <w:rFonts w:ascii="宋体" w:hAnsi="宋体" w:cs="宋体"/>
          <w:szCs w:val="21"/>
        </w:rPr>
      </w:pPr>
      <w:r>
        <w:rPr>
          <w:rFonts w:hint="eastAsia" w:cs="宋体" w:asciiTheme="minorEastAsia" w:hAnsiTheme="minorEastAsia" w:eastAsiaTheme="minorEastAsia"/>
          <w:b/>
          <w:kern w:val="0"/>
          <w:szCs w:val="21"/>
        </w:rPr>
        <w:t>（</w:t>
      </w:r>
      <w:r>
        <w:rPr>
          <w:rFonts w:hint="eastAsia" w:cs="宋体" w:asciiTheme="minorEastAsia" w:hAnsiTheme="minorEastAsia" w:eastAsiaTheme="minorEastAsia"/>
          <w:b/>
          <w:bCs/>
          <w:kern w:val="0"/>
          <w:szCs w:val="21"/>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pPr>
        <w:spacing w:line="400" w:lineRule="exact"/>
        <w:rPr>
          <w:rFonts w:ascii="宋体" w:hAnsi="宋体" w:cs="宋体"/>
          <w:szCs w:val="21"/>
        </w:rPr>
      </w:pPr>
      <w:r>
        <w:rPr>
          <w:rFonts w:hint="eastAsia" w:ascii="宋体" w:hAnsi="宋体" w:cs="宋体"/>
          <w:b/>
          <w:szCs w:val="21"/>
        </w:rPr>
        <w:t>9.2</w:t>
      </w:r>
      <w:r>
        <w:rPr>
          <w:rFonts w:hint="eastAsia" w:cs="宋体" w:asciiTheme="minorEastAsia" w:hAnsiTheme="minorEastAsia" w:eastAsiaTheme="minorEastAsia"/>
          <w:bCs/>
          <w:kern w:val="0"/>
          <w:szCs w:val="21"/>
        </w:rPr>
        <w:t>投标文件由资格文件、商务技术文件和报价文件三部分组成，资格文件、商务技术文件、报价文件分别编制；电子投标文件中所须加盖公章部分均采用 CA 签章。</w:t>
      </w:r>
      <w:r>
        <w:rPr>
          <w:rFonts w:hint="eastAsia" w:ascii="宋体" w:hAnsi="宋体" w:cs="宋体"/>
          <w:szCs w:val="21"/>
        </w:rPr>
        <w:t>具体组成内容在本招标文件“投标资料表”中做出规定。</w:t>
      </w:r>
    </w:p>
    <w:p>
      <w:pPr>
        <w:spacing w:line="440" w:lineRule="exact"/>
        <w:rPr>
          <w:rFonts w:ascii="宋体" w:hAnsi="宋体"/>
          <w:szCs w:val="21"/>
        </w:rPr>
      </w:pPr>
      <w:r>
        <w:rPr>
          <w:rFonts w:hint="eastAsia" w:ascii="宋体" w:hAnsi="宋体"/>
          <w:b/>
          <w:szCs w:val="21"/>
        </w:rPr>
        <w:t>9.3</w:t>
      </w:r>
      <w:r>
        <w:rPr>
          <w:rFonts w:hint="eastAsia" w:ascii="宋体" w:hAnsi="宋体"/>
          <w:szCs w:val="21"/>
        </w:rPr>
        <w:t xml:space="preserve">  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hAnsi="宋体"/>
          <w:szCs w:val="21"/>
        </w:rPr>
      </w:pPr>
    </w:p>
    <w:p>
      <w:pPr>
        <w:spacing w:line="400" w:lineRule="exact"/>
        <w:rPr>
          <w:rFonts w:ascii="宋体" w:hAnsi="宋体" w:cs="宋体"/>
          <w:b/>
          <w:szCs w:val="21"/>
        </w:rPr>
      </w:pPr>
      <w:r>
        <w:rPr>
          <w:rFonts w:hint="eastAsia" w:ascii="宋体" w:hAnsi="宋体" w:cs="宋体"/>
          <w:b/>
          <w:szCs w:val="21"/>
        </w:rPr>
        <w:t>10.  投标报价</w:t>
      </w:r>
    </w:p>
    <w:p>
      <w:pPr>
        <w:spacing w:line="400" w:lineRule="exact"/>
        <w:rPr>
          <w:rFonts w:ascii="宋体" w:hAnsi="宋体" w:cs="宋体"/>
          <w:szCs w:val="21"/>
        </w:rPr>
      </w:pPr>
      <w:r>
        <w:rPr>
          <w:rFonts w:hint="eastAsia" w:ascii="宋体" w:hAnsi="宋体" w:cs="宋体"/>
          <w:b/>
          <w:szCs w:val="21"/>
        </w:rPr>
        <w:t>10.1</w:t>
      </w:r>
      <w:r>
        <w:rPr>
          <w:rFonts w:hint="eastAsia" w:ascii="宋体" w:hAnsi="宋体" w:cs="宋体"/>
          <w:szCs w:val="21"/>
        </w:rPr>
        <w:t xml:space="preserve">  本次招标对投标报价组成的具体要求在招标文件“投标资料表”中做出规定。</w:t>
      </w:r>
    </w:p>
    <w:p>
      <w:pPr>
        <w:spacing w:line="400" w:lineRule="exact"/>
        <w:rPr>
          <w:rFonts w:ascii="宋体" w:hAnsi="宋体" w:cs="宋体"/>
          <w:szCs w:val="21"/>
        </w:rPr>
      </w:pPr>
      <w:r>
        <w:rPr>
          <w:rFonts w:hint="eastAsia" w:ascii="宋体" w:hAnsi="宋体" w:cs="宋体"/>
          <w:b/>
          <w:szCs w:val="21"/>
        </w:rPr>
        <w:t xml:space="preserve">10.2  </w:t>
      </w:r>
      <w:r>
        <w:rPr>
          <w:rFonts w:hint="eastAsia" w:ascii="宋体" w:hAnsi="宋体" w:cs="宋体"/>
          <w:szCs w:val="21"/>
        </w:rPr>
        <w:t>投标人要按照招标文件中的“开标一览表”格式和内容完整填写投标总价及其他事项。</w:t>
      </w:r>
    </w:p>
    <w:p>
      <w:pPr>
        <w:spacing w:line="400" w:lineRule="exact"/>
        <w:rPr>
          <w:rFonts w:ascii="宋体" w:hAnsi="宋体" w:cs="宋体"/>
          <w:szCs w:val="21"/>
        </w:rPr>
      </w:pPr>
      <w:r>
        <w:rPr>
          <w:rFonts w:hint="eastAsia" w:ascii="宋体" w:hAnsi="宋体" w:cs="宋体"/>
          <w:b/>
          <w:szCs w:val="21"/>
        </w:rPr>
        <w:t>10.3</w:t>
      </w:r>
      <w:r>
        <w:rPr>
          <w:rFonts w:hint="eastAsia" w:ascii="宋体" w:hAnsi="宋体" w:cs="宋体"/>
          <w:szCs w:val="21"/>
        </w:rPr>
        <w:t xml:space="preserve">  除非招标文件另有备选投标方案的规定，投标应该只有一个投标报价。投标人若有投标声明，应载明在“开标一览表”中，供开标时唱出，未经唱出的声明在评标时不作考虑。</w:t>
      </w:r>
    </w:p>
    <w:p>
      <w:pPr>
        <w:spacing w:line="400" w:lineRule="exact"/>
        <w:rPr>
          <w:rFonts w:ascii="宋体" w:hAnsi="宋体" w:cs="宋体"/>
          <w:b/>
          <w:szCs w:val="21"/>
        </w:rPr>
      </w:pPr>
      <w:r>
        <w:rPr>
          <w:rFonts w:hint="eastAsia" w:ascii="宋体" w:hAnsi="宋体" w:cs="宋体"/>
          <w:b/>
          <w:szCs w:val="21"/>
        </w:rPr>
        <w:t xml:space="preserve">10.4  </w:t>
      </w:r>
      <w:r>
        <w:rPr>
          <w:rFonts w:hint="eastAsia" w:ascii="宋体" w:hAnsi="宋体" w:cs="宋体"/>
          <w:szCs w:val="21"/>
        </w:rPr>
        <w:t>开标后以及在评标及中标后的合同执行过程中，投标人不得以任何理由变更投标价格。</w:t>
      </w:r>
      <w:r>
        <w:rPr>
          <w:rFonts w:hint="eastAsia" w:ascii="宋体" w:hAnsi="宋体" w:cs="宋体"/>
          <w:b/>
          <w:szCs w:val="21"/>
        </w:rPr>
        <w:t>若投标人在中标以后做出任何改变投标价格的决定，将被视作撤标而失去中标资格。</w:t>
      </w:r>
    </w:p>
    <w:p>
      <w:pPr>
        <w:spacing w:line="400" w:lineRule="exact"/>
        <w:rPr>
          <w:rFonts w:ascii="宋体" w:hAnsi="宋体" w:cs="宋体"/>
          <w:b/>
          <w:szCs w:val="21"/>
        </w:rPr>
      </w:pPr>
      <w:r>
        <w:rPr>
          <w:rFonts w:hint="eastAsia" w:ascii="宋体" w:hAnsi="宋体" w:cs="宋体"/>
          <w:b/>
          <w:szCs w:val="21"/>
        </w:rPr>
        <w:t>10.5  本项目采用最高投标限价，超过最高限价的投标文件无效。</w:t>
      </w:r>
    </w:p>
    <w:p>
      <w:pPr>
        <w:spacing w:line="400" w:lineRule="exact"/>
        <w:rPr>
          <w:rFonts w:ascii="宋体" w:hAnsi="宋体" w:cs="宋体"/>
          <w:b/>
          <w:szCs w:val="21"/>
        </w:rPr>
      </w:pPr>
      <w:r>
        <w:rPr>
          <w:rFonts w:hint="eastAsia" w:ascii="宋体" w:hAnsi="宋体" w:cs="宋体"/>
          <w:b/>
          <w:szCs w:val="21"/>
        </w:rPr>
        <w:t xml:space="preserve">10.6  </w:t>
      </w:r>
      <w:r>
        <w:rPr>
          <w:rFonts w:hint="eastAsia" w:ascii="宋体" w:hAnsi="宋体" w:cs="宋体"/>
          <w:szCs w:val="21"/>
        </w:rPr>
        <w:t>本项目的投标货币为人民币。</w:t>
      </w:r>
    </w:p>
    <w:p>
      <w:pPr>
        <w:spacing w:line="400" w:lineRule="exact"/>
        <w:rPr>
          <w:rFonts w:ascii="宋体" w:hAnsi="宋体" w:cs="宋体"/>
          <w:b/>
          <w:szCs w:val="21"/>
        </w:rPr>
      </w:pPr>
    </w:p>
    <w:p>
      <w:pPr>
        <w:spacing w:line="400" w:lineRule="exact"/>
        <w:rPr>
          <w:rFonts w:ascii="宋体" w:hAnsi="宋体" w:cs="宋体"/>
          <w:szCs w:val="21"/>
        </w:rPr>
      </w:pPr>
      <w:r>
        <w:rPr>
          <w:rFonts w:hint="eastAsia" w:ascii="宋体" w:hAnsi="宋体" w:cs="宋体"/>
          <w:b/>
          <w:szCs w:val="21"/>
        </w:rPr>
        <w:t>11.  投标文件的格式和编写</w:t>
      </w:r>
    </w:p>
    <w:p>
      <w:pPr>
        <w:spacing w:line="400" w:lineRule="exact"/>
        <w:rPr>
          <w:rFonts w:ascii="宋体" w:hAnsi="宋体" w:cs="宋体"/>
          <w:szCs w:val="21"/>
        </w:rPr>
      </w:pPr>
      <w:r>
        <w:rPr>
          <w:rFonts w:hint="eastAsia" w:ascii="宋体" w:hAnsi="宋体" w:cs="宋体"/>
          <w:b/>
          <w:szCs w:val="21"/>
        </w:rPr>
        <w:t>11.1</w:t>
      </w:r>
      <w:r>
        <w:rPr>
          <w:rFonts w:hint="eastAsia" w:ascii="宋体" w:hAnsi="宋体" w:cs="宋体"/>
          <w:szCs w:val="21"/>
        </w:rPr>
        <w:t xml:space="preserve">  投标文件须按“投标文件的有关格式”提供的统一格式填写、签署和加盖公章。</w:t>
      </w:r>
    </w:p>
    <w:p>
      <w:pPr>
        <w:spacing w:line="400" w:lineRule="exact"/>
        <w:rPr>
          <w:rFonts w:ascii="宋体" w:hAnsi="宋体" w:cs="宋体"/>
          <w:szCs w:val="21"/>
        </w:rPr>
      </w:pPr>
      <w:r>
        <w:rPr>
          <w:rFonts w:hint="eastAsia" w:ascii="宋体" w:hAnsi="宋体" w:cs="宋体"/>
          <w:b/>
          <w:szCs w:val="21"/>
        </w:rPr>
        <w:t xml:space="preserve">11.2 </w:t>
      </w:r>
      <w:r>
        <w:rPr>
          <w:rFonts w:hint="eastAsia" w:ascii="宋体" w:hAnsi="宋体" w:cs="宋体"/>
          <w:szCs w:val="21"/>
        </w:rPr>
        <w:t xml:space="preserve"> “开标一览表”应按照统一格式填写，不得自行增减内容。</w:t>
      </w:r>
    </w:p>
    <w:p>
      <w:pPr>
        <w:widowControl/>
        <w:spacing w:line="360" w:lineRule="auto"/>
        <w:rPr>
          <w:rFonts w:ascii="宋体" w:hAnsi="宋体" w:cs="宋体"/>
          <w:szCs w:val="21"/>
        </w:rPr>
      </w:pPr>
      <w:r>
        <w:rPr>
          <w:rFonts w:hint="eastAsia" w:cs="宋体" w:asciiTheme="minorEastAsia" w:hAnsiTheme="minorEastAsia" w:eastAsiaTheme="minorEastAsia"/>
          <w:b/>
          <w:szCs w:val="21"/>
        </w:rPr>
        <w:t xml:space="preserve">11.3  </w:t>
      </w:r>
      <w:r>
        <w:rPr>
          <w:rFonts w:hint="eastAsia" w:cs="宋体" w:asciiTheme="minorEastAsia" w:hAnsiTheme="minorEastAsia" w:eastAsiaTheme="minorEastAsia"/>
          <w:bCs/>
          <w:szCs w:val="21"/>
        </w:rPr>
        <w:t>投标书文件数量</w:t>
      </w:r>
      <w:r>
        <w:rPr>
          <w:rFonts w:hint="eastAsia" w:ascii="宋体" w:hAnsi="宋体" w:cs="宋体"/>
          <w:szCs w:val="21"/>
        </w:rPr>
        <w:t>的具体要求在招标文件“投标资料表”中做出规定。</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1.4  </w:t>
      </w:r>
      <w:r>
        <w:rPr>
          <w:rFonts w:hint="eastAsia" w:cs="宋体" w:asciiTheme="minorEastAsia" w:hAnsiTheme="minorEastAsia" w:eastAsiaTheme="minorEastAsia"/>
          <w:b/>
          <w:bCs/>
          <w:kern w:val="0"/>
          <w:szCs w:val="21"/>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pPr>
        <w:spacing w:line="400" w:lineRule="exact"/>
        <w:rPr>
          <w:rFonts w:ascii="宋体" w:hAnsi="宋体" w:cs="宋体"/>
          <w:b/>
          <w:szCs w:val="21"/>
        </w:rPr>
      </w:pPr>
      <w:r>
        <w:rPr>
          <w:rFonts w:hint="eastAsia" w:ascii="宋体" w:hAnsi="宋体" w:cs="宋体"/>
          <w:b/>
          <w:szCs w:val="21"/>
        </w:rPr>
        <w:t xml:space="preserve">11.5 </w:t>
      </w:r>
      <w:r>
        <w:rPr>
          <w:rFonts w:hint="eastAsia" w:ascii="宋体" w:hAnsi="宋体" w:cs="宋体"/>
          <w:szCs w:val="21"/>
        </w:rPr>
        <w:t>除招标文件有特殊要求外，投标文件中所使用的计量单位应采用国家法定计量单位。</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b/>
          <w:szCs w:val="21"/>
        </w:rPr>
        <w:t>12. 投标有效期</w:t>
      </w:r>
    </w:p>
    <w:p>
      <w:pPr>
        <w:spacing w:line="400" w:lineRule="exact"/>
        <w:rPr>
          <w:rFonts w:ascii="宋体" w:hAnsi="宋体" w:cs="宋体"/>
          <w:szCs w:val="21"/>
        </w:rPr>
      </w:pPr>
      <w:r>
        <w:rPr>
          <w:rFonts w:hint="eastAsia" w:ascii="宋体" w:hAnsi="宋体" w:cs="宋体"/>
          <w:b/>
          <w:szCs w:val="21"/>
        </w:rPr>
        <w:t xml:space="preserve">12.1 </w:t>
      </w:r>
      <w:r>
        <w:rPr>
          <w:rFonts w:hint="eastAsia" w:ascii="宋体" w:hAnsi="宋体" w:cs="宋体"/>
          <w:szCs w:val="21"/>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400" w:lineRule="exact"/>
        <w:rPr>
          <w:rFonts w:ascii="宋体" w:hAnsi="宋体" w:cs="宋体"/>
          <w:szCs w:val="21"/>
        </w:rPr>
      </w:pPr>
      <w:r>
        <w:rPr>
          <w:rFonts w:hint="eastAsia" w:ascii="宋体" w:hAnsi="宋体" w:cs="宋体"/>
          <w:b/>
          <w:szCs w:val="21"/>
        </w:rPr>
        <w:t xml:space="preserve">12.2  </w:t>
      </w:r>
      <w:r>
        <w:rPr>
          <w:rFonts w:hint="eastAsia" w:ascii="宋体" w:hAnsi="宋体" w:cs="宋体"/>
          <w:szCs w:val="21"/>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pPr>
        <w:spacing w:line="400" w:lineRule="exact"/>
        <w:rPr>
          <w:rFonts w:ascii="宋体" w:hAnsi="宋体" w:cs="宋体"/>
          <w:b/>
          <w:szCs w:val="21"/>
        </w:rPr>
      </w:pPr>
    </w:p>
    <w:p>
      <w:pPr>
        <w:spacing w:line="400" w:lineRule="exact"/>
        <w:rPr>
          <w:rFonts w:ascii="宋体" w:hAnsi="宋体" w:cs="宋体"/>
          <w:szCs w:val="21"/>
        </w:rPr>
      </w:pPr>
      <w:r>
        <w:rPr>
          <w:rFonts w:hint="eastAsia" w:ascii="宋体" w:hAnsi="宋体" w:cs="宋体"/>
          <w:b/>
          <w:szCs w:val="21"/>
        </w:rPr>
        <w:t>13  投标保证金</w:t>
      </w:r>
    </w:p>
    <w:p>
      <w:pPr>
        <w:spacing w:line="400" w:lineRule="exact"/>
        <w:rPr>
          <w:rFonts w:ascii="宋体" w:hAnsi="宋体" w:cs="宋体"/>
          <w:szCs w:val="21"/>
        </w:rPr>
      </w:pPr>
      <w:r>
        <w:rPr>
          <w:rFonts w:hint="eastAsia" w:ascii="宋体" w:hAnsi="宋体" w:cs="宋体"/>
          <w:szCs w:val="21"/>
        </w:rPr>
        <w:t>本项目无需缴纳投标保证金。</w:t>
      </w:r>
    </w:p>
    <w:p>
      <w:pPr>
        <w:spacing w:line="400" w:lineRule="exact"/>
        <w:rPr>
          <w:rFonts w:ascii="宋体" w:hAnsi="宋体" w:cs="宋体"/>
          <w:sz w:val="24"/>
          <w:u w:val="single"/>
        </w:rPr>
      </w:pPr>
    </w:p>
    <w:p>
      <w:pPr>
        <w:jc w:val="center"/>
        <w:outlineLvl w:val="1"/>
        <w:rPr>
          <w:rFonts w:ascii="宋体" w:hAnsi="宋体" w:cs="宋体"/>
          <w:b/>
          <w:sz w:val="28"/>
        </w:rPr>
      </w:pPr>
      <w:bookmarkStart w:id="93" w:name="_Toc136017633"/>
      <w:bookmarkStart w:id="94" w:name="_Toc440276564"/>
      <w:bookmarkStart w:id="95" w:name="_Toc513798903"/>
      <w:bookmarkStart w:id="96" w:name="_Toc520902397"/>
      <w:bookmarkStart w:id="97" w:name="_Toc513799074"/>
      <w:bookmarkStart w:id="98" w:name="_Toc136345104"/>
      <w:bookmarkStart w:id="99" w:name="_Toc2786"/>
      <w:r>
        <w:rPr>
          <w:rFonts w:hint="eastAsia" w:ascii="宋体" w:hAnsi="宋体" w:cs="宋体"/>
          <w:b/>
          <w:sz w:val="28"/>
        </w:rPr>
        <w:t>D  投标文件的递交</w:t>
      </w:r>
      <w:bookmarkEnd w:id="93"/>
      <w:bookmarkEnd w:id="94"/>
      <w:bookmarkEnd w:id="95"/>
      <w:bookmarkEnd w:id="96"/>
      <w:bookmarkEnd w:id="97"/>
      <w:bookmarkEnd w:id="98"/>
      <w:bookmarkEnd w:id="99"/>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14.投标文件的装订、密封、标记和递送</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14.1  </w:t>
      </w:r>
      <w:r>
        <w:rPr>
          <w:rFonts w:hint="eastAsia" w:cs="宋体" w:asciiTheme="minorEastAsia" w:hAnsiTheme="minorEastAsia" w:eastAsiaTheme="minorEastAsia"/>
          <w:kern w:val="0"/>
          <w:szCs w:val="21"/>
        </w:rPr>
        <w:t xml:space="preserve">电子投标文件：投标人应根据“项目采购-电子招投标操作指南”及本招标文件规定的格式和顺序编制电子投标文件并进行关联定位。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14.</w:t>
      </w:r>
      <w:r>
        <w:rPr>
          <w:rFonts w:hint="eastAsia" w:cs="宋体" w:asciiTheme="minorEastAsia" w:hAnsiTheme="minorEastAsia" w:eastAsiaTheme="minorEastAsia"/>
          <w:b/>
          <w:bCs/>
          <w:kern w:val="0"/>
          <w:szCs w:val="21"/>
        </w:rPr>
        <w:t xml:space="preserve">2  电子备份投标文件：单独包封，外包装封面上应注明投标人名称、投标人地址、投标文件名称（电子投标文件的备份文件）、投标项目名称、项目编号及“开标时启封”字样，并加盖投标人公章。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14.</w:t>
      </w:r>
      <w:r>
        <w:rPr>
          <w:rFonts w:hint="eastAsia" w:cs="宋体" w:asciiTheme="minorEastAsia" w:hAnsiTheme="minorEastAsia" w:eastAsiaTheme="minorEastAsia"/>
          <w:b/>
          <w:bCs/>
          <w:kern w:val="0"/>
          <w:szCs w:val="21"/>
        </w:rPr>
        <w:t xml:space="preserve">3  未按规定密封或标记的电子备份投标文件，采购人有权拒绝接受其投标。 </w:t>
      </w:r>
    </w:p>
    <w:p>
      <w:pPr>
        <w:spacing w:line="400" w:lineRule="exact"/>
        <w:rPr>
          <w:rFonts w:ascii="宋体" w:hAnsi="宋体" w:cs="宋体"/>
          <w:szCs w:val="21"/>
        </w:rPr>
      </w:pPr>
      <w:r>
        <w:rPr>
          <w:rFonts w:hint="eastAsia" w:cs="宋体" w:asciiTheme="minorEastAsia" w:hAnsiTheme="minorEastAsia" w:eastAsiaTheme="minorEastAsia"/>
          <w:szCs w:val="21"/>
        </w:rPr>
        <w:t>14.</w:t>
      </w:r>
      <w:r>
        <w:rPr>
          <w:rFonts w:hint="eastAsia" w:cs="宋体" w:asciiTheme="minorEastAsia" w:hAnsiTheme="minorEastAsia" w:eastAsiaTheme="minorEastAsia"/>
          <w:kern w:val="0"/>
          <w:szCs w:val="21"/>
        </w:rPr>
        <w:t>4  如果投标人未按上述要求密封或标记而造成投标文件被误投或提前拆封的风险由投标人承担。</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b/>
          <w:szCs w:val="21"/>
        </w:rPr>
        <w:t>15. 投标截止时间</w:t>
      </w:r>
    </w:p>
    <w:p>
      <w:pPr>
        <w:spacing w:line="400" w:lineRule="exact"/>
        <w:rPr>
          <w:rFonts w:ascii="宋体" w:hAnsi="宋体" w:cs="宋体"/>
          <w:szCs w:val="21"/>
        </w:rPr>
      </w:pPr>
      <w:r>
        <w:rPr>
          <w:rFonts w:hint="eastAsia" w:ascii="宋体" w:hAnsi="宋体" w:cs="宋体"/>
          <w:b/>
          <w:szCs w:val="21"/>
        </w:rPr>
        <w:t xml:space="preserve">15.1 </w:t>
      </w:r>
      <w:r>
        <w:rPr>
          <w:rFonts w:hint="eastAsia" w:ascii="宋体" w:hAnsi="宋体" w:cs="宋体"/>
          <w:szCs w:val="21"/>
        </w:rPr>
        <w:t xml:space="preserve"> 投标人应在招标文件要求提交（上传）投标文件的截止时间前，将投标文件上传至政府采购云平台。采购代理机构</w:t>
      </w:r>
      <w:r>
        <w:rPr>
          <w:rFonts w:hint="eastAsia" w:ascii="宋体" w:hAnsi="宋体" w:cs="宋体"/>
          <w:b/>
          <w:szCs w:val="21"/>
        </w:rPr>
        <w:t>拒绝接收在投标截止时间以后提交（上传）的投标文件</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b/>
          <w:szCs w:val="21"/>
        </w:rPr>
        <w:t>15.2</w:t>
      </w:r>
      <w:r>
        <w:rPr>
          <w:rFonts w:hint="eastAsia" w:ascii="宋体" w:hAnsi="宋体" w:cs="宋体"/>
          <w:szCs w:val="21"/>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b/>
          <w:szCs w:val="21"/>
        </w:rPr>
        <w:t>16.投标文件的修改和撤回</w:t>
      </w:r>
    </w:p>
    <w:p>
      <w:pPr>
        <w:spacing w:line="400" w:lineRule="exact"/>
        <w:rPr>
          <w:rFonts w:ascii="宋体" w:hAnsi="宋体" w:cs="宋体"/>
          <w:szCs w:val="21"/>
        </w:rPr>
      </w:pPr>
      <w:r>
        <w:rPr>
          <w:rFonts w:hint="eastAsia" w:ascii="宋体" w:hAnsi="宋体" w:cs="宋体"/>
          <w:b/>
          <w:szCs w:val="21"/>
        </w:rPr>
        <w:t>16.1</w:t>
      </w:r>
      <w:r>
        <w:rPr>
          <w:rFonts w:hint="eastAsia" w:ascii="宋体" w:hAnsi="宋体" w:cs="宋体"/>
          <w:szCs w:val="21"/>
        </w:rPr>
        <w:t xml:space="preserve">  投标人在投标截止时间前，可以对已经提交的投标文件进行补充、修改或者撤回。</w:t>
      </w:r>
    </w:p>
    <w:p>
      <w:pPr>
        <w:spacing w:line="400" w:lineRule="exact"/>
        <w:ind w:firstLine="630" w:firstLineChars="300"/>
        <w:rPr>
          <w:rFonts w:ascii="宋体" w:hAnsi="宋体" w:cs="宋体"/>
          <w:szCs w:val="21"/>
        </w:rPr>
      </w:pPr>
      <w:r>
        <w:rPr>
          <w:rFonts w:hint="eastAsia" w:ascii="宋体" w:hAnsi="宋体" w:cs="宋体"/>
          <w:szCs w:val="21"/>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pPr>
        <w:spacing w:line="400" w:lineRule="exact"/>
        <w:ind w:firstLine="630" w:firstLineChars="300"/>
        <w:rPr>
          <w:rFonts w:ascii="宋体" w:hAnsi="宋体" w:cs="宋体"/>
          <w:szCs w:val="21"/>
        </w:rPr>
      </w:pPr>
      <w:r>
        <w:rPr>
          <w:rFonts w:hint="eastAsia" w:ascii="宋体" w:hAnsi="宋体" w:cs="宋体"/>
          <w:szCs w:val="21"/>
        </w:rPr>
        <w:t>投标人在投标截止时间前递交了需要补充或修改的电子加密投标文件的备份投标文件，可以重新提交补充或修改后的备份投标文件。</w:t>
      </w:r>
    </w:p>
    <w:p>
      <w:pPr>
        <w:spacing w:line="400" w:lineRule="exact"/>
        <w:rPr>
          <w:rFonts w:ascii="宋体" w:hAnsi="宋体" w:cs="宋体"/>
          <w:szCs w:val="21"/>
        </w:rPr>
      </w:pPr>
      <w:r>
        <w:rPr>
          <w:rFonts w:hint="eastAsia" w:ascii="宋体" w:hAnsi="宋体" w:cs="宋体"/>
          <w:b/>
          <w:szCs w:val="21"/>
        </w:rPr>
        <w:t>16.2</w:t>
      </w:r>
      <w:r>
        <w:rPr>
          <w:rFonts w:hint="eastAsia" w:ascii="宋体" w:hAnsi="宋体" w:cs="宋体"/>
          <w:szCs w:val="21"/>
        </w:rPr>
        <w:t xml:space="preserve">  投标截止时间后，投标人不得对其投标文件进行补充、修改。</w:t>
      </w:r>
    </w:p>
    <w:p>
      <w:pPr>
        <w:spacing w:line="400" w:lineRule="exact"/>
        <w:rPr>
          <w:rFonts w:ascii="宋体" w:hAnsi="宋体" w:cs="宋体"/>
          <w:szCs w:val="21"/>
        </w:rPr>
      </w:pPr>
    </w:p>
    <w:p>
      <w:pPr>
        <w:jc w:val="center"/>
        <w:outlineLvl w:val="1"/>
        <w:rPr>
          <w:rFonts w:ascii="宋体" w:hAnsi="宋体" w:cs="宋体"/>
          <w:b/>
          <w:sz w:val="28"/>
        </w:rPr>
      </w:pPr>
      <w:bookmarkStart w:id="100" w:name="_Toc513798904"/>
      <w:bookmarkStart w:id="101" w:name="_Toc136345105"/>
      <w:bookmarkStart w:id="102" w:name="_Toc440276565"/>
      <w:bookmarkStart w:id="103" w:name="_Toc14532"/>
      <w:bookmarkStart w:id="104" w:name="_Toc513799075"/>
      <w:bookmarkStart w:id="105" w:name="_Toc520902398"/>
      <w:bookmarkStart w:id="106" w:name="_Toc136017634"/>
      <w:r>
        <w:rPr>
          <w:rFonts w:hint="eastAsia" w:ascii="宋体" w:hAnsi="宋体" w:cs="宋体"/>
          <w:b/>
          <w:sz w:val="28"/>
        </w:rPr>
        <w:t>E  开标</w:t>
      </w:r>
      <w:bookmarkEnd w:id="100"/>
      <w:bookmarkEnd w:id="101"/>
      <w:bookmarkEnd w:id="102"/>
      <w:bookmarkEnd w:id="103"/>
      <w:bookmarkEnd w:id="104"/>
      <w:bookmarkEnd w:id="105"/>
      <w:bookmarkEnd w:id="106"/>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17</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开标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 xml:space="preserve">17.1  </w:t>
      </w:r>
      <w:r>
        <w:rPr>
          <w:rFonts w:hint="eastAsia" w:cs="宋体" w:asciiTheme="minorEastAsia" w:hAnsiTheme="minorEastAsia" w:eastAsiaTheme="minorEastAsia"/>
          <w:szCs w:val="21"/>
        </w:rPr>
        <w:t>采购代理机构按招标文件规定的时间、地点主持公开开标。</w:t>
      </w:r>
    </w:p>
    <w:p>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szCs w:val="21"/>
        </w:rPr>
        <w:t xml:space="preserve">17.2  </w:t>
      </w:r>
      <w:r>
        <w:rPr>
          <w:rFonts w:hint="eastAsia" w:cs="宋体" w:asciiTheme="minorEastAsia" w:hAnsiTheme="minorEastAsia" w:eastAsiaTheme="minorEastAsia"/>
          <w:b/>
          <w:bCs/>
          <w:kern w:val="0"/>
          <w:szCs w:val="21"/>
        </w:rPr>
        <w:t>电子投标开标及评审程序</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kern w:val="0"/>
          <w:szCs w:val="21"/>
          <w:u w:val="single"/>
        </w:rPr>
        <w:t>30分钟</w:t>
      </w:r>
      <w:r>
        <w:rPr>
          <w:rFonts w:hint="eastAsia" w:cs="宋体" w:asciiTheme="minorEastAsia" w:hAnsiTheme="minorEastAsia" w:eastAsiaTheme="minorEastAsia"/>
          <w:b/>
          <w:kern w:val="0"/>
          <w:szCs w:val="21"/>
        </w:rPr>
        <w:t>内。</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（2）采购人或代理机构对投标人的资格进行审查。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（3）在系统上公开报价开标情况。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（4）评标委员会对商务技术文件、报价文件进行评审。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（5）在系统上公布评审结果。 </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注：政采云公司如对电子化开标及评审程序有调整的，按调整后的程序操作。</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szCs w:val="21"/>
        </w:rPr>
        <w:t xml:space="preserve">17.4  </w:t>
      </w:r>
      <w:r>
        <w:rPr>
          <w:rFonts w:hint="eastAsia" w:cs="宋体" w:asciiTheme="minorEastAsia" w:hAnsiTheme="minorEastAsia" w:eastAsiaTheme="minorEastAsia"/>
          <w:b/>
          <w:bCs/>
          <w:kern w:val="0"/>
          <w:szCs w:val="21"/>
        </w:rPr>
        <w:t xml:space="preserve">特别说明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本项目采用政采云电子投标开标及评审程序，但有下情形之一的，按以下情况处理：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1.若投标人在规定时间内无法解密或解密失败，代理机构将开启所有投标人递交的以U 盘存储的电子备份投标文件，上传至政采云平台项目采购模块，以完成开标，电子投标文件自动失效。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2.采购过程中出现以下情形，导致电子交易平台无法正常运行，或者无法保证电子交易的公平、公正和安全时，采购人（或代理机构）可中止电子交易活动：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（1）电子交易平台发生故障而无法登录访问的；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（2）电子交易平台应用或数据库出现错误，不能进行正常操作的；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（3）电子交易平台发现严重安全漏洞，有潜在泄密危险的；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（4）病毒发作导致不能进行正常操作的；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（5）其他无法保证电子交易的公平、公正和安全的情况。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出现前款规定情形，不影响采购公平、公正性的，采购人（或代理机构）可以待上述情形消除后继续组织电子交易活动。 </w:t>
      </w:r>
    </w:p>
    <w:p>
      <w:pPr>
        <w:spacing w:line="400" w:lineRule="exact"/>
        <w:rPr>
          <w:rFonts w:ascii="宋体" w:hAnsi="宋体" w:cs="宋体"/>
          <w:szCs w:val="21"/>
          <w:u w:val="single"/>
        </w:rPr>
      </w:pPr>
      <w:r>
        <w:rPr>
          <w:rFonts w:hint="eastAsia" w:asciiTheme="minorEastAsia" w:hAnsiTheme="minorEastAsia" w:eastAsiaTheme="minorEastAsia"/>
          <w:b/>
          <w:szCs w:val="21"/>
        </w:rPr>
        <w:t xml:space="preserve">17.5  </w:t>
      </w:r>
      <w:r>
        <w:rPr>
          <w:rFonts w:hint="eastAsia" w:asciiTheme="minorEastAsia" w:hAnsiTheme="minorEastAsia" w:eastAsiaTheme="minorEastAsia"/>
          <w:szCs w:val="21"/>
        </w:rPr>
        <w:t>投标截止时间止，投标人不足3家的，不开启招标文件，终止本次采购活动。</w:t>
      </w:r>
    </w:p>
    <w:p>
      <w:pPr>
        <w:spacing w:line="400" w:lineRule="exact"/>
        <w:rPr>
          <w:rFonts w:ascii="宋体" w:hAnsi="宋体" w:cs="宋体"/>
          <w:sz w:val="24"/>
          <w:szCs w:val="24"/>
        </w:rPr>
      </w:pPr>
    </w:p>
    <w:p>
      <w:pPr>
        <w:spacing w:before="143" w:beforeLines="50" w:after="143" w:afterLines="50"/>
        <w:jc w:val="center"/>
        <w:outlineLvl w:val="1"/>
        <w:rPr>
          <w:rFonts w:ascii="宋体" w:hAnsi="宋体" w:cs="宋体"/>
          <w:b/>
          <w:sz w:val="28"/>
        </w:rPr>
      </w:pPr>
      <w:bookmarkStart w:id="107" w:name="_Toc520902399"/>
      <w:bookmarkStart w:id="108" w:name="_Toc31549"/>
      <w:bookmarkStart w:id="109" w:name="_Toc513798905"/>
      <w:bookmarkStart w:id="110" w:name="_Toc513799076"/>
      <w:bookmarkStart w:id="111" w:name="_Toc136017635"/>
      <w:bookmarkStart w:id="112" w:name="_Toc440276566"/>
      <w:bookmarkStart w:id="113" w:name="_Toc136345106"/>
      <w:r>
        <w:rPr>
          <w:rFonts w:hint="eastAsia" w:ascii="宋体" w:hAnsi="宋体" w:cs="宋体"/>
          <w:b/>
          <w:sz w:val="28"/>
        </w:rPr>
        <w:t>F  评标和定标</w:t>
      </w:r>
      <w:bookmarkEnd w:id="107"/>
      <w:bookmarkEnd w:id="108"/>
      <w:bookmarkEnd w:id="109"/>
      <w:bookmarkEnd w:id="110"/>
      <w:bookmarkEnd w:id="111"/>
      <w:bookmarkEnd w:id="112"/>
      <w:bookmarkEnd w:id="113"/>
    </w:p>
    <w:p>
      <w:pPr>
        <w:spacing w:line="400" w:lineRule="exact"/>
        <w:rPr>
          <w:rFonts w:ascii="宋体" w:hAnsi="宋体" w:cs="宋体"/>
          <w:szCs w:val="21"/>
        </w:rPr>
      </w:pPr>
      <w:r>
        <w:rPr>
          <w:rFonts w:hint="eastAsia" w:ascii="宋体" w:hAnsi="宋体" w:cs="宋体"/>
          <w:b/>
          <w:szCs w:val="21"/>
        </w:rPr>
        <w:t>18. 评标委员会及评标</w:t>
      </w:r>
    </w:p>
    <w:p>
      <w:pPr>
        <w:spacing w:line="400" w:lineRule="exact"/>
        <w:rPr>
          <w:rFonts w:ascii="宋体" w:hAnsi="宋体" w:cs="宋体"/>
          <w:szCs w:val="21"/>
        </w:rPr>
      </w:pPr>
      <w:r>
        <w:rPr>
          <w:rFonts w:hint="eastAsia" w:ascii="宋体" w:hAnsi="宋体" w:cs="宋体"/>
          <w:b/>
          <w:szCs w:val="21"/>
        </w:rPr>
        <w:t>18.1</w:t>
      </w:r>
      <w:r>
        <w:rPr>
          <w:rFonts w:hint="eastAsia" w:ascii="宋体" w:hAnsi="宋体" w:cs="宋体"/>
          <w:szCs w:val="21"/>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szCs w:val="21"/>
          <w:u w:val="single"/>
        </w:rPr>
        <w:t>评标委员会成员名单在招标结果确定之前依法保密</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b/>
          <w:szCs w:val="21"/>
        </w:rPr>
        <w:t xml:space="preserve">18.2 </w:t>
      </w:r>
      <w:r>
        <w:rPr>
          <w:rFonts w:hint="eastAsia" w:ascii="宋体" w:hAnsi="宋体" w:cs="宋体"/>
          <w:szCs w:val="21"/>
        </w:rPr>
        <w:t xml:space="preserve"> 评标委员会将遵循公平、公正、科学、廉洁的原则和法定的程序进行评标，并且只依据招标文件要求和投标文件的响应情况进行评审，不依据任何来自开标后的补充声明、修正方案。</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b/>
          <w:szCs w:val="21"/>
        </w:rPr>
        <w:t>19.投标的澄清</w:t>
      </w:r>
    </w:p>
    <w:p>
      <w:pPr>
        <w:spacing w:line="400" w:lineRule="exact"/>
        <w:rPr>
          <w:rFonts w:ascii="宋体" w:hAnsi="宋体" w:cs="宋体"/>
          <w:szCs w:val="21"/>
        </w:rPr>
      </w:pPr>
      <w:r>
        <w:rPr>
          <w:rFonts w:hint="eastAsia" w:ascii="宋体" w:hAnsi="宋体" w:cs="宋体"/>
          <w:b/>
          <w:szCs w:val="21"/>
        </w:rPr>
        <w:t>19.1</w:t>
      </w:r>
      <w:r>
        <w:rPr>
          <w:rFonts w:hint="eastAsia" w:ascii="宋体" w:hAnsi="宋体" w:cs="宋体"/>
          <w:szCs w:val="21"/>
        </w:rPr>
        <w:t xml:space="preserve">  对于投标文件中含义不明确、同类问题表述不一致或者有明显文字和计算错误的内容，评标委员会应当以书面形式要求投标人作出必要的澄清、说明或者补正。</w:t>
      </w:r>
    </w:p>
    <w:p>
      <w:pPr>
        <w:spacing w:line="400" w:lineRule="exact"/>
        <w:rPr>
          <w:rFonts w:ascii="宋体" w:hAnsi="宋体" w:cs="宋体"/>
          <w:szCs w:val="21"/>
        </w:rPr>
      </w:pPr>
      <w:r>
        <w:rPr>
          <w:rFonts w:hint="eastAsia" w:ascii="宋体" w:hAnsi="宋体" w:cs="宋体"/>
          <w:b/>
          <w:szCs w:val="21"/>
        </w:rPr>
        <w:t>19.2</w:t>
      </w:r>
      <w:r>
        <w:rPr>
          <w:rFonts w:hint="eastAsia" w:ascii="宋体" w:hAnsi="宋体" w:cs="宋体"/>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rPr>
          <w:rFonts w:ascii="宋体" w:hAnsi="宋体" w:cs="宋体"/>
          <w:szCs w:val="21"/>
          <w:u w:val="single"/>
        </w:rPr>
      </w:pPr>
      <w:r>
        <w:rPr>
          <w:rFonts w:hint="eastAsia" w:ascii="宋体" w:hAnsi="宋体" w:cs="宋体"/>
          <w:b/>
          <w:szCs w:val="21"/>
        </w:rPr>
        <w:t>19.3</w:t>
      </w:r>
      <w:r>
        <w:rPr>
          <w:rFonts w:hint="eastAsia" w:ascii="宋体" w:hAnsi="宋体" w:cs="宋体"/>
          <w:szCs w:val="21"/>
        </w:rPr>
        <w:t xml:space="preserve">  采用</w:t>
      </w:r>
      <w:r>
        <w:rPr>
          <w:rFonts w:hint="eastAsia" w:ascii="宋体" w:hAnsi="宋体" w:cs="宋体"/>
          <w:kern w:val="0"/>
          <w:szCs w:val="21"/>
        </w:rPr>
        <w:t>电子招投标的，澄清、说明或者补正通过电子交易平台提交电子版文件</w:t>
      </w:r>
      <w:r>
        <w:rPr>
          <w:rFonts w:hint="eastAsia" w:ascii="宋体" w:hAnsi="宋体" w:cs="宋体"/>
          <w:szCs w:val="21"/>
        </w:rPr>
        <w:t>，并加盖公章，或者由法定代表人或其授权的代表签字</w:t>
      </w:r>
      <w:r>
        <w:rPr>
          <w:rFonts w:hint="eastAsia" w:ascii="宋体" w:hAnsi="宋体" w:cs="宋体"/>
          <w:kern w:val="0"/>
          <w:szCs w:val="21"/>
        </w:rPr>
        <w:t>。投标人提交澄清说明或补正的时间为</w:t>
      </w:r>
      <w:r>
        <w:rPr>
          <w:rFonts w:hint="eastAsia" w:ascii="宋体" w:hAnsi="宋体" w:cs="宋体"/>
          <w:kern w:val="0"/>
          <w:szCs w:val="21"/>
          <w:u w:val="single"/>
        </w:rPr>
        <w:t xml:space="preserve"> 30 </w:t>
      </w:r>
      <w:r>
        <w:rPr>
          <w:rFonts w:hint="eastAsia" w:ascii="宋体" w:hAnsi="宋体" w:cs="宋体"/>
          <w:kern w:val="0"/>
          <w:szCs w:val="21"/>
        </w:rPr>
        <w:t>分钟。</w:t>
      </w:r>
    </w:p>
    <w:p>
      <w:pPr>
        <w:spacing w:line="400" w:lineRule="exact"/>
        <w:rPr>
          <w:rFonts w:ascii="宋体" w:hAnsi="宋体" w:cs="宋体"/>
          <w:szCs w:val="21"/>
        </w:rPr>
      </w:pPr>
      <w:r>
        <w:rPr>
          <w:rFonts w:hint="eastAsia" w:ascii="宋体" w:hAnsi="宋体" w:cs="宋体"/>
          <w:b/>
          <w:szCs w:val="21"/>
        </w:rPr>
        <w:t>19.4</w:t>
      </w:r>
      <w:r>
        <w:rPr>
          <w:rFonts w:hint="eastAsia" w:ascii="宋体" w:hAnsi="宋体" w:cs="宋体"/>
          <w:b/>
          <w:szCs w:val="21"/>
          <w:u w:val="single"/>
        </w:rPr>
        <w:t>若投标人未响应澄清安排的通知进行答疑和澄清，将被视作自动放弃。</w:t>
      </w:r>
      <w:r>
        <w:rPr>
          <w:rFonts w:hint="eastAsia" w:ascii="宋体" w:hAnsi="宋体" w:cs="宋体"/>
          <w:b/>
          <w:szCs w:val="21"/>
        </w:rPr>
        <w:br w:type="textWrapping"/>
      </w:r>
    </w:p>
    <w:p>
      <w:pPr>
        <w:spacing w:line="400" w:lineRule="exact"/>
        <w:rPr>
          <w:rFonts w:ascii="宋体" w:hAnsi="宋体" w:cs="宋体"/>
          <w:szCs w:val="21"/>
          <w:u w:val="single"/>
        </w:rPr>
      </w:pPr>
      <w:r>
        <w:rPr>
          <w:rFonts w:hint="eastAsia" w:ascii="宋体" w:hAnsi="宋体" w:cs="宋体"/>
          <w:b/>
          <w:szCs w:val="21"/>
        </w:rPr>
        <w:t>20.  评标办法：</w:t>
      </w:r>
      <w:r>
        <w:rPr>
          <w:rFonts w:hint="eastAsia" w:ascii="宋体" w:hAnsi="宋体"/>
          <w:szCs w:val="21"/>
        </w:rPr>
        <w:t>评标采用的方法有最低评标价法和综合评分法。</w:t>
      </w:r>
      <w:r>
        <w:rPr>
          <w:rFonts w:hint="eastAsia" w:ascii="宋体" w:hAnsi="宋体"/>
          <w:b/>
          <w:szCs w:val="21"/>
        </w:rPr>
        <w:t>本项目招标采用的评标方法载明在招标文件第六部分“评标办法”中。</w:t>
      </w:r>
    </w:p>
    <w:p>
      <w:pPr>
        <w:spacing w:line="400" w:lineRule="exact"/>
        <w:ind w:left="153" w:leftChars="73" w:firstLine="315" w:firstLineChars="150"/>
        <w:rPr>
          <w:rFonts w:ascii="宋体" w:hAnsi="宋体" w:cs="宋体"/>
          <w:szCs w:val="21"/>
        </w:rPr>
      </w:pPr>
    </w:p>
    <w:p>
      <w:pPr>
        <w:spacing w:line="400" w:lineRule="exact"/>
        <w:rPr>
          <w:rFonts w:ascii="宋体" w:hAnsi="宋体" w:cs="宋体"/>
          <w:szCs w:val="21"/>
        </w:rPr>
      </w:pPr>
      <w:r>
        <w:rPr>
          <w:rFonts w:hint="eastAsia" w:ascii="宋体" w:hAnsi="宋体" w:cs="宋体"/>
          <w:b/>
          <w:szCs w:val="21"/>
        </w:rPr>
        <w:t>21.  评标程序和原则</w:t>
      </w:r>
    </w:p>
    <w:p>
      <w:pPr>
        <w:spacing w:line="440" w:lineRule="exact"/>
        <w:rPr>
          <w:rFonts w:ascii="宋体" w:hAnsi="宋体"/>
          <w:szCs w:val="21"/>
          <w:shd w:val="pct10" w:color="auto" w:fill="FFFFFF"/>
        </w:rPr>
      </w:pPr>
      <w:r>
        <w:rPr>
          <w:rFonts w:hint="eastAsia" w:ascii="宋体" w:hAnsi="宋体"/>
          <w:b/>
          <w:szCs w:val="21"/>
        </w:rPr>
        <w:t>21.1</w:t>
      </w:r>
      <w:r>
        <w:rPr>
          <w:rFonts w:hint="eastAsia" w:ascii="宋体" w:hAnsi="宋体"/>
          <w:szCs w:val="21"/>
          <w:u w:val="thick"/>
        </w:rPr>
        <w:t>评标程序</w:t>
      </w:r>
      <w:r>
        <w:rPr>
          <w:rFonts w:hint="eastAsia" w:ascii="宋体" w:hAnsi="宋体"/>
          <w:szCs w:val="21"/>
        </w:rPr>
        <w:t>：遵循资格审查、符合性审查、澄清有关问题、比较与评价、推荐中标人（或中标候选人）的程序依次进行。</w:t>
      </w:r>
    </w:p>
    <w:p>
      <w:pPr>
        <w:spacing w:line="440" w:lineRule="exact"/>
        <w:rPr>
          <w:rFonts w:ascii="宋体" w:hAnsi="宋体"/>
          <w:szCs w:val="21"/>
        </w:rPr>
      </w:pPr>
      <w:r>
        <w:rPr>
          <w:rFonts w:hint="eastAsia" w:ascii="宋体" w:hAnsi="宋体"/>
          <w:b/>
          <w:szCs w:val="21"/>
        </w:rPr>
        <w:t>21.2</w:t>
      </w:r>
      <w:r>
        <w:rPr>
          <w:rFonts w:hint="eastAsia" w:ascii="宋体" w:hAnsi="宋体"/>
          <w:szCs w:val="21"/>
          <w:u w:val="thick"/>
        </w:rPr>
        <w:t>资格审查</w:t>
      </w:r>
      <w:r>
        <w:rPr>
          <w:rFonts w:hint="eastAsia" w:ascii="宋体" w:hAnsi="宋体"/>
          <w:szCs w:val="21"/>
        </w:rPr>
        <w:t>：公开招标采购项目开标结束后，采购人或者采购代理机构应当依法对投标人的资格进行审查。详见招标文件第六部分“评标办法”。</w:t>
      </w:r>
    </w:p>
    <w:p>
      <w:pPr>
        <w:spacing w:line="440" w:lineRule="exact"/>
        <w:rPr>
          <w:rFonts w:ascii="宋体" w:hAnsi="宋体"/>
          <w:szCs w:val="21"/>
        </w:rPr>
      </w:pPr>
      <w:r>
        <w:rPr>
          <w:rFonts w:hint="eastAsia" w:ascii="宋体" w:hAnsi="宋体"/>
          <w:b/>
          <w:szCs w:val="21"/>
        </w:rPr>
        <w:t>21.3</w:t>
      </w:r>
      <w:r>
        <w:rPr>
          <w:rFonts w:hint="eastAsia" w:ascii="宋体" w:hAnsi="宋体"/>
          <w:szCs w:val="21"/>
          <w:u w:val="thick"/>
        </w:rPr>
        <w:t>符合性审查</w:t>
      </w:r>
      <w:r>
        <w:rPr>
          <w:rFonts w:hint="eastAsia" w:ascii="宋体" w:hAnsi="宋体"/>
          <w:szCs w:val="21"/>
        </w:rPr>
        <w:t>：评标委员会应当对符合资格的投标人的投标文件进行符合性审查，以确定其是否满足招标文件的实质性要求。详见招标文件第六部分“评标办法”。</w:t>
      </w:r>
    </w:p>
    <w:p>
      <w:pPr>
        <w:spacing w:line="440" w:lineRule="exact"/>
        <w:rPr>
          <w:rFonts w:ascii="宋体" w:hAnsi="宋体"/>
          <w:szCs w:val="21"/>
        </w:rPr>
      </w:pPr>
      <w:r>
        <w:rPr>
          <w:rFonts w:hint="eastAsia" w:ascii="宋体" w:hAnsi="宋体"/>
          <w:b/>
          <w:szCs w:val="21"/>
        </w:rPr>
        <w:t xml:space="preserve">21.4 </w:t>
      </w:r>
      <w:r>
        <w:rPr>
          <w:rFonts w:hint="eastAsia" w:ascii="宋体" w:hAnsi="宋体"/>
          <w:szCs w:val="21"/>
          <w:u w:val="thick"/>
        </w:rPr>
        <w:t>澄清有关问题</w:t>
      </w:r>
      <w:r>
        <w:rPr>
          <w:rFonts w:hint="eastAsia" w:ascii="宋体" w:hAnsi="宋体"/>
          <w:szCs w:val="21"/>
        </w:rPr>
        <w:t>：按第</w:t>
      </w:r>
      <w:r>
        <w:rPr>
          <w:rFonts w:hint="eastAsia" w:ascii="宋体" w:hAnsi="宋体"/>
          <w:b/>
          <w:szCs w:val="21"/>
        </w:rPr>
        <w:t>19</w:t>
      </w:r>
      <w:r>
        <w:rPr>
          <w:rFonts w:hint="eastAsia" w:ascii="宋体" w:hAnsi="宋体"/>
          <w:szCs w:val="21"/>
        </w:rPr>
        <w:t xml:space="preserve">条规定进行。 </w:t>
      </w:r>
    </w:p>
    <w:p>
      <w:pPr>
        <w:spacing w:line="440" w:lineRule="exact"/>
        <w:rPr>
          <w:rFonts w:ascii="宋体" w:hAnsi="宋体"/>
          <w:szCs w:val="21"/>
        </w:rPr>
      </w:pPr>
      <w:r>
        <w:rPr>
          <w:rFonts w:hint="eastAsia" w:ascii="宋体" w:hAnsi="宋体"/>
          <w:b/>
          <w:szCs w:val="21"/>
        </w:rPr>
        <w:t>21.5</w:t>
      </w:r>
      <w:r>
        <w:rPr>
          <w:rFonts w:hint="eastAsia" w:ascii="宋体" w:hAnsi="宋体"/>
          <w:szCs w:val="21"/>
          <w:u w:val="thick"/>
        </w:rPr>
        <w:t>综合比较与评价</w:t>
      </w:r>
      <w:r>
        <w:rPr>
          <w:rFonts w:hint="eastAsia" w:ascii="宋体" w:hAnsi="宋体"/>
          <w:szCs w:val="21"/>
        </w:rPr>
        <w:t>：评标委员会应当按照招标文件中规定的评标方法和标准，对符合性审查合格的投标文件进行商务和技术评估，综合比较与评价。</w:t>
      </w:r>
    </w:p>
    <w:p>
      <w:pPr>
        <w:spacing w:line="440" w:lineRule="exact"/>
        <w:rPr>
          <w:rFonts w:ascii="宋体" w:hAnsi="宋体"/>
          <w:b/>
          <w:szCs w:val="21"/>
        </w:rPr>
      </w:pPr>
      <w:r>
        <w:rPr>
          <w:rFonts w:hint="eastAsia" w:ascii="宋体" w:hAnsi="宋体"/>
          <w:b/>
          <w:szCs w:val="21"/>
        </w:rPr>
        <w:t xml:space="preserve">21.5.1 </w:t>
      </w:r>
      <w:r>
        <w:rPr>
          <w:rFonts w:hint="eastAsia" w:ascii="宋体" w:hAnsi="宋体"/>
          <w:szCs w:val="21"/>
          <w:u w:val="thick"/>
        </w:rPr>
        <w:t>商务评价</w:t>
      </w:r>
      <w:r>
        <w:rPr>
          <w:rFonts w:hint="eastAsia" w:ascii="宋体" w:hAnsi="宋体"/>
          <w:szCs w:val="21"/>
        </w:rPr>
        <w:t>：按照招标文件的要求和“评标标准”对照投标文件的响应进行商务评价，并对其偏差计算相应的商务评分分值。</w:t>
      </w:r>
    </w:p>
    <w:p>
      <w:pPr>
        <w:spacing w:line="440" w:lineRule="exact"/>
        <w:rPr>
          <w:rFonts w:ascii="宋体" w:hAnsi="宋体"/>
          <w:szCs w:val="21"/>
        </w:rPr>
      </w:pPr>
      <w:r>
        <w:rPr>
          <w:rFonts w:hint="eastAsia" w:ascii="宋体" w:hAnsi="宋体"/>
          <w:b/>
          <w:szCs w:val="21"/>
        </w:rPr>
        <w:t>21.5.2</w:t>
      </w:r>
      <w:r>
        <w:rPr>
          <w:rFonts w:hint="eastAsia" w:ascii="宋体" w:hAnsi="宋体"/>
          <w:szCs w:val="21"/>
          <w:u w:val="thick"/>
        </w:rPr>
        <w:t>技术评价</w:t>
      </w:r>
      <w:r>
        <w:rPr>
          <w:rFonts w:hint="eastAsia" w:ascii="宋体" w:hAnsi="宋体"/>
          <w:szCs w:val="21"/>
        </w:rPr>
        <w:t>：按照招标文件的要求和“评标标准”对照投标文件的响应进行技术评价，评定其偏差程度，并计算其相应的技术评分分值。</w:t>
      </w:r>
    </w:p>
    <w:p>
      <w:pPr>
        <w:spacing w:line="440" w:lineRule="exact"/>
        <w:jc w:val="left"/>
        <w:rPr>
          <w:rFonts w:ascii="宋体" w:hAnsi="宋体"/>
          <w:szCs w:val="21"/>
        </w:rPr>
      </w:pPr>
      <w:r>
        <w:rPr>
          <w:rFonts w:hint="eastAsia" w:ascii="宋体" w:hAnsi="宋体"/>
          <w:b/>
          <w:szCs w:val="21"/>
        </w:rPr>
        <w:t>21.5.3</w:t>
      </w:r>
      <w:r>
        <w:rPr>
          <w:rFonts w:hint="eastAsia" w:ascii="宋体" w:hAnsi="宋体"/>
          <w:szCs w:val="21"/>
          <w:u w:val="thick"/>
        </w:rPr>
        <w:t>综合评价</w:t>
      </w:r>
      <w:r>
        <w:rPr>
          <w:rFonts w:hint="eastAsia" w:ascii="宋体" w:hAnsi="宋体"/>
          <w:szCs w:val="21"/>
        </w:rPr>
        <w:t>：对经过商务评价、技术评价的投标，按“评标标准”规定的评价办法进行综合评价，做出评标结果排序。</w:t>
      </w:r>
    </w:p>
    <w:p>
      <w:pPr>
        <w:spacing w:line="440" w:lineRule="exact"/>
        <w:jc w:val="left"/>
        <w:rPr>
          <w:rFonts w:ascii="宋体" w:hAnsi="宋体"/>
          <w:szCs w:val="21"/>
        </w:rPr>
      </w:pPr>
    </w:p>
    <w:p>
      <w:pPr>
        <w:spacing w:line="440" w:lineRule="exact"/>
        <w:rPr>
          <w:rFonts w:ascii="宋体" w:hAnsi="宋体"/>
          <w:b/>
          <w:szCs w:val="21"/>
        </w:rPr>
      </w:pPr>
      <w:r>
        <w:rPr>
          <w:rFonts w:hint="eastAsia" w:ascii="宋体" w:hAnsi="宋体"/>
          <w:b/>
          <w:szCs w:val="21"/>
        </w:rPr>
        <w:t>21.6  评标过程处理原则</w:t>
      </w:r>
    </w:p>
    <w:p>
      <w:pPr>
        <w:spacing w:line="440" w:lineRule="exact"/>
        <w:rPr>
          <w:rFonts w:ascii="宋体" w:hAnsi="宋体"/>
          <w:szCs w:val="21"/>
        </w:rPr>
      </w:pPr>
      <w:r>
        <w:rPr>
          <w:rFonts w:hint="eastAsia" w:ascii="宋体" w:hAnsi="宋体"/>
          <w:b/>
          <w:szCs w:val="21"/>
        </w:rPr>
        <w:t>21.6.1</w:t>
      </w:r>
      <w:r>
        <w:rPr>
          <w:rFonts w:hint="eastAsia" w:ascii="宋体" w:hAnsi="宋体"/>
          <w:szCs w:val="21"/>
        </w:rPr>
        <w:t xml:space="preserve">  通过资格审查的投标人不足3家的，评标终止。</w:t>
      </w:r>
    </w:p>
    <w:p>
      <w:pPr>
        <w:spacing w:line="440" w:lineRule="exact"/>
        <w:rPr>
          <w:rFonts w:ascii="宋体" w:hAnsi="宋体"/>
          <w:b/>
          <w:szCs w:val="21"/>
        </w:rPr>
      </w:pPr>
      <w:r>
        <w:rPr>
          <w:rFonts w:hint="eastAsia" w:ascii="宋体" w:hAnsi="宋体"/>
          <w:b/>
          <w:szCs w:val="21"/>
        </w:rPr>
        <w:t xml:space="preserve">21.6.2  </w:t>
      </w:r>
      <w:r>
        <w:rPr>
          <w:rFonts w:hint="eastAsia" w:ascii="宋体" w:hAnsi="宋体"/>
          <w:szCs w:val="21"/>
        </w:rPr>
        <w:t>信用信息查询</w:t>
      </w:r>
    </w:p>
    <w:p>
      <w:pPr>
        <w:spacing w:line="440" w:lineRule="exact"/>
        <w:ind w:firstLine="420" w:firstLineChars="200"/>
        <w:rPr>
          <w:rFonts w:ascii="宋体" w:hAnsi="宋体"/>
          <w:szCs w:val="21"/>
        </w:rPr>
      </w:pPr>
      <w:r>
        <w:rPr>
          <w:rFonts w:hint="eastAsia" w:ascii="宋体" w:hAnsi="宋体"/>
          <w:szCs w:val="21"/>
        </w:rPr>
        <w:t>（1）信用信息查询渠道及截止时间：采购代理机构将通过“信用中国”网站(www.creditchina.gov.cn)、中国政府采购网(www.ccgp.gov.cn)渠道查询投标人投标截止时间当天的信用记录。</w:t>
      </w:r>
    </w:p>
    <w:p>
      <w:pPr>
        <w:spacing w:line="440" w:lineRule="exact"/>
        <w:ind w:firstLine="420" w:firstLineChars="200"/>
        <w:rPr>
          <w:rFonts w:ascii="宋体" w:hAnsi="宋体"/>
          <w:szCs w:val="21"/>
        </w:rPr>
      </w:pPr>
      <w:r>
        <w:rPr>
          <w:rFonts w:hint="eastAsia" w:ascii="宋体" w:hAnsi="宋体"/>
          <w:szCs w:val="21"/>
        </w:rPr>
        <w:t>（2）信用信息查询记录和证据留存的具体方式：现场查询的投标人的信用记录、查询结果经确认后将与招标文件一起存档。</w:t>
      </w:r>
    </w:p>
    <w:p>
      <w:pPr>
        <w:spacing w:line="440" w:lineRule="exact"/>
        <w:ind w:firstLine="420" w:firstLineChars="200"/>
        <w:rPr>
          <w:rFonts w:ascii="宋体" w:hAnsi="宋体"/>
          <w:szCs w:val="21"/>
        </w:rPr>
      </w:pPr>
      <w:r>
        <w:rPr>
          <w:rFonts w:hint="eastAsia" w:ascii="宋体" w:hAnsi="宋体"/>
          <w:szCs w:val="21"/>
        </w:rPr>
        <w:t>（3）信用信息的使用规则：经查询列入失信被执行人名单、重大税收违法案件当事人名单、政府采购严重违法失信行为记录名单的投标人将被拒绝参与政府采购活动。</w:t>
      </w:r>
    </w:p>
    <w:p>
      <w:pPr>
        <w:spacing w:line="440" w:lineRule="exact"/>
        <w:ind w:firstLine="420" w:firstLineChars="200"/>
        <w:rPr>
          <w:rFonts w:ascii="宋体" w:hAnsi="宋体"/>
          <w:szCs w:val="21"/>
        </w:rPr>
      </w:pPr>
      <w:r>
        <w:rPr>
          <w:rFonts w:hint="eastAsia" w:ascii="宋体" w:hAnsi="宋体"/>
          <w:szCs w:val="21"/>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440" w:lineRule="exact"/>
        <w:rPr>
          <w:rFonts w:ascii="宋体" w:hAnsi="宋体"/>
          <w:szCs w:val="21"/>
        </w:rPr>
      </w:pPr>
      <w:r>
        <w:rPr>
          <w:rFonts w:hint="eastAsia" w:ascii="宋体" w:hAnsi="宋体"/>
          <w:b/>
          <w:szCs w:val="21"/>
        </w:rPr>
        <w:t xml:space="preserve">21.6.3  </w:t>
      </w:r>
      <w:r>
        <w:rPr>
          <w:rFonts w:hint="eastAsia" w:ascii="宋体" w:hAnsi="宋体"/>
          <w:szCs w:val="21"/>
        </w:rPr>
        <w:t>投标文件报价出现前后不一致的，除招标文件另有规定外，按照下列规定修正：</w:t>
      </w:r>
    </w:p>
    <w:p>
      <w:pPr>
        <w:spacing w:line="440" w:lineRule="exact"/>
        <w:ind w:firstLine="449" w:firstLineChars="214"/>
        <w:rPr>
          <w:rFonts w:ascii="宋体" w:hAnsi="宋体"/>
          <w:szCs w:val="21"/>
        </w:rPr>
      </w:pPr>
      <w:r>
        <w:rPr>
          <w:rFonts w:hint="eastAsia" w:ascii="宋体" w:hAnsi="宋体"/>
          <w:szCs w:val="21"/>
        </w:rPr>
        <w:t>（一）投标文件中开标一览表(报价表)内容与投标文件中相应内容不一致的，以开标一览表(报价表)为准；</w:t>
      </w:r>
    </w:p>
    <w:p>
      <w:pPr>
        <w:spacing w:line="440" w:lineRule="exact"/>
        <w:ind w:firstLine="449" w:firstLineChars="214"/>
        <w:rPr>
          <w:rFonts w:ascii="宋体" w:hAnsi="宋体"/>
          <w:szCs w:val="21"/>
        </w:rPr>
      </w:pPr>
      <w:r>
        <w:rPr>
          <w:rFonts w:hint="eastAsia" w:ascii="宋体" w:hAnsi="宋体"/>
          <w:szCs w:val="21"/>
        </w:rPr>
        <w:t>（二）大写金额和小写金额不一致的，以大写金额为准；</w:t>
      </w:r>
    </w:p>
    <w:p>
      <w:pPr>
        <w:spacing w:line="440" w:lineRule="exact"/>
        <w:ind w:firstLine="449" w:firstLineChars="214"/>
        <w:rPr>
          <w:rFonts w:ascii="宋体" w:hAnsi="宋体"/>
          <w:szCs w:val="21"/>
        </w:rPr>
      </w:pPr>
      <w:r>
        <w:rPr>
          <w:rFonts w:hint="eastAsia" w:ascii="宋体" w:hAnsi="宋体"/>
          <w:szCs w:val="21"/>
        </w:rPr>
        <w:t>（三）单价金额小数点或者百分比有明显错位的，以开标一览表的总价为准，并修改单价；</w:t>
      </w:r>
    </w:p>
    <w:p>
      <w:pPr>
        <w:spacing w:line="440" w:lineRule="exact"/>
        <w:ind w:firstLine="449" w:firstLineChars="214"/>
        <w:rPr>
          <w:rFonts w:ascii="宋体" w:hAnsi="宋体"/>
          <w:szCs w:val="21"/>
        </w:rPr>
      </w:pPr>
      <w:r>
        <w:rPr>
          <w:rFonts w:hint="eastAsia" w:ascii="宋体" w:hAnsi="宋体"/>
          <w:szCs w:val="21"/>
        </w:rPr>
        <w:t>（四）总价金额与按单价汇总金额不一致的，以单价金额计算结果为准。</w:t>
      </w:r>
    </w:p>
    <w:p>
      <w:pPr>
        <w:spacing w:line="440" w:lineRule="exact"/>
        <w:ind w:firstLine="449" w:firstLineChars="214"/>
        <w:rPr>
          <w:rFonts w:ascii="宋体" w:hAnsi="宋体"/>
          <w:szCs w:val="21"/>
        </w:rPr>
      </w:pPr>
      <w:r>
        <w:rPr>
          <w:rFonts w:hint="eastAsia" w:ascii="宋体" w:hAnsi="宋体"/>
          <w:szCs w:val="21"/>
        </w:rPr>
        <w:t>同时出现两种以上不一致的，按照前款规定的顺序修正。修正后的报价按照本须知19.2条的规定经投标人确认后产生约束力，投标人不确认的，其投标无效。</w:t>
      </w:r>
    </w:p>
    <w:p>
      <w:pPr>
        <w:spacing w:line="440" w:lineRule="exact"/>
        <w:rPr>
          <w:rFonts w:ascii="宋体" w:hAnsi="宋体"/>
          <w:szCs w:val="21"/>
        </w:rPr>
      </w:pPr>
      <w:r>
        <w:rPr>
          <w:rFonts w:hint="eastAsia" w:ascii="宋体" w:hAnsi="宋体"/>
          <w:b/>
          <w:szCs w:val="21"/>
        </w:rPr>
        <w:t>21.6.4</w:t>
      </w:r>
      <w:r>
        <w:rPr>
          <w:rFonts w:hint="eastAsia" w:ascii="宋体" w:hAnsi="宋体"/>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szCs w:val="21"/>
        </w:rPr>
      </w:pPr>
      <w:r>
        <w:rPr>
          <w:rFonts w:hint="eastAsia" w:ascii="宋体" w:hAnsi="宋体"/>
          <w:b/>
          <w:szCs w:val="21"/>
        </w:rPr>
        <w:t>21.6.5</w:t>
      </w:r>
      <w:r>
        <w:rPr>
          <w:rFonts w:hint="eastAsia" w:ascii="宋体" w:hAnsi="宋体"/>
          <w:szCs w:val="21"/>
        </w:rPr>
        <w:t xml:space="preserve">  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szCs w:val="21"/>
        </w:rPr>
      </w:pPr>
      <w:r>
        <w:rPr>
          <w:rFonts w:hint="eastAsia" w:ascii="宋体" w:hAnsi="宋体"/>
          <w:b/>
          <w:szCs w:val="21"/>
        </w:rPr>
        <w:t xml:space="preserve">21.6.6 </w:t>
      </w:r>
      <w:r>
        <w:rPr>
          <w:rFonts w:hint="eastAsia" w:ascii="宋体" w:hAnsi="宋体"/>
          <w:szCs w:val="21"/>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0" w:firstLineChars="200"/>
        <w:rPr>
          <w:rFonts w:ascii="宋体" w:hAnsi="宋体"/>
          <w:szCs w:val="21"/>
        </w:rPr>
      </w:pPr>
      <w:r>
        <w:rPr>
          <w:rFonts w:hint="eastAsia" w:ascii="宋体" w:hAnsi="宋体"/>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49" w:firstLineChars="214"/>
        <w:rPr>
          <w:rFonts w:ascii="宋体" w:hAnsi="宋体"/>
          <w:szCs w:val="21"/>
        </w:rPr>
      </w:pPr>
      <w:r>
        <w:rPr>
          <w:rFonts w:hint="eastAsia" w:ascii="宋体" w:hAnsi="宋体"/>
          <w:szCs w:val="21"/>
        </w:rPr>
        <w:t>非单一产品采购项目，招标文件中应载明核心产品，多家投标人提供的核心产品品牌相同的，按上述规定处理。</w:t>
      </w:r>
    </w:p>
    <w:p>
      <w:pPr>
        <w:spacing w:line="440" w:lineRule="exact"/>
        <w:rPr>
          <w:rFonts w:ascii="宋体" w:hAnsi="宋体"/>
          <w:szCs w:val="21"/>
        </w:rPr>
      </w:pPr>
      <w:r>
        <w:rPr>
          <w:rFonts w:hint="eastAsia" w:ascii="宋体" w:hAnsi="宋体"/>
          <w:b/>
          <w:szCs w:val="21"/>
        </w:rPr>
        <w:t>21.6.7</w:t>
      </w:r>
      <w:r>
        <w:rPr>
          <w:rFonts w:hint="eastAsia" w:ascii="宋体" w:hAnsi="宋体"/>
          <w:szCs w:val="21"/>
        </w:rPr>
        <w:t xml:space="preserve">  有下列情形之一的，视为投标人串通投标，其投标无效：</w:t>
      </w:r>
    </w:p>
    <w:p>
      <w:pPr>
        <w:spacing w:line="440" w:lineRule="exact"/>
        <w:ind w:firstLine="449" w:firstLineChars="214"/>
        <w:rPr>
          <w:rFonts w:ascii="宋体" w:hAnsi="宋体"/>
          <w:szCs w:val="21"/>
        </w:rPr>
      </w:pPr>
      <w:r>
        <w:rPr>
          <w:rFonts w:hint="eastAsia" w:ascii="宋体" w:hAnsi="宋体"/>
          <w:szCs w:val="21"/>
        </w:rPr>
        <w:t>（一）不同投标人的投标文件由同一单位或者个人编制；</w:t>
      </w:r>
    </w:p>
    <w:p>
      <w:pPr>
        <w:spacing w:line="440" w:lineRule="exact"/>
        <w:ind w:firstLine="449" w:firstLineChars="214"/>
        <w:rPr>
          <w:rFonts w:ascii="宋体" w:hAnsi="宋体"/>
          <w:szCs w:val="21"/>
        </w:rPr>
      </w:pPr>
      <w:r>
        <w:rPr>
          <w:rFonts w:hint="eastAsia" w:ascii="宋体" w:hAnsi="宋体"/>
          <w:szCs w:val="21"/>
        </w:rPr>
        <w:t>（二）不同投标人委托同一单位或者个人办理投标事宜；</w:t>
      </w:r>
    </w:p>
    <w:p>
      <w:pPr>
        <w:spacing w:line="440" w:lineRule="exact"/>
        <w:ind w:firstLine="449" w:firstLineChars="214"/>
        <w:rPr>
          <w:rFonts w:ascii="宋体" w:hAnsi="宋体"/>
          <w:szCs w:val="21"/>
        </w:rPr>
      </w:pPr>
      <w:r>
        <w:rPr>
          <w:rFonts w:hint="eastAsia" w:ascii="宋体" w:hAnsi="宋体"/>
          <w:szCs w:val="21"/>
        </w:rPr>
        <w:t>（三）不同投标人的投标文件载明的项目管理成员或者联系人员为同一人；</w:t>
      </w:r>
    </w:p>
    <w:p>
      <w:pPr>
        <w:spacing w:line="440" w:lineRule="exact"/>
        <w:ind w:firstLine="449" w:firstLineChars="214"/>
        <w:rPr>
          <w:rFonts w:ascii="宋体" w:hAnsi="宋体"/>
          <w:szCs w:val="21"/>
        </w:rPr>
      </w:pPr>
      <w:r>
        <w:rPr>
          <w:rFonts w:hint="eastAsia" w:ascii="宋体" w:hAnsi="宋体"/>
          <w:szCs w:val="21"/>
        </w:rPr>
        <w:t>（四）不同投标人的投标文件异常一致或者投标报价呈规律性差异；</w:t>
      </w:r>
    </w:p>
    <w:p>
      <w:pPr>
        <w:spacing w:line="440" w:lineRule="exact"/>
        <w:ind w:firstLine="449" w:firstLineChars="214"/>
        <w:rPr>
          <w:rFonts w:ascii="宋体" w:hAnsi="宋体"/>
          <w:szCs w:val="21"/>
        </w:rPr>
      </w:pPr>
      <w:r>
        <w:rPr>
          <w:rFonts w:hint="eastAsia" w:ascii="宋体" w:hAnsi="宋体"/>
          <w:szCs w:val="21"/>
        </w:rPr>
        <w:t>（五）不同投标人的投标文件相互混装；</w:t>
      </w:r>
    </w:p>
    <w:p>
      <w:pPr>
        <w:spacing w:line="440" w:lineRule="exact"/>
        <w:ind w:firstLine="449" w:firstLineChars="214"/>
        <w:rPr>
          <w:rFonts w:ascii="宋体" w:hAnsi="宋体"/>
          <w:szCs w:val="21"/>
        </w:rPr>
      </w:pPr>
      <w:r>
        <w:rPr>
          <w:rFonts w:hint="eastAsia" w:ascii="宋体" w:hAnsi="宋体"/>
          <w:szCs w:val="21"/>
        </w:rPr>
        <w:t>（六）不同投标人的投标保证金从同一单位或者个人的账户转出。</w:t>
      </w:r>
    </w:p>
    <w:p>
      <w:pPr>
        <w:spacing w:line="440" w:lineRule="exact"/>
        <w:rPr>
          <w:rFonts w:ascii="宋体" w:hAnsi="宋体"/>
          <w:szCs w:val="21"/>
        </w:rPr>
      </w:pPr>
      <w:r>
        <w:rPr>
          <w:rFonts w:hint="eastAsia" w:ascii="宋体" w:hAnsi="宋体"/>
          <w:b/>
          <w:szCs w:val="21"/>
        </w:rPr>
        <w:t>21.6.8</w:t>
      </w:r>
      <w:r>
        <w:rPr>
          <w:rFonts w:hint="eastAsia" w:ascii="宋体" w:hAnsi="宋体"/>
          <w:szCs w:val="21"/>
        </w:rPr>
        <w:t xml:space="preserve">  投标人存在下列情况之一的，投标无效：</w:t>
      </w:r>
    </w:p>
    <w:p>
      <w:pPr>
        <w:spacing w:line="440" w:lineRule="exact"/>
        <w:ind w:firstLine="449" w:firstLineChars="214"/>
        <w:rPr>
          <w:rFonts w:ascii="宋体" w:hAnsi="宋体"/>
          <w:szCs w:val="21"/>
        </w:rPr>
      </w:pPr>
      <w:r>
        <w:rPr>
          <w:rFonts w:hint="eastAsia" w:ascii="宋体" w:hAnsi="宋体"/>
          <w:szCs w:val="21"/>
        </w:rPr>
        <w:t>（一）未按照招标文件的规定提交投标保证金的；</w:t>
      </w:r>
    </w:p>
    <w:p>
      <w:pPr>
        <w:spacing w:line="440" w:lineRule="exact"/>
        <w:ind w:firstLine="449" w:firstLineChars="214"/>
        <w:rPr>
          <w:rFonts w:ascii="宋体" w:hAnsi="宋体"/>
          <w:szCs w:val="21"/>
        </w:rPr>
      </w:pPr>
      <w:r>
        <w:rPr>
          <w:rFonts w:hint="eastAsia" w:ascii="宋体" w:hAnsi="宋体"/>
          <w:szCs w:val="21"/>
        </w:rPr>
        <w:t>（二）投标文件未按招标文件要求签署、盖章的；</w:t>
      </w:r>
    </w:p>
    <w:p>
      <w:pPr>
        <w:spacing w:line="440" w:lineRule="exact"/>
        <w:ind w:firstLine="449" w:firstLineChars="214"/>
        <w:rPr>
          <w:rFonts w:ascii="宋体" w:hAnsi="宋体"/>
          <w:szCs w:val="21"/>
        </w:rPr>
      </w:pPr>
      <w:r>
        <w:rPr>
          <w:rFonts w:hint="eastAsia" w:ascii="宋体" w:hAnsi="宋体"/>
          <w:szCs w:val="21"/>
        </w:rPr>
        <w:t>（三）不具备招标文件中规定的资格要求的；</w:t>
      </w:r>
    </w:p>
    <w:p>
      <w:pPr>
        <w:spacing w:line="440" w:lineRule="exact"/>
        <w:ind w:firstLine="449" w:firstLineChars="214"/>
        <w:rPr>
          <w:rFonts w:ascii="宋体" w:hAnsi="宋体"/>
          <w:szCs w:val="21"/>
        </w:rPr>
      </w:pPr>
      <w:r>
        <w:rPr>
          <w:rFonts w:hint="eastAsia" w:ascii="宋体" w:hAnsi="宋体"/>
          <w:szCs w:val="21"/>
        </w:rPr>
        <w:t>（四）报价超过招标文件中规定的预算金额或者最高限价的；</w:t>
      </w:r>
    </w:p>
    <w:p>
      <w:pPr>
        <w:spacing w:line="440" w:lineRule="exact"/>
        <w:ind w:firstLine="449" w:firstLineChars="214"/>
        <w:rPr>
          <w:rFonts w:ascii="宋体" w:hAnsi="宋体"/>
          <w:szCs w:val="21"/>
        </w:rPr>
      </w:pPr>
      <w:r>
        <w:rPr>
          <w:rFonts w:hint="eastAsia" w:ascii="宋体" w:hAnsi="宋体"/>
          <w:szCs w:val="21"/>
        </w:rPr>
        <w:t>（五）未对招标文件的实质性条款作出响应的；</w:t>
      </w:r>
    </w:p>
    <w:p>
      <w:pPr>
        <w:spacing w:line="440" w:lineRule="exact"/>
        <w:ind w:firstLine="449" w:firstLineChars="214"/>
        <w:rPr>
          <w:rFonts w:ascii="宋体" w:hAnsi="宋体"/>
          <w:szCs w:val="21"/>
        </w:rPr>
      </w:pPr>
      <w:r>
        <w:rPr>
          <w:rFonts w:hint="eastAsia" w:ascii="宋体" w:hAnsi="宋体"/>
          <w:szCs w:val="21"/>
        </w:rPr>
        <w:t>（六）投标文件含有采购人不能接受的附加条件的；</w:t>
      </w:r>
    </w:p>
    <w:p>
      <w:pPr>
        <w:spacing w:line="440" w:lineRule="exact"/>
        <w:ind w:firstLine="449" w:firstLineChars="214"/>
        <w:rPr>
          <w:rFonts w:ascii="宋体" w:hAnsi="宋体"/>
          <w:szCs w:val="21"/>
        </w:rPr>
      </w:pPr>
      <w:r>
        <w:rPr>
          <w:rFonts w:hint="eastAsia" w:ascii="宋体" w:hAnsi="宋体"/>
          <w:szCs w:val="21"/>
        </w:rPr>
        <w:t>（七）不同投标人的投标文件出自同一终端设备或在相同Internet主机分配地址（相同IP地址）；</w:t>
      </w:r>
    </w:p>
    <w:p>
      <w:pPr>
        <w:spacing w:line="440" w:lineRule="exact"/>
        <w:ind w:firstLine="449" w:firstLineChars="214"/>
        <w:rPr>
          <w:rFonts w:ascii="宋体" w:hAnsi="宋体"/>
          <w:szCs w:val="21"/>
        </w:rPr>
      </w:pPr>
      <w:r>
        <w:rPr>
          <w:rFonts w:hint="eastAsia" w:ascii="宋体" w:hAnsi="宋体"/>
          <w:szCs w:val="21"/>
        </w:rPr>
        <w:t>（八）法律、法规和招标文件规定的其他无效情形。</w:t>
      </w:r>
    </w:p>
    <w:p>
      <w:pPr>
        <w:spacing w:line="440" w:lineRule="exact"/>
        <w:rPr>
          <w:rFonts w:ascii="宋体" w:hAnsi="宋体"/>
          <w:szCs w:val="21"/>
        </w:rPr>
      </w:pPr>
      <w:r>
        <w:rPr>
          <w:rFonts w:hint="eastAsia" w:ascii="宋体" w:hAnsi="宋体"/>
          <w:b/>
          <w:szCs w:val="21"/>
        </w:rPr>
        <w:t xml:space="preserve">21.6.9  </w:t>
      </w:r>
      <w:r>
        <w:rPr>
          <w:rFonts w:hint="eastAsia" w:ascii="宋体" w:hAnsi="宋体"/>
          <w:szCs w:val="21"/>
        </w:rPr>
        <w:t>评标结果汇总完成后，除下列情形外，任何人不得修改评标结果：</w:t>
      </w:r>
    </w:p>
    <w:p>
      <w:pPr>
        <w:spacing w:line="440" w:lineRule="exact"/>
        <w:ind w:firstLine="449" w:firstLineChars="214"/>
        <w:rPr>
          <w:rFonts w:ascii="宋体" w:hAnsi="宋体"/>
          <w:szCs w:val="21"/>
        </w:rPr>
      </w:pPr>
      <w:r>
        <w:rPr>
          <w:rFonts w:hint="eastAsia" w:ascii="宋体" w:hAnsi="宋体"/>
          <w:szCs w:val="21"/>
        </w:rPr>
        <w:t>（一）分值汇总计算错误的；</w:t>
      </w:r>
    </w:p>
    <w:p>
      <w:pPr>
        <w:spacing w:line="440" w:lineRule="exact"/>
        <w:ind w:firstLine="449" w:firstLineChars="214"/>
        <w:rPr>
          <w:rFonts w:ascii="宋体" w:hAnsi="宋体"/>
          <w:szCs w:val="21"/>
        </w:rPr>
      </w:pPr>
      <w:r>
        <w:rPr>
          <w:rFonts w:hint="eastAsia" w:ascii="宋体" w:hAnsi="宋体"/>
          <w:szCs w:val="21"/>
        </w:rPr>
        <w:t>（二）分项评分超出评分标准范围的；</w:t>
      </w:r>
    </w:p>
    <w:p>
      <w:pPr>
        <w:spacing w:line="440" w:lineRule="exact"/>
        <w:ind w:firstLine="449" w:firstLineChars="214"/>
        <w:rPr>
          <w:rFonts w:ascii="宋体" w:hAnsi="宋体"/>
          <w:szCs w:val="21"/>
        </w:rPr>
      </w:pPr>
      <w:r>
        <w:rPr>
          <w:rFonts w:hint="eastAsia" w:ascii="宋体" w:hAnsi="宋体"/>
          <w:szCs w:val="21"/>
        </w:rPr>
        <w:t>（三）评标委员会成员对客观评审因素评分不一致的；</w:t>
      </w:r>
    </w:p>
    <w:p>
      <w:pPr>
        <w:spacing w:line="440" w:lineRule="exact"/>
        <w:ind w:firstLine="449" w:firstLineChars="214"/>
        <w:rPr>
          <w:rFonts w:ascii="宋体" w:hAnsi="宋体"/>
          <w:szCs w:val="21"/>
        </w:rPr>
      </w:pPr>
      <w:r>
        <w:rPr>
          <w:rFonts w:hint="eastAsia" w:ascii="宋体" w:hAnsi="宋体"/>
          <w:szCs w:val="21"/>
        </w:rPr>
        <w:t>（四）经评标委员会认定评分畸高、畸低的。</w:t>
      </w:r>
    </w:p>
    <w:p>
      <w:pPr>
        <w:spacing w:line="440" w:lineRule="exact"/>
        <w:ind w:firstLine="449" w:firstLineChars="214"/>
        <w:rPr>
          <w:rFonts w:ascii="宋体" w:hAnsi="宋体"/>
          <w:szCs w:val="21"/>
        </w:rPr>
      </w:pPr>
      <w:r>
        <w:rPr>
          <w:rFonts w:hint="eastAsia" w:ascii="宋体" w:hAns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49" w:firstLineChars="214"/>
        <w:rPr>
          <w:rFonts w:ascii="宋体" w:hAnsi="宋体"/>
          <w:szCs w:val="21"/>
        </w:rPr>
      </w:pPr>
      <w:r>
        <w:rPr>
          <w:rFonts w:hint="eastAsia" w:ascii="宋体" w:hAnsi="宋体"/>
          <w:szCs w:val="21"/>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szCs w:val="21"/>
        </w:rPr>
      </w:pPr>
      <w:r>
        <w:rPr>
          <w:rFonts w:hint="eastAsia" w:ascii="宋体" w:hAnsi="宋体"/>
          <w:b/>
          <w:szCs w:val="21"/>
        </w:rPr>
        <w:t xml:space="preserve">21.6.10  </w:t>
      </w:r>
      <w:r>
        <w:rPr>
          <w:rFonts w:hint="eastAsia" w:ascii="宋体" w:hAnsi="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ascii="宋体" w:hAnsi="宋体" w:cs="宋体"/>
          <w:b/>
          <w:szCs w:val="21"/>
        </w:rPr>
        <w:t>22.  推荐中标候选人</w:t>
      </w:r>
    </w:p>
    <w:p>
      <w:pPr>
        <w:spacing w:line="400" w:lineRule="exact"/>
        <w:rPr>
          <w:rFonts w:ascii="宋体" w:hAnsi="宋体" w:cs="宋体"/>
          <w:kern w:val="0"/>
          <w:szCs w:val="21"/>
        </w:rPr>
      </w:pPr>
      <w:r>
        <w:rPr>
          <w:rFonts w:hint="eastAsia" w:ascii="宋体" w:hAnsi="宋体" w:cs="宋体"/>
          <w:b/>
          <w:szCs w:val="21"/>
        </w:rPr>
        <w:t>22.1</w:t>
      </w:r>
      <w:r>
        <w:rPr>
          <w:rFonts w:hint="eastAsia" w:ascii="宋体" w:hAnsi="宋体" w:cs="宋体"/>
          <w:kern w:val="0"/>
          <w:szCs w:val="21"/>
        </w:rPr>
        <w:t xml:space="preserve">  评标委员会按照招标文件第六部分“评标办法”推荐中标候选人。</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ascii="宋体" w:hAnsi="宋体" w:cs="宋体"/>
          <w:b/>
          <w:szCs w:val="21"/>
        </w:rPr>
        <w:t>23.  定标</w:t>
      </w:r>
    </w:p>
    <w:p>
      <w:pPr>
        <w:spacing w:line="400" w:lineRule="exact"/>
        <w:rPr>
          <w:rFonts w:ascii="宋体" w:hAnsi="宋体" w:cs="宋体"/>
          <w:b/>
          <w:szCs w:val="21"/>
        </w:rPr>
      </w:pPr>
      <w:r>
        <w:rPr>
          <w:rFonts w:hint="eastAsia" w:ascii="宋体" w:hAnsi="宋体" w:cs="宋体"/>
          <w:b/>
          <w:szCs w:val="21"/>
        </w:rPr>
        <w:t xml:space="preserve">23.1  </w:t>
      </w:r>
      <w:r>
        <w:rPr>
          <w:rFonts w:hint="eastAsia" w:ascii="宋体" w:hAnsi="宋体" w:cs="宋体"/>
          <w:szCs w:val="21"/>
        </w:rPr>
        <w:t>确定中标人。本项目由评标委员会推荐中标候选人，采购人不得在评标委员会推荐的中标候选人以外确定中标候选人。</w:t>
      </w:r>
    </w:p>
    <w:p>
      <w:pPr>
        <w:spacing w:line="400" w:lineRule="exact"/>
        <w:rPr>
          <w:rFonts w:ascii="宋体" w:hAnsi="宋体" w:cs="宋体"/>
          <w:szCs w:val="21"/>
        </w:rPr>
      </w:pPr>
      <w:r>
        <w:rPr>
          <w:rFonts w:hint="eastAsia" w:ascii="宋体" w:hAnsi="宋体" w:cs="宋体"/>
          <w:b/>
          <w:szCs w:val="21"/>
        </w:rPr>
        <w:t>23.2</w:t>
      </w:r>
      <w:r>
        <w:rPr>
          <w:rFonts w:hint="eastAsia" w:ascii="宋体" w:hAnsi="宋体" w:cs="宋体"/>
          <w:szCs w:val="21"/>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szCs w:val="21"/>
        </w:rPr>
      </w:pPr>
      <w:r>
        <w:rPr>
          <w:rFonts w:hint="eastAsia" w:ascii="宋体" w:hAnsi="宋体" w:cs="宋体"/>
          <w:b/>
          <w:szCs w:val="21"/>
        </w:rPr>
        <w:t>23.3</w:t>
      </w:r>
      <w:r>
        <w:rPr>
          <w:rFonts w:hint="eastAsia" w:ascii="宋体" w:hAnsi="宋体" w:cs="宋体"/>
          <w:szCs w:val="21"/>
        </w:rPr>
        <w:t xml:space="preserve">  采购代理机构自中标人确定之日起2个工作日内，在发布招标公告的网站上对中标结果进行公示，中标结果公告期限为1个工作日。</w:t>
      </w:r>
    </w:p>
    <w:p>
      <w:pPr>
        <w:spacing w:line="400" w:lineRule="exact"/>
        <w:rPr>
          <w:rFonts w:ascii="宋体" w:hAnsi="宋体" w:cs="宋体"/>
          <w:kern w:val="0"/>
          <w:szCs w:val="21"/>
        </w:rPr>
      </w:pPr>
    </w:p>
    <w:p>
      <w:pPr>
        <w:jc w:val="center"/>
        <w:outlineLvl w:val="1"/>
        <w:rPr>
          <w:rFonts w:ascii="宋体" w:hAnsi="宋体" w:cs="宋体"/>
          <w:b/>
          <w:sz w:val="28"/>
        </w:rPr>
      </w:pPr>
      <w:bookmarkStart w:id="114" w:name="_Toc136017636"/>
      <w:bookmarkStart w:id="115" w:name="_Toc136345107"/>
      <w:bookmarkStart w:id="116" w:name="_Toc440276567"/>
      <w:bookmarkStart w:id="117" w:name="_Toc28326"/>
      <w:r>
        <w:rPr>
          <w:rFonts w:hint="eastAsia" w:ascii="宋体" w:hAnsi="宋体" w:cs="宋体"/>
          <w:b/>
          <w:sz w:val="28"/>
        </w:rPr>
        <w:t>G  授予合同</w:t>
      </w:r>
      <w:bookmarkEnd w:id="114"/>
      <w:bookmarkEnd w:id="115"/>
      <w:bookmarkEnd w:id="116"/>
      <w:bookmarkEnd w:id="117"/>
    </w:p>
    <w:p>
      <w:pPr>
        <w:spacing w:line="400" w:lineRule="exact"/>
        <w:rPr>
          <w:rFonts w:ascii="宋体" w:hAnsi="宋体" w:cs="宋体"/>
          <w:b/>
          <w:szCs w:val="21"/>
        </w:rPr>
      </w:pPr>
      <w:r>
        <w:rPr>
          <w:rFonts w:hint="eastAsia" w:ascii="宋体" w:hAnsi="宋体" w:cs="宋体"/>
          <w:b/>
          <w:szCs w:val="21"/>
        </w:rPr>
        <w:t>24.  中标通知</w:t>
      </w:r>
    </w:p>
    <w:p>
      <w:pPr>
        <w:spacing w:line="400" w:lineRule="exact"/>
        <w:rPr>
          <w:rFonts w:ascii="宋体" w:hAnsi="宋体" w:cs="宋体"/>
          <w:kern w:val="0"/>
          <w:szCs w:val="21"/>
        </w:rPr>
      </w:pPr>
      <w:r>
        <w:rPr>
          <w:rFonts w:hint="eastAsia" w:ascii="宋体" w:hAnsi="宋体" w:cs="宋体"/>
          <w:b/>
          <w:szCs w:val="21"/>
        </w:rPr>
        <w:t xml:space="preserve">24.1 </w:t>
      </w:r>
      <w:r>
        <w:rPr>
          <w:rFonts w:hint="eastAsia" w:ascii="宋体" w:hAnsi="宋体" w:cs="宋体"/>
          <w:kern w:val="0"/>
          <w:szCs w:val="21"/>
        </w:rPr>
        <w:t xml:space="preserve"> 在公告中标结果的同时，采购代理机构应当向中标人发出中标通知书。</w:t>
      </w:r>
    </w:p>
    <w:p>
      <w:pPr>
        <w:spacing w:line="400" w:lineRule="exact"/>
        <w:rPr>
          <w:rFonts w:ascii="宋体" w:hAnsi="宋体" w:cs="宋体"/>
          <w:kern w:val="0"/>
          <w:szCs w:val="21"/>
        </w:rPr>
      </w:pPr>
      <w:r>
        <w:rPr>
          <w:rFonts w:hint="eastAsia" w:ascii="宋体" w:hAnsi="宋体" w:cs="宋体"/>
          <w:b/>
          <w:szCs w:val="21"/>
        </w:rPr>
        <w:t>24.2</w:t>
      </w:r>
      <w:r>
        <w:rPr>
          <w:rFonts w:hint="eastAsia" w:ascii="宋体" w:hAnsi="宋体" w:cs="宋体"/>
          <w:kern w:val="0"/>
          <w:szCs w:val="21"/>
        </w:rPr>
        <w:t xml:space="preserve">  中标通知书发出后，采购人不得违法改变中标结果，中标人无正当理由不得放弃中标。</w:t>
      </w:r>
    </w:p>
    <w:p>
      <w:pPr>
        <w:spacing w:line="400" w:lineRule="exact"/>
        <w:ind w:firstLine="420" w:firstLineChars="200"/>
        <w:rPr>
          <w:rFonts w:ascii="宋体" w:hAnsi="宋体" w:cs="宋体"/>
          <w:kern w:val="0"/>
          <w:szCs w:val="21"/>
        </w:rPr>
      </w:pPr>
    </w:p>
    <w:p>
      <w:pPr>
        <w:spacing w:line="400" w:lineRule="exact"/>
        <w:rPr>
          <w:rFonts w:ascii="宋体" w:hAnsi="宋体" w:cs="宋体"/>
          <w:b/>
          <w:szCs w:val="21"/>
        </w:rPr>
      </w:pPr>
      <w:r>
        <w:rPr>
          <w:rFonts w:hint="eastAsia" w:ascii="宋体" w:hAnsi="宋体" w:cs="宋体"/>
          <w:b/>
          <w:szCs w:val="21"/>
        </w:rPr>
        <w:t>25.  签订合同</w:t>
      </w:r>
    </w:p>
    <w:p>
      <w:pPr>
        <w:spacing w:line="400" w:lineRule="exact"/>
        <w:rPr>
          <w:rFonts w:ascii="宋体" w:hAnsi="宋体" w:cs="宋体"/>
          <w:kern w:val="0"/>
          <w:szCs w:val="21"/>
        </w:rPr>
      </w:pPr>
      <w:r>
        <w:rPr>
          <w:rFonts w:hint="eastAsia" w:ascii="宋体" w:hAnsi="宋体" w:cs="宋体"/>
          <w:b/>
          <w:szCs w:val="21"/>
        </w:rPr>
        <w:t>25.1</w:t>
      </w:r>
      <w:r>
        <w:rPr>
          <w:rFonts w:hint="eastAsia" w:ascii="宋体" w:hAnsi="宋体" w:cs="宋体"/>
          <w:kern w:val="0"/>
          <w:szCs w:val="21"/>
        </w:rPr>
        <w:t xml:space="preserve">  中标人应在采购代理机构发出中标通知书的30日内，应与采购人签订合同。所签订的合同不得对招标文件确定的事项和中标人投标文件作实质性修改。</w:t>
      </w:r>
    </w:p>
    <w:p>
      <w:pPr>
        <w:spacing w:line="400" w:lineRule="exact"/>
        <w:rPr>
          <w:rFonts w:ascii="宋体" w:hAnsi="宋体" w:cs="宋体"/>
          <w:kern w:val="0"/>
          <w:szCs w:val="21"/>
        </w:rPr>
      </w:pPr>
      <w:r>
        <w:rPr>
          <w:rFonts w:hint="eastAsia" w:ascii="宋体" w:hAnsi="宋体" w:cs="宋体"/>
          <w:b/>
          <w:szCs w:val="21"/>
        </w:rPr>
        <w:t>25.2</w:t>
      </w:r>
      <w:r>
        <w:rPr>
          <w:rFonts w:hint="eastAsia" w:ascii="宋体" w:hAnsi="宋体" w:cs="宋体"/>
          <w:kern w:val="0"/>
          <w:szCs w:val="21"/>
        </w:rPr>
        <w:t xml:space="preserve">  除中标通知书外，招标文件、中标人的投标文件及评标过程中有关的澄清文件也均应作为合同附件。</w:t>
      </w:r>
    </w:p>
    <w:p>
      <w:pPr>
        <w:spacing w:line="400" w:lineRule="exact"/>
        <w:rPr>
          <w:rFonts w:ascii="宋体" w:hAnsi="宋体" w:cs="宋体"/>
          <w:bCs/>
          <w:szCs w:val="21"/>
        </w:rPr>
      </w:pPr>
      <w:r>
        <w:rPr>
          <w:rFonts w:hint="eastAsia" w:ascii="宋体" w:hAnsi="宋体" w:cs="宋体"/>
          <w:b/>
          <w:szCs w:val="21"/>
        </w:rPr>
        <w:t xml:space="preserve">25.3  </w:t>
      </w:r>
      <w:r>
        <w:rPr>
          <w:rFonts w:hint="eastAsia" w:ascii="宋体" w:hAnsi="宋体" w:cs="宋体"/>
          <w:bCs/>
          <w:szCs w:val="21"/>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pPr>
        <w:spacing w:line="400" w:lineRule="exact"/>
        <w:rPr>
          <w:rFonts w:ascii="宋体" w:hAnsi="宋体" w:cs="宋体"/>
          <w:kern w:val="0"/>
          <w:szCs w:val="21"/>
        </w:rPr>
      </w:pPr>
      <w:r>
        <w:rPr>
          <w:rFonts w:hint="eastAsia" w:ascii="宋体" w:hAnsi="宋体" w:cs="宋体"/>
          <w:b/>
          <w:szCs w:val="21"/>
        </w:rPr>
        <w:t>25.4</w:t>
      </w:r>
      <w:r>
        <w:rPr>
          <w:rFonts w:hint="eastAsia" w:ascii="宋体" w:hAnsi="宋体" w:cs="宋体"/>
          <w:kern w:val="0"/>
          <w:szCs w:val="21"/>
        </w:rPr>
        <w:t xml:space="preserve">  中标人拒绝与采购人签订合同的，采购人可以按照评标报告推荐的中标候选人名单排序，确定下一候选人为中标人，也可以重新开展政府采购活动。</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ascii="宋体" w:hAnsi="宋体" w:cs="宋体"/>
          <w:b/>
          <w:szCs w:val="21"/>
        </w:rPr>
        <w:t>26.  履约保证金</w:t>
      </w:r>
    </w:p>
    <w:p>
      <w:pPr>
        <w:spacing w:line="400" w:lineRule="exact"/>
        <w:rPr>
          <w:rFonts w:ascii="宋体" w:hAnsi="宋体" w:cs="宋体"/>
          <w:kern w:val="0"/>
          <w:szCs w:val="21"/>
        </w:rPr>
      </w:pPr>
      <w:r>
        <w:rPr>
          <w:rFonts w:hint="eastAsia" w:ascii="宋体" w:hAnsi="宋体" w:cs="宋体"/>
          <w:b/>
          <w:szCs w:val="21"/>
        </w:rPr>
        <w:t>26.1</w:t>
      </w:r>
      <w:r>
        <w:rPr>
          <w:rFonts w:hint="eastAsia" w:ascii="宋体" w:hAnsi="宋体" w:cs="宋体"/>
          <w:kern w:val="0"/>
          <w:szCs w:val="21"/>
        </w:rPr>
        <w:t xml:space="preserve">  招标文件若有规定，在签订合同后，采购人按合同支付定金的同时，中标人应向采购人提供履约保证金。</w:t>
      </w:r>
    </w:p>
    <w:p>
      <w:pPr>
        <w:spacing w:line="400" w:lineRule="exact"/>
        <w:rPr>
          <w:rFonts w:ascii="宋体" w:hAnsi="宋体" w:cs="宋体"/>
          <w:kern w:val="0"/>
          <w:szCs w:val="21"/>
        </w:rPr>
      </w:pPr>
      <w:r>
        <w:rPr>
          <w:rFonts w:hint="eastAsia" w:ascii="宋体" w:hAnsi="宋体" w:cs="宋体"/>
          <w:b/>
          <w:szCs w:val="21"/>
        </w:rPr>
        <w:t>26.2</w:t>
      </w:r>
      <w:r>
        <w:rPr>
          <w:rFonts w:hint="eastAsia" w:ascii="宋体" w:hAnsi="宋体" w:cs="宋体"/>
          <w:kern w:val="0"/>
          <w:szCs w:val="21"/>
        </w:rPr>
        <w:t xml:space="preserve">  若中标人不按上述第26.1条要求提供，采购代理机构和采购人有权按前述第13.6条规定处理并撤销其中标资格。在这种情况下，采购代理机构和采购人可按本须知第25.3条规定另选中标人。</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ascii="宋体" w:hAnsi="宋体" w:cs="宋体"/>
          <w:b/>
          <w:szCs w:val="21"/>
        </w:rPr>
        <w:t>27.  履约验收</w:t>
      </w:r>
    </w:p>
    <w:p>
      <w:pPr>
        <w:spacing w:line="400" w:lineRule="exact"/>
        <w:rPr>
          <w:rFonts w:ascii="宋体" w:hAnsi="宋体" w:cs="宋体"/>
          <w:kern w:val="0"/>
          <w:szCs w:val="21"/>
        </w:rPr>
      </w:pPr>
      <w:r>
        <w:rPr>
          <w:rFonts w:hint="eastAsia" w:ascii="宋体" w:hAnsi="宋体" w:cs="宋体"/>
          <w:b/>
          <w:szCs w:val="21"/>
        </w:rPr>
        <w:t>27.1</w:t>
      </w:r>
      <w:r>
        <w:rPr>
          <w:rFonts w:hint="eastAsia" w:ascii="宋体" w:hAnsi="宋体" w:cs="宋体"/>
          <w:kern w:val="0"/>
          <w:szCs w:val="21"/>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spacing w:line="400" w:lineRule="exact"/>
        <w:rPr>
          <w:rFonts w:ascii="宋体" w:hAnsi="宋体" w:cs="宋体"/>
          <w:kern w:val="0"/>
          <w:szCs w:val="21"/>
        </w:rPr>
      </w:pPr>
      <w:r>
        <w:rPr>
          <w:rFonts w:hint="eastAsia" w:ascii="宋体" w:hAnsi="宋体" w:cs="宋体"/>
          <w:b/>
          <w:szCs w:val="21"/>
        </w:rPr>
        <w:t xml:space="preserve">27.2 </w:t>
      </w:r>
      <w:r>
        <w:rPr>
          <w:rFonts w:hint="eastAsia" w:ascii="宋体" w:hAnsi="宋体" w:cs="宋体"/>
          <w:kern w:val="0"/>
          <w:szCs w:val="21"/>
        </w:rPr>
        <w:t xml:space="preserve"> 采购人可以邀请参加本项目的其他投标人或者第三方机构参与验收。参与验收的投标人或者第三方机构的意见作为验收书的参考资料一并存档。</w:t>
      </w:r>
    </w:p>
    <w:p>
      <w:pPr>
        <w:spacing w:line="400" w:lineRule="exact"/>
        <w:rPr>
          <w:rFonts w:ascii="宋体" w:hAnsi="宋体" w:cs="宋体"/>
          <w:kern w:val="0"/>
          <w:szCs w:val="21"/>
        </w:rPr>
      </w:pPr>
      <w:r>
        <w:rPr>
          <w:rFonts w:hint="eastAsia" w:ascii="宋体" w:hAnsi="宋体" w:cs="宋体"/>
          <w:b/>
          <w:szCs w:val="21"/>
        </w:rPr>
        <w:t>27.3</w:t>
      </w:r>
      <w:r>
        <w:rPr>
          <w:rFonts w:hint="eastAsia" w:ascii="宋体" w:hAnsi="宋体" w:cs="宋体"/>
          <w:kern w:val="0"/>
          <w:szCs w:val="21"/>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00" w:lineRule="exact"/>
        <w:rPr>
          <w:rFonts w:ascii="宋体" w:hAnsi="宋体" w:cs="宋体"/>
          <w:kern w:val="0"/>
          <w:szCs w:val="21"/>
        </w:rPr>
      </w:pPr>
      <w:r>
        <w:rPr>
          <w:rFonts w:hint="eastAsia" w:ascii="宋体" w:hAnsi="宋体" w:cs="宋体"/>
          <w:b/>
          <w:szCs w:val="21"/>
        </w:rPr>
        <w:t>27.4</w:t>
      </w:r>
      <w:r>
        <w:rPr>
          <w:rFonts w:hint="eastAsia" w:ascii="宋体" w:hAnsi="宋体" w:cs="宋体"/>
          <w:kern w:val="0"/>
          <w:szCs w:val="21"/>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jc w:val="center"/>
        <w:outlineLvl w:val="1"/>
        <w:rPr>
          <w:rFonts w:ascii="宋体" w:hAnsi="宋体" w:cs="宋体"/>
          <w:b/>
          <w:sz w:val="28"/>
        </w:rPr>
      </w:pPr>
      <w:bookmarkStart w:id="118" w:name="_Toc440276568"/>
    </w:p>
    <w:p>
      <w:pPr>
        <w:jc w:val="center"/>
        <w:outlineLvl w:val="1"/>
        <w:rPr>
          <w:rFonts w:ascii="宋体" w:hAnsi="宋体" w:cs="宋体"/>
          <w:b/>
          <w:sz w:val="28"/>
        </w:rPr>
      </w:pPr>
      <w:bookmarkStart w:id="119" w:name="_Toc18010"/>
      <w:bookmarkStart w:id="120" w:name="_Toc136017637"/>
      <w:bookmarkStart w:id="121" w:name="_Toc136345108"/>
      <w:r>
        <w:rPr>
          <w:rFonts w:hint="eastAsia" w:ascii="宋体" w:hAnsi="宋体" w:cs="宋体"/>
          <w:b/>
          <w:sz w:val="28"/>
        </w:rPr>
        <w:t>H  采购代理机构服务费</w:t>
      </w:r>
      <w:bookmarkEnd w:id="118"/>
      <w:bookmarkEnd w:id="119"/>
      <w:bookmarkEnd w:id="120"/>
      <w:bookmarkEnd w:id="121"/>
    </w:p>
    <w:p>
      <w:pPr>
        <w:spacing w:line="400" w:lineRule="exact"/>
        <w:rPr>
          <w:rFonts w:ascii="宋体" w:hAnsi="宋体" w:cs="宋体"/>
          <w:b/>
          <w:szCs w:val="21"/>
        </w:rPr>
      </w:pPr>
      <w:r>
        <w:rPr>
          <w:rFonts w:hint="eastAsia" w:ascii="宋体" w:hAnsi="宋体" w:cs="宋体"/>
          <w:b/>
          <w:szCs w:val="21"/>
        </w:rPr>
        <w:t>28.  采购代理机构服务费</w:t>
      </w:r>
    </w:p>
    <w:p>
      <w:pPr>
        <w:spacing w:line="400" w:lineRule="exact"/>
        <w:rPr>
          <w:rFonts w:ascii="宋体" w:hAnsi="宋体" w:cs="宋体"/>
          <w:kern w:val="0"/>
          <w:szCs w:val="21"/>
        </w:rPr>
      </w:pPr>
      <w:r>
        <w:rPr>
          <w:rFonts w:hint="eastAsia" w:ascii="宋体" w:hAnsi="宋体" w:cs="宋体"/>
          <w:b/>
          <w:szCs w:val="21"/>
        </w:rPr>
        <w:t>28.1</w:t>
      </w:r>
      <w:r>
        <w:rPr>
          <w:rFonts w:hint="eastAsia" w:ascii="宋体" w:hAnsi="宋体" w:cs="宋体"/>
          <w:kern w:val="0"/>
          <w:szCs w:val="21"/>
        </w:rPr>
        <w:t>中标人应在中标结果公示结束后向采购代理机构支付采购代理机构服务费。</w:t>
      </w:r>
    </w:p>
    <w:p>
      <w:pPr>
        <w:spacing w:line="400" w:lineRule="exact"/>
        <w:rPr>
          <w:rFonts w:ascii="宋体" w:hAnsi="宋体" w:cs="宋体"/>
          <w:kern w:val="0"/>
          <w:szCs w:val="21"/>
        </w:rPr>
      </w:pPr>
    </w:p>
    <w:p>
      <w:pPr>
        <w:spacing w:line="400" w:lineRule="exact"/>
        <w:rPr>
          <w:rFonts w:ascii="宋体" w:hAnsi="宋体" w:cs="宋体"/>
          <w:kern w:val="0"/>
          <w:szCs w:val="21"/>
        </w:rPr>
      </w:pPr>
    </w:p>
    <w:p>
      <w:pPr>
        <w:jc w:val="center"/>
        <w:outlineLvl w:val="1"/>
        <w:rPr>
          <w:rFonts w:ascii="宋体" w:hAnsi="宋体" w:cs="宋体"/>
          <w:b/>
          <w:sz w:val="28"/>
        </w:rPr>
      </w:pPr>
      <w:bookmarkStart w:id="122" w:name="_Toc16932"/>
      <w:bookmarkStart w:id="123" w:name="_Toc136017638"/>
      <w:bookmarkStart w:id="124" w:name="_Toc136345109"/>
      <w:r>
        <w:rPr>
          <w:rFonts w:hint="eastAsia" w:ascii="宋体" w:hAnsi="宋体" w:cs="宋体"/>
          <w:b/>
          <w:sz w:val="28"/>
        </w:rPr>
        <w:t>Ⅰ  信息发布媒体</w:t>
      </w:r>
      <w:bookmarkEnd w:id="122"/>
      <w:bookmarkEnd w:id="123"/>
      <w:bookmarkEnd w:id="124"/>
    </w:p>
    <w:p>
      <w:pPr>
        <w:spacing w:line="400" w:lineRule="exact"/>
        <w:rPr>
          <w:rFonts w:ascii="宋体" w:hAnsi="宋体" w:cs="宋体"/>
          <w:b/>
          <w:szCs w:val="21"/>
        </w:rPr>
      </w:pPr>
      <w:r>
        <w:rPr>
          <w:rFonts w:hint="eastAsia" w:ascii="宋体" w:hAnsi="宋体" w:cs="宋体"/>
          <w:b/>
          <w:szCs w:val="21"/>
        </w:rPr>
        <w:t>29.  有关发布项目招标公告、中标公示的媒体：</w:t>
      </w:r>
    </w:p>
    <w:p>
      <w:pPr>
        <w:spacing w:line="360" w:lineRule="auto"/>
        <w:ind w:left="788" w:hanging="787" w:hangingChars="375"/>
        <w:rPr>
          <w:rFonts w:ascii="宋体" w:hAnsi="宋体" w:cs="宋体"/>
          <w:szCs w:val="21"/>
          <w:u w:val="single"/>
        </w:rPr>
      </w:pPr>
      <w:r>
        <w:rPr>
          <w:rFonts w:hint="eastAsia" w:cs="宋体" w:asciiTheme="minorEastAsia" w:hAnsiTheme="minorEastAsia" w:eastAsiaTheme="minorEastAsia"/>
          <w:szCs w:val="21"/>
        </w:rPr>
        <w:t>浙江政府采购网</w:t>
      </w:r>
      <w:r>
        <w:rPr>
          <w:rFonts w:hint="eastAsia" w:ascii="宋体" w:hAnsi="宋体" w:cs="宋体"/>
          <w:szCs w:val="21"/>
          <w:u w:val="single"/>
        </w:rPr>
        <w:t>https://zfcg.czt.zj.gov.cn/</w:t>
      </w:r>
    </w:p>
    <w:p>
      <w:pPr>
        <w:spacing w:line="360" w:lineRule="auto"/>
        <w:ind w:left="788" w:hanging="787" w:hangingChars="375"/>
        <w:rPr>
          <w:rFonts w:cs="宋体" w:asciiTheme="minorEastAsia" w:hAnsiTheme="minorEastAsia" w:eastAsiaTheme="minorEastAsia"/>
          <w:szCs w:val="21"/>
        </w:rPr>
      </w:pPr>
      <w:r>
        <w:rPr>
          <w:rFonts w:hint="eastAsia" w:cs="宋体" w:asciiTheme="minorEastAsia" w:hAnsiTheme="minorEastAsia" w:eastAsiaTheme="minorEastAsia"/>
          <w:szCs w:val="21"/>
        </w:rPr>
        <w:t>宁波政府采购网</w:t>
      </w:r>
      <w:r>
        <w:rPr>
          <w:rFonts w:hint="eastAsia" w:cs="宋体" w:asciiTheme="minorEastAsia" w:hAnsiTheme="minorEastAsia" w:eastAsiaTheme="minorEastAsia"/>
          <w:szCs w:val="21"/>
          <w:u w:val="single"/>
        </w:rPr>
        <w:t>http://www.nbzfcg.cn/</w:t>
      </w:r>
    </w:p>
    <w:p>
      <w:pPr>
        <w:wordWrap w:val="0"/>
        <w:spacing w:line="360" w:lineRule="auto"/>
        <w:ind w:left="788" w:hanging="787" w:hangingChars="375"/>
        <w:rPr>
          <w:rFonts w:cs="宋体" w:asciiTheme="minorEastAsia" w:hAnsiTheme="minorEastAsia" w:eastAsiaTheme="minorEastAsia"/>
          <w:szCs w:val="21"/>
        </w:rPr>
      </w:pPr>
      <w:r>
        <w:rPr>
          <w:rFonts w:hint="eastAsia" w:cs="宋体" w:asciiTheme="minorEastAsia" w:hAnsiTheme="minorEastAsia" w:eastAsiaTheme="minorEastAsia"/>
          <w:szCs w:val="21"/>
        </w:rPr>
        <w:t>宁波市公共资源交易电子服务系统</w:t>
      </w:r>
      <w:r>
        <w:rPr>
          <w:rFonts w:hint="eastAsia" w:cs="宋体" w:asciiTheme="minorEastAsia" w:hAnsiTheme="minorEastAsia" w:eastAsiaTheme="minorEastAsia"/>
          <w:szCs w:val="21"/>
          <w:u w:val="single"/>
        </w:rPr>
        <w:t xml:space="preserve"> https://jyxt.zwb.ningbo.gov.cn:4011/website/home</w:t>
      </w:r>
    </w:p>
    <w:p>
      <w:pPr>
        <w:jc w:val="center"/>
        <w:outlineLvl w:val="1"/>
        <w:rPr>
          <w:rFonts w:ascii="宋体" w:hAnsi="宋体" w:cs="宋体"/>
          <w:b/>
          <w:sz w:val="28"/>
        </w:rPr>
      </w:pPr>
    </w:p>
    <w:p>
      <w:pPr>
        <w:jc w:val="center"/>
        <w:outlineLvl w:val="1"/>
        <w:rPr>
          <w:rFonts w:ascii="宋体" w:hAnsi="宋体" w:cs="宋体"/>
          <w:b/>
          <w:sz w:val="28"/>
        </w:rPr>
      </w:pPr>
      <w:bookmarkStart w:id="125" w:name="_Toc15368"/>
      <w:bookmarkStart w:id="126" w:name="_Toc136017639"/>
      <w:bookmarkStart w:id="127" w:name="_Toc136345110"/>
      <w:r>
        <w:rPr>
          <w:rFonts w:hint="eastAsia" w:ascii="宋体" w:hAnsi="宋体" w:cs="宋体"/>
          <w:b/>
          <w:sz w:val="28"/>
        </w:rPr>
        <w:t>J  其他规定</w:t>
      </w:r>
      <w:bookmarkEnd w:id="125"/>
      <w:bookmarkEnd w:id="126"/>
      <w:bookmarkEnd w:id="127"/>
    </w:p>
    <w:p>
      <w:pPr>
        <w:spacing w:line="400" w:lineRule="exact"/>
        <w:rPr>
          <w:rFonts w:ascii="宋体" w:hAnsi="宋体" w:cs="宋体"/>
          <w:b/>
          <w:szCs w:val="21"/>
        </w:rPr>
      </w:pPr>
      <w:r>
        <w:rPr>
          <w:rFonts w:hint="eastAsia" w:ascii="宋体" w:hAnsi="宋体" w:cs="宋体"/>
          <w:b/>
          <w:szCs w:val="21"/>
        </w:rPr>
        <w:t>30.  其他规定</w:t>
      </w:r>
    </w:p>
    <w:p>
      <w:pPr>
        <w:spacing w:line="400" w:lineRule="exact"/>
        <w:rPr>
          <w:rFonts w:ascii="宋体" w:hAnsi="宋体" w:cs="宋体"/>
          <w:kern w:val="0"/>
          <w:szCs w:val="21"/>
        </w:rPr>
      </w:pPr>
      <w:r>
        <w:rPr>
          <w:rFonts w:hint="eastAsia" w:ascii="宋体" w:hAnsi="宋体" w:cs="宋体"/>
          <w:b/>
          <w:szCs w:val="21"/>
        </w:rPr>
        <w:t>30.1</w:t>
      </w:r>
      <w:r>
        <w:rPr>
          <w:rFonts w:hint="eastAsia" w:ascii="宋体" w:hAnsi="宋体" w:cs="宋体"/>
          <w:kern w:val="0"/>
          <w:szCs w:val="21"/>
        </w:rPr>
        <w:t xml:space="preserve"> 自购买招标文件之日起，投标人应保证其提供的联系方式</w:t>
      </w:r>
      <w:r>
        <w:rPr>
          <w:rFonts w:ascii="宋体" w:hAnsi="宋体" w:cs="宋体"/>
          <w:kern w:val="0"/>
          <w:szCs w:val="21"/>
        </w:rPr>
        <w:t>(</w:t>
      </w:r>
      <w:r>
        <w:rPr>
          <w:rFonts w:hint="eastAsia" w:ascii="宋体" w:hAnsi="宋体" w:cs="宋体"/>
          <w:kern w:val="0"/>
          <w:szCs w:val="21"/>
        </w:rPr>
        <w:t>电话、传真、电子邮件</w:t>
      </w:r>
      <w:r>
        <w:rPr>
          <w:rFonts w:ascii="宋体" w:hAnsi="宋体" w:cs="宋体"/>
          <w:kern w:val="0"/>
          <w:szCs w:val="21"/>
        </w:rPr>
        <w:t>)</w:t>
      </w:r>
      <w:r>
        <w:rPr>
          <w:rFonts w:hint="eastAsia" w:ascii="宋体" w:hAnsi="宋体" w:cs="宋体"/>
          <w:kern w:val="0"/>
          <w:szCs w:val="21"/>
        </w:rPr>
        <w:t>一直有效，以保证往来函件</w:t>
      </w:r>
      <w:r>
        <w:rPr>
          <w:rFonts w:ascii="宋体" w:hAnsi="宋体" w:cs="宋体"/>
          <w:kern w:val="0"/>
          <w:szCs w:val="21"/>
        </w:rPr>
        <w:t>(</w:t>
      </w:r>
      <w:r>
        <w:rPr>
          <w:rFonts w:hint="eastAsia" w:ascii="宋体" w:hAnsi="宋体" w:cs="宋体"/>
          <w:kern w:val="0"/>
          <w:szCs w:val="21"/>
        </w:rPr>
        <w:t>招标文件的澄清、修改等</w:t>
      </w:r>
      <w:r>
        <w:rPr>
          <w:rFonts w:ascii="宋体" w:hAnsi="宋体" w:cs="宋体"/>
          <w:kern w:val="0"/>
          <w:szCs w:val="21"/>
        </w:rPr>
        <w:t>)</w:t>
      </w:r>
      <w:r>
        <w:rPr>
          <w:rFonts w:hint="eastAsia" w:ascii="宋体" w:hAnsi="宋体" w:cs="宋体"/>
          <w:kern w:val="0"/>
          <w:szCs w:val="21"/>
        </w:rPr>
        <w:t>能及时通知投标人，并能及时反馈信息，否则采购人不承担由此引起的一切后果。</w:t>
      </w:r>
    </w:p>
    <w:p>
      <w:pPr>
        <w:spacing w:line="400" w:lineRule="exact"/>
        <w:rPr>
          <w:rFonts w:ascii="宋体" w:hAnsi="宋体" w:cs="宋体"/>
          <w:kern w:val="0"/>
          <w:szCs w:val="21"/>
        </w:rPr>
      </w:pPr>
      <w:r>
        <w:rPr>
          <w:rFonts w:hint="eastAsia" w:ascii="宋体" w:hAnsi="宋体" w:cs="宋体"/>
          <w:b/>
          <w:szCs w:val="21"/>
        </w:rPr>
        <w:t>30.2</w:t>
      </w:r>
      <w:r>
        <w:rPr>
          <w:rFonts w:hint="eastAsia" w:ascii="宋体" w:hAnsi="宋体" w:cs="宋体"/>
          <w:kern w:val="0"/>
          <w:szCs w:val="21"/>
        </w:rPr>
        <w:t xml:space="preserve"> 知识产权</w:t>
      </w:r>
    </w:p>
    <w:p>
      <w:pPr>
        <w:spacing w:line="400" w:lineRule="exact"/>
        <w:rPr>
          <w:rFonts w:ascii="宋体" w:hAnsi="宋体" w:cs="宋体"/>
          <w:kern w:val="0"/>
          <w:szCs w:val="21"/>
        </w:rPr>
      </w:pPr>
      <w:r>
        <w:rPr>
          <w:rFonts w:hint="eastAsia" w:ascii="宋体" w:hAnsi="宋体" w:cs="宋体"/>
          <w:b/>
          <w:szCs w:val="21"/>
        </w:rPr>
        <w:t>30.2.1</w:t>
      </w:r>
      <w:r>
        <w:rPr>
          <w:rFonts w:ascii="宋体" w:hAnsi="宋体" w:cs="宋体"/>
          <w:kern w:val="0"/>
          <w:szCs w:val="21"/>
        </w:rPr>
        <w:t>投标人应保证提交的全部文件不会侵犯其</w:t>
      </w:r>
      <w:r>
        <w:rPr>
          <w:rFonts w:hint="eastAsia" w:ascii="宋体" w:hAnsi="宋体" w:cs="宋体"/>
          <w:kern w:val="0"/>
          <w:szCs w:val="21"/>
        </w:rPr>
        <w:t>他</w:t>
      </w:r>
      <w:r>
        <w:rPr>
          <w:rFonts w:ascii="宋体" w:hAnsi="宋体" w:cs="宋体"/>
          <w:kern w:val="0"/>
          <w:szCs w:val="21"/>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kern w:val="0"/>
          <w:szCs w:val="21"/>
        </w:rPr>
        <w:t>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不会侵犯他人的知识产权或专</w:t>
      </w:r>
      <w:r>
        <w:rPr>
          <w:rFonts w:hint="eastAsia" w:ascii="宋体" w:hAnsi="宋体" w:cs="宋体"/>
          <w:kern w:val="0"/>
          <w:szCs w:val="21"/>
        </w:rPr>
        <w:t>有</w:t>
      </w:r>
      <w:r>
        <w:rPr>
          <w:rFonts w:ascii="宋体" w:hAnsi="宋体" w:cs="宋体"/>
          <w:kern w:val="0"/>
          <w:szCs w:val="21"/>
        </w:rPr>
        <w:t>技术或商业秘密，并应当使</w:t>
      </w:r>
      <w:r>
        <w:rPr>
          <w:rFonts w:hint="eastAsia" w:ascii="宋体" w:hAnsi="宋体" w:cs="宋体"/>
          <w:kern w:val="0"/>
          <w:szCs w:val="21"/>
        </w:rPr>
        <w:t>采购人</w:t>
      </w:r>
      <w:r>
        <w:rPr>
          <w:rFonts w:ascii="宋体" w:hAnsi="宋体" w:cs="宋体"/>
          <w:kern w:val="0"/>
          <w:szCs w:val="21"/>
        </w:rPr>
        <w:t>免于因被指控侵犯上述权利产生的任何责任，</w:t>
      </w:r>
      <w:r>
        <w:rPr>
          <w:rFonts w:hint="eastAsia" w:ascii="宋体" w:hAnsi="宋体" w:cs="宋体"/>
          <w:kern w:val="0"/>
          <w:szCs w:val="21"/>
        </w:rPr>
        <w:t>若采购人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被指控侵犯上述权利</w:t>
      </w:r>
      <w:r>
        <w:rPr>
          <w:rFonts w:hint="eastAsia" w:ascii="宋体" w:hAnsi="宋体" w:cs="宋体"/>
          <w:kern w:val="0"/>
          <w:szCs w:val="21"/>
        </w:rPr>
        <w:t>，投标人应</w:t>
      </w:r>
      <w:r>
        <w:rPr>
          <w:rFonts w:ascii="宋体" w:hAnsi="宋体" w:cs="宋体"/>
          <w:kern w:val="0"/>
          <w:szCs w:val="21"/>
        </w:rPr>
        <w:t>赔偿</w:t>
      </w:r>
      <w:r>
        <w:rPr>
          <w:rFonts w:hint="eastAsia" w:ascii="宋体" w:hAnsi="宋体" w:cs="宋体"/>
          <w:kern w:val="0"/>
          <w:szCs w:val="21"/>
        </w:rPr>
        <w:t>采购人</w:t>
      </w:r>
      <w:r>
        <w:rPr>
          <w:rFonts w:ascii="宋体" w:hAnsi="宋体" w:cs="宋体"/>
          <w:kern w:val="0"/>
          <w:szCs w:val="21"/>
        </w:rPr>
        <w:t>由此而产生的费用和损失。</w:t>
      </w:r>
    </w:p>
    <w:p>
      <w:pPr>
        <w:spacing w:line="400" w:lineRule="exact"/>
        <w:rPr>
          <w:rFonts w:ascii="宋体" w:hAnsi="宋体" w:cs="宋体"/>
          <w:kern w:val="0"/>
          <w:szCs w:val="21"/>
        </w:rPr>
      </w:pPr>
      <w:r>
        <w:rPr>
          <w:rFonts w:hint="eastAsia" w:ascii="宋体" w:hAnsi="宋体" w:cs="宋体"/>
          <w:b/>
          <w:szCs w:val="21"/>
        </w:rPr>
        <w:t>30.2.2</w:t>
      </w:r>
      <w:r>
        <w:rPr>
          <w:rFonts w:hint="eastAsia" w:ascii="宋体" w:hAnsi="宋体" w:cs="宋体"/>
          <w:kern w:val="0"/>
          <w:szCs w:val="21"/>
        </w:rPr>
        <w:t xml:space="preserve"> 投标人中标后参与本项目研究的资料、成果等知识产权归采购人，有关的信息未经采购人同意不得向第三方泄露。</w:t>
      </w:r>
    </w:p>
    <w:p>
      <w:pPr>
        <w:spacing w:line="400" w:lineRule="exact"/>
        <w:rPr>
          <w:rFonts w:ascii="宋体" w:hAnsi="宋体" w:cs="宋体"/>
          <w:kern w:val="0"/>
          <w:szCs w:val="21"/>
        </w:rPr>
      </w:pPr>
      <w:r>
        <w:rPr>
          <w:rFonts w:hint="eastAsia" w:ascii="宋体" w:hAnsi="宋体" w:cs="宋体"/>
          <w:b/>
          <w:szCs w:val="21"/>
        </w:rPr>
        <w:t xml:space="preserve">30.2.3 </w:t>
      </w:r>
      <w:r>
        <w:rPr>
          <w:rFonts w:hint="eastAsia" w:ascii="宋体" w:hAnsi="宋体" w:cs="宋体"/>
          <w:kern w:val="0"/>
          <w:szCs w:val="21"/>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pPr>
        <w:spacing w:line="400" w:lineRule="exact"/>
        <w:rPr>
          <w:rFonts w:ascii="宋体" w:hAnsi="宋体" w:cs="宋体"/>
          <w:b/>
          <w:szCs w:val="21"/>
        </w:rPr>
      </w:pPr>
    </w:p>
    <w:p>
      <w:pPr>
        <w:spacing w:line="440" w:lineRule="exact"/>
        <w:rPr>
          <w:rFonts w:ascii="宋体" w:hAnsi="宋体"/>
          <w:b/>
          <w:szCs w:val="21"/>
        </w:rPr>
      </w:pPr>
      <w:r>
        <w:rPr>
          <w:rFonts w:hint="eastAsia" w:ascii="宋体" w:hAnsi="宋体"/>
          <w:b/>
          <w:szCs w:val="21"/>
        </w:rPr>
        <w:t>31.  政府采购活动中有关中小企业的相关规定</w:t>
      </w:r>
    </w:p>
    <w:p>
      <w:pPr>
        <w:spacing w:line="400" w:lineRule="exact"/>
        <w:rPr>
          <w:rFonts w:ascii="宋体" w:hAnsi="宋体"/>
          <w:b/>
          <w:szCs w:val="21"/>
        </w:rPr>
      </w:pPr>
      <w:r>
        <w:rPr>
          <w:rFonts w:hint="eastAsia" w:ascii="宋体" w:hAnsi="宋体"/>
          <w:b/>
          <w:szCs w:val="21"/>
        </w:rPr>
        <w:t>31.1本项目对应的中小企业划分标准所属行业：</w:t>
      </w:r>
      <w:r>
        <w:rPr>
          <w:rFonts w:hint="eastAsia" w:ascii="宋体" w:hAnsi="宋体" w:cs="宋体"/>
          <w:b/>
          <w:szCs w:val="21"/>
        </w:rPr>
        <w:t>详见第三部分“投标资料表”</w:t>
      </w:r>
    </w:p>
    <w:p>
      <w:pPr>
        <w:spacing w:line="400" w:lineRule="exact"/>
        <w:rPr>
          <w:rFonts w:ascii="宋体" w:hAnsi="宋体"/>
          <w:szCs w:val="21"/>
        </w:rPr>
      </w:pPr>
      <w:r>
        <w:rPr>
          <w:rFonts w:hint="eastAsia" w:ascii="宋体" w:hAnsi="宋体"/>
          <w:b/>
          <w:szCs w:val="21"/>
        </w:rPr>
        <w:t>31.2</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00" w:lineRule="exact"/>
        <w:rPr>
          <w:rFonts w:ascii="宋体" w:hAnsi="宋体"/>
          <w:szCs w:val="21"/>
        </w:rPr>
      </w:pPr>
      <w:r>
        <w:rPr>
          <w:rFonts w:hint="eastAsia" w:ascii="宋体" w:hAnsi="宋体"/>
          <w:b/>
          <w:szCs w:val="21"/>
        </w:rPr>
        <w:t xml:space="preserve">31.3  </w:t>
      </w:r>
      <w:r>
        <w:rPr>
          <w:rFonts w:hint="eastAsia" w:ascii="宋体" w:hAnsi="宋体"/>
          <w:szCs w:val="21"/>
        </w:rPr>
        <w:t>在政府采购活动中，投标人提供的货物、工程或者服务符合下列情形的，享受本办法规定的中小企业扶持政策：</w:t>
      </w:r>
    </w:p>
    <w:p>
      <w:pPr>
        <w:spacing w:line="400" w:lineRule="exact"/>
        <w:ind w:firstLine="420" w:firstLineChars="200"/>
        <w:rPr>
          <w:rFonts w:ascii="宋体" w:hAnsi="宋体"/>
          <w:szCs w:val="21"/>
        </w:rPr>
      </w:pPr>
      <w:r>
        <w:rPr>
          <w:rFonts w:hint="eastAsia" w:ascii="宋体" w:hAnsi="宋体"/>
          <w:szCs w:val="21"/>
        </w:rPr>
        <w:t>（一）在货物采购项目中，货物由中小企业制造，即货物由中小企业生产且使用该中小企业商号或者注册商标；</w:t>
      </w:r>
    </w:p>
    <w:p>
      <w:pPr>
        <w:spacing w:line="400" w:lineRule="exact"/>
        <w:ind w:firstLine="420" w:firstLineChars="200"/>
        <w:rPr>
          <w:rFonts w:ascii="宋体" w:hAnsi="宋体"/>
          <w:szCs w:val="21"/>
        </w:rPr>
      </w:pPr>
      <w:r>
        <w:rPr>
          <w:rFonts w:hint="eastAsia" w:ascii="宋体" w:hAnsi="宋体"/>
          <w:szCs w:val="21"/>
        </w:rPr>
        <w:t>（二）在工程采购项目中，工程由中小企业承建，即工程施工单位为中小企业；</w:t>
      </w:r>
    </w:p>
    <w:p>
      <w:pPr>
        <w:spacing w:line="400" w:lineRule="exact"/>
        <w:ind w:firstLine="420" w:firstLineChars="200"/>
        <w:rPr>
          <w:rFonts w:ascii="宋体" w:hAnsi="宋体"/>
          <w:szCs w:val="21"/>
        </w:rPr>
      </w:pPr>
      <w:r>
        <w:rPr>
          <w:rFonts w:hint="eastAsia" w:ascii="宋体" w:hAnsi="宋体"/>
          <w:szCs w:val="21"/>
        </w:rPr>
        <w:t>（三）在服务采购项目中，服务由中小企业承接，即提供服务的人员为中小企业依照《中华人民共和国劳动合同法》订立劳动合同的从业人员。</w:t>
      </w:r>
    </w:p>
    <w:p>
      <w:pPr>
        <w:spacing w:line="400" w:lineRule="exact"/>
        <w:ind w:firstLine="420" w:firstLineChars="200"/>
        <w:rPr>
          <w:rFonts w:ascii="宋体" w:hAnsi="宋体"/>
          <w:szCs w:val="21"/>
        </w:rPr>
      </w:pPr>
      <w:r>
        <w:rPr>
          <w:rFonts w:hint="eastAsia" w:ascii="宋体" w:hAnsi="宋体"/>
          <w:szCs w:val="21"/>
        </w:rPr>
        <w:t>在货物采购项目中，投标人提供的货物既有中小企业制造货物，也有大型企业制造货物的，不享受本办法规定的中小企业扶持政策。</w:t>
      </w:r>
    </w:p>
    <w:p>
      <w:pPr>
        <w:spacing w:line="400" w:lineRule="exact"/>
        <w:ind w:firstLine="420" w:firstLineChars="200"/>
        <w:rPr>
          <w:rFonts w:ascii="宋体" w:hAnsi="宋体"/>
          <w:b/>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pPr>
        <w:spacing w:line="400" w:lineRule="exact"/>
        <w:rPr>
          <w:rFonts w:ascii="宋体" w:hAnsi="宋体"/>
          <w:szCs w:val="21"/>
        </w:rPr>
      </w:pPr>
      <w:r>
        <w:rPr>
          <w:rFonts w:hint="eastAsia" w:ascii="宋体" w:hAnsi="宋体"/>
          <w:b/>
          <w:szCs w:val="21"/>
        </w:rPr>
        <w:t>31.4</w:t>
      </w:r>
      <w:r>
        <w:rPr>
          <w:rFonts w:hint="eastAsia" w:ascii="宋体" w:hAnsi="宋体"/>
          <w:szCs w:val="21"/>
        </w:rPr>
        <w:t xml:space="preserve">  中小企业参加政府采购活动，应当出具《中小企业声明函》（格式见附件1），否则不得享受相关中小企业扶持政策。</w:t>
      </w:r>
    </w:p>
    <w:p>
      <w:pPr>
        <w:spacing w:line="400" w:lineRule="exact"/>
        <w:rPr>
          <w:rFonts w:ascii="宋体" w:hAnsi="宋体"/>
          <w:szCs w:val="21"/>
        </w:rPr>
      </w:pPr>
      <w:r>
        <w:rPr>
          <w:rFonts w:hint="eastAsia" w:ascii="宋体" w:hAnsi="宋体"/>
          <w:b/>
          <w:szCs w:val="21"/>
        </w:rPr>
        <w:t>31.5</w:t>
      </w:r>
      <w:r>
        <w:rPr>
          <w:rFonts w:hint="eastAsia" w:ascii="宋体" w:hAnsi="宋体"/>
          <w:szCs w:val="21"/>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pPr>
        <w:spacing w:line="400" w:lineRule="exact"/>
        <w:ind w:firstLine="420" w:firstLineChars="200"/>
        <w:rPr>
          <w:rFonts w:ascii="宋体" w:hAnsi="宋体"/>
          <w:szCs w:val="21"/>
        </w:rPr>
      </w:pPr>
      <w:r>
        <w:rPr>
          <w:rFonts w:hint="eastAsia" w:ascii="宋体" w:hAnsi="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宋体" w:hAnsi="宋体"/>
          <w:szCs w:val="21"/>
        </w:rPr>
      </w:pPr>
      <w:r>
        <w:rPr>
          <w:rFonts w:hint="eastAsia" w:ascii="宋体" w:hAnsi="宋体"/>
          <w:szCs w:val="21"/>
        </w:rPr>
        <w:t>价格扣除比例对小型企业和微型企业同等对待，不作区分。</w:t>
      </w:r>
    </w:p>
    <w:p>
      <w:pPr>
        <w:spacing w:line="400" w:lineRule="exact"/>
        <w:rPr>
          <w:rFonts w:ascii="宋体" w:hAnsi="宋体"/>
          <w:szCs w:val="21"/>
        </w:rPr>
      </w:pPr>
      <w:r>
        <w:rPr>
          <w:rFonts w:hint="eastAsia" w:ascii="宋体" w:hAnsi="宋体"/>
          <w:b/>
          <w:szCs w:val="21"/>
        </w:rPr>
        <w:t xml:space="preserve">31.6  </w:t>
      </w:r>
      <w:r>
        <w:rPr>
          <w:rFonts w:hint="eastAsia" w:ascii="宋体" w:hAnsi="宋体"/>
          <w:szCs w:val="21"/>
        </w:rPr>
        <w:t>享受扶持政策获得政府采购合同的，小微企业不得将合同分包给大中型企业，中型企业不得将合同分包给大型企业。</w:t>
      </w:r>
    </w:p>
    <w:p>
      <w:pPr>
        <w:spacing w:line="400" w:lineRule="exact"/>
        <w:rPr>
          <w:rFonts w:ascii="宋体" w:hAnsi="宋体"/>
          <w:szCs w:val="21"/>
        </w:rPr>
      </w:pPr>
      <w:r>
        <w:rPr>
          <w:rFonts w:hint="eastAsia" w:ascii="宋体" w:hAnsi="宋体"/>
          <w:b/>
          <w:szCs w:val="21"/>
        </w:rPr>
        <w:t xml:space="preserve">31.7  </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ascii="宋体" w:hAnsi="宋体"/>
          <w:szCs w:val="21"/>
        </w:rPr>
      </w:pPr>
      <w:r>
        <w:rPr>
          <w:rFonts w:hint="eastAsia" w:ascii="宋体" w:hAnsi="宋体"/>
          <w:b/>
          <w:szCs w:val="21"/>
        </w:rPr>
        <w:t>31.8</w:t>
      </w:r>
      <w:r>
        <w:rPr>
          <w:rFonts w:hint="eastAsia" w:ascii="宋体" w:hAnsi="宋体"/>
          <w:szCs w:val="21"/>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pPr>
        <w:spacing w:line="400" w:lineRule="exact"/>
        <w:rPr>
          <w:rFonts w:ascii="宋体" w:hAnsi="宋体"/>
          <w:szCs w:val="21"/>
        </w:rPr>
      </w:pPr>
      <w:r>
        <w:rPr>
          <w:rFonts w:ascii="宋体" w:hAnsi="宋体"/>
          <w:b/>
          <w:szCs w:val="21"/>
        </w:rPr>
        <w:t>3</w:t>
      </w:r>
      <w:r>
        <w:rPr>
          <w:rFonts w:hint="eastAsia" w:ascii="宋体" w:hAnsi="宋体"/>
          <w:b/>
          <w:szCs w:val="21"/>
        </w:rPr>
        <w:t>1</w:t>
      </w:r>
      <w:r>
        <w:rPr>
          <w:rFonts w:ascii="宋体" w:hAnsi="宋体"/>
          <w:b/>
          <w:szCs w:val="21"/>
        </w:rPr>
        <w:t>.</w:t>
      </w:r>
      <w:r>
        <w:rPr>
          <w:rFonts w:hint="eastAsia" w:ascii="宋体" w:hAnsi="宋体"/>
          <w:b/>
          <w:szCs w:val="21"/>
        </w:rPr>
        <w:t>9</w:t>
      </w:r>
      <w:r>
        <w:rPr>
          <w:rFonts w:hint="eastAsia" w:ascii="宋体" w:hAnsi="宋体"/>
          <w:szCs w:val="21"/>
        </w:rPr>
        <w:t>执行财政部、国家环保总局《关于环境标志产品政府采购实施的意见》，政府采购优先采购环境标志产品，本项目将对环境标志产品给予一定幅度的价格扣除或技术加分，具体见 “评标标准”说明。</w:t>
      </w:r>
    </w:p>
    <w:p>
      <w:pPr>
        <w:spacing w:line="400" w:lineRule="exact"/>
        <w:rPr>
          <w:rFonts w:ascii="宋体" w:hAnsi="宋体"/>
          <w:szCs w:val="21"/>
        </w:rPr>
      </w:pPr>
      <w:r>
        <w:rPr>
          <w:rFonts w:ascii="宋体" w:hAnsi="宋体"/>
          <w:b/>
          <w:szCs w:val="21"/>
        </w:rPr>
        <w:t>3</w:t>
      </w:r>
      <w:r>
        <w:rPr>
          <w:rFonts w:hint="eastAsia" w:ascii="宋体" w:hAnsi="宋体"/>
          <w:b/>
          <w:szCs w:val="21"/>
        </w:rPr>
        <w:t>1</w:t>
      </w:r>
      <w:r>
        <w:rPr>
          <w:rFonts w:ascii="宋体" w:hAnsi="宋体"/>
          <w:b/>
          <w:szCs w:val="21"/>
        </w:rPr>
        <w:t>.</w:t>
      </w:r>
      <w:r>
        <w:rPr>
          <w:rFonts w:hint="eastAsia" w:ascii="宋体" w:hAnsi="宋体"/>
          <w:b/>
          <w:szCs w:val="21"/>
        </w:rPr>
        <w:t>10</w:t>
      </w:r>
      <w:r>
        <w:rPr>
          <w:rFonts w:hint="eastAsia" w:ascii="宋体" w:hAnsi="宋体"/>
          <w:szCs w:val="21"/>
        </w:rPr>
        <w:t>执行财政部、国家发展改革委员会《节能产品政府采购实施意见》，政府采购优先采购节能产品，本项目将对节能产品给予一定幅度的价格扣除或技术加分，具体见招标文件“评标标准”说明。</w:t>
      </w:r>
    </w:p>
    <w:p>
      <w:pPr>
        <w:spacing w:line="400" w:lineRule="exact"/>
        <w:rPr>
          <w:rFonts w:ascii="宋体" w:hAnsi="宋体"/>
          <w:szCs w:val="21"/>
        </w:rPr>
      </w:pPr>
      <w:r>
        <w:rPr>
          <w:rFonts w:hint="eastAsia" w:ascii="宋体" w:hAnsi="宋体"/>
          <w:b/>
          <w:szCs w:val="21"/>
        </w:rPr>
        <w:t xml:space="preserve">31.11  </w:t>
      </w:r>
      <w:r>
        <w:rPr>
          <w:rFonts w:hint="eastAsia" w:ascii="宋体" w:hAnsi="宋体"/>
          <w:szCs w:val="21"/>
        </w:rPr>
        <w:t>进口产品采购需符合“财政部关于印发《政府采购进口产品管理办法》的通知（财库[2007]119号）”第四、八、九、十、十一条的规定。</w:t>
      </w:r>
    </w:p>
    <w:p>
      <w:pPr>
        <w:spacing w:line="400" w:lineRule="exact"/>
        <w:rPr>
          <w:rFonts w:ascii="宋体" w:hAnsi="宋体"/>
          <w:b/>
          <w:szCs w:val="21"/>
        </w:rPr>
      </w:pPr>
    </w:p>
    <w:p>
      <w:pPr>
        <w:spacing w:line="400" w:lineRule="exact"/>
        <w:rPr>
          <w:rFonts w:ascii="宋体" w:hAnsi="宋体"/>
          <w:b/>
          <w:szCs w:val="21"/>
        </w:rPr>
      </w:pPr>
      <w:r>
        <w:rPr>
          <w:rFonts w:hint="eastAsia" w:ascii="宋体" w:hAnsi="宋体"/>
          <w:b/>
          <w:szCs w:val="21"/>
        </w:rPr>
        <w:t>32.询问、质疑、投诉</w:t>
      </w:r>
    </w:p>
    <w:p>
      <w:pPr>
        <w:spacing w:line="400" w:lineRule="exact"/>
        <w:rPr>
          <w:rFonts w:ascii="宋体" w:hAnsi="宋体"/>
          <w:b/>
          <w:szCs w:val="21"/>
        </w:rPr>
      </w:pPr>
      <w:r>
        <w:rPr>
          <w:rFonts w:hint="eastAsia" w:ascii="宋体" w:hAnsi="宋体"/>
          <w:b/>
          <w:szCs w:val="21"/>
        </w:rPr>
        <w:t>32.1 询问</w:t>
      </w:r>
    </w:p>
    <w:p>
      <w:pPr>
        <w:spacing w:line="400" w:lineRule="exact"/>
        <w:ind w:firstLine="420" w:firstLineChars="200"/>
        <w:rPr>
          <w:rFonts w:ascii="宋体" w:hAnsi="宋体"/>
          <w:bCs/>
          <w:szCs w:val="21"/>
        </w:rPr>
      </w:pPr>
      <w:r>
        <w:rPr>
          <w:rFonts w:hint="eastAsia" w:ascii="宋体" w:hAnsi="宋体"/>
          <w:bCs/>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00" w:lineRule="exact"/>
        <w:rPr>
          <w:rFonts w:ascii="宋体" w:hAnsi="宋体"/>
          <w:b/>
          <w:szCs w:val="21"/>
        </w:rPr>
      </w:pPr>
      <w:r>
        <w:rPr>
          <w:rFonts w:hint="eastAsia" w:ascii="宋体" w:hAnsi="宋体"/>
          <w:b/>
          <w:szCs w:val="21"/>
        </w:rPr>
        <w:t>32.2 质疑</w:t>
      </w:r>
    </w:p>
    <w:p>
      <w:pPr>
        <w:spacing w:line="400" w:lineRule="exact"/>
        <w:rPr>
          <w:rFonts w:ascii="宋体" w:hAnsi="宋体"/>
          <w:bCs/>
          <w:szCs w:val="21"/>
        </w:rPr>
      </w:pPr>
      <w:r>
        <w:rPr>
          <w:rFonts w:hint="eastAsia" w:ascii="宋体" w:hAnsi="宋体"/>
          <w:b/>
          <w:szCs w:val="21"/>
        </w:rPr>
        <w:t>32.2.1</w:t>
      </w:r>
      <w:r>
        <w:rPr>
          <w:rFonts w:hint="eastAsia" w:ascii="宋体" w:hAnsi="宋体"/>
          <w:bCs/>
          <w:szCs w:val="21"/>
        </w:rPr>
        <w:t>提出质疑的供应商应当是参与所质疑项目采购活动的供应商。潜在供应商已依法获取其可质疑的招标文件的，可以对该文件提出质疑。</w:t>
      </w:r>
    </w:p>
    <w:p>
      <w:pPr>
        <w:spacing w:line="400" w:lineRule="exact"/>
        <w:rPr>
          <w:rFonts w:ascii="宋体" w:hAnsi="宋体"/>
          <w:bCs/>
          <w:szCs w:val="21"/>
        </w:rPr>
      </w:pPr>
      <w:r>
        <w:rPr>
          <w:rFonts w:hint="eastAsia" w:ascii="宋体" w:hAnsi="宋体"/>
          <w:b/>
          <w:szCs w:val="21"/>
        </w:rPr>
        <w:t>32.2.2</w:t>
      </w:r>
      <w:r>
        <w:rPr>
          <w:rFonts w:hint="eastAsia" w:ascii="宋体" w:hAnsi="宋体"/>
          <w:bCs/>
          <w:szCs w:val="21"/>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400" w:lineRule="exact"/>
        <w:rPr>
          <w:rFonts w:ascii="宋体" w:hAnsi="宋体"/>
          <w:bCs/>
          <w:szCs w:val="21"/>
        </w:rPr>
      </w:pPr>
      <w:r>
        <w:rPr>
          <w:rFonts w:hint="eastAsia" w:ascii="宋体" w:hAnsi="宋体"/>
          <w:b/>
          <w:szCs w:val="21"/>
        </w:rPr>
        <w:t>32.2.2.1</w:t>
      </w:r>
      <w:r>
        <w:rPr>
          <w:rFonts w:hint="eastAsia" w:ascii="宋体" w:hAnsi="宋体"/>
          <w:bCs/>
          <w:szCs w:val="21"/>
        </w:rPr>
        <w:t>对招标文件提出质疑的，质疑期限为供应商获得招标文件之日或者招标文件公告期限届满之日起计算。</w:t>
      </w:r>
    </w:p>
    <w:p>
      <w:pPr>
        <w:spacing w:line="400" w:lineRule="exact"/>
        <w:rPr>
          <w:rFonts w:ascii="宋体" w:hAnsi="宋体"/>
          <w:bCs/>
          <w:szCs w:val="21"/>
        </w:rPr>
      </w:pPr>
      <w:r>
        <w:rPr>
          <w:rFonts w:hint="eastAsia" w:ascii="宋体" w:hAnsi="宋体"/>
          <w:b/>
          <w:szCs w:val="21"/>
        </w:rPr>
        <w:t>32.2.2.2</w:t>
      </w:r>
      <w:r>
        <w:rPr>
          <w:rFonts w:hint="eastAsia" w:ascii="宋体" w:hAnsi="宋体"/>
          <w:bCs/>
          <w:szCs w:val="21"/>
        </w:rPr>
        <w:t>对采购过程提出质疑的，质疑期限为各采购程序环节结束之日起计算。对同一采购程序环节的质疑，供应商须一次性提出。</w:t>
      </w:r>
    </w:p>
    <w:p>
      <w:pPr>
        <w:spacing w:line="400" w:lineRule="exact"/>
        <w:rPr>
          <w:rFonts w:ascii="宋体" w:hAnsi="宋体"/>
          <w:bCs/>
          <w:szCs w:val="21"/>
        </w:rPr>
      </w:pPr>
      <w:r>
        <w:rPr>
          <w:rFonts w:hint="eastAsia" w:ascii="宋体" w:hAnsi="宋体"/>
          <w:b/>
          <w:szCs w:val="21"/>
        </w:rPr>
        <w:t>32.2.2.3</w:t>
      </w:r>
      <w:r>
        <w:rPr>
          <w:rFonts w:hint="eastAsia" w:ascii="宋体" w:hAnsi="宋体"/>
          <w:bCs/>
          <w:szCs w:val="21"/>
        </w:rPr>
        <w:t>对采购结果提出质疑的，质疑期限自采购结果公告期限届满之日起计算。</w:t>
      </w:r>
    </w:p>
    <w:p>
      <w:pPr>
        <w:spacing w:line="400" w:lineRule="exact"/>
        <w:rPr>
          <w:rFonts w:ascii="宋体" w:hAnsi="宋体"/>
          <w:bCs/>
          <w:szCs w:val="21"/>
        </w:rPr>
      </w:pPr>
      <w:r>
        <w:rPr>
          <w:rFonts w:hint="eastAsia" w:ascii="宋体" w:hAnsi="宋体"/>
          <w:b/>
          <w:szCs w:val="21"/>
        </w:rPr>
        <w:t>32.2.3</w:t>
      </w:r>
      <w:r>
        <w:rPr>
          <w:rFonts w:hint="eastAsia" w:ascii="宋体" w:hAnsi="宋体"/>
          <w:bCs/>
          <w:szCs w:val="21"/>
        </w:rPr>
        <w:t>供应商提出质疑应当提交质疑函和必要的证明材料。质疑函应当包括下列内容：</w:t>
      </w:r>
    </w:p>
    <w:p>
      <w:pPr>
        <w:spacing w:line="400" w:lineRule="exact"/>
        <w:rPr>
          <w:rFonts w:ascii="宋体" w:hAnsi="宋体"/>
          <w:bCs/>
          <w:szCs w:val="21"/>
        </w:rPr>
      </w:pPr>
      <w:r>
        <w:rPr>
          <w:rFonts w:hint="eastAsia" w:ascii="宋体" w:hAnsi="宋体"/>
          <w:b/>
          <w:szCs w:val="21"/>
        </w:rPr>
        <w:t>32.2.3.1</w:t>
      </w:r>
      <w:r>
        <w:rPr>
          <w:rFonts w:hint="eastAsia" w:ascii="宋体" w:hAnsi="宋体"/>
          <w:bCs/>
          <w:szCs w:val="21"/>
        </w:rPr>
        <w:t>供应商的姓名或者名称、地址、邮编、联系人及联系电话；</w:t>
      </w:r>
    </w:p>
    <w:p>
      <w:pPr>
        <w:spacing w:line="400" w:lineRule="exact"/>
        <w:rPr>
          <w:rFonts w:ascii="宋体" w:hAnsi="宋体"/>
          <w:bCs/>
          <w:szCs w:val="21"/>
        </w:rPr>
      </w:pPr>
      <w:r>
        <w:rPr>
          <w:rFonts w:hint="eastAsia" w:ascii="宋体" w:hAnsi="宋体"/>
          <w:b/>
          <w:szCs w:val="21"/>
        </w:rPr>
        <w:t>32.2.3.2</w:t>
      </w:r>
      <w:r>
        <w:rPr>
          <w:rFonts w:hint="eastAsia" w:ascii="宋体" w:hAnsi="宋体"/>
          <w:bCs/>
          <w:szCs w:val="21"/>
        </w:rPr>
        <w:t>质疑项目的名称、编号；</w:t>
      </w:r>
    </w:p>
    <w:p>
      <w:pPr>
        <w:spacing w:line="400" w:lineRule="exact"/>
        <w:rPr>
          <w:rFonts w:ascii="宋体" w:hAnsi="宋体"/>
          <w:bCs/>
          <w:szCs w:val="21"/>
        </w:rPr>
      </w:pPr>
      <w:r>
        <w:rPr>
          <w:rFonts w:hint="eastAsia" w:ascii="宋体" w:hAnsi="宋体"/>
          <w:b/>
          <w:szCs w:val="21"/>
        </w:rPr>
        <w:t>32.2.3.3</w:t>
      </w:r>
      <w:r>
        <w:rPr>
          <w:rFonts w:hint="eastAsia" w:ascii="宋体" w:hAnsi="宋体"/>
          <w:bCs/>
          <w:szCs w:val="21"/>
        </w:rPr>
        <w:t>具体、明确的质疑事项和与质疑事项相关的请求；</w:t>
      </w:r>
    </w:p>
    <w:p>
      <w:pPr>
        <w:spacing w:line="400" w:lineRule="exact"/>
        <w:rPr>
          <w:rFonts w:ascii="宋体" w:hAnsi="宋体"/>
          <w:bCs/>
          <w:szCs w:val="21"/>
        </w:rPr>
      </w:pPr>
      <w:r>
        <w:rPr>
          <w:rFonts w:hint="eastAsia" w:ascii="宋体" w:hAnsi="宋体"/>
          <w:b/>
          <w:szCs w:val="21"/>
        </w:rPr>
        <w:t>32.2.3.4</w:t>
      </w:r>
      <w:r>
        <w:rPr>
          <w:rFonts w:hint="eastAsia" w:ascii="宋体" w:hAnsi="宋体"/>
          <w:bCs/>
          <w:szCs w:val="21"/>
        </w:rPr>
        <w:t>事实依据；</w:t>
      </w:r>
    </w:p>
    <w:p>
      <w:pPr>
        <w:spacing w:line="400" w:lineRule="exact"/>
        <w:rPr>
          <w:rFonts w:ascii="宋体" w:hAnsi="宋体"/>
          <w:bCs/>
          <w:szCs w:val="21"/>
        </w:rPr>
      </w:pPr>
      <w:r>
        <w:rPr>
          <w:rFonts w:hint="eastAsia" w:ascii="宋体" w:hAnsi="宋体"/>
          <w:b/>
          <w:szCs w:val="21"/>
        </w:rPr>
        <w:t>32.2.3.5</w:t>
      </w:r>
      <w:r>
        <w:rPr>
          <w:rFonts w:hint="eastAsia" w:ascii="宋体" w:hAnsi="宋体"/>
          <w:bCs/>
          <w:szCs w:val="21"/>
        </w:rPr>
        <w:t>必要的法律依据；</w:t>
      </w:r>
    </w:p>
    <w:p>
      <w:pPr>
        <w:spacing w:line="400" w:lineRule="exact"/>
        <w:rPr>
          <w:rFonts w:ascii="宋体" w:hAnsi="宋体"/>
          <w:bCs/>
          <w:szCs w:val="21"/>
        </w:rPr>
      </w:pPr>
      <w:r>
        <w:rPr>
          <w:rFonts w:hint="eastAsia" w:ascii="宋体" w:hAnsi="宋体"/>
          <w:b/>
          <w:szCs w:val="21"/>
        </w:rPr>
        <w:t>32.2.3.6</w:t>
      </w:r>
      <w:r>
        <w:rPr>
          <w:rFonts w:hint="eastAsia" w:ascii="宋体" w:hAnsi="宋体"/>
          <w:bCs/>
          <w:szCs w:val="21"/>
        </w:rPr>
        <w:t>提出质疑的日期。</w:t>
      </w:r>
    </w:p>
    <w:p>
      <w:pPr>
        <w:spacing w:line="400" w:lineRule="exact"/>
        <w:rPr>
          <w:rFonts w:ascii="宋体" w:hAnsi="宋体"/>
          <w:bCs/>
          <w:szCs w:val="21"/>
        </w:rPr>
      </w:pPr>
      <w:r>
        <w:rPr>
          <w:rFonts w:hint="eastAsia" w:ascii="宋体" w:hAnsi="宋体"/>
          <w:bCs/>
          <w:szCs w:val="21"/>
        </w:rPr>
        <w:t>供应商提交的质疑函需一式三份。供应商为自然人的，应当由本人签字；供应商为法人或者其他组织的，应当由法定代表人、主要负责人，或者其授权代表签字或者盖章，并加盖公章。</w:t>
      </w:r>
    </w:p>
    <w:p>
      <w:pPr>
        <w:spacing w:line="400" w:lineRule="exact"/>
        <w:rPr>
          <w:rFonts w:ascii="宋体" w:hAnsi="宋体"/>
          <w:bCs/>
          <w:szCs w:val="21"/>
        </w:rPr>
      </w:pPr>
      <w:r>
        <w:rPr>
          <w:rFonts w:hint="eastAsia" w:ascii="宋体" w:hAnsi="宋体"/>
          <w:bCs/>
          <w:szCs w:val="21"/>
        </w:rPr>
        <w:t>质疑函格式和内容须符合财政部《质疑函范本》要求，供应商可到中国政府采购网自行下载财政部《质疑函范本》。</w:t>
      </w:r>
    </w:p>
    <w:p>
      <w:pPr>
        <w:spacing w:line="400" w:lineRule="exact"/>
        <w:rPr>
          <w:rFonts w:ascii="宋体" w:hAnsi="宋体"/>
          <w:bCs/>
          <w:szCs w:val="21"/>
        </w:rPr>
      </w:pPr>
      <w:r>
        <w:rPr>
          <w:rFonts w:hint="eastAsia" w:ascii="宋体" w:hAnsi="宋体"/>
          <w:b/>
          <w:szCs w:val="21"/>
        </w:rPr>
        <w:t>32.2.4</w:t>
      </w:r>
      <w:r>
        <w:rPr>
          <w:rFonts w:hint="eastAsia" w:ascii="宋体" w:hAnsi="宋体"/>
          <w:bCs/>
          <w:szCs w:val="21"/>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400" w:lineRule="exact"/>
        <w:rPr>
          <w:rFonts w:ascii="宋体" w:hAnsi="宋体"/>
          <w:bCs/>
          <w:szCs w:val="21"/>
        </w:rPr>
      </w:pPr>
      <w:r>
        <w:rPr>
          <w:rFonts w:hint="eastAsia" w:ascii="宋体" w:hAnsi="宋体"/>
          <w:b/>
          <w:szCs w:val="21"/>
        </w:rPr>
        <w:t>32.2.5</w:t>
      </w:r>
      <w:r>
        <w:rPr>
          <w:rFonts w:hint="eastAsia" w:ascii="宋体" w:hAnsi="宋体"/>
          <w:bCs/>
          <w:szCs w:val="21"/>
        </w:rPr>
        <w:t>询问或者质疑事项可能影响采购结果的，采购人应当暂停签订合同，已经签订合同的，应当中止履行合同。</w:t>
      </w:r>
    </w:p>
    <w:p>
      <w:pPr>
        <w:spacing w:line="400" w:lineRule="exact"/>
        <w:rPr>
          <w:rFonts w:ascii="宋体" w:hAnsi="宋体"/>
          <w:b/>
          <w:szCs w:val="21"/>
        </w:rPr>
      </w:pPr>
      <w:r>
        <w:rPr>
          <w:rFonts w:hint="eastAsia" w:ascii="宋体" w:hAnsi="宋体"/>
          <w:b/>
          <w:szCs w:val="21"/>
        </w:rPr>
        <w:t>32.3 投诉</w:t>
      </w:r>
    </w:p>
    <w:p>
      <w:pPr>
        <w:spacing w:line="400" w:lineRule="exact"/>
        <w:rPr>
          <w:rFonts w:ascii="宋体" w:hAnsi="宋体"/>
          <w:bCs/>
          <w:szCs w:val="21"/>
        </w:rPr>
      </w:pPr>
      <w:r>
        <w:rPr>
          <w:rFonts w:hint="eastAsia" w:ascii="宋体" w:hAnsi="宋体"/>
          <w:b/>
          <w:szCs w:val="21"/>
        </w:rPr>
        <w:t>32.3.1</w:t>
      </w:r>
      <w:r>
        <w:rPr>
          <w:rFonts w:hint="eastAsia" w:ascii="宋体" w:hAnsi="宋体"/>
          <w:bCs/>
          <w:szCs w:val="21"/>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szCs w:val="21"/>
        </w:rPr>
        <w:t>投诉函格式和内容须符合财政部《投诉函范本》要求，供应商可到中国政府采购网自行下载财政部《投诉函范本》。</w:t>
      </w:r>
    </w:p>
    <w:p>
      <w:pPr>
        <w:spacing w:line="400" w:lineRule="exact"/>
        <w:rPr>
          <w:rFonts w:ascii="宋体" w:hAnsi="宋体"/>
          <w:bCs/>
          <w:szCs w:val="21"/>
        </w:rPr>
      </w:pPr>
      <w:r>
        <w:rPr>
          <w:rFonts w:hint="eastAsia" w:ascii="宋体" w:hAnsi="宋体"/>
          <w:b/>
          <w:szCs w:val="21"/>
        </w:rPr>
        <w:t>32.3.2</w:t>
      </w:r>
      <w:r>
        <w:rPr>
          <w:rFonts w:hint="eastAsia" w:ascii="宋体" w:hAnsi="宋体"/>
          <w:bCs/>
          <w:szCs w:val="21"/>
        </w:rPr>
        <w:t>供应商投诉的事项不得超出已质疑事项的范围，基于质疑答复内容提出的投诉事项除外。</w:t>
      </w:r>
    </w:p>
    <w:p>
      <w:pPr>
        <w:spacing w:line="400" w:lineRule="exact"/>
        <w:rPr>
          <w:rFonts w:ascii="宋体" w:hAnsi="宋体"/>
          <w:bCs/>
          <w:szCs w:val="21"/>
        </w:rPr>
      </w:pPr>
      <w:r>
        <w:rPr>
          <w:rFonts w:hint="eastAsia" w:ascii="宋体" w:hAnsi="宋体"/>
          <w:b/>
          <w:szCs w:val="21"/>
        </w:rPr>
        <w:t>32.3.3</w:t>
      </w:r>
      <w:r>
        <w:rPr>
          <w:rFonts w:hint="eastAsia" w:ascii="宋体" w:hAnsi="宋体"/>
          <w:bCs/>
          <w:szCs w:val="21"/>
        </w:rPr>
        <w:t>供应商投诉应当有明确的请求和必要的证明材料。</w:t>
      </w:r>
    </w:p>
    <w:p>
      <w:pPr>
        <w:spacing w:line="400" w:lineRule="exact"/>
        <w:rPr>
          <w:rFonts w:ascii="宋体" w:hAnsi="宋体"/>
          <w:bCs/>
          <w:szCs w:val="21"/>
        </w:rPr>
      </w:pPr>
      <w:r>
        <w:rPr>
          <w:rFonts w:hint="eastAsia" w:ascii="宋体" w:hAnsi="宋体"/>
          <w:b/>
          <w:szCs w:val="21"/>
        </w:rPr>
        <w:t>32.3.4</w:t>
      </w:r>
      <w:r>
        <w:rPr>
          <w:rFonts w:hint="eastAsia" w:ascii="宋体" w:hAnsi="宋体"/>
          <w:bCs/>
          <w:szCs w:val="21"/>
        </w:rPr>
        <w:t xml:space="preserve"> 以联合体形式参加政府采购活动的，其投诉应当由组成联合体的所有供应商共同提出。</w:t>
      </w:r>
    </w:p>
    <w:p>
      <w:pPr>
        <w:spacing w:line="440" w:lineRule="exact"/>
        <w:ind w:firstLine="105" w:firstLineChars="50"/>
        <w:rPr>
          <w:rFonts w:ascii="宋体" w:hAnsi="宋体"/>
          <w:szCs w:val="21"/>
        </w:rPr>
      </w:pPr>
    </w:p>
    <w:p>
      <w:pPr>
        <w:spacing w:line="440" w:lineRule="exact"/>
        <w:rPr>
          <w:rFonts w:ascii="宋体" w:hAnsi="宋体"/>
          <w:szCs w:val="21"/>
        </w:rPr>
      </w:pPr>
      <w:r>
        <w:rPr>
          <w:rFonts w:hint="eastAsia" w:ascii="宋体" w:hAnsi="宋体"/>
          <w:b/>
          <w:szCs w:val="21"/>
        </w:rPr>
        <w:t>33.联合体规定</w:t>
      </w:r>
    </w:p>
    <w:p>
      <w:pPr>
        <w:spacing w:line="440" w:lineRule="exact"/>
        <w:rPr>
          <w:rFonts w:ascii="宋体" w:hAnsi="宋体"/>
          <w:szCs w:val="21"/>
        </w:rPr>
      </w:pPr>
      <w:r>
        <w:rPr>
          <w:rFonts w:hint="eastAsia" w:ascii="宋体" w:hAnsi="宋体"/>
          <w:b/>
          <w:szCs w:val="21"/>
        </w:rPr>
        <w:t>33.1</w:t>
      </w:r>
      <w:r>
        <w:rPr>
          <w:rFonts w:hint="eastAsia" w:ascii="宋体" w:hAnsi="宋体"/>
          <w:szCs w:val="21"/>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pPr>
        <w:spacing w:line="440" w:lineRule="exact"/>
        <w:rPr>
          <w:rFonts w:ascii="宋体" w:hAnsi="宋体"/>
          <w:szCs w:val="21"/>
        </w:rPr>
      </w:pPr>
      <w:r>
        <w:rPr>
          <w:rFonts w:hint="eastAsia" w:ascii="宋体" w:hAnsi="宋体"/>
          <w:b/>
          <w:szCs w:val="21"/>
        </w:rPr>
        <w:t>33.2</w:t>
      </w:r>
      <w:r>
        <w:rPr>
          <w:rFonts w:hint="eastAsia" w:ascii="宋体" w:hAnsi="宋体"/>
          <w:szCs w:val="21"/>
        </w:rPr>
        <w:t xml:space="preserve">  联合体中有同类资质的投标人按照联合体分工承担相同工作的，按照资质等级较低的投标人认定资质等级。</w:t>
      </w:r>
    </w:p>
    <w:p>
      <w:pPr>
        <w:spacing w:line="440" w:lineRule="exact"/>
        <w:rPr>
          <w:rFonts w:ascii="宋体" w:hAnsi="宋体"/>
          <w:szCs w:val="21"/>
        </w:rPr>
      </w:pPr>
      <w:r>
        <w:rPr>
          <w:rFonts w:hint="eastAsia" w:ascii="宋体" w:hAnsi="宋体"/>
          <w:b/>
          <w:szCs w:val="21"/>
        </w:rPr>
        <w:t xml:space="preserve">33.3 </w:t>
      </w:r>
      <w:r>
        <w:rPr>
          <w:rFonts w:hint="eastAsia" w:ascii="宋体" w:hAnsi="宋体"/>
          <w:szCs w:val="21"/>
        </w:rPr>
        <w:t xml:space="preserve"> 以联合体形式参加政府采购活动的，联合体各方不得再单独参加或者与其他投标人另外组成联合体参加同一标项号的政府采购活动。</w:t>
      </w:r>
    </w:p>
    <w:p>
      <w:pPr>
        <w:spacing w:line="440" w:lineRule="exact"/>
        <w:rPr>
          <w:rFonts w:ascii="宋体" w:hAnsi="宋体"/>
          <w:szCs w:val="21"/>
        </w:rPr>
      </w:pPr>
      <w:r>
        <w:rPr>
          <w:rFonts w:hint="eastAsia" w:ascii="宋体" w:hAnsi="宋体"/>
          <w:b/>
          <w:bCs/>
          <w:szCs w:val="21"/>
        </w:rPr>
        <w:t xml:space="preserve">33.4 </w:t>
      </w:r>
      <w:r>
        <w:rPr>
          <w:rFonts w:hint="eastAsia" w:ascii="宋体" w:hAnsi="宋体"/>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pPr>
        <w:spacing w:line="400" w:lineRule="exact"/>
        <w:ind w:firstLine="102" w:firstLineChars="49"/>
        <w:rPr>
          <w:rFonts w:ascii="宋体" w:hAnsi="宋体" w:cs="宋体"/>
          <w:kern w:val="0"/>
          <w:szCs w:val="21"/>
        </w:rPr>
      </w:pPr>
    </w:p>
    <w:p>
      <w:pPr>
        <w:pStyle w:val="4"/>
        <w:spacing w:line="440" w:lineRule="exact"/>
        <w:rPr>
          <w:rFonts w:ascii="宋体" w:hAnsi="宋体"/>
          <w:sz w:val="21"/>
          <w:szCs w:val="21"/>
        </w:rPr>
      </w:pPr>
    </w:p>
    <w:bookmarkEnd w:id="71"/>
    <w:bookmarkEnd w:id="72"/>
    <w:bookmarkEnd w:id="73"/>
    <w:bookmarkEnd w:id="74"/>
    <w:bookmarkEnd w:id="75"/>
    <w:bookmarkEnd w:id="76"/>
    <w:bookmarkEnd w:id="77"/>
    <w:bookmarkEnd w:id="78"/>
    <w:p>
      <w:pPr>
        <w:spacing w:line="440" w:lineRule="exact"/>
        <w:ind w:firstLine="110" w:firstLineChars="50"/>
        <w:rPr>
          <w:rFonts w:ascii="宋体" w:hAnsi="宋体"/>
          <w:sz w:val="22"/>
          <w:szCs w:val="22"/>
        </w:rPr>
        <w:sectPr>
          <w:pgSz w:w="11907" w:h="16840"/>
          <w:pgMar w:top="1111" w:right="1701" w:bottom="1428" w:left="1701" w:header="720" w:footer="720" w:gutter="0"/>
          <w:cols w:space="720" w:num="1"/>
          <w:docGrid w:type="linesAndChars" w:linePitch="286" w:charSpace="0"/>
        </w:sectPr>
      </w:pPr>
    </w:p>
    <w:p>
      <w:pPr>
        <w:pStyle w:val="3"/>
        <w:spacing w:beforeLines="0" w:afterLines="0" w:line="360" w:lineRule="auto"/>
        <w:rPr>
          <w:rFonts w:ascii="宋体" w:hAnsi="宋体"/>
          <w:sz w:val="32"/>
          <w:szCs w:val="32"/>
        </w:rPr>
      </w:pPr>
      <w:bookmarkStart w:id="128" w:name="_Toc25798"/>
      <w:bookmarkStart w:id="129" w:name="_Toc136345111"/>
      <w:bookmarkStart w:id="130" w:name="_Toc316649302"/>
      <w:r>
        <w:rPr>
          <w:rFonts w:hint="eastAsia" w:ascii="宋体" w:hAnsi="宋体"/>
          <w:sz w:val="32"/>
          <w:szCs w:val="32"/>
        </w:rPr>
        <w:t>第五部分  合同格式</w:t>
      </w:r>
      <w:bookmarkEnd w:id="128"/>
      <w:bookmarkEnd w:id="129"/>
      <w:bookmarkEnd w:id="130"/>
    </w:p>
    <w:p>
      <w:pPr>
        <w:spacing w:line="440" w:lineRule="exact"/>
        <w:ind w:firstLine="420" w:firstLineChars="200"/>
        <w:jc w:val="center"/>
        <w:rPr>
          <w:rFonts w:ascii="宋体" w:hAnsi="宋体"/>
          <w:szCs w:val="21"/>
        </w:rPr>
      </w:pPr>
      <w:bookmarkStart w:id="131" w:name="_Toc298230959"/>
    </w:p>
    <w:p>
      <w:pPr>
        <w:spacing w:beforeLines="0" w:line="440" w:lineRule="exact"/>
        <w:ind w:firstLine="422" w:firstLineChars="200"/>
        <w:rPr>
          <w:rFonts w:ascii="宋体" w:hAnsi="宋体"/>
          <w:b/>
          <w:szCs w:val="21"/>
        </w:rPr>
      </w:pPr>
    </w:p>
    <w:p>
      <w:pPr>
        <w:pStyle w:val="22"/>
        <w:keepNext w:val="0"/>
        <w:keepLines w:val="0"/>
        <w:pageBreakBefore w:val="0"/>
        <w:widowControl w:val="0"/>
        <w:shd w:val="clear" w:color="auto" w:fill="auto"/>
        <w:kinsoku/>
        <w:wordWrap/>
        <w:overflowPunct/>
        <w:topLinePunct w:val="0"/>
        <w:autoSpaceDE/>
        <w:autoSpaceDN/>
        <w:bidi w:val="0"/>
        <w:adjustRightInd/>
        <w:snapToGrid w:val="0"/>
        <w:spacing w:before="0" w:beforeLines="0" w:after="0" w:line="44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u w:val="single"/>
        </w:rPr>
        <w:t>宁波市江北区人民政府庄桥街道办事处</w:t>
      </w:r>
      <w:r>
        <w:rPr>
          <w:rFonts w:hint="eastAsia" w:ascii="宋体" w:hAnsi="宋体" w:eastAsia="宋体" w:cs="宋体"/>
          <w:color w:val="auto"/>
          <w:sz w:val="21"/>
          <w:szCs w:val="21"/>
          <w:highlight w:val="none"/>
          <w:u w:val="single"/>
          <w:lang w:val="en-US" w:eastAsia="zh-CN"/>
        </w:rPr>
        <w:t>（委托人）</w:t>
      </w:r>
    </w:p>
    <w:p>
      <w:pPr>
        <w:pStyle w:val="22"/>
        <w:keepNext w:val="0"/>
        <w:keepLines w:val="0"/>
        <w:pageBreakBefore w:val="0"/>
        <w:widowControl w:val="0"/>
        <w:shd w:val="clear" w:color="auto" w:fill="auto"/>
        <w:kinsoku/>
        <w:wordWrap/>
        <w:overflowPunct/>
        <w:topLinePunct w:val="0"/>
        <w:autoSpaceDE/>
        <w:autoSpaceDN/>
        <w:bidi w:val="0"/>
        <w:adjustRightInd/>
        <w:snapToGrid w:val="0"/>
        <w:spacing w:before="0" w:beforeLines="0" w:after="0" w:line="440" w:lineRule="exact"/>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color="auto"/>
        </w:rPr>
        <w:t>（</w:t>
      </w:r>
      <w:r>
        <w:rPr>
          <w:rFonts w:hint="eastAsia" w:ascii="宋体" w:hAnsi="宋体" w:eastAsia="宋体" w:cs="宋体"/>
          <w:color w:val="auto"/>
          <w:sz w:val="21"/>
          <w:szCs w:val="21"/>
          <w:highlight w:val="none"/>
          <w:u w:val="single" w:color="auto"/>
          <w:lang w:val="en-US" w:eastAsia="zh-CN"/>
        </w:rPr>
        <w:t>受托人</w:t>
      </w:r>
      <w:r>
        <w:rPr>
          <w:rFonts w:hint="eastAsia" w:ascii="宋体" w:hAnsi="宋体" w:eastAsia="宋体" w:cs="宋体"/>
          <w:color w:val="auto"/>
          <w:sz w:val="21"/>
          <w:szCs w:val="21"/>
          <w:highlight w:val="none"/>
          <w:u w:val="single" w:color="auto"/>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bidi w:val="0"/>
        <w:adjustRightInd/>
        <w:snapToGrid w:val="0"/>
        <w:spacing w:before="0"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u w:val="single"/>
        </w:rPr>
        <w:t>庄桥老街街区更新项目活力街区更新工程全过程咨询项目</w:t>
      </w:r>
      <w:r>
        <w:rPr>
          <w:rFonts w:hint="eastAsia" w:ascii="宋体" w:hAnsi="宋体" w:eastAsia="宋体" w:cs="宋体"/>
          <w:color w:val="auto"/>
          <w:sz w:val="21"/>
          <w:szCs w:val="21"/>
          <w:highlight w:val="none"/>
          <w:lang w:val="en-US" w:eastAsia="zh-CN"/>
        </w:rPr>
        <w:t>公开招标采购</w:t>
      </w:r>
      <w:r>
        <w:rPr>
          <w:rFonts w:hint="eastAsia" w:ascii="宋体" w:hAnsi="宋体" w:eastAsia="宋体" w:cs="宋体"/>
          <w:color w:val="auto"/>
          <w:sz w:val="21"/>
          <w:szCs w:val="21"/>
          <w:highlight w:val="none"/>
        </w:rPr>
        <w:t>的结果，甲、乙双方在平等的基础上经充分协商，签署本合同。</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项目需求：</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line="440" w:lineRule="exact"/>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shd w:val="clear" w:color="auto" w:fill="FFFFFF"/>
          <w:lang w:eastAsia="zh-CN"/>
        </w:rPr>
        <w:t>由</w:t>
      </w:r>
      <w:r>
        <w:rPr>
          <w:rFonts w:hint="eastAsia" w:ascii="宋体" w:hAnsi="宋体" w:eastAsia="宋体" w:cs="宋体"/>
          <w:color w:val="auto"/>
          <w:sz w:val="21"/>
          <w:szCs w:val="21"/>
          <w:highlight w:val="none"/>
          <w:shd w:val="clear" w:color="auto" w:fill="FFFFFF"/>
          <w:lang w:val="en-US" w:eastAsia="zh-CN"/>
        </w:rPr>
        <w:t>甲方</w:t>
      </w:r>
      <w:r>
        <w:rPr>
          <w:rFonts w:hint="eastAsia" w:ascii="宋体" w:hAnsi="宋体" w:eastAsia="宋体" w:cs="宋体"/>
          <w:color w:val="auto"/>
          <w:sz w:val="21"/>
          <w:szCs w:val="21"/>
          <w:highlight w:val="none"/>
          <w:shd w:val="clear" w:color="auto" w:fill="FFFFFF"/>
          <w:lang w:eastAsia="zh-CN"/>
        </w:rPr>
        <w:t>委托</w:t>
      </w:r>
      <w:r>
        <w:rPr>
          <w:rFonts w:hint="eastAsia" w:ascii="宋体" w:hAnsi="宋体" w:eastAsia="宋体" w:cs="宋体"/>
          <w:color w:val="auto"/>
          <w:sz w:val="21"/>
          <w:szCs w:val="21"/>
          <w:highlight w:val="none"/>
          <w:shd w:val="clear" w:color="auto" w:fill="FFFFFF"/>
          <w:lang w:val="en-US" w:eastAsia="zh-CN"/>
        </w:rPr>
        <w:t>乙方</w:t>
      </w:r>
      <w:r>
        <w:rPr>
          <w:rFonts w:hint="eastAsia" w:ascii="宋体" w:hAnsi="宋体" w:eastAsia="宋体" w:cs="宋体"/>
          <w:color w:val="auto"/>
          <w:sz w:val="21"/>
          <w:szCs w:val="21"/>
          <w:highlight w:val="none"/>
          <w:shd w:val="clear" w:color="auto" w:fill="FFFFFF"/>
          <w:lang w:eastAsia="zh-CN"/>
        </w:rPr>
        <w:t>负责</w:t>
      </w:r>
      <w:r>
        <w:rPr>
          <w:rFonts w:hint="eastAsia" w:ascii="宋体" w:hAnsi="宋体" w:eastAsia="宋体" w:cs="宋体"/>
          <w:color w:val="auto"/>
          <w:sz w:val="21"/>
          <w:szCs w:val="21"/>
          <w:highlight w:val="none"/>
          <w:u w:val="single"/>
          <w:shd w:val="clear" w:color="auto" w:fill="FFFFFF"/>
          <w:lang w:val="en-US" w:eastAsia="zh-CN"/>
        </w:rPr>
        <w:t xml:space="preserve">                </w:t>
      </w:r>
      <w:r>
        <w:rPr>
          <w:rFonts w:hint="eastAsia" w:ascii="宋体" w:hAnsi="宋体" w:eastAsia="宋体" w:cs="宋体"/>
          <w:color w:val="auto"/>
          <w:sz w:val="21"/>
          <w:szCs w:val="21"/>
          <w:highlight w:val="none"/>
          <w:u w:val="none"/>
          <w:shd w:val="clear" w:color="auto" w:fill="FFFFFF"/>
          <w:lang w:val="en-US" w:eastAsia="zh-CN"/>
        </w:rPr>
        <w:t>的</w:t>
      </w:r>
      <w:r>
        <w:rPr>
          <w:rFonts w:hint="eastAsia" w:ascii="宋体" w:hAnsi="宋体" w:eastAsia="宋体" w:cs="宋体"/>
          <w:color w:val="auto"/>
          <w:sz w:val="21"/>
          <w:szCs w:val="21"/>
          <w:highlight w:val="none"/>
        </w:rPr>
        <w:t>建设全过程的工程咨询服务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shd w:val="clear" w:color="auto" w:fill="FFFFFF"/>
        </w:rPr>
        <w:t>承担</w:t>
      </w:r>
      <w:r>
        <w:rPr>
          <w:rFonts w:hint="eastAsia" w:ascii="宋体" w:hAnsi="宋体" w:eastAsia="宋体" w:cs="宋体"/>
          <w:color w:val="auto"/>
          <w:sz w:val="21"/>
          <w:szCs w:val="21"/>
          <w:highlight w:val="none"/>
          <w:shd w:val="clear" w:color="auto" w:fill="FFFFFF"/>
          <w:lang w:val="zh-CN"/>
        </w:rPr>
        <w:t>项目建设管理服务、工程监理、工程造价咨询服务及其他受到</w:t>
      </w:r>
      <w:r>
        <w:rPr>
          <w:rFonts w:hint="eastAsia" w:ascii="宋体" w:hAnsi="宋体" w:eastAsia="宋体" w:cs="宋体"/>
          <w:color w:val="auto"/>
          <w:sz w:val="21"/>
          <w:szCs w:val="21"/>
          <w:highlight w:val="none"/>
          <w:shd w:val="clear" w:color="auto" w:fill="FFFFFF"/>
          <w:lang w:val="en-US" w:eastAsia="zh-CN"/>
        </w:rPr>
        <w:t>甲方</w:t>
      </w:r>
      <w:r>
        <w:rPr>
          <w:rFonts w:hint="eastAsia" w:ascii="宋体" w:hAnsi="宋体" w:eastAsia="宋体" w:cs="宋体"/>
          <w:color w:val="auto"/>
          <w:sz w:val="21"/>
          <w:szCs w:val="21"/>
          <w:highlight w:val="none"/>
          <w:shd w:val="clear" w:color="auto" w:fill="FFFFFF"/>
          <w:lang w:val="zh-CN"/>
        </w:rPr>
        <w:t>委托的相关工作。</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合同履行期限：</w:t>
      </w:r>
    </w:p>
    <w:p>
      <w:pPr>
        <w:pStyle w:val="2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before="0" w:beforeLines="0" w:after="0" w:line="440" w:lineRule="exact"/>
        <w:ind w:right="0" w:rightChars="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全过程工程咨询服务期限自签订合同之日起至工程竣工验收通过、缺陷责任期满，且全部资料归档，财务决算审计完成止</w:t>
      </w:r>
      <w:r>
        <w:rPr>
          <w:rFonts w:hint="eastAsia" w:ascii="宋体" w:hAnsi="宋体" w:eastAsia="宋体" w:cs="宋体"/>
          <w:color w:val="auto"/>
          <w:kern w:val="2"/>
          <w:sz w:val="21"/>
          <w:szCs w:val="21"/>
          <w:highlight w:val="none"/>
          <w:shd w:val="clear" w:color="auto" w:fill="FFFFFF"/>
          <w:lang w:val="en-US" w:eastAsia="zh-CN" w:bidi="ar-SA"/>
        </w:rPr>
        <w:t>。</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合同金额</w:t>
      </w:r>
    </w:p>
    <w:p>
      <w:pPr>
        <w:keepNext w:val="0"/>
        <w:keepLines w:val="0"/>
        <w:pageBreakBefore w:val="0"/>
        <w:kinsoku/>
        <w:wordWrap/>
        <w:overflowPunct/>
        <w:topLinePunct w:val="0"/>
        <w:bidi w:val="0"/>
        <w:spacing w:beforeLines="0" w:line="440" w:lineRule="exact"/>
        <w:ind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根据全过程工程咨询服务范围和内容，本项目的正常报酬约定如下：</w:t>
      </w:r>
    </w:p>
    <w:p>
      <w:pPr>
        <w:keepNext w:val="0"/>
        <w:keepLines w:val="0"/>
        <w:pageBreakBefore w:val="0"/>
        <w:kinsoku/>
        <w:wordWrap/>
        <w:overflowPunct/>
        <w:topLinePunct w:val="0"/>
        <w:bidi w:val="0"/>
        <w:spacing w:beforeLines="0" w:line="440" w:lineRule="exact"/>
        <w:ind w:left="-210" w:leftChars="-100" w:right="-210" w:rightChars="-10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全过程工程咨询服务费=项目建设管理费+工程监理费+施工阶段全过程工程造价控制费（</w:t>
      </w:r>
      <w:r>
        <w:rPr>
          <w:rFonts w:hint="eastAsia" w:ascii="宋体" w:hAnsi="宋体" w:cs="宋体"/>
          <w:color w:val="auto"/>
          <w:sz w:val="21"/>
          <w:szCs w:val="21"/>
          <w:highlight w:val="none"/>
          <w:lang w:eastAsia="zh-CN"/>
        </w:rPr>
        <w:t>不含招标控制价及工程量清单编制、不含结算</w:t>
      </w:r>
      <w:r>
        <w:rPr>
          <w:rFonts w:hint="eastAsia" w:ascii="宋体" w:hAnsi="宋体" w:cs="宋体"/>
          <w:color w:val="auto"/>
          <w:sz w:val="21"/>
          <w:szCs w:val="21"/>
          <w:highlight w:val="none"/>
          <w:lang w:val="en-US" w:eastAsia="zh-CN"/>
        </w:rPr>
        <w:t>审核</w:t>
      </w:r>
      <w:r>
        <w:rPr>
          <w:rFonts w:hint="eastAsia" w:ascii="宋体" w:hAnsi="宋体" w:eastAsia="宋体" w:cs="宋体"/>
          <w:color w:val="auto"/>
          <w:sz w:val="21"/>
          <w:szCs w:val="21"/>
          <w:highlight w:val="none"/>
        </w:rPr>
        <w:t>费用）。</w:t>
      </w:r>
    </w:p>
    <w:p>
      <w:pPr>
        <w:keepNext w:val="0"/>
        <w:keepLines w:val="0"/>
        <w:pageBreakBefore w:val="0"/>
        <w:widowControl w:val="0"/>
        <w:kinsoku/>
        <w:wordWrap/>
        <w:overflowPunct/>
        <w:topLinePunct w:val="0"/>
        <w:autoSpaceDE/>
        <w:autoSpaceDN/>
        <w:bidi w:val="0"/>
        <w:adjustRightInd/>
        <w:snapToGri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全过程工程咨询费也对应由上述</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部分组成，本项目工程费</w:t>
      </w:r>
      <w:r>
        <w:rPr>
          <w:rFonts w:hint="eastAsia" w:ascii="宋体" w:hAnsi="宋体" w:eastAsia="宋体" w:cs="宋体"/>
          <w:color w:val="auto"/>
          <w:sz w:val="21"/>
          <w:szCs w:val="21"/>
          <w:highlight w:val="none"/>
          <w:lang w:val="en-US" w:eastAsia="zh-CN"/>
        </w:rPr>
        <w:t>为3668万元</w:t>
      </w:r>
      <w:r>
        <w:rPr>
          <w:rFonts w:hint="eastAsia" w:ascii="宋体" w:hAnsi="宋体" w:eastAsia="宋体" w:cs="宋体"/>
          <w:b/>
          <w:bCs/>
          <w:color w:val="auto"/>
          <w:sz w:val="21"/>
          <w:szCs w:val="21"/>
          <w:highlight w:val="none"/>
          <w:lang w:val="en-US" w:eastAsia="zh-CN"/>
        </w:rPr>
        <w:t>（暂定）</w:t>
      </w:r>
      <w:r>
        <w:rPr>
          <w:rFonts w:hint="eastAsia" w:ascii="宋体" w:hAnsi="宋体" w:eastAsia="宋体" w:cs="宋体"/>
          <w:color w:val="auto"/>
          <w:sz w:val="21"/>
          <w:szCs w:val="21"/>
          <w:highlight w:val="none"/>
        </w:rPr>
        <w:t>，暂以</w:t>
      </w:r>
      <w:r>
        <w:rPr>
          <w:rFonts w:hint="eastAsia" w:ascii="宋体" w:hAnsi="宋体" w:eastAsia="宋体" w:cs="宋体"/>
          <w:color w:val="auto"/>
          <w:sz w:val="21"/>
          <w:szCs w:val="21"/>
          <w:highlight w:val="none"/>
          <w:lang w:val="en-US" w:eastAsia="zh-CN"/>
        </w:rPr>
        <w:t>工程费</w:t>
      </w:r>
      <w:r>
        <w:rPr>
          <w:rFonts w:hint="eastAsia" w:ascii="宋体" w:hAnsi="宋体" w:eastAsia="宋体" w:cs="宋体"/>
          <w:color w:val="auto"/>
          <w:sz w:val="21"/>
          <w:szCs w:val="21"/>
          <w:highlight w:val="none"/>
        </w:rPr>
        <w:t>及现行收费标准计算本项目全过程工程咨询费，如下：</w:t>
      </w:r>
    </w:p>
    <w:p>
      <w:pPr>
        <w:keepNext w:val="0"/>
        <w:keepLines w:val="0"/>
        <w:pageBreakBefore w:val="0"/>
        <w:widowControl w:val="0"/>
        <w:kinsoku/>
        <w:wordWrap/>
        <w:overflowPunct/>
        <w:topLinePunct w:val="0"/>
        <w:autoSpaceDE/>
        <w:autoSpaceDN/>
        <w:bidi w:val="0"/>
        <w:adjustRightInd/>
        <w:snapToGrid/>
        <w:spacing w:beforeLines="0" w:line="44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项目建设管理费=按《浙江省建设工程其他费用定额（2018版）》规定的项目建设管理费费用标准×0.7×</w:t>
      </w:r>
      <w:r>
        <w:rPr>
          <w:rFonts w:hint="eastAsia" w:ascii="宋体" w:hAnsi="宋体" w:eastAsia="宋体" w:cs="宋体"/>
          <w:color w:val="auto"/>
          <w:sz w:val="21"/>
          <w:szCs w:val="21"/>
          <w:highlight w:val="none"/>
          <w:lang w:val="en-US" w:eastAsia="zh-CN"/>
        </w:rPr>
        <w:t>0.7×本项目中标折扣</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项目建设管理费费用标准按《浙江省建设工程其他费用定额》（2018版）计算，计费基数以审定的工程费用结算价为准。</w:t>
      </w:r>
    </w:p>
    <w:p>
      <w:pPr>
        <w:keepNext w:val="0"/>
        <w:keepLines w:val="0"/>
        <w:pageBreakBefore w:val="0"/>
        <w:widowControl w:val="0"/>
        <w:kinsoku/>
        <w:wordWrap/>
        <w:overflowPunct/>
        <w:topLinePunct w:val="0"/>
        <w:autoSpaceDE/>
        <w:autoSpaceDN/>
        <w:bidi w:val="0"/>
        <w:adjustRightInd/>
        <w:snapToGri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2、工程</w:t>
      </w:r>
      <w:r>
        <w:rPr>
          <w:rFonts w:hint="eastAsia" w:ascii="宋体" w:hAnsi="宋体" w:eastAsia="宋体" w:cs="宋体"/>
          <w:color w:val="auto"/>
          <w:sz w:val="21"/>
          <w:szCs w:val="21"/>
          <w:highlight w:val="none"/>
        </w:rPr>
        <w:t>监理服务费=工程监理费费用标准×</w:t>
      </w:r>
      <w:r>
        <w:rPr>
          <w:rFonts w:hint="eastAsia" w:ascii="宋体" w:hAnsi="宋体" w:eastAsia="宋体" w:cs="宋体"/>
          <w:color w:val="auto"/>
          <w:sz w:val="21"/>
          <w:szCs w:val="21"/>
          <w:highlight w:val="none"/>
          <w:lang w:val="en-US" w:eastAsia="zh-CN"/>
        </w:rPr>
        <w:t>0.92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本项目中标折扣</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。工程监理费费用标准按《浙江省建设工程其他费用定额（2018版）》规定的监理费收费标准</w:t>
      </w:r>
      <w:r>
        <w:rPr>
          <w:rFonts w:hint="eastAsia" w:ascii="宋体" w:hAnsi="宋体" w:eastAsia="宋体" w:cs="宋体"/>
          <w:color w:val="auto"/>
          <w:sz w:val="21"/>
          <w:szCs w:val="21"/>
          <w:highlight w:val="none"/>
          <w:lang w:val="en-US" w:eastAsia="zh-CN"/>
        </w:rPr>
        <w:t>计算</w:t>
      </w:r>
      <w:r>
        <w:rPr>
          <w:rFonts w:hint="eastAsia" w:ascii="宋体" w:hAnsi="宋体" w:eastAsia="宋体" w:cs="宋体"/>
          <w:color w:val="auto"/>
          <w:sz w:val="21"/>
          <w:szCs w:val="21"/>
          <w:highlight w:val="none"/>
        </w:rPr>
        <w:t>，计费基数以审定的工程费用结算价为准，计费基数内均需扣除非监理人监理项目。本项目专业调整系数按1计取，工程复杂系数按1计取，高程调整系数按1计取。</w:t>
      </w:r>
    </w:p>
    <w:p>
      <w:pPr>
        <w:keepNext w:val="0"/>
        <w:keepLines w:val="0"/>
        <w:pageBreakBefore w:val="0"/>
        <w:widowControl w:val="0"/>
        <w:kinsoku/>
        <w:wordWrap/>
        <w:overflowPunct/>
        <w:topLinePunct w:val="0"/>
        <w:autoSpaceDE/>
        <w:autoSpaceDN/>
        <w:bidi w:val="0"/>
        <w:adjustRightInd/>
        <w:snapToGrid/>
        <w:spacing w:beforeLines="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3、施工阶段全过程工程造价控制费（</w:t>
      </w:r>
      <w:r>
        <w:rPr>
          <w:rFonts w:hint="eastAsia" w:ascii="宋体" w:hAnsi="宋体" w:cs="宋体"/>
          <w:color w:val="auto"/>
          <w:sz w:val="21"/>
          <w:szCs w:val="21"/>
          <w:highlight w:val="none"/>
          <w:lang w:val="en-US" w:eastAsia="zh-CN"/>
        </w:rPr>
        <w:t>不含招标控制价及工程量清单编制</w:t>
      </w:r>
      <w:r>
        <w:rPr>
          <w:rFonts w:hint="eastAsia" w:ascii="宋体" w:hAnsi="宋体" w:cs="宋体"/>
          <w:color w:val="auto"/>
          <w:sz w:val="21"/>
          <w:szCs w:val="21"/>
          <w:highlight w:val="none"/>
          <w:lang w:eastAsia="zh-CN"/>
        </w:rPr>
        <w:t>、不含结算</w:t>
      </w:r>
      <w:r>
        <w:rPr>
          <w:rFonts w:hint="eastAsia" w:ascii="宋体" w:hAnsi="宋体" w:cs="宋体"/>
          <w:color w:val="auto"/>
          <w:sz w:val="21"/>
          <w:szCs w:val="21"/>
          <w:highlight w:val="none"/>
          <w:lang w:val="en-US" w:eastAsia="zh-CN"/>
        </w:rPr>
        <w:t>审核</w:t>
      </w:r>
      <w:r>
        <w:rPr>
          <w:rFonts w:hint="eastAsia" w:ascii="宋体" w:hAnsi="宋体" w:eastAsia="宋体" w:cs="宋体"/>
          <w:color w:val="auto"/>
          <w:sz w:val="21"/>
          <w:szCs w:val="21"/>
          <w:highlight w:val="none"/>
          <w:lang w:val="en-US" w:eastAsia="zh-CN"/>
        </w:rPr>
        <w:t>费用）=施工阶段全过程工程造价控制费（</w:t>
      </w:r>
      <w:r>
        <w:rPr>
          <w:rFonts w:hint="eastAsia" w:ascii="宋体" w:hAnsi="宋体" w:cs="宋体"/>
          <w:color w:val="auto"/>
          <w:sz w:val="21"/>
          <w:szCs w:val="21"/>
          <w:highlight w:val="none"/>
          <w:lang w:val="en-US" w:eastAsia="zh-CN"/>
        </w:rPr>
        <w:t>不含招标控制价及工程量清单编制</w:t>
      </w:r>
      <w:r>
        <w:rPr>
          <w:rFonts w:hint="eastAsia" w:ascii="宋体" w:hAnsi="宋体" w:cs="宋体"/>
          <w:color w:val="auto"/>
          <w:sz w:val="21"/>
          <w:szCs w:val="21"/>
          <w:highlight w:val="none"/>
          <w:lang w:eastAsia="zh-CN"/>
        </w:rPr>
        <w:t>、不含结算</w:t>
      </w:r>
      <w:r>
        <w:rPr>
          <w:rFonts w:hint="eastAsia" w:ascii="宋体" w:hAnsi="宋体" w:cs="宋体"/>
          <w:color w:val="auto"/>
          <w:sz w:val="21"/>
          <w:szCs w:val="21"/>
          <w:highlight w:val="none"/>
          <w:lang w:val="en-US" w:eastAsia="zh-CN"/>
        </w:rPr>
        <w:t>审核</w:t>
      </w:r>
      <w:r>
        <w:rPr>
          <w:rFonts w:hint="eastAsia" w:ascii="宋体" w:hAnsi="宋体" w:eastAsia="宋体" w:cs="宋体"/>
          <w:color w:val="auto"/>
          <w:sz w:val="21"/>
          <w:szCs w:val="21"/>
          <w:highlight w:val="none"/>
          <w:lang w:val="en-US" w:eastAsia="zh-CN"/>
        </w:rPr>
        <w:t>费用）费用标准×0.8×本项目中标折扣</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%。施工阶段全过程工程造价控制费（</w:t>
      </w:r>
      <w:r>
        <w:rPr>
          <w:rFonts w:hint="eastAsia" w:ascii="宋体" w:hAnsi="宋体" w:cs="宋体"/>
          <w:color w:val="auto"/>
          <w:sz w:val="21"/>
          <w:szCs w:val="21"/>
          <w:highlight w:val="none"/>
          <w:lang w:val="en-US" w:eastAsia="zh-CN"/>
        </w:rPr>
        <w:t>不含招标控制价及工程量清单编制</w:t>
      </w:r>
      <w:r>
        <w:rPr>
          <w:rFonts w:hint="eastAsia" w:ascii="宋体" w:hAnsi="宋体" w:cs="宋体"/>
          <w:color w:val="auto"/>
          <w:sz w:val="21"/>
          <w:szCs w:val="21"/>
          <w:highlight w:val="none"/>
          <w:lang w:eastAsia="zh-CN"/>
        </w:rPr>
        <w:t>、不含结算</w:t>
      </w:r>
      <w:r>
        <w:rPr>
          <w:rFonts w:hint="eastAsia" w:ascii="宋体" w:hAnsi="宋体" w:cs="宋体"/>
          <w:color w:val="auto"/>
          <w:sz w:val="21"/>
          <w:szCs w:val="21"/>
          <w:highlight w:val="none"/>
          <w:lang w:val="en-US" w:eastAsia="zh-CN"/>
        </w:rPr>
        <w:t>审核</w:t>
      </w:r>
      <w:r>
        <w:rPr>
          <w:rFonts w:hint="eastAsia" w:ascii="宋体" w:hAnsi="宋体" w:eastAsia="宋体" w:cs="宋体"/>
          <w:color w:val="auto"/>
          <w:sz w:val="21"/>
          <w:szCs w:val="21"/>
          <w:highlight w:val="none"/>
          <w:lang w:val="en-US" w:eastAsia="zh-CN"/>
        </w:rPr>
        <w:t>费用）</w:t>
      </w:r>
      <w:r>
        <w:rPr>
          <w:rFonts w:hint="eastAsia" w:ascii="宋体" w:hAnsi="宋体" w:eastAsia="宋体" w:cs="宋体"/>
          <w:color w:val="auto"/>
          <w:sz w:val="21"/>
          <w:szCs w:val="21"/>
          <w:highlight w:val="none"/>
        </w:rPr>
        <w:t>按《浙江省物价局关于进一步完善工程造价咨询服务收费的通知》（浙价服【2009】84号）中规定的收费基准价计算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计费基数以</w:t>
      </w:r>
      <w:r>
        <w:rPr>
          <w:rFonts w:hint="eastAsia" w:ascii="宋体" w:hAnsi="宋体" w:eastAsia="宋体" w:cs="宋体"/>
          <w:color w:val="auto"/>
          <w:sz w:val="21"/>
          <w:szCs w:val="21"/>
          <w:highlight w:val="none"/>
          <w:lang w:val="en-US" w:eastAsia="zh-CN"/>
        </w:rPr>
        <w:t>招标控制价编制报告中的工程费</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val="en-US" w:eastAsia="zh-CN"/>
        </w:rPr>
        <w:t>。结算金额以结算审定工程费为计费基数计取。</w:t>
      </w:r>
    </w:p>
    <w:p>
      <w:pPr>
        <w:keepNext w:val="0"/>
        <w:keepLines w:val="0"/>
        <w:pageBreakBefore w:val="0"/>
        <w:kinsoku/>
        <w:wordWrap/>
        <w:overflowPunct/>
        <w:topLinePunct w:val="0"/>
        <w:bidi w:val="0"/>
        <w:adjustRightInd w:val="0"/>
        <w:snapToGrid w:val="0"/>
        <w:spacing w:beforeLines="0" w:line="440" w:lineRule="exact"/>
        <w:ind w:right="-210" w:righ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、上述中标</w:t>
      </w:r>
      <w:r>
        <w:rPr>
          <w:rFonts w:hint="eastAsia" w:ascii="宋体" w:hAnsi="宋体" w:eastAsia="宋体" w:cs="宋体"/>
          <w:color w:val="auto"/>
          <w:sz w:val="21"/>
          <w:szCs w:val="21"/>
          <w:highlight w:val="none"/>
          <w:lang w:val="en-US" w:eastAsia="zh-CN"/>
        </w:rPr>
        <w:t>折扣</w:t>
      </w:r>
      <w:r>
        <w:rPr>
          <w:rFonts w:hint="eastAsia" w:ascii="宋体" w:hAnsi="宋体" w:eastAsia="宋体" w:cs="宋体"/>
          <w:color w:val="auto"/>
          <w:sz w:val="21"/>
          <w:szCs w:val="21"/>
          <w:highlight w:val="none"/>
        </w:rPr>
        <w:t>固定不变，合同履行过程中不作调整。</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lang w:eastAsia="zh-CN"/>
        </w:rPr>
        <w:t>内</w:t>
      </w:r>
      <w:r>
        <w:rPr>
          <w:rFonts w:hint="eastAsia" w:ascii="宋体" w:hAnsi="宋体" w:eastAsia="宋体" w:cs="宋体"/>
          <w:b/>
          <w:bCs/>
          <w:color w:val="auto"/>
          <w:sz w:val="21"/>
          <w:szCs w:val="21"/>
          <w:highlight w:val="none"/>
          <w:lang w:eastAsia="zh-CN"/>
        </w:rPr>
        <w:t>容</w:t>
      </w:r>
    </w:p>
    <w:p>
      <w:pPr>
        <w:keepNext w:val="0"/>
        <w:keepLines w:val="0"/>
        <w:pageBreakBefore w:val="0"/>
        <w:kinsoku/>
        <w:wordWrap/>
        <w:overflowPunct/>
        <w:topLinePunct w:val="0"/>
        <w:bidi w:val="0"/>
        <w:spacing w:beforeLines="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实施本项目建设全过程的工程咨询服务（包括但不限于本项目实施期间因上级部门或其他政策原因一并纳入实施改造的内容均由全过程咨询单位提供相应的咨询、监管服务），服务范围包括项目建设管理服务、工程监理、</w:t>
      </w:r>
      <w:r>
        <w:rPr>
          <w:rFonts w:hint="eastAsia" w:ascii="宋体" w:hAnsi="宋体" w:eastAsia="宋体" w:cs="宋体"/>
          <w:color w:val="auto"/>
          <w:sz w:val="21"/>
          <w:szCs w:val="21"/>
          <w:highlight w:val="none"/>
          <w:lang w:val="zh-CN"/>
        </w:rPr>
        <w:t>施工阶段全过程工程造价控制服务（不含招标控制价及工程量清单编制</w:t>
      </w:r>
      <w:r>
        <w:rPr>
          <w:rFonts w:hint="eastAsia" w:ascii="宋体" w:hAnsi="宋体"/>
          <w:highlight w:val="none"/>
          <w:lang w:eastAsia="zh-CN"/>
        </w:rPr>
        <w:t>、</w:t>
      </w:r>
      <w:r>
        <w:rPr>
          <w:rFonts w:hint="eastAsia" w:ascii="宋体" w:hAnsi="宋体"/>
          <w:highlight w:val="none"/>
          <w:lang w:val="en-US" w:eastAsia="zh-CN"/>
        </w:rPr>
        <w:t>不含结算</w:t>
      </w:r>
      <w:r>
        <w:rPr>
          <w:rFonts w:hint="eastAsia" w:ascii="宋体" w:hAnsi="宋体" w:cs="宋体"/>
          <w:color w:val="auto"/>
          <w:sz w:val="21"/>
          <w:szCs w:val="21"/>
          <w:highlight w:val="none"/>
          <w:lang w:val="en-US" w:eastAsia="zh-CN"/>
        </w:rPr>
        <w:t>审核</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及其他受到采购人委托的相关工作。具体内容如下：</w:t>
      </w:r>
    </w:p>
    <w:p>
      <w:pPr>
        <w:keepNext w:val="0"/>
        <w:keepLines w:val="0"/>
        <w:pageBreakBefore w:val="0"/>
        <w:kinsoku/>
        <w:wordWrap/>
        <w:overflowPunct/>
        <w:topLinePunct w:val="0"/>
        <w:bidi w:val="0"/>
        <w:spacing w:beforeLines="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建设管理服务：协助招标人进行现状的红线范围内场地管理、综合协调管理、设计管理服务、合同及台账管理、编制财务决算报表、现场质量、安全、进度管理服务、竣工验收、质量缺陷责任期阶段相关服务工作等。</w:t>
      </w:r>
    </w:p>
    <w:p>
      <w:pPr>
        <w:keepNext w:val="0"/>
        <w:keepLines w:val="0"/>
        <w:pageBreakBefore w:val="0"/>
        <w:kinsoku/>
        <w:wordWrap/>
        <w:overflowPunct/>
        <w:topLinePunct w:val="0"/>
        <w:bidi w:val="0"/>
        <w:spacing w:beforeLines="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专项咨询服务：</w:t>
      </w:r>
    </w:p>
    <w:p>
      <w:pPr>
        <w:keepNext w:val="0"/>
        <w:keepLines w:val="0"/>
        <w:pageBreakBefore w:val="0"/>
        <w:kinsoku/>
        <w:wordWrap/>
        <w:overflowPunct/>
        <w:topLinePunct w:val="0"/>
        <w:bidi w:val="0"/>
        <w:spacing w:beforeLines="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0052"/>
      </w:r>
      <w:r>
        <w:rPr>
          <w:rFonts w:hint="eastAsia" w:ascii="宋体" w:hAnsi="宋体" w:eastAsia="宋体" w:cs="宋体"/>
          <w:color w:val="auto"/>
          <w:sz w:val="21"/>
          <w:szCs w:val="21"/>
          <w:highlight w:val="none"/>
          <w:lang w:val="en-US" w:eastAsia="zh-CN"/>
        </w:rPr>
        <w:t>工程监理：本项目施工阶段全过程及缺陷责任期监理（包含工程质量、进度、投资控制、合同管理和组织协调，安全、文明施工监管、环境保护监管等）。</w:t>
      </w:r>
    </w:p>
    <w:p>
      <w:pPr>
        <w:keepNext w:val="0"/>
        <w:keepLines w:val="0"/>
        <w:pageBreakBefore w:val="0"/>
        <w:kinsoku/>
        <w:wordWrap/>
        <w:overflowPunct/>
        <w:topLinePunct w:val="0"/>
        <w:bidi w:val="0"/>
        <w:spacing w:beforeLines="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0052"/>
      </w:r>
      <w:r>
        <w:rPr>
          <w:rFonts w:hint="eastAsia" w:ascii="宋体" w:hAnsi="宋体" w:eastAsia="宋体" w:cs="宋体"/>
          <w:color w:val="auto"/>
          <w:sz w:val="21"/>
          <w:szCs w:val="21"/>
          <w:highlight w:val="none"/>
          <w:lang w:val="en-US" w:eastAsia="zh-CN"/>
        </w:rPr>
        <w:t>工程造价咨询服务：施工阶段全过程工程造价控制</w:t>
      </w:r>
      <w:r>
        <w:rPr>
          <w:rFonts w:hint="eastAsia" w:ascii="宋体" w:hAnsi="宋体" w:cs="宋体"/>
          <w:color w:val="auto"/>
          <w:szCs w:val="21"/>
          <w:highlight w:val="none"/>
        </w:rPr>
        <w:t>（不含招标控制价及工程量清单编制、不含结算审核）</w:t>
      </w:r>
      <w:r>
        <w:rPr>
          <w:rFonts w:hint="eastAsia" w:ascii="宋体" w:hAnsi="宋体" w:eastAsia="宋体" w:cs="宋体"/>
          <w:color w:val="auto"/>
          <w:sz w:val="21"/>
          <w:szCs w:val="21"/>
          <w:highlight w:val="none"/>
          <w:lang w:val="en-US" w:eastAsia="zh-CN"/>
        </w:rPr>
        <w:t>。</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服务具体要求</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项目建设管理服务</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rPr>
        <w:t>负责项目各类合同的起草、谈判、签订和管理工作，并按《中华人民共和国民法典》行使采购人</w:t>
      </w:r>
      <w:r>
        <w:rPr>
          <w:rFonts w:hint="eastAsia" w:ascii="宋体" w:hAnsi="宋体" w:eastAsia="宋体" w:cs="宋体"/>
          <w:color w:val="auto"/>
          <w:sz w:val="21"/>
          <w:szCs w:val="21"/>
          <w:highlight w:val="none"/>
          <w:lang w:val="en-US" w:eastAsia="zh-CN"/>
        </w:rPr>
        <w:t>权利</w:t>
      </w:r>
      <w:r>
        <w:rPr>
          <w:rFonts w:hint="eastAsia" w:ascii="宋体" w:hAnsi="宋体" w:eastAsia="宋体" w:cs="宋体"/>
          <w:color w:val="auto"/>
          <w:sz w:val="21"/>
          <w:szCs w:val="21"/>
          <w:highlight w:val="none"/>
        </w:rPr>
        <w:t>，履行采购人的职责和义务。</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2</w:t>
      </w:r>
      <w:r>
        <w:rPr>
          <w:rFonts w:hint="eastAsia" w:ascii="宋体" w:hAnsi="宋体" w:eastAsia="宋体" w:cs="宋体"/>
          <w:color w:val="auto"/>
          <w:sz w:val="21"/>
          <w:szCs w:val="21"/>
          <w:highlight w:val="none"/>
        </w:rPr>
        <w:t>负责项目进度的管理。</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（1）负责按照项目要求，编制项目进度总体计划，并报采购人审定。</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（2）按批准的进度计划实施工作，确保项目如期完成。</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（3）定期组织召开项目例会，及时分析、协调、平衡和调整项目进度，定期向采购人上报有关进度的信息、报表。</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（4）其他项目进度管理工作。</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3</w:t>
      </w:r>
      <w:r>
        <w:rPr>
          <w:rFonts w:hint="eastAsia" w:ascii="宋体" w:hAnsi="宋体" w:eastAsia="宋体" w:cs="宋体"/>
          <w:color w:val="auto"/>
          <w:sz w:val="21"/>
          <w:szCs w:val="21"/>
          <w:highlight w:val="none"/>
        </w:rPr>
        <w:t>负责工程质量管理。</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（1）按照国家相关标准、行业标准、地方标准或者其他标准、规范要求，建立质量保证体系，严格管理，确保项目质量达到预定目标。</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（2）对质量负责，发生质量事故时应及时查明原因和具体责任，并及时组织事故处理方案的实施。</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（3）负责组织项目实施过程中分项分部的验收，包括隐蔽工程和各类材料的验收。</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（4）其他项目质量管理工作。</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4</w:t>
      </w:r>
      <w:r>
        <w:rPr>
          <w:rFonts w:hint="eastAsia" w:ascii="宋体" w:hAnsi="宋体" w:eastAsia="宋体" w:cs="宋体"/>
          <w:color w:val="auto"/>
          <w:sz w:val="21"/>
          <w:szCs w:val="21"/>
          <w:highlight w:val="none"/>
        </w:rPr>
        <w:t>负责项目管理工作。</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（1）通过招标择优选择的改造服务单位，实施时应实行科学管理，严格造价审核。</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（2）负责编报投资计划，经审核后报采购人办理资金支付；协助办理在保修期内工程尾款的支付。</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（3）严格按照批准的项目规模、功能、标准和预算限额组织检测修复，如有改变项目投资控制范围的调整意见，应提供投资增减情况分析报采购人按程序申报调整项目预算。</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（4）其他项目管理工作。</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5</w:t>
      </w:r>
      <w:r>
        <w:rPr>
          <w:rFonts w:hint="eastAsia" w:ascii="宋体" w:hAnsi="宋体" w:eastAsia="宋体" w:cs="宋体"/>
          <w:color w:val="auto"/>
          <w:sz w:val="21"/>
          <w:szCs w:val="21"/>
          <w:highlight w:val="none"/>
        </w:rPr>
        <w:t>负责按有关规定进行安全管理和文明施工管理。</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6</w:t>
      </w:r>
      <w:r>
        <w:rPr>
          <w:rFonts w:hint="eastAsia" w:ascii="宋体" w:hAnsi="宋体" w:eastAsia="宋体" w:cs="宋体"/>
          <w:color w:val="auto"/>
          <w:sz w:val="21"/>
          <w:szCs w:val="21"/>
          <w:highlight w:val="none"/>
        </w:rPr>
        <w:t>负责项目相关档案和信息管理，待项目竣工验收后提交完整的归档资料给采购人，并根据宁波市城建档案相关办法及国家档案局有关标准和要求对建设工程文件档案进行案卷整理、归档。</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7</w:t>
      </w:r>
      <w:r>
        <w:rPr>
          <w:rFonts w:hint="eastAsia" w:ascii="宋体" w:hAnsi="宋体" w:eastAsia="宋体" w:cs="宋体"/>
          <w:color w:val="auto"/>
          <w:sz w:val="21"/>
          <w:szCs w:val="21"/>
          <w:highlight w:val="none"/>
        </w:rPr>
        <w:t>负责设立项目基建专户，专人管理，专款专用，严格对项目实施的财务活动进行会计核算和财务管理。</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8</w:t>
      </w:r>
      <w:r>
        <w:rPr>
          <w:rFonts w:hint="eastAsia" w:ascii="宋体" w:hAnsi="宋体" w:eastAsia="宋体" w:cs="宋体"/>
          <w:color w:val="auto"/>
          <w:sz w:val="21"/>
          <w:szCs w:val="21"/>
          <w:highlight w:val="none"/>
        </w:rPr>
        <w:t>项目管理单位及与其有隶属关系的单位不得在本项目中承担施工、材料供应等工作。</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9</w:t>
      </w:r>
      <w:r>
        <w:rPr>
          <w:rFonts w:hint="eastAsia" w:ascii="宋体" w:hAnsi="宋体" w:eastAsia="宋体" w:cs="宋体"/>
          <w:color w:val="auto"/>
          <w:sz w:val="21"/>
          <w:szCs w:val="21"/>
          <w:highlight w:val="none"/>
        </w:rPr>
        <w:t>负责处理施工过程中引起的投诉、信访事件，经采购人同意后做好书面回复工作。</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按采购人要求做好月度总结及项目总结，每月15号前提交月度总结给采购人。</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组织招标代理工作 ，并根据项目进度情况，协调、审查招标文件、组织招投标工作等。</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1.12</w:t>
      </w:r>
      <w:r>
        <w:rPr>
          <w:rFonts w:hint="eastAsia" w:ascii="宋体" w:hAnsi="宋体" w:cs="宋体"/>
          <w:color w:val="auto"/>
          <w:szCs w:val="21"/>
          <w:highlight w:val="none"/>
          <w:lang w:val="en-US" w:eastAsia="zh-CN"/>
        </w:rPr>
        <w:t>负责</w:t>
      </w:r>
      <w:r>
        <w:rPr>
          <w:rFonts w:hint="eastAsia" w:ascii="宋体" w:hAnsi="宋体" w:cs="宋体"/>
          <w:color w:val="auto"/>
          <w:szCs w:val="21"/>
          <w:highlight w:val="none"/>
        </w:rPr>
        <w:t>施工前</w:t>
      </w:r>
      <w:r>
        <w:rPr>
          <w:rFonts w:hint="eastAsia" w:ascii="宋体" w:hAnsi="宋体" w:cs="宋体"/>
          <w:color w:val="auto"/>
          <w:szCs w:val="21"/>
          <w:highlight w:val="none"/>
          <w:lang w:eastAsia="zh-CN"/>
        </w:rPr>
        <w:t>、</w:t>
      </w:r>
      <w:r>
        <w:rPr>
          <w:rFonts w:hint="eastAsia" w:ascii="宋体" w:hAnsi="宋体" w:cs="宋体"/>
          <w:color w:val="auto"/>
          <w:szCs w:val="21"/>
          <w:highlight w:val="none"/>
        </w:rPr>
        <w:t>中</w:t>
      </w:r>
      <w:r>
        <w:rPr>
          <w:rFonts w:hint="eastAsia" w:ascii="宋体" w:hAnsi="宋体" w:cs="宋体"/>
          <w:color w:val="auto"/>
          <w:szCs w:val="21"/>
          <w:highlight w:val="none"/>
          <w:lang w:eastAsia="zh-CN"/>
        </w:rPr>
        <w:t>、</w:t>
      </w:r>
      <w:r>
        <w:rPr>
          <w:rFonts w:hint="eastAsia" w:ascii="宋体" w:hAnsi="宋体" w:cs="宋体"/>
          <w:color w:val="auto"/>
          <w:szCs w:val="21"/>
          <w:highlight w:val="none"/>
        </w:rPr>
        <w:t>后影像资料</w:t>
      </w:r>
      <w:r>
        <w:rPr>
          <w:rFonts w:hint="eastAsia" w:ascii="宋体" w:hAnsi="宋体" w:cs="宋体"/>
          <w:color w:val="auto"/>
          <w:szCs w:val="21"/>
          <w:highlight w:val="none"/>
          <w:lang w:val="en-US" w:eastAsia="zh-CN"/>
        </w:rPr>
        <w:t>收集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进行</w:t>
      </w:r>
      <w:r>
        <w:rPr>
          <w:rFonts w:hint="eastAsia" w:ascii="宋体" w:hAnsi="宋体" w:cs="宋体"/>
          <w:color w:val="auto"/>
          <w:szCs w:val="21"/>
          <w:highlight w:val="none"/>
        </w:rPr>
        <w:t>专题归档并制作改造效果对比视频，相关费用在投标报价中自行考虑。</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default" w:ascii="宋体" w:hAnsi="宋体" w:eastAsia="宋体" w:cs="宋体"/>
          <w:color w:val="auto"/>
          <w:sz w:val="21"/>
          <w:szCs w:val="21"/>
          <w:highlight w:val="none"/>
        </w:rPr>
      </w:pPr>
      <w:r>
        <w:rPr>
          <w:rFonts w:hint="eastAsia" w:ascii="宋体" w:hAnsi="宋体" w:cs="宋体"/>
          <w:color w:val="auto"/>
          <w:szCs w:val="21"/>
          <w:highlight w:val="none"/>
          <w:lang w:val="en-US" w:eastAsia="zh-CN"/>
        </w:rPr>
        <w:t>1.13负责</w:t>
      </w:r>
      <w:r>
        <w:rPr>
          <w:rFonts w:hint="eastAsia" w:ascii="宋体" w:hAnsi="宋体" w:eastAsia="宋体" w:cs="宋体"/>
          <w:color w:val="auto"/>
          <w:sz w:val="21"/>
          <w:szCs w:val="21"/>
          <w:highlight w:val="none"/>
        </w:rPr>
        <w:t>考勤机的安装及使用，并对受托人人员考勤情况进行随机抽查，</w:t>
      </w:r>
      <w:r>
        <w:rPr>
          <w:rFonts w:hint="eastAsia" w:ascii="宋体" w:hAnsi="宋体" w:cs="宋体"/>
          <w:color w:val="auto"/>
          <w:sz w:val="21"/>
          <w:szCs w:val="21"/>
          <w:highlight w:val="none"/>
        </w:rPr>
        <w:t>项目验收后提供考勤报告</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监理服务 </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（1）按相关规定编制全过程实施方案、全过程工期实施计划、全过程实施细则，报委托人同意后实施。</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（2）熟悉合同文件，了解施工现场。</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（3）参与设计交底工作，审查承包人提交的复测结果、施工图变更设计和施工组织设计，督促和检查承包人建立质量保证体系、安全保证体系。</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（4）检查施工承包人的开工准备工作，审批施工组织设计，签认开工报告，批准单项工程开工报告。</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（5）审查承包人授权的常驻现场代表的资质，以及其他派驻到现场的主要技术、管理人员的资质；审查特殊作业人员上岗证件。</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（6）建立监理的试验、检测工作体系，按照规定的频率独立开展监理的试验、检测工作。</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（7）审批承包人拟用于本工程的原始材料、成套设备的品质。</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审查施工承包人实施工程的实施方案及主要方法或工艺，审批施工承包人提交的各项安全专项方案；还应对施工承包人在施工过程中采取的环境保护措施和施工安全、文明措施加强监督和管理；验收承包人的工地试验室，审核其人员资质。</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（9）审查施工承包人拟用于本工程的机械设备的性能与数量。</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（10）审查承包人提交的总体进度计划，检查和督促承包人实施进度计划、核批承包人的修正计划。</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（11）审查分包合同和分包人的资质，控制重要外购成品件或半成品的质量。</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（12）审查承包人提交的总体进度计划，检查和督促承包人实施进度计划、核批承包人的修正计划。</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（13）参加第一次开始的工地监理会议和主持日常工地监理会议，参加造价专题例会，参加跟踪审计造价会议。</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要求承包人按照合同条件、技术规范和监理程序进行施工、通过旁站、巡视、检测、整体验收等手段全面监督、检查和控制工程质量；尤其须注意对进场材料、设备的平行检验及对混凝土浇筑等关键部分、关键工序实行全过程旁站。</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对已完成工程量进行准确的计量，对工程量的增减做好实测实量，保存好原始凭证，并接受委托人代表检核，重大工程量的计量按宁波市有关文件和合同约定执行，审核变更的工作量并签署确认意见（工程量变更的对外确认只能由委托人进行），对上报进度款的工作量进行审核确认后，交委托人最终确认。</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（16）对承包人安全、文明施工进行监管，督促承包单位做好半成品保护，对施工单位成品保护工作的质量与效果进行经常性检查，要避免因成品保护不善造成操作损坏或污染，影响工程整体质量。</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（17）签发中间交工文件。</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调查、处理工程质量缺陷和事故，与设计、施工单位一起提出改进措施和方法，出现重大质量和安全事故时，督促承包人按规定上报有关部门。对施工现场安全、质量管理进行监管，如发生安全质量事故或区级以上相关行政单位通报批评，与施工单位等被通报批评单位接受相应处罚。</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（19）签认工程款及其他费用中期支付凭证。</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（20）发布停（复）工令，须事先经委托人核准同意。</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（21）发布变更令（重大、重要变更报委托人核准，凡涉及工程造价须事前经委托人核准）。</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（22）受理合同事宜，根据合同规定进行评估和处理。</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（23）根据合同规定处理违约事件，协调争端，在诉讼或仲裁过程中作证。</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（24）编制监理工作周报、月报及委托人要求编制的报表（或文件等）在每周一、每月25日前向委托人递交。</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（25）对承包人的交工申请进行评估，主持对拟交工工程的检查和验收，签认交工文件，签署监理意见。</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（26）督促、检查承包人按工程管理部门和委托人的要求编制竣工文件，审核竣工文件和竣工图并签署意见，配合审计工作，并做好归档工作。</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（27）配合委托人的竣工验收、工程移交和各种预验工作，督促整改意见的落实；</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（28）对施工承包人的项目负责人及现场管理人员进行考勤。</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（29）编制监理方面的竣工文件。</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（30）根据监理工作日记和造价变更工作日记，配合委托人做好决算和结算审计工作，对结算中有关争议内容出具公正、独立的书面意见，并提供相关依据。</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（31）配合委托人做好竣工验收和验收后的维保和工程移交工作。</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（32）工程完工后，向委托人提交项目履约评估报告。</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（33）按监理规范规定的其他工作。</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（34）遵守委托人内部规章制度，接受委托人的履约考核，对现场安全、质量、进度等管控不力的，按照委托人规章制度标准扣除违约金。</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施工阶段全过程工程造价控制服务（不含招标控制价及工程量清单编制</w:t>
      </w:r>
      <w:r>
        <w:rPr>
          <w:rFonts w:hint="eastAsia" w:ascii="宋体" w:hAnsi="宋体"/>
          <w:highlight w:val="none"/>
          <w:lang w:eastAsia="zh-CN"/>
        </w:rPr>
        <w:t>、</w:t>
      </w:r>
      <w:r>
        <w:rPr>
          <w:rFonts w:hint="eastAsia" w:ascii="宋体" w:hAnsi="宋体"/>
          <w:highlight w:val="none"/>
          <w:lang w:val="en-US" w:eastAsia="zh-CN"/>
        </w:rPr>
        <w:t>不含结算审核</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（1）了解项目基本情况，包括项目前期资料、招投标文件、施工合同、结算方式等内容；</w:t>
      </w:r>
    </w:p>
    <w:p>
      <w:pPr>
        <w:pStyle w:val="16"/>
        <w:spacing w:beforeLines="0" w:line="440" w:lineRule="exact"/>
        <w:ind w:firstLine="420" w:firstLineChars="200"/>
        <w:rPr>
          <w:rFonts w:hint="eastAsia"/>
          <w:sz w:val="21"/>
          <w:szCs w:val="21"/>
        </w:rPr>
      </w:pPr>
      <w:r>
        <w:rPr>
          <w:rFonts w:hint="eastAsia"/>
          <w:sz w:val="21"/>
          <w:szCs w:val="21"/>
        </w:rPr>
        <w:t>（2）制定造价控制的实施流程，对施工单位报送的工程预算进行审核，确定造价控制目标。</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）了解中标施工单位的施工组织设计和主要施工方案是否经济合理；</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）制定现场控制造价步骤与措施；与工程监理单位（质量、进度控制）协调配合，制定控制造价节点与措施，严格签证制度，避免由此给委托人带来的损失；</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协助委托人签署设计变更、工程变更单，对变更的理由、变更的内容、金额提出建议，若发生较大设计变更或市场波动，负责向委托人提交造价测算分析报告，并提供合理的造价控制方法（或建议），并帮助委托人办理重大设计变更的报批手续。变更审核质量达不到委托人的要求并给委托人造成一定损失的，委托人有权视情况处罚；</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在施工过程中如发现清单量误差必须及时书面告知委托人，并测算相关费用；对于清单中已经计算而实际施工中漏掉或改动的工序与结构部件，全过程工程咨询人应该采用现场拍照、录像等手段，以书面资料汇总工程量出入的情况，并计算差价，与证明材料一并交给委托人，以便日后结算备用。如全过程工程咨询人对上述问题未发现或漏报、迟报、误报，给委托人造成损失的，委托人有权处罚；</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）在施工过程中，全过程工程咨询人对施工单位提交的造价变更联系单及时审批完成，因为全过程工程咨询人的错误致使联系单多次修改而影响工期的，委托人有权视情况进行处罚。</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审查项目月、季、年度工程进度报表是否准确，工程量计量、工程款支付是否合理；根据监理签署的施工单位当期实际完成的进度工程量进行复核，按照施工合同中关于进度款的拨付办法，向委托人提出工程进度款拨付意见；</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）审查预付工程款、应付工程款等是否真实、准确、完整；</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审查有关各方签署的措施项目联系单及各种资料是否符合施工实际情况，必要时进行现场拍照、录像，以备查验。结合招标文件、投标文件及工程量清单报价内容，现场核实措施项目与清单报价的措施工程量，并向委托人提出措施项目费用结算意见。</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）根据施工承包合同价、进度计划，编制工程的用款计划书，根据概算进度控制计划，编制年度资金需求计划；</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）参与造价控制有关的工程会议；随时掌握工程进展的实际情况，实施造价控制的跟踪管理；</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会同建设方对特殊材料、设备市场价格的征询或审核；参与无价材料、暂定材料的定牌定价。根据施工图纸的要求，对每种无价材料、暂定材料（招标文件中确定的），全过程工程咨询人协助委托人进行市场询价，确定材料价格，最后经委托人确认。协助委托人进行大型设备的采购与招标。</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）及时提醒委托人可能发生的工程费用索赔问题，提供专业评估意见，估算书及反索赔咨询服务，以保证委托人的利益。建设方、施工方双方提出索赔时，为双方提供确认、反馈索赔等咨询意见；</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）对分阶段竣工的分部工程，对其完工的结算及时进行核定，每个月向委托人提供造价控制动态分析报告。</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）承包方提出索赔时，凭据合同和有关法律、法规，提供咨询意见；</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）提供与造价控制相关的人工、材料、设备等造价信息，过程中协助委托人进行小型材料招标等其他委托人需要的咨询服务。</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）提供工程范围内的所有工程及委托人另行委托的咨询服务。</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全过程咨询人向委托人提供的附加服务包括如下：</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.1向委托人提供国内和本市工程项目的造价咨询业务有关法律、法令、条例、规定、标准、规范和一般惯例的咨询服务；</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.2向委托人提供涉及委托工程项目的金额、材料、设备等造价信息和规定的咨询服务；</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双方约定的委托人应提供的建设工程造价咨询材料：</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.1经批准的概算文件；</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.2设计施工图壹套；</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.3建筑施工电源、水源、施工区域总平面布置图；</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.4工程招投标需要的有关文件；</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.5工程预（结）算书及有关设计变更、现场签证、经认可的技术核定单等资料；</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.6其它与造价相关的文件。</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其他工作内容</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.1本项目的造价咨询服务以完成该委托，提交相关服务成果所必须的时间为服务周期。</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.2本项目的全过程造价咨询服务周期与建设周期同步。</w:t>
      </w:r>
    </w:p>
    <w:p>
      <w:pPr>
        <w:keepNext w:val="0"/>
        <w:keepLines w:val="0"/>
        <w:pageBreakBefore w:val="0"/>
        <w:kinsoku/>
        <w:wordWrap/>
        <w:overflowPunct/>
        <w:topLinePunct w:val="0"/>
        <w:bidi w:val="0"/>
        <w:adjustRightInd/>
        <w:spacing w:before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.3本合同范围为本项目施工范围内所有的工作内容。</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服务标准</w:t>
      </w:r>
    </w:p>
    <w:p>
      <w:pPr>
        <w:pStyle w:val="18"/>
        <w:keepNext w:val="0"/>
        <w:keepLines w:val="0"/>
        <w:pageBreakBefore w:val="0"/>
        <w:widowControl/>
        <w:kinsoku/>
        <w:wordWrap/>
        <w:overflowPunct/>
        <w:topLinePunct w:val="0"/>
        <w:autoSpaceDE/>
        <w:autoSpaceDN/>
        <w:bidi w:val="0"/>
        <w:adjustRightInd/>
        <w:snapToGrid w:val="0"/>
        <w:spacing w:before="0"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1、质量标准：达到合同规定的质量标准，并满足甲方相关要求。</w:t>
      </w:r>
    </w:p>
    <w:p>
      <w:pPr>
        <w:pStyle w:val="18"/>
        <w:keepNext w:val="0"/>
        <w:keepLines w:val="0"/>
        <w:pageBreakBefore w:val="0"/>
        <w:widowControl/>
        <w:kinsoku/>
        <w:wordWrap/>
        <w:overflowPunct/>
        <w:topLinePunct w:val="0"/>
        <w:autoSpaceDE/>
        <w:autoSpaceDN/>
        <w:bidi w:val="0"/>
        <w:adjustRightInd/>
        <w:snapToGrid w:val="0"/>
        <w:spacing w:before="0"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2、安全管理目标：确保安全文明施工，杜绝发生重大安全事故。</w:t>
      </w:r>
    </w:p>
    <w:p>
      <w:pPr>
        <w:pStyle w:val="18"/>
        <w:keepNext w:val="0"/>
        <w:keepLines w:val="0"/>
        <w:pageBreakBefore w:val="0"/>
        <w:widowControl/>
        <w:kinsoku/>
        <w:wordWrap/>
        <w:overflowPunct/>
        <w:topLinePunct w:val="0"/>
        <w:autoSpaceDE/>
        <w:autoSpaceDN/>
        <w:bidi w:val="0"/>
        <w:adjustRightInd/>
        <w:snapToGrid w:val="0"/>
        <w:spacing w:before="0"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3、投资控制目标：以经财政部门批准的预算金额和</w:t>
      </w:r>
      <w:r>
        <w:rPr>
          <w:rFonts w:hint="eastAsia" w:ascii="宋体" w:hAnsi="宋体" w:eastAsia="宋体" w:cs="宋体"/>
          <w:color w:val="auto"/>
          <w:sz w:val="21"/>
          <w:szCs w:val="21"/>
          <w:highlight w:val="none"/>
          <w:lang w:eastAsia="zh-CN"/>
        </w:rPr>
        <w:t>改造服务单位</w:t>
      </w:r>
      <w:r>
        <w:rPr>
          <w:rFonts w:hint="eastAsia" w:ascii="宋体" w:hAnsi="宋体" w:eastAsia="宋体" w:cs="宋体"/>
          <w:color w:val="auto"/>
          <w:sz w:val="21"/>
          <w:szCs w:val="21"/>
          <w:highlight w:val="none"/>
        </w:rPr>
        <w:t>的中标金额为投资控制目标。</w:t>
      </w:r>
    </w:p>
    <w:p>
      <w:pPr>
        <w:pStyle w:val="18"/>
        <w:keepNext w:val="0"/>
        <w:keepLines w:val="0"/>
        <w:pageBreakBefore w:val="0"/>
        <w:widowControl/>
        <w:kinsoku/>
        <w:wordWrap/>
        <w:overflowPunct/>
        <w:topLinePunct w:val="0"/>
        <w:autoSpaceDE/>
        <w:autoSpaceDN/>
        <w:bidi w:val="0"/>
        <w:adjustRightInd/>
        <w:snapToGrid w:val="0"/>
        <w:spacing w:before="0"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4、进度控制目标：同施工工期。</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机构设置</w:t>
      </w:r>
    </w:p>
    <w:p>
      <w:pPr>
        <w:pStyle w:val="18"/>
        <w:keepNext w:val="0"/>
        <w:keepLines w:val="0"/>
        <w:pageBreakBefore w:val="0"/>
        <w:widowControl/>
        <w:kinsoku/>
        <w:wordWrap/>
        <w:overflowPunct/>
        <w:topLinePunct w:val="0"/>
        <w:autoSpaceDE/>
        <w:autoSpaceDN/>
        <w:bidi w:val="0"/>
        <w:adjustRightInd/>
        <w:snapToGrid w:val="0"/>
        <w:spacing w:before="0"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应组建项目指挥部，作为派驻工程现场的项目管理机构。现场管理人员要求与</w:t>
      </w:r>
      <w:r>
        <w:rPr>
          <w:rFonts w:hint="eastAsia" w:ascii="宋体" w:hAnsi="宋体" w:eastAsia="宋体" w:cs="宋体"/>
          <w:color w:val="auto"/>
          <w:sz w:val="21"/>
          <w:szCs w:val="21"/>
          <w:highlight w:val="none"/>
          <w:lang w:val="en-US" w:eastAsia="zh-CN"/>
        </w:rPr>
        <w:t>改造服务</w:t>
      </w:r>
      <w:r>
        <w:rPr>
          <w:rFonts w:hint="eastAsia" w:ascii="宋体" w:hAnsi="宋体" w:eastAsia="宋体" w:cs="宋体"/>
          <w:color w:val="auto"/>
          <w:sz w:val="21"/>
          <w:szCs w:val="21"/>
          <w:highlight w:val="none"/>
        </w:rPr>
        <w:t>单位作业人员随行（即现场管理人员到场率为</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w:t>
      </w:r>
    </w:p>
    <w:p>
      <w:pPr>
        <w:pStyle w:val="18"/>
        <w:keepNext w:val="0"/>
        <w:keepLines w:val="0"/>
        <w:pageBreakBefore w:val="0"/>
        <w:widowControl/>
        <w:kinsoku/>
        <w:wordWrap/>
        <w:overflowPunct/>
        <w:topLinePunct w:val="0"/>
        <w:autoSpaceDE/>
        <w:autoSpaceDN/>
        <w:bidi w:val="0"/>
        <w:adjustRightInd/>
        <w:snapToGrid w:val="0"/>
        <w:spacing w:before="0"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2、项目指挥部各职能部门的设置应与项目建设规模相适应，并满足计划、合同、技术、质量、安全、造价等各方职能要求。</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人员数量及相关要求</w:t>
      </w:r>
    </w:p>
    <w:p>
      <w:pPr>
        <w:pStyle w:val="18"/>
        <w:keepNext w:val="0"/>
        <w:keepLines w:val="0"/>
        <w:pageBreakBefore w:val="0"/>
        <w:widowControl/>
        <w:numPr>
          <w:ilvl w:val="0"/>
          <w:numId w:val="0"/>
        </w:numPr>
        <w:kinsoku/>
        <w:wordWrap/>
        <w:overflowPunct/>
        <w:topLinePunct w:val="0"/>
        <w:autoSpaceDE/>
        <w:autoSpaceDN/>
        <w:bidi w:val="0"/>
        <w:adjustRightInd/>
        <w:snapToGrid w:val="0"/>
        <w:spacing w:before="0" w:beforeLines="0" w:after="0" w:line="440" w:lineRule="exact"/>
        <w:ind w:leftChars="200"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1、项目负责人</w:t>
      </w:r>
      <w:r>
        <w:rPr>
          <w:rFonts w:hint="eastAsia" w:ascii="宋体" w:hAnsi="宋体" w:eastAsia="宋体" w:cs="宋体"/>
          <w:b w:val="0"/>
          <w:bCs/>
          <w:i w:val="0"/>
          <w:iCs w:val="0"/>
          <w:color w:val="auto"/>
          <w:sz w:val="21"/>
          <w:szCs w:val="21"/>
          <w:highlight w:val="none"/>
          <w:u w:val="single" w:color="auto"/>
          <w:lang w:val="en-US" w:eastAsia="zh-CN"/>
        </w:rPr>
        <w:t xml:space="preserve">        </w:t>
      </w:r>
      <w:r>
        <w:rPr>
          <w:rFonts w:hint="eastAsia" w:ascii="宋体" w:hAnsi="宋体" w:eastAsia="宋体" w:cs="宋体"/>
          <w:b w:val="0"/>
          <w:bCs/>
          <w:i w:val="0"/>
          <w:iCs w:val="0"/>
          <w:color w:val="auto"/>
          <w:sz w:val="21"/>
          <w:szCs w:val="21"/>
          <w:highlight w:val="none"/>
          <w:u w:val="none" w:color="auto"/>
          <w:lang w:val="en-US" w:eastAsia="zh-CN"/>
        </w:rPr>
        <w:t>。</w:t>
      </w:r>
      <w:r>
        <w:rPr>
          <w:rFonts w:hint="eastAsia" w:ascii="宋体" w:hAnsi="宋体" w:eastAsia="宋体" w:cs="宋体"/>
          <w:b w:val="0"/>
          <w:bCs/>
          <w:i w:val="0"/>
          <w:iCs w:val="0"/>
          <w:color w:val="auto"/>
          <w:sz w:val="21"/>
          <w:szCs w:val="21"/>
          <w:highlight w:val="none"/>
        </w:rPr>
        <w:t>专业</w:t>
      </w:r>
      <w:r>
        <w:rPr>
          <w:rFonts w:hint="eastAsia" w:ascii="宋体" w:hAnsi="宋体" w:eastAsia="宋体" w:cs="宋体"/>
          <w:b w:val="0"/>
          <w:bCs/>
          <w:i w:val="0"/>
          <w:iCs w:val="0"/>
          <w:color w:val="auto"/>
          <w:kern w:val="2"/>
          <w:sz w:val="21"/>
          <w:szCs w:val="21"/>
          <w:highlight w:val="none"/>
          <w:lang w:val="en-US" w:eastAsia="zh-CN" w:bidi="ar-SA"/>
        </w:rPr>
        <w:t>：</w:t>
      </w:r>
      <w:r>
        <w:rPr>
          <w:rFonts w:hint="eastAsia" w:ascii="宋体" w:hAnsi="宋体" w:eastAsia="宋体" w:cs="宋体"/>
          <w:b w:val="0"/>
          <w:bCs/>
          <w:i w:val="0"/>
          <w:iCs w:val="0"/>
          <w:color w:val="auto"/>
          <w:sz w:val="21"/>
          <w:szCs w:val="21"/>
          <w:highlight w:val="none"/>
          <w:u w:val="single" w:color="auto"/>
          <w:lang w:val="en-US" w:eastAsia="zh-CN"/>
        </w:rPr>
        <w:t xml:space="preserve">      </w:t>
      </w:r>
      <w:r>
        <w:rPr>
          <w:rFonts w:hint="eastAsia" w:ascii="宋体" w:hAnsi="宋体" w:eastAsia="宋体" w:cs="宋体"/>
          <w:b w:val="0"/>
          <w:bCs/>
          <w:i w:val="0"/>
          <w:iCs w:val="0"/>
          <w:color w:val="auto"/>
          <w:sz w:val="21"/>
          <w:szCs w:val="21"/>
          <w:highlight w:val="none"/>
          <w:u w:val="none" w:color="auto"/>
          <w:lang w:val="en-US" w:eastAsia="zh-CN"/>
        </w:rPr>
        <w:t>，</w:t>
      </w:r>
      <w:r>
        <w:rPr>
          <w:rFonts w:hint="eastAsia" w:ascii="宋体" w:hAnsi="宋体" w:eastAsia="宋体" w:cs="宋体"/>
          <w:b w:val="0"/>
          <w:bCs w:val="0"/>
          <w:i w:val="0"/>
          <w:iCs w:val="0"/>
          <w:color w:val="auto"/>
          <w:sz w:val="21"/>
          <w:szCs w:val="21"/>
          <w:highlight w:val="none"/>
        </w:rPr>
        <w:t>职业资格</w:t>
      </w:r>
      <w:r>
        <w:rPr>
          <w:rFonts w:hint="eastAsia" w:ascii="宋体" w:hAnsi="宋体" w:eastAsia="宋体" w:cs="宋体"/>
          <w:b w:val="0"/>
          <w:bCs w:val="0"/>
          <w:i w:val="0"/>
          <w:iCs w:val="0"/>
          <w:color w:val="auto"/>
          <w:sz w:val="21"/>
          <w:szCs w:val="21"/>
          <w:highlight w:val="none"/>
          <w:lang w:val="en-US" w:eastAsia="zh-CN"/>
        </w:rPr>
        <w:t>或职称</w:t>
      </w:r>
      <w:r>
        <w:rPr>
          <w:rFonts w:hint="eastAsia" w:ascii="宋体" w:hAnsi="宋体" w:eastAsia="宋体" w:cs="宋体"/>
          <w:b w:val="0"/>
          <w:bCs w:val="0"/>
          <w:i w:val="0"/>
          <w:iCs w:val="0"/>
          <w:color w:val="auto"/>
          <w:sz w:val="21"/>
          <w:szCs w:val="21"/>
          <w:highlight w:val="none"/>
          <w:lang w:eastAsia="zh-CN"/>
        </w:rPr>
        <w:t>：</w:t>
      </w:r>
      <w:r>
        <w:rPr>
          <w:rFonts w:hint="eastAsia" w:ascii="宋体" w:hAnsi="宋体" w:eastAsia="宋体" w:cs="宋体"/>
          <w:b w:val="0"/>
          <w:bCs w:val="0"/>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rPr>
        <w:t>。</w:t>
      </w:r>
    </w:p>
    <w:p>
      <w:pPr>
        <w:pStyle w:val="18"/>
        <w:keepNext w:val="0"/>
        <w:keepLines w:val="0"/>
        <w:pageBreakBefore w:val="0"/>
        <w:widowControl/>
        <w:numPr>
          <w:ilvl w:val="0"/>
          <w:numId w:val="0"/>
        </w:numPr>
        <w:kinsoku/>
        <w:wordWrap/>
        <w:overflowPunct/>
        <w:topLinePunct w:val="0"/>
        <w:autoSpaceDE/>
        <w:autoSpaceDN/>
        <w:bidi w:val="0"/>
        <w:adjustRightInd/>
        <w:snapToGrid w:val="0"/>
        <w:spacing w:before="0" w:beforeLines="0" w:after="0" w:line="440" w:lineRule="exact"/>
        <w:ind w:leftChars="20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总监理工程师</w:t>
      </w:r>
      <w:r>
        <w:rPr>
          <w:rFonts w:hint="eastAsia" w:ascii="宋体" w:hAnsi="宋体" w:eastAsia="宋体" w:cs="宋体"/>
          <w:b w:val="0"/>
          <w:bCs w:val="0"/>
          <w:color w:val="auto"/>
          <w:sz w:val="21"/>
          <w:szCs w:val="21"/>
          <w:highlight w:val="none"/>
          <w:lang w:val="en-US" w:eastAsia="zh-CN"/>
        </w:rPr>
        <w:t>姓名：</w:t>
      </w:r>
      <w:r>
        <w:rPr>
          <w:rFonts w:hint="eastAsia" w:ascii="宋体" w:hAnsi="宋体" w:eastAsia="宋体" w:cs="宋体"/>
          <w:b w:val="0"/>
          <w:bCs w:val="0"/>
          <w:color w:val="auto"/>
          <w:sz w:val="21"/>
          <w:szCs w:val="21"/>
          <w:highlight w:val="none"/>
          <w:u w:val="single" w:color="auto"/>
          <w:lang w:val="en-US" w:eastAsia="zh-CN"/>
        </w:rPr>
        <w:t xml:space="preserve">        </w:t>
      </w:r>
      <w:r>
        <w:rPr>
          <w:rFonts w:hint="eastAsia" w:ascii="宋体" w:hAnsi="宋体" w:eastAsia="宋体" w:cs="宋体"/>
          <w:b w:val="0"/>
          <w:bCs w:val="0"/>
          <w:color w:val="auto"/>
          <w:sz w:val="21"/>
          <w:szCs w:val="21"/>
          <w:highlight w:val="none"/>
          <w:u w:val="none" w:color="auto"/>
          <w:lang w:val="en-US" w:eastAsia="zh-CN"/>
        </w:rPr>
        <w:t>，</w:t>
      </w:r>
      <w:r>
        <w:rPr>
          <w:rFonts w:hint="eastAsia" w:ascii="宋体" w:hAnsi="宋体" w:eastAsia="宋体" w:cs="宋体"/>
          <w:b w:val="0"/>
          <w:bCs w:val="0"/>
          <w:color w:val="auto"/>
          <w:sz w:val="21"/>
          <w:szCs w:val="21"/>
          <w:highlight w:val="none"/>
        </w:rPr>
        <w:t>专业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color="auto"/>
          <w:lang w:val="en-US" w:eastAsia="zh-CN"/>
        </w:rPr>
        <w:t xml:space="preserve">        </w:t>
      </w:r>
      <w:r>
        <w:rPr>
          <w:rFonts w:hint="eastAsia" w:ascii="宋体" w:hAnsi="宋体" w:eastAsia="宋体" w:cs="宋体"/>
          <w:b w:val="0"/>
          <w:bCs w:val="0"/>
          <w:i w:val="0"/>
          <w:iCs w:val="0"/>
          <w:color w:val="auto"/>
          <w:sz w:val="21"/>
          <w:szCs w:val="21"/>
          <w:highlight w:val="none"/>
          <w:u w:val="none" w:color="auto"/>
          <w:lang w:val="en-US" w:eastAsia="zh-CN"/>
        </w:rPr>
        <w:t>，</w:t>
      </w:r>
      <w:r>
        <w:rPr>
          <w:rFonts w:hint="eastAsia" w:ascii="宋体" w:hAnsi="宋体" w:eastAsia="宋体" w:cs="宋体"/>
          <w:b w:val="0"/>
          <w:bCs w:val="0"/>
          <w:i w:val="0"/>
          <w:iCs w:val="0"/>
          <w:color w:val="auto"/>
          <w:sz w:val="21"/>
          <w:szCs w:val="21"/>
          <w:highlight w:val="none"/>
        </w:rPr>
        <w:t>职业资格</w:t>
      </w:r>
      <w:r>
        <w:rPr>
          <w:rFonts w:hint="eastAsia" w:ascii="宋体" w:hAnsi="宋体" w:eastAsia="宋体" w:cs="宋体"/>
          <w:b w:val="0"/>
          <w:bCs w:val="0"/>
          <w:i w:val="0"/>
          <w:iCs w:val="0"/>
          <w:color w:val="auto"/>
          <w:sz w:val="21"/>
          <w:szCs w:val="21"/>
          <w:highlight w:val="none"/>
          <w:lang w:eastAsia="zh-CN"/>
        </w:rPr>
        <w:t>：</w:t>
      </w:r>
      <w:r>
        <w:rPr>
          <w:rFonts w:hint="eastAsia" w:ascii="宋体" w:hAnsi="宋体" w:eastAsia="宋体" w:cs="宋体"/>
          <w:b w:val="0"/>
          <w:bCs w:val="0"/>
          <w:color w:val="auto"/>
          <w:sz w:val="21"/>
          <w:szCs w:val="21"/>
          <w:highlight w:val="none"/>
          <w:u w:val="single" w:color="auto"/>
          <w:lang w:val="en-US" w:eastAsia="zh-CN"/>
        </w:rPr>
        <w:t xml:space="preserve">                </w:t>
      </w:r>
      <w:r>
        <w:rPr>
          <w:rFonts w:hint="eastAsia" w:ascii="宋体" w:hAnsi="宋体" w:eastAsia="宋体" w:cs="宋体"/>
          <w:b w:val="0"/>
          <w:bCs w:val="0"/>
          <w:color w:val="auto"/>
          <w:sz w:val="21"/>
          <w:szCs w:val="21"/>
          <w:highlight w:val="none"/>
          <w:u w:val="none" w:color="auto"/>
          <w:lang w:val="en-US" w:eastAsia="zh-CN"/>
        </w:rPr>
        <w:t>。</w:t>
      </w:r>
    </w:p>
    <w:p>
      <w:pPr>
        <w:pStyle w:val="18"/>
        <w:keepNext w:val="0"/>
        <w:keepLines w:val="0"/>
        <w:pageBreakBefore w:val="0"/>
        <w:widowControl/>
        <w:numPr>
          <w:ilvl w:val="0"/>
          <w:numId w:val="0"/>
        </w:numPr>
        <w:kinsoku/>
        <w:wordWrap/>
        <w:overflowPunct/>
        <w:topLinePunct w:val="0"/>
        <w:autoSpaceDE/>
        <w:autoSpaceDN/>
        <w:bidi w:val="0"/>
        <w:adjustRightInd/>
        <w:snapToGrid w:val="0"/>
        <w:spacing w:before="0" w:beforeLines="0" w:after="0" w:line="440" w:lineRule="exact"/>
        <w:ind w:leftChars="20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i w:val="0"/>
          <w:iCs w:val="0"/>
          <w:color w:val="auto"/>
          <w:kern w:val="2"/>
          <w:sz w:val="21"/>
          <w:szCs w:val="21"/>
          <w:highlight w:val="none"/>
          <w:lang w:val="en-US" w:eastAsia="zh-CN" w:bidi="ar-SA"/>
        </w:rPr>
        <w:t>3、专业监理工程师姓名：</w:t>
      </w:r>
      <w:r>
        <w:rPr>
          <w:rFonts w:hint="eastAsia" w:ascii="宋体" w:hAnsi="宋体" w:eastAsia="宋体" w:cs="宋体"/>
          <w:b w:val="0"/>
          <w:bCs/>
          <w:i w:val="0"/>
          <w:iCs w:val="0"/>
          <w:color w:val="auto"/>
          <w:sz w:val="21"/>
          <w:szCs w:val="21"/>
          <w:highlight w:val="none"/>
          <w:u w:val="single" w:color="auto"/>
          <w:lang w:val="en-US" w:eastAsia="zh-CN"/>
        </w:rPr>
        <w:t xml:space="preserve">        </w:t>
      </w:r>
      <w:r>
        <w:rPr>
          <w:rFonts w:hint="eastAsia" w:ascii="宋体" w:hAnsi="宋体" w:eastAsia="宋体" w:cs="宋体"/>
          <w:b w:val="0"/>
          <w:bCs/>
          <w:i w:val="0"/>
          <w:iCs w:val="0"/>
          <w:color w:val="auto"/>
          <w:sz w:val="21"/>
          <w:szCs w:val="21"/>
          <w:highlight w:val="none"/>
          <w:u w:val="none" w:color="auto"/>
          <w:lang w:val="en-US" w:eastAsia="zh-CN"/>
        </w:rPr>
        <w:t>。</w:t>
      </w:r>
      <w:r>
        <w:rPr>
          <w:rFonts w:hint="eastAsia" w:ascii="宋体" w:hAnsi="宋体" w:eastAsia="宋体" w:cs="宋体"/>
          <w:b w:val="0"/>
          <w:bCs/>
          <w:i w:val="0"/>
          <w:iCs w:val="0"/>
          <w:color w:val="auto"/>
          <w:sz w:val="21"/>
          <w:szCs w:val="21"/>
          <w:highlight w:val="none"/>
        </w:rPr>
        <w:t>专业</w:t>
      </w:r>
      <w:r>
        <w:rPr>
          <w:rFonts w:hint="eastAsia" w:ascii="宋体" w:hAnsi="宋体" w:eastAsia="宋体" w:cs="宋体"/>
          <w:b w:val="0"/>
          <w:bCs/>
          <w:i w:val="0"/>
          <w:iCs w:val="0"/>
          <w:color w:val="auto"/>
          <w:kern w:val="2"/>
          <w:sz w:val="21"/>
          <w:szCs w:val="21"/>
          <w:highlight w:val="none"/>
          <w:lang w:val="en-US" w:eastAsia="zh-CN" w:bidi="ar-SA"/>
        </w:rPr>
        <w:t>：</w:t>
      </w:r>
      <w:r>
        <w:rPr>
          <w:rFonts w:hint="eastAsia" w:ascii="宋体" w:hAnsi="宋体" w:eastAsia="宋体" w:cs="宋体"/>
          <w:b w:val="0"/>
          <w:bCs/>
          <w:i w:val="0"/>
          <w:iCs w:val="0"/>
          <w:color w:val="auto"/>
          <w:sz w:val="21"/>
          <w:szCs w:val="21"/>
          <w:highlight w:val="none"/>
          <w:u w:val="single" w:color="auto"/>
          <w:lang w:val="en-US" w:eastAsia="zh-CN"/>
        </w:rPr>
        <w:t xml:space="preserve">      </w:t>
      </w:r>
      <w:r>
        <w:rPr>
          <w:rFonts w:hint="eastAsia" w:ascii="宋体" w:hAnsi="宋体" w:eastAsia="宋体" w:cs="宋体"/>
          <w:b w:val="0"/>
          <w:bCs/>
          <w:i w:val="0"/>
          <w:iCs w:val="0"/>
          <w:color w:val="auto"/>
          <w:sz w:val="21"/>
          <w:szCs w:val="21"/>
          <w:highlight w:val="none"/>
          <w:u w:val="none" w:color="auto"/>
          <w:lang w:val="en-US" w:eastAsia="zh-CN"/>
        </w:rPr>
        <w:t>，</w:t>
      </w:r>
      <w:r>
        <w:rPr>
          <w:rFonts w:hint="eastAsia" w:ascii="宋体" w:hAnsi="宋体" w:eastAsia="宋体" w:cs="宋体"/>
          <w:b w:val="0"/>
          <w:bCs w:val="0"/>
          <w:i w:val="0"/>
          <w:iCs w:val="0"/>
          <w:color w:val="auto"/>
          <w:sz w:val="21"/>
          <w:szCs w:val="21"/>
          <w:highlight w:val="none"/>
        </w:rPr>
        <w:t>职业资格</w:t>
      </w:r>
      <w:r>
        <w:rPr>
          <w:rFonts w:hint="eastAsia" w:ascii="宋体" w:hAnsi="宋体" w:eastAsia="宋体" w:cs="宋体"/>
          <w:b w:val="0"/>
          <w:bCs w:val="0"/>
          <w:i w:val="0"/>
          <w:iCs w:val="0"/>
          <w:color w:val="auto"/>
          <w:sz w:val="21"/>
          <w:szCs w:val="21"/>
          <w:highlight w:val="none"/>
          <w:lang w:val="en-US" w:eastAsia="zh-CN"/>
        </w:rPr>
        <w:t>或职称</w:t>
      </w:r>
      <w:r>
        <w:rPr>
          <w:rFonts w:hint="eastAsia" w:ascii="宋体" w:hAnsi="宋体" w:eastAsia="宋体" w:cs="宋体"/>
          <w:b w:val="0"/>
          <w:bCs w:val="0"/>
          <w:i w:val="0"/>
          <w:iCs w:val="0"/>
          <w:color w:val="auto"/>
          <w:sz w:val="21"/>
          <w:szCs w:val="21"/>
          <w:highlight w:val="none"/>
          <w:lang w:eastAsia="zh-CN"/>
        </w:rPr>
        <w:t>：</w:t>
      </w:r>
      <w:r>
        <w:rPr>
          <w:rFonts w:hint="eastAsia" w:ascii="宋体" w:hAnsi="宋体" w:eastAsia="宋体" w:cs="宋体"/>
          <w:b w:val="0"/>
          <w:bCs w:val="0"/>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numPr>
          <w:ilvl w:val="0"/>
          <w:numId w:val="0"/>
        </w:numPr>
        <w:kinsoku/>
        <w:wordWrap/>
        <w:overflowPunct/>
        <w:topLinePunct w:val="0"/>
        <w:autoSpaceDE/>
        <w:autoSpaceDN/>
        <w:bidi w:val="0"/>
        <w:adjustRightInd/>
        <w:spacing w:beforeLines="0" w:line="440" w:lineRule="exact"/>
        <w:ind w:leftChars="200"/>
        <w:textAlignment w:val="auto"/>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z w:val="21"/>
          <w:szCs w:val="21"/>
          <w:highlight w:val="none"/>
          <w:lang w:val="en-US" w:eastAsia="zh-CN"/>
        </w:rPr>
        <w:t>4、监理员</w:t>
      </w:r>
      <w:r>
        <w:rPr>
          <w:rFonts w:hint="eastAsia" w:ascii="宋体" w:hAnsi="宋体" w:eastAsia="宋体" w:cs="宋体"/>
          <w:b w:val="0"/>
          <w:bCs/>
          <w:i w:val="0"/>
          <w:iCs w:val="0"/>
          <w:color w:val="auto"/>
          <w:kern w:val="2"/>
          <w:sz w:val="21"/>
          <w:szCs w:val="21"/>
          <w:highlight w:val="none"/>
          <w:lang w:val="en-US" w:eastAsia="zh-CN" w:bidi="ar-SA"/>
        </w:rPr>
        <w:t>工程师姓名</w:t>
      </w:r>
      <w:r>
        <w:rPr>
          <w:rFonts w:hint="eastAsia" w:ascii="宋体" w:hAnsi="宋体" w:eastAsia="宋体" w:cs="宋体"/>
          <w:b w:val="0"/>
          <w:bCs/>
          <w:i w:val="0"/>
          <w:iCs w:val="0"/>
          <w:color w:val="auto"/>
          <w:sz w:val="21"/>
          <w:szCs w:val="21"/>
          <w:highlight w:val="none"/>
          <w:u w:val="single" w:color="auto"/>
          <w:lang w:val="en-US" w:eastAsia="zh-CN"/>
        </w:rPr>
        <w:t xml:space="preserve">       </w:t>
      </w:r>
      <w:r>
        <w:rPr>
          <w:rFonts w:hint="eastAsia" w:ascii="宋体" w:hAnsi="宋体" w:eastAsia="宋体" w:cs="宋体"/>
          <w:b w:val="0"/>
          <w:bCs/>
          <w:i w:val="0"/>
          <w:iCs w:val="0"/>
          <w:color w:val="auto"/>
          <w:sz w:val="21"/>
          <w:szCs w:val="21"/>
          <w:highlight w:val="none"/>
          <w:u w:val="none" w:color="auto"/>
          <w:lang w:val="en-US" w:eastAsia="zh-CN"/>
        </w:rPr>
        <w:t>。</w:t>
      </w:r>
    </w:p>
    <w:p>
      <w:pPr>
        <w:pStyle w:val="18"/>
        <w:keepNext w:val="0"/>
        <w:keepLines w:val="0"/>
        <w:pageBreakBefore w:val="0"/>
        <w:widowControl/>
        <w:kinsoku/>
        <w:wordWrap/>
        <w:overflowPunct/>
        <w:topLinePunct w:val="0"/>
        <w:autoSpaceDE/>
        <w:autoSpaceDN/>
        <w:bidi w:val="0"/>
        <w:adjustRightInd/>
        <w:snapToGrid w:val="0"/>
        <w:spacing w:before="0"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现场管理</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姓名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18"/>
        <w:keepNext w:val="0"/>
        <w:keepLines w:val="0"/>
        <w:pageBreakBefore w:val="0"/>
        <w:widowControl/>
        <w:kinsoku/>
        <w:wordWrap/>
        <w:overflowPunct/>
        <w:topLinePunct w:val="0"/>
        <w:autoSpaceDE/>
        <w:autoSpaceDN/>
        <w:bidi w:val="0"/>
        <w:adjustRightInd/>
        <w:snapToGrid w:val="0"/>
        <w:spacing w:before="0"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6、造价管理</w:t>
      </w:r>
      <w:r>
        <w:rPr>
          <w:rFonts w:hint="eastAsia" w:ascii="宋体" w:hAnsi="宋体" w:eastAsia="宋体" w:cs="宋体"/>
          <w:color w:val="auto"/>
          <w:sz w:val="21"/>
          <w:szCs w:val="21"/>
          <w:highlight w:val="none"/>
          <w:lang w:eastAsia="zh-CN"/>
        </w:rPr>
        <w:t>姓名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beforeLines="0" w:line="44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对投入本项目的办公及检测设备的要求</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108" w:type="dxa"/>
          <w:bottom w:w="28" w:type="dxa"/>
          <w:right w:w="108" w:type="dxa"/>
        </w:tblCellMar>
      </w:tblPr>
      <w:tblGrid>
        <w:gridCol w:w="1043"/>
        <w:gridCol w:w="4284"/>
        <w:gridCol w:w="1280"/>
        <w:gridCol w:w="2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tblHeader/>
          <w:jc w:val="center"/>
        </w:trPr>
        <w:tc>
          <w:tcPr>
            <w:tcW w:w="1043"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84"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所需设备名称</w:t>
            </w:r>
          </w:p>
        </w:tc>
        <w:tc>
          <w:tcPr>
            <w:tcW w:w="1280"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2344"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84"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280"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344"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84"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280"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344"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84"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280"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2344"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84"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280"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344" w:type="dxa"/>
            <w:tcBorders>
              <w:tl2br w:val="nil"/>
              <w:tr2bl w:val="nil"/>
            </w:tcBorders>
            <w:vAlign w:val="center"/>
          </w:tcPr>
          <w:p>
            <w:pPr>
              <w:keepNext w:val="0"/>
              <w:keepLines w:val="0"/>
              <w:pageBreakBefore w:val="0"/>
              <w:widowControl w:val="0"/>
              <w:suppressLineNumbers w:val="0"/>
              <w:tabs>
                <w:tab w:val="left" w:pos="748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8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28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3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4284"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280"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344"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284"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280"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344"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284"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280"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2344" w:type="dxa"/>
            <w:tcBorders>
              <w:tl2br w:val="nil"/>
              <w:tr2bl w:val="nil"/>
            </w:tcBorders>
            <w:vAlign w:val="center"/>
          </w:tcPr>
          <w:p>
            <w:pPr>
              <w:keepNext w:val="0"/>
              <w:keepLines w:val="0"/>
              <w:pageBreakBefore w:val="0"/>
              <w:widowControl w:val="0"/>
              <w:suppressLineNumbers w:val="0"/>
              <w:tabs>
                <w:tab w:val="left" w:pos="540"/>
              </w:tabs>
              <w:kinsoku/>
              <w:wordWrap/>
              <w:overflowPunct/>
              <w:topLinePunct w:val="0"/>
              <w:autoSpaceDE/>
              <w:autoSpaceDN/>
              <w:bidi w:val="0"/>
              <w:adjustRightInd/>
              <w:snapToGrid w:val="0"/>
              <w:spacing w:before="0" w:beforeLines="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r>
    </w:tbl>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违约、考评罚则</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受托人原因，如工程质量不合格，受托人应无偿返工，直至合格为止。委托人有权对受托人处以违约金，限额为全过程工程咨询对应履约担保金额的30%，不足部分，委托人有权对受托人进行追偿。由此增加的费用及造成工程拖延，由受托人负责。</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2、因受托人原因，导致工期延长的，未按约定期限完成全过程工程咨询工作,对超出日期按2000元/天计取赔偿，限额为全过程工程咨询对应履约担保金额的20%，不足部分，委托人有权对受托人进行追偿。</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3、因受托人原因，未按委托人要求及时、全面履行设计管理、综合协调义务，导致项目建设进度的推迟或延误的，委托人将给与警告，</w:t>
      </w:r>
      <w:r>
        <w:rPr>
          <w:rFonts w:hint="eastAsia" w:ascii="宋体" w:hAnsi="宋体" w:cs="宋体"/>
          <w:color w:val="auto"/>
          <w:sz w:val="21"/>
          <w:szCs w:val="21"/>
          <w:highlight w:val="none"/>
          <w:lang w:val="en-US" w:eastAsia="zh-CN"/>
        </w:rPr>
        <w:t>警告次数达3次以上的，属</w:t>
      </w:r>
      <w:r>
        <w:rPr>
          <w:rFonts w:hint="eastAsia" w:ascii="宋体" w:hAnsi="宋体" w:eastAsia="宋体" w:cs="宋体"/>
          <w:color w:val="auto"/>
          <w:sz w:val="21"/>
          <w:szCs w:val="21"/>
          <w:highlight w:val="none"/>
        </w:rPr>
        <w:t>情节严重，委托人有权解除合同。</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4、因受托人未妥善履行合同及台帐管理义务，对委托人或第三人所提出的问题（约定范围内的）不能及时核对或答复，导致合同不能全部或部分履行，造成委托人经济损失的，受托人应承担赔偿责任。</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受托人不得接受所有第三方的礼品、宴请和任何其它好处，不得泄露全过程工程咨询过程中依法需要保密的内容。合同终止后，未经委托人同意，受托人不得泄漏与本合同工程相关的任何资料和情况。否则，委托人有权要求其承担赔偿责任，并且承担相关法律责任。</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6、因受托人原因，如果出现重大责任事故，受托人需承担相应的法律责任，并对受托人处以本合同全过程工程咨询对应履约担保金额的50%的</w:t>
      </w:r>
      <w:r>
        <w:rPr>
          <w:rFonts w:hint="eastAsia" w:ascii="宋体" w:hAnsi="宋体" w:cs="宋体"/>
          <w:color w:val="auto"/>
          <w:sz w:val="21"/>
          <w:szCs w:val="21"/>
          <w:highlight w:val="none"/>
          <w:lang w:eastAsia="zh-CN"/>
        </w:rPr>
        <w:t>违约金</w:t>
      </w:r>
      <w:r>
        <w:rPr>
          <w:rFonts w:hint="eastAsia" w:ascii="宋体" w:hAnsi="宋体" w:eastAsia="宋体" w:cs="宋体"/>
          <w:color w:val="auto"/>
          <w:sz w:val="21"/>
          <w:szCs w:val="21"/>
          <w:highlight w:val="none"/>
        </w:rPr>
        <w:t>，不足部分，委托人有权对受托人进行追偿，并且受托人承担相关法律责任。</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被委托人派驻全过程工程咨询机构的服务人员资格，必须符合现行的相关政策规定，并满足本全过程工程咨询工作需要。项目总监理工程师、项目负责人及造价管理人员到位率必须达到正常工作日（考勤天数按每月22日计）的80%，否则按1000元/天的标准赔偿，最高违约金为履约担保金额的20%；工程施工开始后节假日施工期间，项目管理组及监理组须各派一名专业人员到场驻场，否则按500元/天的标准赔偿，最高违约金为履约担保金额的20%，由委托人从履约担保中扣除,该项限额不足时，委托人有权向全过程工程咨询人追偿。</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8、委托人须督促落实</w:t>
      </w:r>
      <w:r>
        <w:rPr>
          <w:rFonts w:hint="eastAsia" w:ascii="宋体" w:hAnsi="宋体" w:cs="宋体"/>
          <w:color w:val="auto"/>
          <w:sz w:val="21"/>
          <w:szCs w:val="21"/>
          <w:highlight w:val="none"/>
          <w:lang w:val="en-US" w:eastAsia="zh-CN"/>
        </w:rPr>
        <w:t>项目管理</w:t>
      </w:r>
      <w:r>
        <w:rPr>
          <w:rFonts w:hint="eastAsia" w:ascii="宋体" w:hAnsi="宋体" w:eastAsia="宋体" w:cs="宋体"/>
          <w:color w:val="auto"/>
          <w:sz w:val="21"/>
          <w:szCs w:val="21"/>
          <w:highlight w:val="none"/>
        </w:rPr>
        <w:t>单位考勤机的安装及使用，并对受托人人员考勤情况进行随机抽查，若抽查发现受托人人员未到岗的，按上述赔偿标准</w:t>
      </w:r>
      <w:r>
        <w:rPr>
          <w:rFonts w:hint="eastAsia" w:ascii="宋体" w:hAnsi="宋体" w:cs="宋体"/>
          <w:color w:val="auto"/>
          <w:sz w:val="21"/>
          <w:szCs w:val="21"/>
          <w:highlight w:val="none"/>
          <w:lang w:eastAsia="zh-CN"/>
        </w:rPr>
        <w:t>支付违约金。</w:t>
      </w:r>
      <w:r>
        <w:rPr>
          <w:rFonts w:hint="eastAsia" w:ascii="宋体" w:hAnsi="宋体" w:cs="宋体"/>
          <w:color w:val="auto"/>
          <w:sz w:val="21"/>
          <w:szCs w:val="21"/>
          <w:highlight w:val="none"/>
        </w:rPr>
        <w:t>项目验收后受托人</w:t>
      </w:r>
      <w:r>
        <w:rPr>
          <w:rFonts w:hint="eastAsia" w:ascii="宋体" w:hAnsi="宋体" w:cs="宋体"/>
          <w:color w:val="auto"/>
          <w:sz w:val="21"/>
          <w:szCs w:val="21"/>
          <w:highlight w:val="none"/>
          <w:lang w:val="en-US" w:eastAsia="zh-CN"/>
        </w:rPr>
        <w:t>需</w:t>
      </w:r>
      <w:r>
        <w:rPr>
          <w:rFonts w:hint="eastAsia" w:ascii="宋体" w:hAnsi="宋体" w:cs="宋体"/>
          <w:color w:val="auto"/>
          <w:sz w:val="21"/>
          <w:szCs w:val="21"/>
          <w:highlight w:val="none"/>
        </w:rPr>
        <w:t>提供考勤报告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若无法提供考勤报告则处以2万元赔偿</w:t>
      </w:r>
      <w:r>
        <w:rPr>
          <w:rFonts w:hint="eastAsia" w:ascii="宋体" w:hAnsi="宋体" w:eastAsia="宋体" w:cs="宋体"/>
          <w:color w:val="auto"/>
          <w:sz w:val="21"/>
          <w:szCs w:val="21"/>
          <w:highlight w:val="none"/>
        </w:rPr>
        <w:t>。受托人人员确有需要请假的，须向委托人提交书面申请单，若未提交书面申请的按未到岗做相应扣罚。</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未经委托人书面同意，受托人不得更换项目负责人及其他管理人员。因不可抗因素（如离职、生病等）涉及人员变更的，需经委托人同意。受托人未经委托人同意擅自变更人员的，委托人有权按50000元/人的标准赔偿</w:t>
      </w:r>
      <w:r>
        <w:rPr>
          <w:rFonts w:hint="eastAsia" w:ascii="宋体" w:hAnsi="宋体" w:cs="宋体"/>
          <w:color w:val="auto"/>
          <w:sz w:val="21"/>
          <w:szCs w:val="21"/>
          <w:highlight w:val="none"/>
          <w:lang w:eastAsia="zh-CN"/>
        </w:rPr>
        <w:t>支付违约金</w:t>
      </w:r>
      <w:r>
        <w:rPr>
          <w:rFonts w:hint="eastAsia" w:ascii="宋体" w:hAnsi="宋体" w:eastAsia="宋体" w:cs="宋体"/>
          <w:color w:val="auto"/>
          <w:sz w:val="21"/>
          <w:szCs w:val="21"/>
          <w:highlight w:val="none"/>
        </w:rPr>
        <w:t>，委托人有权对受托人就</w:t>
      </w:r>
      <w:r>
        <w:rPr>
          <w:rFonts w:hint="eastAsia" w:ascii="宋体" w:hAnsi="宋体" w:cs="宋体"/>
          <w:color w:val="auto"/>
          <w:sz w:val="21"/>
          <w:szCs w:val="21"/>
          <w:highlight w:val="none"/>
          <w:lang w:eastAsia="zh-CN"/>
        </w:rPr>
        <w:t>违约金</w:t>
      </w:r>
      <w:r>
        <w:rPr>
          <w:rFonts w:hint="eastAsia" w:ascii="宋体" w:hAnsi="宋体" w:eastAsia="宋体" w:cs="宋体"/>
          <w:color w:val="auto"/>
          <w:sz w:val="21"/>
          <w:szCs w:val="21"/>
          <w:highlight w:val="none"/>
        </w:rPr>
        <w:t>不足部分进行追偿，且受托人须承担相关法律责任。</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受托人制作</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改造效果对比视频，</w:t>
      </w:r>
      <w:r>
        <w:rPr>
          <w:rFonts w:hint="eastAsia" w:ascii="宋体" w:hAnsi="宋体" w:cs="宋体"/>
          <w:color w:val="auto"/>
          <w:sz w:val="21"/>
          <w:szCs w:val="21"/>
          <w:highlight w:val="none"/>
          <w:lang w:eastAsia="zh-CN"/>
        </w:rPr>
        <w:t>需</w:t>
      </w:r>
      <w:r>
        <w:rPr>
          <w:rFonts w:hint="eastAsia" w:ascii="宋体" w:hAnsi="宋体" w:cs="宋体"/>
          <w:color w:val="auto"/>
          <w:sz w:val="21"/>
          <w:szCs w:val="21"/>
          <w:highlight w:val="none"/>
          <w:lang w:val="en-US" w:eastAsia="zh-CN"/>
        </w:rPr>
        <w:t>满足委托人要求</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否则处以2万元赔偿。</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对委托人提供的或因与委托人在磋商、签订、执行本合同过程中知晓的任何形式的信息、资料、数据，包括但不限于业务需求、技术规范、管理要求等，未经委托人书面同意不得用于任何非本合同的目的，未经委托人书面特别授权不得将上述信息透露给任何第三方。受托人的保密义务不受本合同期限的限制。如受托人违反保密义务应赔偿委托人因此而遭受的全部损失。</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、受托人存在上述问题的，按投标承诺凭履约</w:t>
      </w:r>
      <w:r>
        <w:rPr>
          <w:rFonts w:hint="eastAsia" w:ascii="宋体" w:hAnsi="宋体" w:cs="宋体"/>
          <w:color w:val="auto"/>
          <w:sz w:val="21"/>
          <w:szCs w:val="21"/>
          <w:highlight w:val="none"/>
          <w:lang w:val="en-US" w:eastAsia="zh-CN"/>
        </w:rPr>
        <w:t>保证金</w:t>
      </w:r>
      <w:r>
        <w:rPr>
          <w:rFonts w:hint="eastAsia" w:ascii="宋体" w:hAnsi="宋体" w:eastAsia="宋体" w:cs="宋体"/>
          <w:color w:val="auto"/>
          <w:sz w:val="21"/>
          <w:szCs w:val="21"/>
          <w:highlight w:val="none"/>
        </w:rPr>
        <w:t>索赔，若给委托人造成的经济损失超过履约</w:t>
      </w:r>
      <w:r>
        <w:rPr>
          <w:rFonts w:hint="eastAsia" w:ascii="宋体" w:hAnsi="宋体" w:cs="宋体"/>
          <w:color w:val="auto"/>
          <w:sz w:val="21"/>
          <w:szCs w:val="21"/>
          <w:highlight w:val="none"/>
          <w:lang w:val="en-US" w:eastAsia="zh-CN"/>
        </w:rPr>
        <w:t>保证金</w:t>
      </w:r>
      <w:r>
        <w:rPr>
          <w:rFonts w:hint="eastAsia" w:ascii="宋体" w:hAnsi="宋体" w:eastAsia="宋体" w:cs="宋体"/>
          <w:color w:val="auto"/>
          <w:sz w:val="21"/>
          <w:szCs w:val="21"/>
          <w:highlight w:val="none"/>
        </w:rPr>
        <w:t>额度的，委托人可继续向受托人提出索赔要求，受托人应按给委托人造成的实际损失赔偿委托人相关费用。</w:t>
      </w:r>
    </w:p>
    <w:p>
      <w:pPr>
        <w:pStyle w:val="18"/>
        <w:widowControl/>
        <w:snapToGrid w:val="0"/>
        <w:spacing w:beforeLines="0" w:line="440" w:lineRule="exact"/>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受托人</w:t>
      </w:r>
      <w:r>
        <w:rPr>
          <w:rFonts w:hint="eastAsia" w:ascii="宋体" w:hAnsi="宋体" w:cs="宋体"/>
          <w:color w:val="auto"/>
          <w:sz w:val="21"/>
          <w:szCs w:val="21"/>
          <w:highlight w:val="none"/>
          <w:lang w:val="en-US" w:eastAsia="zh-CN"/>
        </w:rPr>
        <w:t>在提供服务工作期间造成</w:t>
      </w:r>
      <w:r>
        <w:rPr>
          <w:rFonts w:hint="eastAsia" w:ascii="宋体" w:hAnsi="宋体" w:eastAsia="宋体" w:cs="宋体"/>
          <w:color w:val="auto"/>
          <w:sz w:val="21"/>
          <w:szCs w:val="21"/>
          <w:highlight w:val="none"/>
        </w:rPr>
        <w:t>委托人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受托人</w:t>
      </w:r>
      <w:r>
        <w:rPr>
          <w:rFonts w:hint="eastAsia" w:ascii="宋体" w:hAnsi="宋体" w:cs="宋体"/>
          <w:color w:val="auto"/>
          <w:sz w:val="21"/>
          <w:szCs w:val="21"/>
          <w:highlight w:val="none"/>
          <w:lang w:val="en-US" w:eastAsia="zh-CN"/>
        </w:rPr>
        <w:t>或第三人的人身财产损失、安全事故的，由</w:t>
      </w:r>
      <w:r>
        <w:rPr>
          <w:rFonts w:hint="eastAsia" w:ascii="宋体" w:hAnsi="宋体" w:eastAsia="宋体" w:cs="宋体"/>
          <w:color w:val="auto"/>
          <w:sz w:val="21"/>
          <w:szCs w:val="21"/>
          <w:highlight w:val="none"/>
        </w:rPr>
        <w:t>受托人</w:t>
      </w:r>
      <w:r>
        <w:rPr>
          <w:rFonts w:hint="eastAsia" w:ascii="宋体" w:hAnsi="宋体" w:cs="宋体"/>
          <w:color w:val="auto"/>
          <w:sz w:val="21"/>
          <w:szCs w:val="21"/>
          <w:highlight w:val="none"/>
          <w:lang w:val="en-US" w:eastAsia="zh-CN"/>
        </w:rPr>
        <w:t>承担全部责任，与</w:t>
      </w:r>
      <w:r>
        <w:rPr>
          <w:rFonts w:hint="eastAsia" w:ascii="宋体" w:hAnsi="宋体" w:eastAsia="宋体" w:cs="宋体"/>
          <w:color w:val="auto"/>
          <w:sz w:val="21"/>
          <w:szCs w:val="21"/>
          <w:highlight w:val="none"/>
        </w:rPr>
        <w:t>委托人</w:t>
      </w:r>
      <w:r>
        <w:rPr>
          <w:rFonts w:hint="eastAsia" w:ascii="宋体" w:hAnsi="宋体" w:cs="宋体"/>
          <w:color w:val="auto"/>
          <w:sz w:val="21"/>
          <w:szCs w:val="21"/>
          <w:highlight w:val="none"/>
          <w:lang w:val="en-US" w:eastAsia="zh-CN"/>
        </w:rPr>
        <w:t>无涉，如</w:t>
      </w:r>
      <w:r>
        <w:rPr>
          <w:rFonts w:hint="eastAsia" w:ascii="宋体" w:hAnsi="宋体" w:eastAsia="宋体" w:cs="宋体"/>
          <w:color w:val="auto"/>
          <w:sz w:val="21"/>
          <w:szCs w:val="21"/>
          <w:highlight w:val="none"/>
        </w:rPr>
        <w:t>委托人</w:t>
      </w:r>
      <w:r>
        <w:rPr>
          <w:rFonts w:hint="eastAsia" w:ascii="宋体" w:hAnsi="宋体" w:cs="宋体"/>
          <w:color w:val="auto"/>
          <w:sz w:val="21"/>
          <w:szCs w:val="21"/>
          <w:highlight w:val="none"/>
          <w:lang w:val="en-US" w:eastAsia="zh-CN"/>
        </w:rPr>
        <w:t>先行赔偿的，</w:t>
      </w:r>
      <w:r>
        <w:rPr>
          <w:rFonts w:hint="eastAsia" w:ascii="宋体" w:hAnsi="宋体" w:eastAsia="宋体" w:cs="宋体"/>
          <w:color w:val="auto"/>
          <w:sz w:val="21"/>
          <w:szCs w:val="21"/>
          <w:highlight w:val="none"/>
        </w:rPr>
        <w:t>委托人</w:t>
      </w:r>
      <w:r>
        <w:rPr>
          <w:rFonts w:hint="eastAsia" w:ascii="宋体" w:hAnsi="宋体" w:cs="宋体"/>
          <w:color w:val="auto"/>
          <w:sz w:val="21"/>
          <w:szCs w:val="21"/>
          <w:highlight w:val="none"/>
          <w:lang w:val="en-US" w:eastAsia="zh-CN"/>
        </w:rPr>
        <w:t>有权向</w:t>
      </w:r>
      <w:r>
        <w:rPr>
          <w:rFonts w:hint="eastAsia" w:ascii="宋体" w:hAnsi="宋体" w:eastAsia="宋体" w:cs="宋体"/>
          <w:color w:val="auto"/>
          <w:sz w:val="21"/>
          <w:szCs w:val="21"/>
          <w:highlight w:val="none"/>
        </w:rPr>
        <w:t>受托人</w:t>
      </w:r>
      <w:r>
        <w:rPr>
          <w:rFonts w:hint="eastAsia" w:ascii="宋体" w:hAnsi="宋体" w:cs="宋体"/>
          <w:color w:val="auto"/>
          <w:sz w:val="21"/>
          <w:szCs w:val="21"/>
          <w:highlight w:val="none"/>
          <w:lang w:val="en-US" w:eastAsia="zh-CN"/>
        </w:rPr>
        <w:t>追偿。</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履约保证金</w:t>
      </w:r>
    </w:p>
    <w:p>
      <w:pPr>
        <w:pStyle w:val="18"/>
        <w:keepNext w:val="0"/>
        <w:keepLines w:val="0"/>
        <w:pageBreakBefore w:val="0"/>
        <w:widowControl/>
        <w:kinsoku/>
        <w:wordWrap/>
        <w:overflowPunct/>
        <w:topLinePunct w:val="0"/>
        <w:autoSpaceDE/>
        <w:autoSpaceDN/>
        <w:bidi w:val="0"/>
        <w:adjustRightInd/>
        <w:snapToGrid w:val="0"/>
        <w:spacing w:line="440" w:lineRule="exact"/>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w:t>
      </w:r>
      <w:r>
        <w:rPr>
          <w:rFonts w:hint="eastAsia" w:ascii="宋体" w:hAnsi="宋体" w:eastAsia="宋体" w:cs="宋体"/>
          <w:color w:val="auto"/>
          <w:sz w:val="21"/>
          <w:szCs w:val="21"/>
          <w:highlight w:val="none"/>
          <w:u w:val="single"/>
        </w:rPr>
        <w:t>合同签约价的</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%（即人民币：         ）</w:t>
      </w:r>
      <w:r>
        <w:rPr>
          <w:rFonts w:hint="eastAsia" w:ascii="宋体" w:hAnsi="宋体" w:eastAsia="宋体" w:cs="宋体"/>
          <w:color w:val="auto"/>
          <w:sz w:val="21"/>
          <w:szCs w:val="21"/>
          <w:highlight w:val="none"/>
        </w:rPr>
        <w:t>。</w:t>
      </w:r>
    </w:p>
    <w:p>
      <w:pPr>
        <w:pStyle w:val="22"/>
        <w:keepNext w:val="0"/>
        <w:keepLines w:val="0"/>
        <w:pageBreakBefore w:val="0"/>
        <w:kinsoku/>
        <w:wordWrap/>
        <w:overflowPunct/>
        <w:topLinePunct w:val="0"/>
        <w:autoSpaceDE/>
        <w:autoSpaceDN/>
        <w:bidi w:val="0"/>
        <w:adjustRightInd/>
        <w:snapToGrid w:val="0"/>
        <w:spacing w:before="0" w:beforeLines="0" w:after="0" w:afterLines="0" w:line="440" w:lineRule="exact"/>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8"/>
        <w:keepNext w:val="0"/>
        <w:keepLines w:val="0"/>
        <w:pageBreakBefore w:val="0"/>
        <w:widowControl/>
        <w:kinsoku/>
        <w:wordWrap/>
        <w:overflowPunct/>
        <w:topLinePunct w:val="0"/>
        <w:autoSpaceDE/>
        <w:autoSpaceDN/>
        <w:bidi w:val="0"/>
        <w:adjustRightInd/>
        <w:snapToGrid w:val="0"/>
        <w:spacing w:line="440" w:lineRule="exact"/>
        <w:ind w:left="0"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履约保证金收取：</w:t>
      </w:r>
      <w:r>
        <w:rPr>
          <w:rFonts w:hint="eastAsia" w:ascii="宋体" w:hAnsi="宋体" w:eastAsia="宋体" w:cs="宋体"/>
          <w:color w:val="auto"/>
          <w:sz w:val="21"/>
          <w:szCs w:val="21"/>
          <w:highlight w:val="none"/>
          <w:u w:val="single"/>
        </w:rPr>
        <w:t>合同签订后7日内缴入采购人指定账户（联合体中标的，其履约保证金以联合体中牵头人的名义提交）</w:t>
      </w:r>
      <w:r>
        <w:rPr>
          <w:rFonts w:hint="eastAsia" w:ascii="宋体" w:hAnsi="宋体" w:eastAsia="宋体" w:cs="宋体"/>
          <w:color w:val="auto"/>
          <w:sz w:val="21"/>
          <w:szCs w:val="21"/>
          <w:highlight w:val="none"/>
        </w:rPr>
        <w:t>。</w:t>
      </w:r>
    </w:p>
    <w:p>
      <w:pPr>
        <w:pStyle w:val="22"/>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before="0" w:beforeLines="0" w:after="0" w:line="440" w:lineRule="exact"/>
        <w:ind w:left="0" w:leftChars="0" w:right="0" w:rightChars="0" w:firstLine="420" w:firstLineChars="20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履约保证金退还：</w:t>
      </w:r>
      <w:r>
        <w:rPr>
          <w:rFonts w:hint="eastAsia" w:ascii="宋体" w:hAnsi="宋体" w:eastAsia="宋体" w:cs="宋体"/>
          <w:color w:val="auto"/>
          <w:sz w:val="21"/>
          <w:szCs w:val="21"/>
          <w:highlight w:val="none"/>
          <w:u w:val="single"/>
        </w:rPr>
        <w:t>项目通过终验后5个工作日内</w:t>
      </w:r>
      <w:r>
        <w:rPr>
          <w:rFonts w:hint="eastAsia" w:ascii="宋体" w:hAnsi="宋体" w:cs="宋体"/>
          <w:color w:val="auto"/>
          <w:sz w:val="21"/>
          <w:szCs w:val="21"/>
          <w:highlight w:val="none"/>
          <w:u w:val="single"/>
          <w:lang w:val="en-US" w:eastAsia="zh-CN"/>
        </w:rPr>
        <w:t>无息</w:t>
      </w:r>
      <w:r>
        <w:rPr>
          <w:rFonts w:hint="eastAsia" w:ascii="宋体" w:hAnsi="宋体" w:eastAsia="宋体" w:cs="宋体"/>
          <w:color w:val="auto"/>
          <w:sz w:val="21"/>
          <w:szCs w:val="21"/>
          <w:highlight w:val="none"/>
          <w:u w:val="single"/>
        </w:rPr>
        <w:t>退还</w:t>
      </w:r>
      <w:r>
        <w:rPr>
          <w:rFonts w:hint="eastAsia" w:ascii="宋体" w:hAnsi="宋体" w:eastAsia="宋体" w:cs="宋体"/>
          <w:color w:val="auto"/>
          <w:sz w:val="21"/>
          <w:szCs w:val="21"/>
          <w:highlight w:val="none"/>
        </w:rPr>
        <w:t>。</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其它要求</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乙方及其组建的项目部应当接受行政主管部门及其他有关部门的监督、检查和审计部门的审计。</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转包或分包</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1、本合同范围的服务，应由乙方直接供应，不得转让他人供应；</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2、如有转让的分包行为，甲方有权解除合同，没收履约保证金并追究乙方的违约责任。</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支付方式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before="0" w:beforeLines="0" w:after="0" w:line="440" w:lineRule="exact"/>
        <w:ind w:leftChars="0" w:right="0" w:rightChars="0" w:firstLine="422" w:firstLineChars="200"/>
        <w:jc w:val="left"/>
        <w:textAlignment w:val="auto"/>
        <w:outlineLvl w:val="9"/>
        <w:rPr>
          <w:rFonts w:hint="eastAsia" w:ascii="宋体" w:hAnsi="宋体" w:eastAsia="宋体" w:cs="宋体"/>
          <w:b/>
          <w:bCs w:val="0"/>
          <w:color w:val="auto"/>
          <w:sz w:val="21"/>
          <w:szCs w:val="21"/>
          <w:highlight w:val="none"/>
          <w:lang w:val="en-US" w:eastAsia="zh-CN" w:bidi="zh-CN"/>
        </w:rPr>
      </w:pPr>
      <w:r>
        <w:rPr>
          <w:rFonts w:hint="eastAsia" w:ascii="宋体" w:hAnsi="宋体" w:eastAsia="宋体" w:cs="宋体"/>
          <w:b/>
          <w:bCs w:val="0"/>
          <w:color w:val="auto"/>
          <w:sz w:val="21"/>
          <w:szCs w:val="21"/>
          <w:highlight w:val="none"/>
          <w:lang w:val="en-US" w:eastAsia="zh-CN" w:bidi="zh-CN"/>
        </w:rPr>
        <w:t>1、</w:t>
      </w:r>
      <w:r>
        <w:rPr>
          <w:rFonts w:hint="eastAsia" w:ascii="宋体" w:hAnsi="宋体" w:eastAsia="宋体" w:cs="宋体"/>
          <w:b/>
          <w:bCs w:val="0"/>
          <w:color w:val="auto"/>
          <w:sz w:val="21"/>
          <w:szCs w:val="21"/>
          <w:highlight w:val="none"/>
          <w:lang w:val="zh-CN" w:eastAsia="zh-CN" w:bidi="zh-CN"/>
        </w:rPr>
        <w:t>建设管理费、监理服务费</w:t>
      </w:r>
      <w:r>
        <w:rPr>
          <w:rFonts w:hint="eastAsia" w:ascii="宋体" w:hAnsi="宋体" w:eastAsia="宋体" w:cs="宋体"/>
          <w:b/>
          <w:bCs w:val="0"/>
          <w:color w:val="auto"/>
          <w:sz w:val="21"/>
          <w:szCs w:val="21"/>
          <w:highlight w:val="none"/>
          <w:lang w:val="en-US" w:eastAsia="zh-CN" w:bidi="zh-CN"/>
        </w:rPr>
        <w:t>的支付</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04" w:firstLineChars="200"/>
        <w:textAlignment w:val="auto"/>
        <w:outlineLvl w:val="9"/>
        <w:rPr>
          <w:rFonts w:hint="eastAsia" w:ascii="宋体" w:hAnsi="宋体" w:eastAsia="宋体" w:cs="宋体"/>
          <w:b w:val="0"/>
          <w:bCs w:val="0"/>
          <w:color w:val="auto"/>
          <w:spacing w:val="-4"/>
          <w:sz w:val="21"/>
          <w:szCs w:val="21"/>
          <w:highlight w:val="none"/>
          <w:lang w:val="en-US" w:eastAsia="zh-CN" w:bidi="zh-CN"/>
        </w:rPr>
      </w:pPr>
      <w:r>
        <w:rPr>
          <w:rFonts w:hint="eastAsia" w:ascii="宋体" w:hAnsi="宋体" w:eastAsia="宋体" w:cs="宋体"/>
          <w:b w:val="0"/>
          <w:bCs w:val="0"/>
          <w:color w:val="auto"/>
          <w:spacing w:val="-4"/>
          <w:sz w:val="21"/>
          <w:szCs w:val="21"/>
          <w:highlight w:val="none"/>
          <w:lang w:val="en-US" w:eastAsia="zh-CN" w:bidi="zh-CN"/>
        </w:rPr>
        <w:t>1）预付款：在合同生效以及具备实施条件后7个工作日内支付暂定合同价（项目建设管理服务费+项目工程监理服务费）的40%。中标人于合同签订前书面承诺放弃预付款或降低预付款支付比例的，可不适用本条款。</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04" w:firstLineChars="200"/>
        <w:textAlignment w:val="auto"/>
        <w:outlineLvl w:val="9"/>
        <w:rPr>
          <w:rFonts w:hint="eastAsia" w:ascii="宋体" w:hAnsi="宋体" w:eastAsia="宋体" w:cs="宋体"/>
          <w:b w:val="0"/>
          <w:bCs w:val="0"/>
          <w:color w:val="auto"/>
          <w:spacing w:val="-4"/>
          <w:sz w:val="21"/>
          <w:szCs w:val="21"/>
          <w:highlight w:val="none"/>
          <w:lang w:val="en-US" w:eastAsia="zh-CN" w:bidi="zh-CN"/>
        </w:rPr>
      </w:pPr>
      <w:r>
        <w:rPr>
          <w:rFonts w:hint="eastAsia" w:ascii="宋体" w:hAnsi="宋体" w:eastAsia="宋体" w:cs="宋体"/>
          <w:b w:val="0"/>
          <w:bCs w:val="0"/>
          <w:color w:val="auto"/>
          <w:spacing w:val="-4"/>
          <w:sz w:val="21"/>
          <w:szCs w:val="21"/>
          <w:highlight w:val="none"/>
          <w:lang w:val="en-US" w:eastAsia="zh-CN" w:bidi="zh-CN"/>
        </w:rPr>
        <w:t>2）工程施工工程量达到50%时且收到中标人提供的发票后7个工作日内支付至暂定合同价（项目建设管理服务费+项目工程监理服务费）的60%。</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04" w:firstLineChars="200"/>
        <w:textAlignment w:val="auto"/>
        <w:outlineLvl w:val="9"/>
        <w:rPr>
          <w:rFonts w:hint="eastAsia" w:ascii="宋体" w:hAnsi="宋体" w:eastAsia="宋体" w:cs="宋体"/>
          <w:b w:val="0"/>
          <w:bCs w:val="0"/>
          <w:color w:val="auto"/>
          <w:spacing w:val="-4"/>
          <w:sz w:val="21"/>
          <w:szCs w:val="21"/>
          <w:highlight w:val="none"/>
          <w:lang w:val="en-US" w:eastAsia="zh-CN" w:bidi="zh-CN"/>
        </w:rPr>
      </w:pPr>
      <w:r>
        <w:rPr>
          <w:rFonts w:hint="eastAsia" w:ascii="宋体" w:hAnsi="宋体" w:cs="宋体"/>
          <w:b w:val="0"/>
          <w:bCs w:val="0"/>
          <w:color w:val="auto"/>
          <w:spacing w:val="-4"/>
          <w:sz w:val="21"/>
          <w:szCs w:val="21"/>
          <w:highlight w:val="none"/>
          <w:lang w:val="en-US" w:eastAsia="zh-CN" w:bidi="zh-CN"/>
        </w:rPr>
        <w:t>3</w:t>
      </w:r>
      <w:r>
        <w:rPr>
          <w:rFonts w:hint="eastAsia" w:ascii="宋体" w:hAnsi="宋体" w:eastAsia="宋体" w:cs="宋体"/>
          <w:b w:val="0"/>
          <w:bCs w:val="0"/>
          <w:color w:val="auto"/>
          <w:spacing w:val="-4"/>
          <w:sz w:val="21"/>
          <w:szCs w:val="21"/>
          <w:highlight w:val="none"/>
          <w:lang w:val="en-US" w:eastAsia="zh-CN" w:bidi="zh-CN"/>
        </w:rPr>
        <w:t>）项目竣工验收合格且收到中标人提供的发票后15日内支付至暂定合同价（项目建设管理服务费+项目工程监理服务费）的</w:t>
      </w:r>
      <w:r>
        <w:rPr>
          <w:rFonts w:hint="eastAsia" w:ascii="宋体" w:hAnsi="宋体" w:cs="宋体"/>
          <w:b w:val="0"/>
          <w:bCs w:val="0"/>
          <w:color w:val="auto"/>
          <w:spacing w:val="-4"/>
          <w:sz w:val="21"/>
          <w:szCs w:val="21"/>
          <w:highlight w:val="none"/>
          <w:lang w:val="en-US" w:eastAsia="zh-CN" w:bidi="zh-CN"/>
        </w:rPr>
        <w:t>8</w:t>
      </w:r>
      <w:r>
        <w:rPr>
          <w:rFonts w:hint="eastAsia" w:ascii="宋体" w:hAnsi="宋体" w:eastAsia="宋体" w:cs="宋体"/>
          <w:b w:val="0"/>
          <w:bCs w:val="0"/>
          <w:color w:val="auto"/>
          <w:spacing w:val="-4"/>
          <w:sz w:val="21"/>
          <w:szCs w:val="21"/>
          <w:highlight w:val="none"/>
          <w:lang w:val="en-US" w:eastAsia="zh-CN" w:bidi="zh-CN"/>
        </w:rPr>
        <w:t>0%。</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04" w:firstLineChars="200"/>
        <w:textAlignment w:val="auto"/>
        <w:outlineLvl w:val="9"/>
        <w:rPr>
          <w:rFonts w:hint="eastAsia" w:ascii="宋体" w:hAnsi="宋体" w:eastAsia="宋体" w:cs="宋体"/>
          <w:b w:val="0"/>
          <w:bCs w:val="0"/>
          <w:color w:val="auto"/>
          <w:spacing w:val="-4"/>
          <w:sz w:val="21"/>
          <w:szCs w:val="21"/>
          <w:highlight w:val="none"/>
          <w:lang w:val="en-US" w:eastAsia="zh-CN" w:bidi="zh-CN"/>
        </w:rPr>
      </w:pPr>
      <w:r>
        <w:rPr>
          <w:rFonts w:hint="eastAsia" w:ascii="宋体" w:hAnsi="宋体" w:cs="宋体"/>
          <w:b w:val="0"/>
          <w:bCs w:val="0"/>
          <w:color w:val="auto"/>
          <w:spacing w:val="-4"/>
          <w:sz w:val="21"/>
          <w:szCs w:val="21"/>
          <w:highlight w:val="none"/>
          <w:lang w:val="en-US" w:eastAsia="zh-CN" w:bidi="zh-CN"/>
        </w:rPr>
        <w:t>4</w:t>
      </w:r>
      <w:r>
        <w:rPr>
          <w:rFonts w:hint="eastAsia" w:ascii="宋体" w:hAnsi="宋体" w:eastAsia="宋体" w:cs="宋体"/>
          <w:b w:val="0"/>
          <w:bCs w:val="0"/>
          <w:color w:val="auto"/>
          <w:spacing w:val="-4"/>
          <w:sz w:val="21"/>
          <w:szCs w:val="21"/>
          <w:highlight w:val="none"/>
          <w:lang w:val="en-US" w:eastAsia="zh-CN" w:bidi="zh-CN"/>
        </w:rPr>
        <w:t>）项目竣工决算审计完成且收到中标人提供的发票后15日内由采购人向中标人支付采购人审定结算价的100%。</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06" w:firstLineChars="200"/>
        <w:textAlignment w:val="auto"/>
        <w:outlineLvl w:val="9"/>
        <w:rPr>
          <w:rFonts w:hint="eastAsia" w:ascii="宋体" w:hAnsi="宋体" w:eastAsia="宋体" w:cs="宋体"/>
          <w:b/>
          <w:bCs/>
          <w:color w:val="auto"/>
          <w:spacing w:val="-4"/>
          <w:sz w:val="21"/>
          <w:szCs w:val="21"/>
          <w:highlight w:val="none"/>
          <w:lang w:val="en-US" w:eastAsia="zh-CN" w:bidi="zh-CN"/>
        </w:rPr>
      </w:pPr>
      <w:r>
        <w:rPr>
          <w:rFonts w:hint="eastAsia" w:ascii="宋体" w:hAnsi="宋体" w:eastAsia="宋体" w:cs="宋体"/>
          <w:b/>
          <w:bCs/>
          <w:color w:val="auto"/>
          <w:spacing w:val="-4"/>
          <w:sz w:val="21"/>
          <w:szCs w:val="21"/>
          <w:highlight w:val="none"/>
          <w:lang w:val="en-US" w:eastAsia="zh-CN" w:bidi="zh-CN"/>
        </w:rPr>
        <w:t>2、施工阶段全过程工程造价控制费（</w:t>
      </w:r>
      <w:r>
        <w:rPr>
          <w:rFonts w:hint="eastAsia" w:ascii="宋体" w:hAnsi="宋体" w:cs="宋体"/>
          <w:b/>
          <w:bCs/>
          <w:color w:val="auto"/>
          <w:spacing w:val="-4"/>
          <w:sz w:val="21"/>
          <w:szCs w:val="21"/>
          <w:highlight w:val="none"/>
          <w:lang w:val="en-US" w:eastAsia="zh-CN" w:bidi="zh-CN"/>
        </w:rPr>
        <w:t>不含招标控制价及工程量清单编制</w:t>
      </w:r>
      <w:r>
        <w:rPr>
          <w:rFonts w:hint="eastAsia" w:ascii="宋体" w:hAnsi="宋体" w:eastAsia="宋体" w:cs="宋体"/>
          <w:b/>
          <w:bCs/>
          <w:color w:val="auto"/>
          <w:spacing w:val="-4"/>
          <w:sz w:val="21"/>
          <w:szCs w:val="21"/>
          <w:highlight w:val="none"/>
          <w:lang w:val="en-US" w:eastAsia="zh-CN" w:bidi="zh-CN"/>
        </w:rPr>
        <w:t>、不含结算</w:t>
      </w:r>
      <w:r>
        <w:rPr>
          <w:rFonts w:hint="eastAsia" w:ascii="宋体" w:hAnsi="宋体" w:cs="宋体"/>
          <w:b/>
          <w:bCs/>
          <w:color w:val="auto"/>
          <w:spacing w:val="-4"/>
          <w:sz w:val="21"/>
          <w:szCs w:val="21"/>
          <w:highlight w:val="none"/>
          <w:lang w:val="en-US" w:eastAsia="zh-CN" w:bidi="zh-CN"/>
        </w:rPr>
        <w:t>审核</w:t>
      </w:r>
      <w:r>
        <w:rPr>
          <w:rFonts w:hint="eastAsia" w:ascii="宋体" w:hAnsi="宋体" w:eastAsia="宋体" w:cs="宋体"/>
          <w:b/>
          <w:bCs/>
          <w:color w:val="auto"/>
          <w:spacing w:val="-4"/>
          <w:sz w:val="21"/>
          <w:szCs w:val="21"/>
          <w:highlight w:val="none"/>
          <w:lang w:val="en-US" w:eastAsia="zh-CN" w:bidi="zh-CN"/>
        </w:rPr>
        <w:t>费用）的支付：</w:t>
      </w:r>
    </w:p>
    <w:p>
      <w:pPr>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04" w:firstLineChars="200"/>
        <w:textAlignment w:val="auto"/>
        <w:outlineLvl w:val="9"/>
        <w:rPr>
          <w:rFonts w:hint="eastAsia" w:ascii="宋体" w:hAnsi="宋体" w:eastAsia="宋体" w:cs="宋体"/>
          <w:b w:val="0"/>
          <w:bCs w:val="0"/>
          <w:color w:val="auto"/>
          <w:spacing w:val="-4"/>
          <w:sz w:val="21"/>
          <w:szCs w:val="21"/>
          <w:highlight w:val="none"/>
          <w:lang w:val="en-US" w:eastAsia="zh-CN" w:bidi="zh-CN"/>
        </w:rPr>
      </w:pPr>
      <w:r>
        <w:rPr>
          <w:rFonts w:hint="eastAsia" w:ascii="宋体" w:hAnsi="宋体" w:eastAsia="宋体" w:cs="宋体"/>
          <w:b w:val="0"/>
          <w:bCs w:val="0"/>
          <w:color w:val="auto"/>
          <w:spacing w:val="-4"/>
          <w:sz w:val="21"/>
          <w:szCs w:val="21"/>
          <w:highlight w:val="none"/>
          <w:lang w:val="en-US" w:eastAsia="zh-CN" w:bidi="zh-CN"/>
        </w:rPr>
        <w:t>1）</w:t>
      </w:r>
      <w:r>
        <w:rPr>
          <w:rFonts w:hint="eastAsia" w:ascii="宋体" w:hAnsi="宋体" w:cs="宋体"/>
          <w:szCs w:val="21"/>
        </w:rPr>
        <w:t>施工阶段全过程工程造价控制费（不含招标控制价及工程量清单编制、不含结算</w:t>
      </w:r>
      <w:r>
        <w:rPr>
          <w:rFonts w:hint="eastAsia" w:ascii="宋体" w:hAnsi="宋体" w:cs="宋体"/>
          <w:szCs w:val="21"/>
          <w:lang w:val="en-US" w:eastAsia="zh-CN"/>
        </w:rPr>
        <w:t>审核</w:t>
      </w:r>
      <w:r>
        <w:rPr>
          <w:rFonts w:hint="eastAsia" w:ascii="宋体" w:hAnsi="宋体" w:cs="宋体"/>
          <w:szCs w:val="21"/>
        </w:rPr>
        <w:t>）付款方式：在施工阶段全过程工程造价控制咨询服务结束，并出具跟踪审计报告后一个月内，一次性支付对应咨询费用。</w:t>
      </w:r>
    </w:p>
    <w:p>
      <w:pPr>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06" w:firstLineChars="200"/>
        <w:textAlignment w:val="auto"/>
        <w:outlineLvl w:val="9"/>
        <w:rPr>
          <w:rFonts w:hint="eastAsia" w:ascii="宋体" w:hAnsi="宋体" w:eastAsia="宋体" w:cs="宋体"/>
          <w:b/>
          <w:bCs/>
          <w:color w:val="auto"/>
          <w:spacing w:val="-4"/>
          <w:sz w:val="21"/>
          <w:szCs w:val="21"/>
          <w:highlight w:val="none"/>
          <w:lang w:val="en-US" w:eastAsia="zh-CN" w:bidi="zh-CN"/>
        </w:rPr>
      </w:pPr>
      <w:r>
        <w:rPr>
          <w:rFonts w:hint="eastAsia" w:ascii="宋体" w:hAnsi="宋体" w:eastAsia="宋体" w:cs="宋体"/>
          <w:b/>
          <w:bCs/>
          <w:color w:val="auto"/>
          <w:spacing w:val="-4"/>
          <w:sz w:val="21"/>
          <w:szCs w:val="21"/>
          <w:highlight w:val="none"/>
          <w:lang w:val="en-US" w:eastAsia="zh-CN" w:bidi="zh-CN"/>
        </w:rPr>
        <w:t>如联合体中标的，则由联合体各方按各自负责的内容提出申请，报委托人确认，费用由委托人直接支付给联合体各方。</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验收</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甲方负责对乙方的履约行为进行考核，标准为本项目的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文件、乙方的投标文件，要求验收必须符合相关政策法规和地方标准。</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税费</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不可抗力</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1、在合同有效期内，因自然灾害等不可抗力因素造成本合同项目经济损失的，甲、乙双方共同协商妥善解决。</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十、诉讼</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双方在执行合同中所发生的一切争议，应通过协商解决。如协商不成，可向项目所在地法院起诉。</w:t>
      </w:r>
    </w:p>
    <w:p>
      <w:pPr>
        <w:pStyle w:val="22"/>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line="440" w:lineRule="exact"/>
        <w:ind w:left="0" w:leftChars="0" w:right="0" w:rightChars="0" w:firstLine="0" w:firstLineChars="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合同生效</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1、合同经双方法定代表人或授权代表签字并加盖单位公章后生效。</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2、本合同招标文件、乙方投标文件作为合同附件，对合同条款具有补充作用。</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3、合同执行中涉及采购资金和采购内容修改或补充的，须经财政部门审批，并签书面补充协议报政府采购监督管理部门备案，方可作为主合同不可分割的一部分。</w:t>
      </w:r>
    </w:p>
    <w:p>
      <w:pPr>
        <w:pStyle w:val="18"/>
        <w:keepNext w:val="0"/>
        <w:keepLines w:val="0"/>
        <w:pageBreakBefore w:val="0"/>
        <w:widowControl/>
        <w:kinsoku/>
        <w:wordWrap/>
        <w:overflowPunct/>
        <w:topLinePunct w:val="0"/>
        <w:autoSpaceDE/>
        <w:autoSpaceDN/>
        <w:bidi w:val="0"/>
        <w:adjustRightInd/>
        <w:snapToGrid w:val="0"/>
        <w:spacing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4、本合同未尽事宜，遵照《</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》有关条文执行。</w:t>
      </w:r>
    </w:p>
    <w:p>
      <w:pPr>
        <w:pStyle w:val="18"/>
        <w:keepNext w:val="0"/>
        <w:keepLines w:val="0"/>
        <w:pageBreakBefore w:val="0"/>
        <w:widowControl/>
        <w:kinsoku/>
        <w:wordWrap/>
        <w:overflowPunct/>
        <w:topLinePunct w:val="0"/>
        <w:autoSpaceDE/>
        <w:autoSpaceDN/>
        <w:bidi w:val="0"/>
        <w:adjustRightInd/>
        <w:snapToGrid w:val="0"/>
        <w:spacing w:before="0" w:beforeLines="0" w:after="0"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份，具有同等法律效力，甲乙双方各执</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p>
    <w:p>
      <w:pPr>
        <w:spacing w:beforeLines="0" w:line="440" w:lineRule="exact"/>
        <w:rPr>
          <w:rFonts w:hint="eastAsia"/>
          <w:szCs w:val="21"/>
        </w:rPr>
      </w:pPr>
    </w:p>
    <w:tbl>
      <w:tblPr>
        <w:tblStyle w:val="38"/>
        <w:tblW w:w="9064"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2"/>
        <w:gridCol w:w="4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tcPr>
          <w:p>
            <w:pPr>
              <w:pStyle w:val="22"/>
              <w:keepNext w:val="0"/>
              <w:keepLines w:val="0"/>
              <w:pageBreakBefore w:val="0"/>
              <w:widowControl/>
              <w:suppressLineNumbers w:val="0"/>
              <w:kinsoku/>
              <w:wordWrap/>
              <w:overflowPunct/>
              <w:topLinePunct w:val="0"/>
              <w:bidi w:val="0"/>
              <w:spacing w:before="0" w:beforeLines="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tc>
        <w:tc>
          <w:tcPr>
            <w:tcW w:w="4532" w:type="dxa"/>
          </w:tcPr>
          <w:p>
            <w:pPr>
              <w:pStyle w:val="22"/>
              <w:keepNext w:val="0"/>
              <w:keepLines w:val="0"/>
              <w:pageBreakBefore w:val="0"/>
              <w:widowControl/>
              <w:suppressLineNumbers w:val="0"/>
              <w:kinsoku/>
              <w:wordWrap/>
              <w:overflowPunct/>
              <w:topLinePunct w:val="0"/>
              <w:bidi w:val="0"/>
              <w:spacing w:before="0" w:beforeLines="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tcPr>
          <w:p>
            <w:pPr>
              <w:pStyle w:val="22"/>
              <w:keepNext w:val="0"/>
              <w:keepLines w:val="0"/>
              <w:pageBreakBefore w:val="0"/>
              <w:widowControl/>
              <w:suppressLineNumbers w:val="0"/>
              <w:kinsoku/>
              <w:wordWrap/>
              <w:overflowPunct/>
              <w:topLinePunct w:val="0"/>
              <w:bidi w:val="0"/>
              <w:spacing w:before="0" w:beforeLines="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532" w:type="dxa"/>
          </w:tcPr>
          <w:p>
            <w:pPr>
              <w:pStyle w:val="22"/>
              <w:keepNext w:val="0"/>
              <w:keepLines w:val="0"/>
              <w:pageBreakBefore w:val="0"/>
              <w:widowControl/>
              <w:suppressLineNumbers w:val="0"/>
              <w:kinsoku/>
              <w:wordWrap/>
              <w:overflowPunct/>
              <w:topLinePunct w:val="0"/>
              <w:bidi w:val="0"/>
              <w:spacing w:before="0" w:beforeLines="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tcPr>
          <w:p>
            <w:pPr>
              <w:pStyle w:val="22"/>
              <w:keepNext w:val="0"/>
              <w:keepLines w:val="0"/>
              <w:pageBreakBefore w:val="0"/>
              <w:widowControl/>
              <w:suppressLineNumbers w:val="0"/>
              <w:kinsoku/>
              <w:wordWrap/>
              <w:overflowPunct/>
              <w:topLinePunct w:val="0"/>
              <w:bidi w:val="0"/>
              <w:spacing w:before="0" w:beforeLines="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w:t>
            </w:r>
          </w:p>
        </w:tc>
        <w:tc>
          <w:tcPr>
            <w:tcW w:w="4532" w:type="dxa"/>
          </w:tcPr>
          <w:p>
            <w:pPr>
              <w:pStyle w:val="22"/>
              <w:keepNext w:val="0"/>
              <w:keepLines w:val="0"/>
              <w:pageBreakBefore w:val="0"/>
              <w:widowControl/>
              <w:suppressLineNumbers w:val="0"/>
              <w:kinsoku/>
              <w:wordWrap/>
              <w:overflowPunct/>
              <w:topLinePunct w:val="0"/>
              <w:bidi w:val="0"/>
              <w:spacing w:before="0" w:beforeLines="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tcPr>
          <w:p>
            <w:pPr>
              <w:pStyle w:val="22"/>
              <w:keepNext w:val="0"/>
              <w:keepLines w:val="0"/>
              <w:pageBreakBefore w:val="0"/>
              <w:widowControl/>
              <w:suppressLineNumbers w:val="0"/>
              <w:kinsoku/>
              <w:wordWrap/>
              <w:overflowPunct/>
              <w:topLinePunct w:val="0"/>
              <w:bidi w:val="0"/>
              <w:spacing w:before="0" w:beforeLines="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c>
          <w:tcPr>
            <w:tcW w:w="4532" w:type="dxa"/>
          </w:tcPr>
          <w:p>
            <w:pPr>
              <w:pStyle w:val="22"/>
              <w:keepNext w:val="0"/>
              <w:keepLines w:val="0"/>
              <w:pageBreakBefore w:val="0"/>
              <w:widowControl/>
              <w:suppressLineNumbers w:val="0"/>
              <w:kinsoku/>
              <w:wordWrap/>
              <w:overflowPunct/>
              <w:topLinePunct w:val="0"/>
              <w:bidi w:val="0"/>
              <w:spacing w:before="0" w:beforeLines="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r>
    </w:tbl>
    <w:p>
      <w:pPr>
        <w:pStyle w:val="18"/>
        <w:spacing w:line="360" w:lineRule="auto"/>
        <w:ind w:firstLine="0"/>
        <w:rPr>
          <w:rFonts w:ascii="宋体" w:hAnsi="宋体" w:cs="宋体"/>
          <w:sz w:val="21"/>
          <w:szCs w:val="21"/>
        </w:rPr>
      </w:pPr>
    </w:p>
    <w:p>
      <w:pPr>
        <w:pStyle w:val="18"/>
        <w:spacing w:line="360" w:lineRule="auto"/>
        <w:ind w:firstLine="0"/>
        <w:rPr>
          <w:rFonts w:ascii="宋体" w:hAnsi="宋体" w:cs="宋体"/>
          <w:sz w:val="21"/>
          <w:szCs w:val="21"/>
        </w:rPr>
        <w:sectPr>
          <w:headerReference r:id="rId14" w:type="default"/>
          <w:pgSz w:w="11907" w:h="16840"/>
          <w:pgMar w:top="1418" w:right="1701" w:bottom="1418" w:left="1701" w:header="720" w:footer="720" w:gutter="0"/>
          <w:cols w:space="720" w:num="1"/>
          <w:docGrid w:type="lines" w:linePitch="285" w:charSpace="0"/>
        </w:sectPr>
      </w:pPr>
    </w:p>
    <w:p>
      <w:pPr>
        <w:widowControl/>
        <w:jc w:val="left"/>
        <w:rPr>
          <w:rFonts w:ascii="宋体" w:hAnsi="宋体"/>
          <w:szCs w:val="21"/>
        </w:rPr>
      </w:pPr>
      <w:r>
        <w:rPr>
          <w:rFonts w:ascii="宋体" w:hAnsi="宋体"/>
          <w:szCs w:val="21"/>
        </w:rPr>
        <w:br w:type="page"/>
      </w:r>
    </w:p>
    <w:p>
      <w:pPr>
        <w:widowControl/>
        <w:jc w:val="left"/>
        <w:rPr>
          <w:rFonts w:ascii="宋体" w:hAnsi="宋体"/>
          <w:szCs w:val="21"/>
        </w:rPr>
      </w:pPr>
    </w:p>
    <w:p>
      <w:pPr>
        <w:pStyle w:val="3"/>
        <w:spacing w:beforeLines="0" w:afterLines="0" w:line="360" w:lineRule="auto"/>
        <w:rPr>
          <w:rFonts w:ascii="宋体" w:hAnsi="宋体"/>
          <w:sz w:val="32"/>
          <w:szCs w:val="32"/>
        </w:rPr>
      </w:pPr>
      <w:bookmarkStart w:id="132" w:name="_Toc19643"/>
      <w:bookmarkStart w:id="133" w:name="_Toc136345112"/>
      <w:r>
        <w:rPr>
          <w:rFonts w:hint="eastAsia" w:ascii="宋体" w:hAnsi="宋体"/>
          <w:sz w:val="32"/>
          <w:szCs w:val="32"/>
        </w:rPr>
        <w:t>第六部分  评标办法</w:t>
      </w:r>
      <w:bookmarkEnd w:id="131"/>
      <w:bookmarkEnd w:id="132"/>
      <w:bookmarkEnd w:id="133"/>
    </w:p>
    <w:p>
      <w:pPr>
        <w:tabs>
          <w:tab w:val="left" w:pos="0"/>
          <w:tab w:val="left" w:pos="723"/>
        </w:tabs>
        <w:spacing w:line="360" w:lineRule="auto"/>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cs="宋体"/>
          <w:szCs w:val="21"/>
        </w:rPr>
      </w:pPr>
      <w:r>
        <w:rPr>
          <w:rFonts w:hint="eastAsia" w:ascii="宋体" w:hAnsi="宋体"/>
          <w:szCs w:val="21"/>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szCs w:val="21"/>
        </w:rPr>
        <w:t>本评标标准是对“投标人须知”相关条款的具体表述或补充，如有矛盾，应以本办法为准。</w:t>
      </w:r>
    </w:p>
    <w:p>
      <w:pPr>
        <w:spacing w:line="360" w:lineRule="auto"/>
        <w:ind w:firstLine="420" w:firstLineChars="200"/>
        <w:rPr>
          <w:rFonts w:ascii="宋体" w:hAnsi="宋体" w:cs="宋体"/>
          <w:szCs w:val="21"/>
        </w:rPr>
      </w:pPr>
      <w:r>
        <w:rPr>
          <w:rFonts w:hint="eastAsia" w:ascii="宋体" w:hAnsi="宋体" w:cs="宋体"/>
          <w:szCs w:val="21"/>
        </w:rPr>
        <w:t>2、本项目评标采用综合评分法。</w:t>
      </w:r>
    </w:p>
    <w:p>
      <w:pPr>
        <w:spacing w:line="360" w:lineRule="auto"/>
        <w:ind w:firstLine="420" w:firstLineChars="200"/>
        <w:rPr>
          <w:rFonts w:ascii="宋体" w:hAnsi="宋体" w:cs="宋体"/>
          <w:szCs w:val="21"/>
        </w:rPr>
      </w:pPr>
      <w:r>
        <w:rPr>
          <w:rFonts w:hint="eastAsia" w:ascii="宋体" w:hAnsi="宋体" w:cs="宋体"/>
          <w:szCs w:val="21"/>
        </w:rPr>
        <w:t>3、本次采购为</w:t>
      </w:r>
      <w:r>
        <w:rPr>
          <w:rFonts w:hint="eastAsia" w:ascii="宋体" w:hAnsi="宋体" w:cs="宋体"/>
          <w:iCs/>
          <w:szCs w:val="21"/>
        </w:rPr>
        <w:t>专门面向中小企业</w:t>
      </w:r>
      <w:r>
        <w:rPr>
          <w:rFonts w:hint="eastAsia" w:ascii="宋体" w:hAnsi="宋体" w:cs="宋体"/>
          <w:szCs w:val="21"/>
        </w:rPr>
        <w:t>。</w:t>
      </w:r>
    </w:p>
    <w:p>
      <w:pPr>
        <w:tabs>
          <w:tab w:val="left" w:pos="0"/>
          <w:tab w:val="left" w:pos="723"/>
        </w:tabs>
        <w:spacing w:line="360" w:lineRule="auto"/>
        <w:rPr>
          <w:rFonts w:ascii="宋体" w:hAnsi="宋体"/>
          <w:b/>
          <w:szCs w:val="21"/>
        </w:rPr>
      </w:pPr>
      <w:r>
        <w:rPr>
          <w:rFonts w:hint="eastAsia" w:ascii="宋体" w:hAnsi="宋体"/>
          <w:b/>
          <w:szCs w:val="21"/>
        </w:rPr>
        <w:t>二、评标组织</w:t>
      </w:r>
    </w:p>
    <w:p>
      <w:pPr>
        <w:spacing w:line="360" w:lineRule="auto"/>
        <w:ind w:firstLine="420" w:firstLineChars="200"/>
        <w:rPr>
          <w:rFonts w:ascii="宋体" w:hAnsi="宋体" w:cs="宋体"/>
          <w:szCs w:val="21"/>
        </w:rPr>
      </w:pPr>
      <w:r>
        <w:rPr>
          <w:rFonts w:hint="eastAsia" w:ascii="宋体" w:hAnsi="宋体" w:cs="宋体"/>
          <w:szCs w:val="21"/>
        </w:rPr>
        <w:t>评标委员会：采购人和采购代理机构根据采购项目的内容和特点，按国家相关规定组建评标委员会。评标委员会由采购人代表、技术、经济方面专家等人员组成。</w:t>
      </w:r>
    </w:p>
    <w:p>
      <w:pPr>
        <w:widowControl/>
        <w:tabs>
          <w:tab w:val="left" w:pos="0"/>
          <w:tab w:val="left" w:pos="723"/>
        </w:tabs>
        <w:spacing w:line="360" w:lineRule="auto"/>
        <w:jc w:val="left"/>
        <w:rPr>
          <w:rFonts w:ascii="宋体" w:hAnsi="宋体"/>
          <w:b/>
          <w:szCs w:val="21"/>
        </w:rPr>
      </w:pPr>
      <w:r>
        <w:rPr>
          <w:rFonts w:hint="eastAsia" w:ascii="宋体" w:hAnsi="宋体"/>
          <w:b/>
          <w:szCs w:val="21"/>
        </w:rPr>
        <w:t>三、评标程序</w:t>
      </w:r>
    </w:p>
    <w:p>
      <w:pPr>
        <w:spacing w:line="360" w:lineRule="auto"/>
        <w:rPr>
          <w:rFonts w:ascii="宋体" w:hAnsi="宋体"/>
          <w:szCs w:val="21"/>
        </w:rPr>
      </w:pPr>
      <w:r>
        <w:rPr>
          <w:rFonts w:hint="eastAsia" w:ascii="宋体" w:hAnsi="宋体"/>
          <w:szCs w:val="21"/>
        </w:rPr>
        <w:t>1．资格审查：由采购人或代理机构对投标人的资格进行审查。在资格审查时，如发现有不满足下列情形之一的，将被视为无效投标文件。</w:t>
      </w:r>
    </w:p>
    <w:tbl>
      <w:tblPr>
        <w:tblStyle w:val="38"/>
        <w:tblW w:w="89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4" w:type="dxa"/>
            <w:vAlign w:val="center"/>
          </w:tcPr>
          <w:p>
            <w:pPr>
              <w:spacing w:line="336" w:lineRule="auto"/>
              <w:jc w:val="center"/>
              <w:rPr>
                <w:rFonts w:ascii="宋体" w:hAnsi="宋体" w:cs="宋体"/>
                <w:b/>
                <w:szCs w:val="21"/>
              </w:rPr>
            </w:pPr>
            <w:r>
              <w:rPr>
                <w:rFonts w:hint="eastAsia" w:ascii="宋体" w:hAnsi="宋体" w:cs="宋体"/>
                <w:b/>
                <w:szCs w:val="21"/>
              </w:rPr>
              <w:t>审查类别</w:t>
            </w:r>
          </w:p>
        </w:tc>
        <w:tc>
          <w:tcPr>
            <w:tcW w:w="7305" w:type="dxa"/>
            <w:vAlign w:val="center"/>
          </w:tcPr>
          <w:p>
            <w:pPr>
              <w:spacing w:line="336" w:lineRule="auto"/>
              <w:jc w:val="center"/>
              <w:rPr>
                <w:rFonts w:ascii="宋体" w:hAnsi="宋体" w:cs="宋体"/>
                <w:b/>
                <w:szCs w:val="21"/>
              </w:rPr>
            </w:pPr>
            <w:r>
              <w:rPr>
                <w:rFonts w:hint="eastAsia" w:ascii="宋体" w:hAnsi="宋体" w:cs="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634" w:type="dxa"/>
            <w:vMerge w:val="restart"/>
            <w:vAlign w:val="center"/>
          </w:tcPr>
          <w:p>
            <w:pPr>
              <w:spacing w:line="336" w:lineRule="auto"/>
              <w:jc w:val="center"/>
              <w:rPr>
                <w:rFonts w:ascii="宋体" w:hAnsi="宋体" w:cs="宋体"/>
                <w:szCs w:val="21"/>
              </w:rPr>
            </w:pPr>
            <w:r>
              <w:rPr>
                <w:rFonts w:hint="eastAsia" w:ascii="宋体" w:hAnsi="宋体" w:cs="宋体"/>
                <w:szCs w:val="21"/>
              </w:rPr>
              <w:t>资格条件审查</w:t>
            </w:r>
          </w:p>
        </w:tc>
        <w:tc>
          <w:tcPr>
            <w:tcW w:w="7305" w:type="dxa"/>
          </w:tcPr>
          <w:p>
            <w:pPr>
              <w:widowControl/>
              <w:numPr>
                <w:ilvl w:val="0"/>
                <w:numId w:val="6"/>
              </w:numPr>
              <w:spacing w:line="336" w:lineRule="auto"/>
              <w:jc w:val="left"/>
              <w:rPr>
                <w:rFonts w:ascii="宋体" w:hAnsi="宋体" w:cs="宋体"/>
              </w:rPr>
            </w:pPr>
            <w:r>
              <w:rPr>
                <w:rFonts w:hint="eastAsia" w:ascii="宋体" w:hAnsi="宋体" w:cs="宋体"/>
                <w:szCs w:val="21"/>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szCs w:val="21"/>
              </w:rPr>
              <w:t>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634" w:type="dxa"/>
            <w:vMerge w:val="continue"/>
            <w:vAlign w:val="center"/>
          </w:tcPr>
          <w:p>
            <w:pPr>
              <w:spacing w:line="336" w:lineRule="auto"/>
              <w:jc w:val="center"/>
              <w:rPr>
                <w:rFonts w:ascii="宋体" w:hAnsi="宋体" w:cs="宋体"/>
                <w:szCs w:val="21"/>
              </w:rPr>
            </w:pPr>
          </w:p>
        </w:tc>
        <w:tc>
          <w:tcPr>
            <w:tcW w:w="7305" w:type="dxa"/>
          </w:tcPr>
          <w:p>
            <w:pPr>
              <w:widowControl/>
              <w:numPr>
                <w:ilvl w:val="0"/>
                <w:numId w:val="6"/>
              </w:numPr>
              <w:spacing w:line="336" w:lineRule="auto"/>
              <w:jc w:val="left"/>
              <w:rPr>
                <w:rFonts w:ascii="宋体" w:hAnsi="宋体" w:cs="宋体"/>
                <w:szCs w:val="21"/>
              </w:rPr>
            </w:pPr>
            <w:r>
              <w:rPr>
                <w:rFonts w:hint="eastAsia" w:ascii="宋体" w:hAnsi="宋体" w:cs="宋体"/>
                <w:szCs w:val="21"/>
              </w:rPr>
              <w:t>营业执照副本（或事业法人登记证副本或其他登记证明材料）复印件加盖投标人公章（投标人如果有名称变更的，应提供由行政主管部门出具的变更证明文件复印件加盖投标人公章）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34" w:type="dxa"/>
            <w:vMerge w:val="continue"/>
          </w:tcPr>
          <w:p>
            <w:pPr>
              <w:spacing w:line="336" w:lineRule="auto"/>
              <w:rPr>
                <w:rFonts w:ascii="宋体" w:hAnsi="宋体" w:cs="宋体"/>
                <w:szCs w:val="21"/>
              </w:rPr>
            </w:pPr>
          </w:p>
        </w:tc>
        <w:tc>
          <w:tcPr>
            <w:tcW w:w="7305" w:type="dxa"/>
          </w:tcPr>
          <w:p>
            <w:pPr>
              <w:widowControl/>
              <w:numPr>
                <w:ilvl w:val="0"/>
                <w:numId w:val="6"/>
              </w:numPr>
              <w:spacing w:line="336" w:lineRule="auto"/>
              <w:jc w:val="left"/>
              <w:rPr>
                <w:rFonts w:ascii="宋体" w:hAnsi="宋体" w:cs="宋体"/>
              </w:rPr>
            </w:pPr>
            <w:r>
              <w:rPr>
                <w:rFonts w:hint="eastAsia" w:ascii="宋体" w:hAnsi="宋体" w:cs="宋体"/>
                <w:szCs w:val="21"/>
              </w:rPr>
              <w:t>落实政府采购政策需满足的资格要求：本项目属于专门面向中小企业采购的项目，服务全部由符合政策要求的中小企业承接，提供中小企业声明函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34" w:type="dxa"/>
            <w:vMerge w:val="continue"/>
          </w:tcPr>
          <w:p>
            <w:pPr>
              <w:spacing w:line="336" w:lineRule="auto"/>
              <w:rPr>
                <w:rFonts w:ascii="宋体" w:hAnsi="宋体" w:cs="宋体"/>
                <w:szCs w:val="21"/>
              </w:rPr>
            </w:pPr>
          </w:p>
        </w:tc>
        <w:tc>
          <w:tcPr>
            <w:tcW w:w="7305" w:type="dxa"/>
          </w:tcPr>
          <w:p>
            <w:pPr>
              <w:numPr>
                <w:ilvl w:val="0"/>
                <w:numId w:val="6"/>
              </w:numPr>
              <w:spacing w:line="360" w:lineRule="auto"/>
              <w:ind w:firstLine="0" w:firstLineChars="0"/>
              <w:rPr>
                <w:rFonts w:hint="eastAsia" w:ascii="宋体" w:hAnsi="宋体" w:cs="宋体"/>
              </w:rPr>
            </w:pPr>
            <w:r>
              <w:rPr>
                <w:rFonts w:hint="eastAsia" w:ascii="宋体" w:hAnsi="宋体" w:cs="宋体"/>
              </w:rPr>
              <w:t>特定资格条件：</w:t>
            </w:r>
          </w:p>
          <w:p>
            <w:pPr>
              <w:numPr>
                <w:ilvl w:val="-1"/>
                <w:numId w:val="0"/>
              </w:numPr>
              <w:spacing w:line="360" w:lineRule="auto"/>
              <w:ind w:firstLine="0" w:firstLineChars="0"/>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工程监理专项咨询服务须</w:t>
            </w:r>
            <w:r>
              <w:rPr>
                <w:rFonts w:hint="eastAsia" w:ascii="宋体" w:hAnsi="宋体"/>
                <w:u w:val="single"/>
              </w:rPr>
              <w:t>具有中华人民共和国住房和城乡建设部门核发的</w:t>
            </w:r>
            <w:r>
              <w:rPr>
                <w:rFonts w:hint="eastAsia" w:ascii="宋体" w:hAnsi="宋体" w:eastAsia="宋体" w:cs="Times New Roman"/>
                <w:color w:val="auto"/>
                <w:sz w:val="21"/>
                <w:szCs w:val="20"/>
                <w:highlight w:val="none"/>
                <w:u w:val="single"/>
                <w:lang w:val="en-US" w:eastAsia="zh-CN"/>
              </w:rPr>
              <w:t>市政公用工程</w:t>
            </w:r>
            <w:r>
              <w:rPr>
                <w:rFonts w:hint="eastAsia" w:ascii="宋体" w:hAnsi="宋体" w:eastAsia="宋体" w:cs="Times New Roman"/>
                <w:color w:val="auto"/>
                <w:sz w:val="21"/>
                <w:szCs w:val="20"/>
                <w:highlight w:val="none"/>
                <w:u w:val="single"/>
              </w:rPr>
              <w:t>监理乙级</w:t>
            </w:r>
            <w:r>
              <w:rPr>
                <w:rFonts w:hint="eastAsia" w:ascii="宋体" w:hAnsi="宋体"/>
                <w:u w:val="single"/>
              </w:rPr>
              <w:t>及以上资质或工程监理综合资质；</w:t>
            </w:r>
          </w:p>
          <w:p>
            <w:pPr>
              <w:spacing w:line="336" w:lineRule="auto"/>
              <w:rPr>
                <w:rFonts w:ascii="宋体" w:hAnsi="宋体" w:cs="宋体"/>
                <w:szCs w:val="21"/>
              </w:rPr>
            </w:pPr>
            <w:r>
              <w:rPr>
                <w:rFonts w:hint="eastAsia" w:ascii="宋体" w:hAnsi="宋体"/>
              </w:rPr>
              <w:t>2</w:t>
            </w:r>
            <w:r>
              <w:rPr>
                <w:rFonts w:hint="eastAsia" w:ascii="宋体" w:hAnsi="宋体"/>
                <w:lang w:eastAsia="zh-CN"/>
              </w:rPr>
              <w:t>、</w:t>
            </w:r>
            <w:r>
              <w:rPr>
                <w:rFonts w:hint="eastAsia" w:ascii="宋体" w:hAnsi="宋体"/>
              </w:rPr>
              <w:t>若联合体投标的，</w:t>
            </w:r>
            <w:r>
              <w:rPr>
                <w:rFonts w:hint="eastAsia" w:ascii="宋体" w:hAnsi="宋体"/>
                <w:u w:val="single"/>
              </w:rPr>
              <w:t>牵头人应承担项目建设管理服务，且拟派项目负责人应由联合体牵头人派出。联合体成员（含联合体牵头人）个数不得超过2家；联合体各方均为中型企业或小型企业或微型企业。</w:t>
            </w:r>
          </w:p>
        </w:tc>
      </w:tr>
    </w:tbl>
    <w:p>
      <w:pPr>
        <w:numPr>
          <w:ilvl w:val="0"/>
          <w:numId w:val="7"/>
        </w:numPr>
        <w:spacing w:line="360" w:lineRule="auto"/>
        <w:rPr>
          <w:rFonts w:ascii="宋体" w:hAnsi="宋体" w:cs="宋体"/>
          <w:kern w:val="0"/>
          <w:szCs w:val="21"/>
        </w:rPr>
      </w:pPr>
      <w:r>
        <w:rPr>
          <w:rFonts w:hint="eastAsia" w:ascii="宋体" w:hAnsi="宋体"/>
          <w:szCs w:val="21"/>
        </w:rPr>
        <w:t>符合性检查：</w:t>
      </w:r>
      <w:r>
        <w:rPr>
          <w:rFonts w:hint="eastAsia" w:ascii="宋体" w:hAnsi="宋体" w:cs="宋体"/>
          <w:kern w:val="0"/>
          <w:szCs w:val="21"/>
        </w:rPr>
        <w:t>评标委员会应当对符合资格审查的投标人的投标文件进行符合性审查，以确定其是否满足招标文件的实质性要求。在符合性审查时，如发现有不满足下列情形之一的，将被视为无效投标文件。</w:t>
      </w:r>
    </w:p>
    <w:p>
      <w:pPr>
        <w:pStyle w:val="16"/>
      </w:pPr>
    </w:p>
    <w:tbl>
      <w:tblPr>
        <w:tblStyle w:val="38"/>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1526" w:type="dxa"/>
            <w:vAlign w:val="center"/>
          </w:tcPr>
          <w:p>
            <w:pPr>
              <w:spacing w:line="336" w:lineRule="auto"/>
              <w:jc w:val="center"/>
              <w:rPr>
                <w:rFonts w:ascii="宋体" w:hAnsi="宋体" w:cs="宋体"/>
                <w:b/>
                <w:szCs w:val="21"/>
              </w:rPr>
            </w:pPr>
            <w:r>
              <w:rPr>
                <w:rFonts w:hint="eastAsia" w:ascii="宋体" w:hAnsi="宋体" w:cs="宋体"/>
                <w:b/>
                <w:szCs w:val="21"/>
              </w:rPr>
              <w:t>审查类别</w:t>
            </w:r>
          </w:p>
        </w:tc>
        <w:tc>
          <w:tcPr>
            <w:tcW w:w="7440" w:type="dxa"/>
            <w:vAlign w:val="center"/>
          </w:tcPr>
          <w:p>
            <w:pPr>
              <w:spacing w:line="336" w:lineRule="auto"/>
              <w:jc w:val="center"/>
              <w:rPr>
                <w:rFonts w:ascii="宋体" w:hAnsi="宋体" w:cs="宋体"/>
                <w:b/>
                <w:szCs w:val="21"/>
              </w:rPr>
            </w:pPr>
            <w:r>
              <w:rPr>
                <w:rFonts w:hint="eastAsia" w:ascii="宋体" w:hAnsi="宋体" w:cs="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spacing w:line="336" w:lineRule="auto"/>
              <w:jc w:val="center"/>
              <w:rPr>
                <w:rFonts w:ascii="宋体" w:hAnsi="宋体" w:cs="宋体"/>
                <w:szCs w:val="21"/>
              </w:rPr>
            </w:pPr>
            <w:r>
              <w:rPr>
                <w:rFonts w:hint="eastAsia" w:ascii="宋体" w:hAnsi="宋体" w:cs="宋体"/>
                <w:szCs w:val="21"/>
              </w:rPr>
              <w:t>符合性审查</w:t>
            </w:r>
          </w:p>
          <w:p>
            <w:pPr>
              <w:spacing w:line="336" w:lineRule="auto"/>
              <w:jc w:val="center"/>
              <w:rPr>
                <w:rFonts w:ascii="宋体" w:hAnsi="宋体" w:cs="宋体"/>
                <w:szCs w:val="21"/>
              </w:rPr>
            </w:pPr>
            <w:r>
              <w:rPr>
                <w:rFonts w:hint="eastAsia" w:ascii="宋体" w:hAnsi="宋体" w:cs="宋体"/>
                <w:szCs w:val="21"/>
              </w:rPr>
              <w:t>（商务技术文件）</w:t>
            </w:r>
          </w:p>
        </w:tc>
        <w:tc>
          <w:tcPr>
            <w:tcW w:w="7440" w:type="dxa"/>
            <w:vAlign w:val="center"/>
          </w:tcPr>
          <w:p>
            <w:pPr>
              <w:tabs>
                <w:tab w:val="left" w:pos="612"/>
              </w:tabs>
              <w:spacing w:line="336" w:lineRule="auto"/>
              <w:rPr>
                <w:rFonts w:ascii="宋体" w:hAnsi="宋体" w:cs="宋体"/>
                <w:szCs w:val="21"/>
              </w:rPr>
            </w:pPr>
            <w:r>
              <w:rPr>
                <w:rFonts w:hint="eastAsia" w:ascii="宋体" w:hAnsi="宋体" w:cs="宋体"/>
                <w:szCs w:val="21"/>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336" w:lineRule="auto"/>
              <w:jc w:val="center"/>
              <w:rPr>
                <w:rFonts w:ascii="宋体" w:hAnsi="宋体" w:cs="宋体"/>
                <w:szCs w:val="21"/>
              </w:rPr>
            </w:pPr>
          </w:p>
        </w:tc>
        <w:tc>
          <w:tcPr>
            <w:tcW w:w="7440" w:type="dxa"/>
            <w:vAlign w:val="center"/>
          </w:tcPr>
          <w:p>
            <w:pPr>
              <w:tabs>
                <w:tab w:val="left" w:pos="612"/>
              </w:tabs>
              <w:spacing w:line="336" w:lineRule="auto"/>
              <w:rPr>
                <w:rFonts w:ascii="宋体" w:hAnsi="宋体" w:cs="宋体"/>
                <w:szCs w:val="21"/>
              </w:rPr>
            </w:pPr>
            <w:r>
              <w:rPr>
                <w:rFonts w:hint="eastAsia" w:ascii="宋体" w:hAnsi="宋体" w:cs="宋体"/>
                <w:szCs w:val="21"/>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336" w:lineRule="auto"/>
              <w:jc w:val="center"/>
              <w:rPr>
                <w:rFonts w:ascii="宋体" w:hAnsi="宋体" w:cs="宋体"/>
                <w:szCs w:val="21"/>
              </w:rPr>
            </w:pPr>
          </w:p>
        </w:tc>
        <w:tc>
          <w:tcPr>
            <w:tcW w:w="7440" w:type="dxa"/>
            <w:vAlign w:val="center"/>
          </w:tcPr>
          <w:p>
            <w:pPr>
              <w:tabs>
                <w:tab w:val="left" w:pos="612"/>
              </w:tabs>
              <w:spacing w:line="336" w:lineRule="auto"/>
              <w:rPr>
                <w:rFonts w:ascii="宋体" w:hAnsi="宋体" w:cs="宋体"/>
                <w:szCs w:val="21"/>
              </w:rPr>
            </w:pPr>
            <w:r>
              <w:rPr>
                <w:rFonts w:hint="eastAsia" w:ascii="宋体" w:hAnsi="宋体" w:cs="宋体"/>
                <w:szCs w:val="21"/>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336" w:lineRule="auto"/>
              <w:jc w:val="center"/>
              <w:rPr>
                <w:rFonts w:ascii="宋体" w:hAnsi="宋体" w:cs="宋体"/>
                <w:szCs w:val="21"/>
              </w:rPr>
            </w:pPr>
          </w:p>
        </w:tc>
        <w:tc>
          <w:tcPr>
            <w:tcW w:w="7440" w:type="dxa"/>
            <w:vAlign w:val="center"/>
          </w:tcPr>
          <w:p>
            <w:pPr>
              <w:tabs>
                <w:tab w:val="left" w:pos="612"/>
              </w:tabs>
              <w:spacing w:line="336" w:lineRule="auto"/>
              <w:rPr>
                <w:rFonts w:ascii="宋体" w:hAnsi="宋体" w:cs="宋体"/>
                <w:kern w:val="0"/>
                <w:szCs w:val="21"/>
              </w:rPr>
            </w:pPr>
            <w:r>
              <w:rPr>
                <w:rFonts w:hint="eastAsia" w:ascii="宋体" w:hAnsi="宋体" w:cs="宋体"/>
                <w:szCs w:val="21"/>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336" w:lineRule="auto"/>
              <w:jc w:val="center"/>
              <w:rPr>
                <w:rFonts w:ascii="宋体" w:hAnsi="宋体" w:cs="宋体"/>
                <w:szCs w:val="21"/>
              </w:rPr>
            </w:pPr>
          </w:p>
        </w:tc>
        <w:tc>
          <w:tcPr>
            <w:tcW w:w="7440" w:type="dxa"/>
            <w:vAlign w:val="center"/>
          </w:tcPr>
          <w:p>
            <w:pPr>
              <w:tabs>
                <w:tab w:val="left" w:pos="612"/>
              </w:tabs>
              <w:spacing w:line="336" w:lineRule="auto"/>
              <w:rPr>
                <w:rFonts w:ascii="宋体" w:hAnsi="宋体" w:cs="宋体"/>
                <w:szCs w:val="21"/>
              </w:rPr>
            </w:pPr>
            <w:r>
              <w:rPr>
                <w:rFonts w:hint="eastAsia" w:ascii="宋体" w:hAnsi="宋体" w:cs="宋体"/>
                <w:szCs w:val="21"/>
              </w:rPr>
              <w:t>（五）投标文件的实质性内容使用中文表述且意思表述明确，前后无矛盾且使用计量单位符合招标文件要求的；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336" w:lineRule="auto"/>
              <w:jc w:val="center"/>
              <w:rPr>
                <w:rFonts w:ascii="宋体" w:hAnsi="宋体" w:cs="宋体"/>
                <w:szCs w:val="21"/>
              </w:rPr>
            </w:pPr>
          </w:p>
        </w:tc>
        <w:tc>
          <w:tcPr>
            <w:tcW w:w="7440" w:type="dxa"/>
            <w:vAlign w:val="center"/>
          </w:tcPr>
          <w:p>
            <w:pPr>
              <w:tabs>
                <w:tab w:val="left" w:pos="612"/>
              </w:tabs>
              <w:spacing w:line="336" w:lineRule="auto"/>
              <w:rPr>
                <w:rFonts w:ascii="宋体" w:hAnsi="宋体" w:cs="宋体"/>
                <w:szCs w:val="21"/>
              </w:rPr>
            </w:pPr>
            <w:r>
              <w:rPr>
                <w:rFonts w:hint="eastAsia" w:ascii="宋体" w:hAnsi="宋体" w:cs="宋体"/>
                <w:szCs w:val="21"/>
              </w:rPr>
              <w:t>（六）带“▲”的条款满足招标文件要求、已实质性响应招标文件要求且投标文件无采购人不能接受的附加条件的；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336" w:lineRule="auto"/>
              <w:jc w:val="center"/>
              <w:rPr>
                <w:rFonts w:ascii="宋体" w:hAnsi="宋体" w:cs="宋体"/>
                <w:szCs w:val="21"/>
              </w:rPr>
            </w:pPr>
          </w:p>
        </w:tc>
        <w:tc>
          <w:tcPr>
            <w:tcW w:w="7440" w:type="dxa"/>
            <w:vAlign w:val="center"/>
          </w:tcPr>
          <w:p>
            <w:pPr>
              <w:tabs>
                <w:tab w:val="left" w:pos="612"/>
              </w:tabs>
              <w:spacing w:line="336" w:lineRule="auto"/>
              <w:rPr>
                <w:rFonts w:ascii="宋体" w:hAnsi="宋体" w:cs="宋体"/>
                <w:szCs w:val="21"/>
              </w:rPr>
            </w:pPr>
            <w:r>
              <w:rPr>
                <w:rFonts w:hint="eastAsia" w:ascii="宋体" w:hAnsi="宋体" w:cs="宋体"/>
                <w:szCs w:val="21"/>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vAlign w:val="center"/>
          </w:tcPr>
          <w:p>
            <w:pPr>
              <w:spacing w:line="336" w:lineRule="auto"/>
              <w:jc w:val="center"/>
              <w:rPr>
                <w:rFonts w:ascii="宋体" w:hAnsi="宋体" w:cs="宋体"/>
                <w:szCs w:val="21"/>
              </w:rPr>
            </w:pPr>
          </w:p>
        </w:tc>
        <w:tc>
          <w:tcPr>
            <w:tcW w:w="7440" w:type="dxa"/>
            <w:vAlign w:val="center"/>
          </w:tcPr>
          <w:p>
            <w:pPr>
              <w:tabs>
                <w:tab w:val="left" w:pos="612"/>
              </w:tabs>
              <w:spacing w:line="336" w:lineRule="auto"/>
              <w:rPr>
                <w:rFonts w:ascii="宋体" w:hAnsi="宋体" w:cs="宋体"/>
                <w:szCs w:val="21"/>
              </w:rPr>
            </w:pPr>
            <w:r>
              <w:rPr>
                <w:rFonts w:hint="eastAsia" w:ascii="宋体" w:hAnsi="宋体" w:cs="宋体"/>
                <w:szCs w:val="21"/>
              </w:rPr>
              <w:t>（八）不存在法律、法规和招标文件规定的其他无效情形；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336" w:lineRule="auto"/>
              <w:jc w:val="center"/>
              <w:rPr>
                <w:rFonts w:ascii="宋体" w:hAnsi="宋体" w:cs="宋体"/>
                <w:szCs w:val="21"/>
              </w:rPr>
            </w:pPr>
          </w:p>
        </w:tc>
        <w:tc>
          <w:tcPr>
            <w:tcW w:w="7440" w:type="dxa"/>
            <w:vAlign w:val="center"/>
          </w:tcPr>
          <w:p>
            <w:pPr>
              <w:tabs>
                <w:tab w:val="left" w:pos="612"/>
              </w:tabs>
              <w:spacing w:line="336" w:lineRule="auto"/>
              <w:rPr>
                <w:rFonts w:ascii="宋体" w:hAnsi="宋体" w:cs="宋体"/>
                <w:szCs w:val="21"/>
              </w:rPr>
            </w:pPr>
            <w:r>
              <w:rPr>
                <w:rFonts w:hint="eastAsia" w:ascii="宋体" w:hAnsi="宋体" w:cs="宋体"/>
                <w:szCs w:val="21"/>
              </w:rPr>
              <w:t>（九）不存在投标文件的有效期不满足招标文件要求情形；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spacing w:line="336" w:lineRule="auto"/>
              <w:jc w:val="center"/>
              <w:rPr>
                <w:rFonts w:ascii="宋体" w:hAnsi="宋体" w:cs="宋体"/>
                <w:szCs w:val="21"/>
              </w:rPr>
            </w:pPr>
            <w:r>
              <w:rPr>
                <w:rFonts w:hint="eastAsia" w:ascii="宋体" w:hAnsi="宋体" w:cs="宋体"/>
                <w:szCs w:val="21"/>
              </w:rPr>
              <w:t>符合性审查</w:t>
            </w:r>
          </w:p>
          <w:p>
            <w:pPr>
              <w:spacing w:line="336" w:lineRule="auto"/>
              <w:rPr>
                <w:rFonts w:ascii="宋体" w:hAnsi="宋体" w:cs="宋体"/>
                <w:szCs w:val="21"/>
              </w:rPr>
            </w:pPr>
            <w:r>
              <w:rPr>
                <w:rFonts w:hint="eastAsia" w:ascii="宋体" w:hAnsi="宋体" w:cs="宋体"/>
                <w:szCs w:val="21"/>
              </w:rPr>
              <w:t>（报价文件）</w:t>
            </w:r>
          </w:p>
        </w:tc>
        <w:tc>
          <w:tcPr>
            <w:tcW w:w="7440" w:type="dxa"/>
            <w:vAlign w:val="center"/>
          </w:tcPr>
          <w:p>
            <w:pPr>
              <w:spacing w:line="336" w:lineRule="auto"/>
              <w:rPr>
                <w:rFonts w:ascii="宋体" w:hAnsi="宋体" w:cs="宋体"/>
                <w:szCs w:val="21"/>
              </w:rPr>
            </w:pPr>
            <w:r>
              <w:rPr>
                <w:rFonts w:hint="eastAsia" w:ascii="宋体" w:hAnsi="宋体" w:cs="宋体"/>
                <w:szCs w:val="21"/>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336" w:lineRule="auto"/>
              <w:jc w:val="center"/>
              <w:rPr>
                <w:rFonts w:ascii="宋体" w:hAnsi="宋体" w:cs="宋体"/>
                <w:szCs w:val="21"/>
              </w:rPr>
            </w:pPr>
          </w:p>
        </w:tc>
        <w:tc>
          <w:tcPr>
            <w:tcW w:w="7440" w:type="dxa"/>
            <w:vAlign w:val="center"/>
          </w:tcPr>
          <w:p>
            <w:pPr>
              <w:tabs>
                <w:tab w:val="left" w:pos="612"/>
              </w:tabs>
              <w:spacing w:line="336" w:lineRule="auto"/>
              <w:rPr>
                <w:rFonts w:ascii="宋体" w:hAnsi="宋体" w:cs="宋体"/>
                <w:szCs w:val="21"/>
              </w:rPr>
            </w:pPr>
            <w:r>
              <w:rPr>
                <w:rFonts w:hint="eastAsia" w:ascii="宋体" w:hAnsi="宋体" w:cs="宋体"/>
                <w:szCs w:val="21"/>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Pr>
          <w:p>
            <w:pPr>
              <w:spacing w:line="336" w:lineRule="auto"/>
              <w:ind w:firstLine="210" w:firstLineChars="100"/>
              <w:rPr>
                <w:rFonts w:ascii="宋体" w:hAnsi="宋体" w:cs="宋体"/>
                <w:szCs w:val="21"/>
              </w:rPr>
            </w:pPr>
          </w:p>
        </w:tc>
        <w:tc>
          <w:tcPr>
            <w:tcW w:w="7440" w:type="dxa"/>
            <w:vAlign w:val="center"/>
          </w:tcPr>
          <w:p>
            <w:pPr>
              <w:spacing w:line="336" w:lineRule="auto"/>
              <w:rPr>
                <w:rFonts w:ascii="宋体" w:hAnsi="宋体" w:cs="宋体"/>
                <w:szCs w:val="21"/>
              </w:rPr>
            </w:pPr>
            <w:r>
              <w:rPr>
                <w:rFonts w:hint="eastAsia" w:ascii="宋体" w:hAnsi="宋体" w:cs="宋体"/>
                <w:szCs w:val="21"/>
              </w:rPr>
              <w:t>（三）投标函已提交并符合招标文件要求；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Pr>
          <w:p>
            <w:pPr>
              <w:spacing w:line="336" w:lineRule="auto"/>
              <w:ind w:firstLine="210" w:firstLineChars="100"/>
              <w:rPr>
                <w:rFonts w:ascii="宋体" w:hAnsi="宋体" w:cs="宋体"/>
                <w:szCs w:val="21"/>
              </w:rPr>
            </w:pPr>
          </w:p>
        </w:tc>
        <w:tc>
          <w:tcPr>
            <w:tcW w:w="7440" w:type="dxa"/>
            <w:vAlign w:val="center"/>
          </w:tcPr>
          <w:p>
            <w:pPr>
              <w:spacing w:line="336" w:lineRule="auto"/>
              <w:rPr>
                <w:rFonts w:ascii="宋体" w:hAnsi="宋体" w:cs="宋体"/>
                <w:szCs w:val="21"/>
              </w:rPr>
            </w:pPr>
            <w:r>
              <w:rPr>
                <w:rFonts w:hint="eastAsia" w:ascii="宋体" w:hAnsi="宋体" w:cs="宋体"/>
                <w:szCs w:val="21"/>
              </w:rPr>
              <w:t>（四）采用人民币报价或者按照招标文件标明的币种报价的；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Pr>
          <w:p>
            <w:pPr>
              <w:spacing w:line="336" w:lineRule="auto"/>
              <w:ind w:firstLine="210" w:firstLineChars="100"/>
              <w:rPr>
                <w:rFonts w:ascii="宋体" w:hAnsi="宋体" w:cs="宋体"/>
                <w:szCs w:val="21"/>
              </w:rPr>
            </w:pPr>
          </w:p>
        </w:tc>
        <w:tc>
          <w:tcPr>
            <w:tcW w:w="7440" w:type="dxa"/>
            <w:vAlign w:val="center"/>
          </w:tcPr>
          <w:p>
            <w:pPr>
              <w:spacing w:line="336" w:lineRule="auto"/>
              <w:rPr>
                <w:rFonts w:ascii="宋体" w:hAnsi="宋体" w:cs="宋体"/>
                <w:szCs w:val="21"/>
              </w:rPr>
            </w:pPr>
            <w:r>
              <w:rPr>
                <w:rFonts w:hint="eastAsia" w:ascii="宋体" w:hAnsi="宋体" w:cs="宋体"/>
                <w:szCs w:val="21"/>
              </w:rPr>
              <w:t>（五）不存在报价超出最高限价，或者超出采购预算金额，采购人不能支付的情形。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Pr>
          <w:p>
            <w:pPr>
              <w:spacing w:line="336" w:lineRule="auto"/>
              <w:ind w:firstLine="210" w:firstLineChars="100"/>
              <w:rPr>
                <w:rFonts w:ascii="宋体" w:hAnsi="宋体" w:cs="宋体"/>
                <w:szCs w:val="21"/>
              </w:rPr>
            </w:pPr>
          </w:p>
        </w:tc>
        <w:tc>
          <w:tcPr>
            <w:tcW w:w="7440" w:type="dxa"/>
            <w:vAlign w:val="center"/>
          </w:tcPr>
          <w:p>
            <w:pPr>
              <w:spacing w:line="336" w:lineRule="auto"/>
              <w:rPr>
                <w:rFonts w:ascii="宋体" w:hAnsi="宋体" w:cs="宋体"/>
                <w:szCs w:val="21"/>
              </w:rPr>
            </w:pPr>
            <w:r>
              <w:rPr>
                <w:rFonts w:hint="eastAsia" w:ascii="宋体" w:hAnsi="宋体" w:cs="宋体"/>
                <w:szCs w:val="21"/>
              </w:rPr>
              <w:t>（六）不存在投标报价具有选择性的情形；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Pr>
          <w:p>
            <w:pPr>
              <w:spacing w:line="336" w:lineRule="auto"/>
              <w:ind w:firstLine="210" w:firstLineChars="100"/>
              <w:rPr>
                <w:rFonts w:ascii="宋体" w:hAnsi="宋体" w:cs="宋体"/>
                <w:szCs w:val="21"/>
              </w:rPr>
            </w:pPr>
          </w:p>
        </w:tc>
        <w:tc>
          <w:tcPr>
            <w:tcW w:w="7440" w:type="dxa"/>
            <w:vAlign w:val="center"/>
          </w:tcPr>
          <w:p>
            <w:pPr>
              <w:spacing w:line="336" w:lineRule="auto"/>
              <w:rPr>
                <w:rFonts w:ascii="宋体" w:hAnsi="宋体" w:cs="宋体"/>
                <w:szCs w:val="21"/>
              </w:rPr>
            </w:pPr>
            <w:r>
              <w:rPr>
                <w:rFonts w:hint="eastAsia" w:ascii="宋体" w:hAnsi="宋体" w:cs="宋体"/>
                <w:szCs w:val="21"/>
              </w:rPr>
              <w:t>（七）投标报价中未出现重大缺项、漏项；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Pr>
          <w:p>
            <w:pPr>
              <w:spacing w:line="336" w:lineRule="auto"/>
              <w:ind w:firstLine="210" w:firstLineChars="100"/>
              <w:rPr>
                <w:rFonts w:ascii="宋体" w:hAnsi="宋体" w:cs="宋体"/>
                <w:szCs w:val="21"/>
              </w:rPr>
            </w:pPr>
          </w:p>
        </w:tc>
        <w:tc>
          <w:tcPr>
            <w:tcW w:w="7440" w:type="dxa"/>
            <w:vAlign w:val="center"/>
          </w:tcPr>
          <w:p>
            <w:pPr>
              <w:spacing w:line="336" w:lineRule="auto"/>
              <w:rPr>
                <w:rFonts w:ascii="宋体" w:hAnsi="宋体" w:cs="宋体"/>
                <w:szCs w:val="21"/>
              </w:rPr>
            </w:pPr>
            <w:r>
              <w:rPr>
                <w:rFonts w:hint="eastAsia" w:ascii="宋体" w:hAnsi="宋体" w:cs="宋体"/>
                <w:szCs w:val="21"/>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Pr>
          <w:p>
            <w:pPr>
              <w:spacing w:line="336" w:lineRule="auto"/>
              <w:ind w:firstLine="210" w:firstLineChars="100"/>
              <w:rPr>
                <w:rFonts w:ascii="宋体" w:hAnsi="宋体" w:cs="宋体"/>
                <w:szCs w:val="21"/>
              </w:rPr>
            </w:pPr>
          </w:p>
        </w:tc>
        <w:tc>
          <w:tcPr>
            <w:tcW w:w="7440" w:type="dxa"/>
            <w:vAlign w:val="center"/>
          </w:tcPr>
          <w:p>
            <w:pPr>
              <w:spacing w:line="336" w:lineRule="auto"/>
              <w:rPr>
                <w:rFonts w:ascii="宋体" w:hAnsi="宋体" w:cs="宋体"/>
                <w:szCs w:val="21"/>
              </w:rPr>
            </w:pPr>
            <w:r>
              <w:rPr>
                <w:rFonts w:hint="eastAsia" w:ascii="宋体" w:hAnsi="宋体" w:cs="宋体"/>
                <w:szCs w:val="21"/>
              </w:rPr>
              <w:t>（九）投标文件（报价文件）内容与投标文件（商务技术文件）内容不存在重大差异的；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Pr>
          <w:p>
            <w:pPr>
              <w:spacing w:line="336" w:lineRule="auto"/>
              <w:ind w:firstLine="210" w:firstLineChars="100"/>
              <w:rPr>
                <w:rFonts w:ascii="宋体" w:hAnsi="宋体" w:cs="宋体"/>
                <w:szCs w:val="21"/>
              </w:rPr>
            </w:pPr>
          </w:p>
        </w:tc>
        <w:tc>
          <w:tcPr>
            <w:tcW w:w="7440" w:type="dxa"/>
            <w:vAlign w:val="center"/>
          </w:tcPr>
          <w:p>
            <w:pPr>
              <w:spacing w:line="336" w:lineRule="auto"/>
              <w:rPr>
                <w:rFonts w:ascii="宋体" w:hAnsi="宋体" w:cs="宋体"/>
                <w:szCs w:val="21"/>
              </w:rPr>
            </w:pPr>
            <w:r>
              <w:rPr>
                <w:rFonts w:hint="eastAsia" w:ascii="宋体" w:hAnsi="宋体" w:cs="宋体"/>
                <w:szCs w:val="21"/>
              </w:rPr>
              <w:t>（十）不存在法律、法规和招标文件规定的其他无效情形；</w:t>
            </w: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3．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rPr>
          <w:rFonts w:ascii="宋体" w:hAnsi="宋体"/>
          <w:szCs w:val="21"/>
        </w:rPr>
      </w:pPr>
      <w:r>
        <w:rPr>
          <w:rFonts w:hint="eastAsia" w:ascii="宋体" w:hAnsi="宋体"/>
          <w:szCs w:val="21"/>
        </w:rPr>
        <w:t>4．最终得分及排序：</w:t>
      </w:r>
      <w:r>
        <w:rPr>
          <w:rFonts w:hint="eastAsia" w:ascii="宋体" w:hAnsi="宋体" w:cs="宋体"/>
          <w:szCs w:val="21"/>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kern w:val="0"/>
          <w:szCs w:val="21"/>
        </w:rPr>
        <w:t>评标结果按评审后得分由高到低顺序排列。得分相同的，按投标报价由低到高顺序排列。得分且投标报价相同的并列。</w:t>
      </w:r>
    </w:p>
    <w:p>
      <w:pPr>
        <w:spacing w:line="360" w:lineRule="auto"/>
        <w:rPr>
          <w:rFonts w:ascii="宋体" w:hAnsi="宋体"/>
          <w:szCs w:val="21"/>
        </w:rPr>
      </w:pPr>
      <w:r>
        <w:rPr>
          <w:rFonts w:hint="eastAsia" w:ascii="宋体" w:hAnsi="宋体"/>
          <w:szCs w:val="21"/>
        </w:rPr>
        <w:t>5．推荐中标候选人原则：</w:t>
      </w:r>
      <w:r>
        <w:rPr>
          <w:rFonts w:hint="eastAsia" w:ascii="宋体" w:hAnsi="宋体" w:cs="宋体"/>
          <w:kern w:val="0"/>
          <w:szCs w:val="21"/>
        </w:rPr>
        <w:t>投标文件满足招标文件全部实质性要求，且按照评审因素的量化指标评审得分最高的投标人为排名第一的中标候选人。</w:t>
      </w:r>
    </w:p>
    <w:p>
      <w:pPr>
        <w:spacing w:line="360" w:lineRule="auto"/>
        <w:rPr>
          <w:rFonts w:ascii="宋体" w:hAnsi="宋体"/>
          <w:szCs w:val="21"/>
        </w:rPr>
      </w:pPr>
      <w:r>
        <w:rPr>
          <w:rFonts w:hint="eastAsia" w:ascii="宋体" w:hAnsi="宋体"/>
          <w:szCs w:val="21"/>
        </w:rPr>
        <w:t>6．确定中标人：采购代理机构应当自评标结束之日起2个工作日内将评标报告送交采购人。采购人应当自收到评标报告之日起5个工作日内在评标报告确定的中标候选人名单中按顺序确定中标人。中标人因不可抗力或者自身原因不能履行政府采购合同的，采购人可以按照评标报告推荐的下一中标候选人为中标人或重新招标。</w:t>
      </w:r>
    </w:p>
    <w:p>
      <w:pPr>
        <w:spacing w:line="360" w:lineRule="exact"/>
        <w:rPr>
          <w:rFonts w:ascii="宋体" w:hAnsi="宋体" w:cs="宋体"/>
          <w:szCs w:val="21"/>
        </w:rPr>
      </w:pPr>
    </w:p>
    <w:p>
      <w:pPr>
        <w:widowControl/>
        <w:tabs>
          <w:tab w:val="left" w:pos="0"/>
          <w:tab w:val="left" w:pos="723"/>
        </w:tabs>
        <w:spacing w:line="360" w:lineRule="auto"/>
        <w:jc w:val="left"/>
        <w:rPr>
          <w:rFonts w:ascii="宋体" w:hAnsi="宋体"/>
          <w:b/>
          <w:szCs w:val="21"/>
        </w:rPr>
      </w:pPr>
      <w:r>
        <w:rPr>
          <w:rFonts w:hint="eastAsia" w:ascii="宋体" w:hAnsi="宋体"/>
          <w:b/>
          <w:szCs w:val="21"/>
        </w:rPr>
        <w:t>四、澄清问题的形式</w:t>
      </w:r>
    </w:p>
    <w:p>
      <w:pPr>
        <w:spacing w:line="360" w:lineRule="auto"/>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0" w:firstLineChars="200"/>
        <w:rPr>
          <w:rFonts w:ascii="宋体" w:hAnsi="宋体"/>
          <w:szCs w:val="21"/>
        </w:rPr>
      </w:pPr>
    </w:p>
    <w:p>
      <w:pPr>
        <w:widowControl/>
        <w:tabs>
          <w:tab w:val="left" w:pos="0"/>
          <w:tab w:val="left" w:pos="723"/>
        </w:tabs>
        <w:spacing w:line="360" w:lineRule="auto"/>
        <w:jc w:val="left"/>
        <w:rPr>
          <w:rFonts w:ascii="宋体" w:hAnsi="宋体"/>
          <w:b/>
          <w:szCs w:val="21"/>
        </w:rPr>
      </w:pPr>
      <w:r>
        <w:rPr>
          <w:rFonts w:ascii="宋体" w:hAnsi="宋体"/>
          <w:b/>
          <w:szCs w:val="21"/>
        </w:rPr>
        <w:t>五</w:t>
      </w:r>
      <w:r>
        <w:rPr>
          <w:rFonts w:hint="eastAsia" w:ascii="宋体" w:hAnsi="宋体"/>
          <w:b/>
          <w:szCs w:val="21"/>
        </w:rPr>
        <w:t>、</w:t>
      </w:r>
      <w:r>
        <w:rPr>
          <w:rFonts w:ascii="宋体" w:hAnsi="宋体"/>
          <w:b/>
          <w:szCs w:val="21"/>
        </w:rPr>
        <w:t>错误修正</w:t>
      </w:r>
    </w:p>
    <w:p>
      <w:pPr>
        <w:spacing w:line="360" w:lineRule="auto"/>
        <w:ind w:firstLine="420" w:firstLineChars="200"/>
        <w:rPr>
          <w:rFonts w:ascii="宋体" w:hAnsi="宋体"/>
          <w:szCs w:val="21"/>
        </w:rPr>
      </w:pPr>
      <w:r>
        <w:rPr>
          <w:rFonts w:hint="eastAsia" w:ascii="宋体" w:hAnsi="宋体"/>
          <w:szCs w:val="21"/>
        </w:rPr>
        <w:t>投标文件报价出现前后不一致的，按照下列规定修正：</w:t>
      </w:r>
    </w:p>
    <w:p>
      <w:pPr>
        <w:spacing w:line="360" w:lineRule="auto"/>
        <w:ind w:firstLine="420" w:firstLineChars="200"/>
        <w:rPr>
          <w:rFonts w:ascii="宋体" w:hAnsi="宋体"/>
          <w:szCs w:val="21"/>
        </w:rPr>
      </w:pPr>
      <w:r>
        <w:rPr>
          <w:rFonts w:hint="eastAsia" w:ascii="宋体" w:hAnsi="宋体"/>
          <w:szCs w:val="21"/>
        </w:rPr>
        <w:t>1.投标文件中开标一览表内容与投标文件中相应内容不一致的，以开标一览表为准；</w:t>
      </w:r>
    </w:p>
    <w:p>
      <w:pPr>
        <w:spacing w:line="360" w:lineRule="auto"/>
        <w:ind w:firstLine="420" w:firstLineChars="200"/>
        <w:rPr>
          <w:rFonts w:ascii="宋体" w:hAnsi="宋体"/>
          <w:szCs w:val="21"/>
        </w:rPr>
      </w:pPr>
      <w:r>
        <w:rPr>
          <w:rFonts w:hint="eastAsia" w:ascii="宋体" w:hAnsi="宋体"/>
          <w:szCs w:val="21"/>
        </w:rPr>
        <w:t>2.大写金额和小写金额不一致的，以大写金额为准；</w:t>
      </w:r>
    </w:p>
    <w:p>
      <w:pPr>
        <w:spacing w:line="360" w:lineRule="auto"/>
        <w:ind w:firstLine="420" w:firstLineChars="200"/>
        <w:rPr>
          <w:rFonts w:ascii="宋体" w:hAnsi="宋体"/>
          <w:szCs w:val="21"/>
        </w:rPr>
      </w:pPr>
      <w:r>
        <w:rPr>
          <w:rFonts w:hint="eastAsia" w:ascii="宋体" w:hAnsi="宋体"/>
          <w:szCs w:val="21"/>
        </w:rPr>
        <w:t>3.单价金额小数点或者百分比有明显错位的，以开标一览表的总价为准，并修改单价；</w:t>
      </w:r>
    </w:p>
    <w:p>
      <w:pPr>
        <w:spacing w:line="360" w:lineRule="auto"/>
        <w:ind w:firstLine="420" w:firstLineChars="200"/>
        <w:rPr>
          <w:rFonts w:ascii="宋体" w:hAnsi="宋体"/>
          <w:szCs w:val="21"/>
        </w:rPr>
      </w:pPr>
      <w:r>
        <w:rPr>
          <w:rFonts w:hint="eastAsia" w:ascii="宋体" w:hAnsi="宋体"/>
          <w:szCs w:val="21"/>
        </w:rPr>
        <w:t>4.总价金额与按单价汇总金额不一致的，以单价金额计算结果为准。</w:t>
      </w:r>
    </w:p>
    <w:p>
      <w:pPr>
        <w:spacing w:line="360" w:lineRule="auto"/>
        <w:ind w:firstLine="420" w:firstLineChars="200"/>
        <w:rPr>
          <w:rFonts w:ascii="宋体" w:hAnsi="宋体"/>
          <w:szCs w:val="21"/>
        </w:rPr>
      </w:pPr>
      <w:r>
        <w:rPr>
          <w:rFonts w:hint="eastAsia" w:ascii="宋体" w:hAnsi="宋体"/>
          <w:szCs w:val="21"/>
        </w:rPr>
        <w:t>同时出现两种以上不一致的，按照前款规定的顺序修正。修正后的报价按照投标文件澄清第二款的规定经投标人确认后产生约束力，投标人不确认的，其投标无效。</w:t>
      </w:r>
    </w:p>
    <w:p>
      <w:pPr>
        <w:numPr>
          <w:ilvl w:val="-1"/>
          <w:numId w:val="0"/>
        </w:numPr>
        <w:spacing w:line="360" w:lineRule="auto"/>
        <w:rPr>
          <w:rFonts w:ascii="宋体" w:hAnsi="宋体"/>
          <w:b/>
          <w:sz w:val="24"/>
          <w:szCs w:val="24"/>
        </w:rPr>
      </w:pPr>
      <w:r>
        <w:rPr>
          <w:rFonts w:ascii="宋体" w:hAnsi="宋体"/>
          <w:b/>
          <w:sz w:val="24"/>
          <w:szCs w:val="24"/>
        </w:rPr>
        <w:br w:type="page"/>
      </w:r>
      <w:bookmarkStart w:id="134" w:name="_Toc298230960"/>
      <w:r>
        <w:rPr>
          <w:rFonts w:hint="eastAsia" w:ascii="宋体" w:hAnsi="宋体"/>
          <w:b/>
          <w:sz w:val="24"/>
          <w:szCs w:val="24"/>
          <w:lang w:val="en-US" w:eastAsia="zh-CN"/>
        </w:rPr>
        <w:t>六、</w:t>
      </w:r>
      <w:r>
        <w:rPr>
          <w:rFonts w:hint="eastAsia" w:ascii="宋体" w:hAnsi="宋体"/>
          <w:b/>
          <w:sz w:val="24"/>
          <w:szCs w:val="24"/>
        </w:rPr>
        <w:t>评分标准（兼评委打分表）</w:t>
      </w:r>
    </w:p>
    <w:tbl>
      <w:tblPr>
        <w:tblStyle w:val="38"/>
        <w:tblW w:w="9394"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938"/>
        <w:gridCol w:w="5670"/>
        <w:gridCol w:w="630"/>
        <w:gridCol w:w="142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08" w:type="dxa"/>
            <w:gridSpan w:val="2"/>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eastAsia="宋体" w:cs="仿宋_GB2312"/>
                <w:b/>
                <w:bCs/>
                <w:color w:val="auto"/>
                <w:szCs w:val="21"/>
                <w:highlight w:val="none"/>
              </w:rPr>
            </w:pPr>
            <w:r>
              <w:rPr>
                <w:rFonts w:hint="eastAsia" w:ascii="宋体" w:hAnsi="宋体" w:eastAsia="宋体" w:cs="仿宋_GB2312"/>
                <w:b/>
                <w:bCs/>
                <w:color w:val="auto"/>
                <w:szCs w:val="21"/>
                <w:highlight w:val="none"/>
              </w:rPr>
              <w:t>评标标准</w:t>
            </w:r>
          </w:p>
        </w:tc>
        <w:tc>
          <w:tcPr>
            <w:tcW w:w="630"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eastAsia="宋体" w:cs="仿宋_GB2312"/>
                <w:b/>
                <w:bCs/>
                <w:color w:val="auto"/>
                <w:szCs w:val="21"/>
                <w:highlight w:val="none"/>
                <w:lang w:eastAsia="zh-CN"/>
              </w:rPr>
            </w:pPr>
            <w:r>
              <w:rPr>
                <w:rFonts w:hint="eastAsia" w:ascii="宋体" w:hAnsi="宋体" w:eastAsia="宋体" w:cs="仿宋_GB2312"/>
                <w:b/>
                <w:bCs/>
                <w:color w:val="auto"/>
                <w:szCs w:val="21"/>
                <w:highlight w:val="none"/>
                <w:lang w:val="en-US" w:eastAsia="zh-CN"/>
              </w:rPr>
              <w:t>分值</w:t>
            </w:r>
          </w:p>
        </w:tc>
        <w:tc>
          <w:tcPr>
            <w:tcW w:w="1425"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eastAsia="宋体" w:cs="仿宋_GB2312"/>
                <w:b/>
                <w:bCs/>
                <w:color w:val="auto"/>
                <w:szCs w:val="21"/>
                <w:highlight w:val="none"/>
              </w:rPr>
            </w:pPr>
            <w:r>
              <w:rPr>
                <w:rFonts w:hint="eastAsia" w:ascii="宋体" w:hAnsi="宋体" w:eastAsia="宋体" w:cs="仿宋_GB2312"/>
                <w:b/>
                <w:bCs/>
                <w:color w:val="auto"/>
                <w:szCs w:val="21"/>
                <w:highlight w:val="none"/>
              </w:rPr>
              <w:t>主观分/客观分属性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94" w:type="dxa"/>
            <w:gridSpan w:val="5"/>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一、商务技术分（</w:t>
            </w:r>
            <w:r>
              <w:rPr>
                <w:rFonts w:hint="eastAsia" w:ascii="宋体" w:hAnsi="宋体" w:cs="宋体"/>
                <w:b/>
                <w:bCs/>
                <w:color w:val="auto"/>
                <w:kern w:val="0"/>
                <w:szCs w:val="21"/>
                <w:highlight w:val="none"/>
                <w:lang w:val="en-US" w:eastAsia="zh-CN"/>
              </w:rPr>
              <w:t>85</w:t>
            </w:r>
            <w:r>
              <w:rPr>
                <w:rFonts w:hint="eastAsia" w:ascii="宋体" w:hAnsi="宋体" w:cs="宋体"/>
                <w:b/>
                <w:bCs/>
                <w:color w:val="auto"/>
                <w:kern w:val="0"/>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38"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项目需求分析</w:t>
            </w:r>
          </w:p>
        </w:tc>
        <w:tc>
          <w:tcPr>
            <w:tcW w:w="5670" w:type="dxa"/>
            <w:vAlign w:val="center"/>
          </w:tcPr>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b/>
                <w:bCs/>
                <w:color w:val="auto"/>
                <w:highlight w:val="none"/>
                <w:lang w:val="en-US" w:eastAsia="zh-CN"/>
              </w:rPr>
            </w:pPr>
            <w:r>
              <w:rPr>
                <w:rFonts w:hint="eastAsia"/>
                <w:b/>
                <w:bCs/>
                <w:color w:val="auto"/>
                <w:highlight w:val="none"/>
                <w:lang w:val="en-US" w:eastAsia="zh-CN"/>
              </w:rPr>
              <w:t>根据投标人提供的项目工作需求分析进行评议：</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①</w:t>
            </w:r>
            <w:r>
              <w:rPr>
                <w:rFonts w:hint="eastAsia"/>
                <w:color w:val="auto"/>
                <w:highlight w:val="none"/>
                <w:lang w:val="en-US" w:eastAsia="zh-CN"/>
              </w:rPr>
              <w:t>需求分析</w:t>
            </w:r>
            <w:r>
              <w:rPr>
                <w:rFonts w:hint="eastAsia"/>
                <w:color w:val="auto"/>
                <w:highlight w:val="none"/>
              </w:rPr>
              <w:t>完全符合采购需求</w:t>
            </w:r>
            <w:r>
              <w:rPr>
                <w:rFonts w:hint="eastAsia"/>
                <w:color w:val="auto"/>
                <w:highlight w:val="none"/>
                <w:lang w:eastAsia="zh-CN"/>
              </w:rPr>
              <w:t>，</w:t>
            </w:r>
            <w:r>
              <w:rPr>
                <w:rFonts w:hint="eastAsia"/>
                <w:color w:val="auto"/>
                <w:highlight w:val="none"/>
                <w:lang w:val="en-US" w:eastAsia="zh-CN"/>
              </w:rPr>
              <w:t>条理清晰</w:t>
            </w:r>
            <w:r>
              <w:rPr>
                <w:rFonts w:hint="eastAsia"/>
                <w:color w:val="auto"/>
                <w:highlight w:val="none"/>
              </w:rPr>
              <w:t>的得</w:t>
            </w:r>
            <w:r>
              <w:rPr>
                <w:rFonts w:hint="eastAsia"/>
                <w:color w:val="auto"/>
                <w:highlight w:val="none"/>
                <w:lang w:val="en-US" w:eastAsia="zh-CN"/>
              </w:rPr>
              <w:t>6</w:t>
            </w:r>
            <w:r>
              <w:rPr>
                <w:rFonts w:hint="eastAsia"/>
                <w:color w:val="auto"/>
                <w:highlight w:val="none"/>
              </w:rPr>
              <w:t>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②</w:t>
            </w:r>
            <w:r>
              <w:rPr>
                <w:rFonts w:hint="eastAsia"/>
                <w:color w:val="auto"/>
                <w:highlight w:val="none"/>
                <w:lang w:val="en-US" w:eastAsia="zh-CN"/>
              </w:rPr>
              <w:t>需求分析基本</w:t>
            </w:r>
            <w:r>
              <w:rPr>
                <w:rFonts w:hint="eastAsia"/>
                <w:color w:val="auto"/>
                <w:highlight w:val="none"/>
              </w:rPr>
              <w:t>符合采购需求</w:t>
            </w:r>
            <w:r>
              <w:rPr>
                <w:rFonts w:hint="eastAsia"/>
                <w:color w:val="auto"/>
                <w:highlight w:val="none"/>
                <w:lang w:eastAsia="zh-CN"/>
              </w:rPr>
              <w:t>，</w:t>
            </w:r>
            <w:r>
              <w:rPr>
                <w:rFonts w:hint="eastAsia"/>
                <w:color w:val="auto"/>
                <w:highlight w:val="none"/>
                <w:lang w:val="en-US" w:eastAsia="zh-CN"/>
              </w:rPr>
              <w:t>部分内容条理清晰</w:t>
            </w:r>
            <w:r>
              <w:rPr>
                <w:rFonts w:hint="eastAsia"/>
                <w:color w:val="auto"/>
                <w:highlight w:val="none"/>
              </w:rPr>
              <w:t>的得</w:t>
            </w:r>
            <w:r>
              <w:rPr>
                <w:rFonts w:hint="eastAsia"/>
                <w:color w:val="auto"/>
                <w:highlight w:val="none"/>
                <w:lang w:val="en-US" w:eastAsia="zh-CN"/>
              </w:rPr>
              <w:t>4</w:t>
            </w:r>
            <w:r>
              <w:rPr>
                <w:rFonts w:hint="eastAsia"/>
                <w:color w:val="auto"/>
                <w:highlight w:val="none"/>
              </w:rPr>
              <w:t>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③</w:t>
            </w:r>
            <w:r>
              <w:rPr>
                <w:rFonts w:hint="eastAsia"/>
                <w:color w:val="auto"/>
                <w:highlight w:val="none"/>
                <w:lang w:val="en-US" w:eastAsia="zh-CN"/>
              </w:rPr>
              <w:t>需求分析不</w:t>
            </w:r>
            <w:r>
              <w:rPr>
                <w:rFonts w:hint="eastAsia"/>
                <w:color w:val="auto"/>
                <w:highlight w:val="none"/>
              </w:rPr>
              <w:t>符合采购需求</w:t>
            </w:r>
            <w:r>
              <w:rPr>
                <w:rFonts w:hint="eastAsia"/>
                <w:color w:val="auto"/>
                <w:highlight w:val="none"/>
                <w:lang w:eastAsia="zh-CN"/>
              </w:rPr>
              <w:t>，</w:t>
            </w:r>
            <w:r>
              <w:rPr>
                <w:rFonts w:hint="eastAsia"/>
                <w:color w:val="auto"/>
                <w:highlight w:val="none"/>
                <w:lang w:val="en-US" w:eastAsia="zh-CN"/>
              </w:rPr>
              <w:t>条理不清晰</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default" w:eastAsia="宋体"/>
                <w:color w:val="auto"/>
                <w:highlight w:val="none"/>
                <w:lang w:val="en-US" w:eastAsia="zh-CN"/>
              </w:rPr>
            </w:pPr>
            <w:r>
              <w:rPr>
                <w:rFonts w:hint="eastAsia"/>
                <w:color w:val="auto"/>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938"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rPr>
              <w:t>重点及难点分析</w:t>
            </w:r>
          </w:p>
        </w:tc>
        <w:tc>
          <w:tcPr>
            <w:tcW w:w="5670" w:type="dxa"/>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cs="宋体"/>
                <w:b/>
                <w:bCs/>
                <w:color w:val="auto"/>
                <w:highlight w:val="none"/>
              </w:rPr>
            </w:pPr>
            <w:r>
              <w:rPr>
                <w:rFonts w:hint="eastAsia" w:ascii="宋体" w:hAnsi="宋体" w:cs="宋体"/>
                <w:b/>
                <w:bCs/>
                <w:color w:val="auto"/>
                <w:highlight w:val="none"/>
              </w:rPr>
              <w:t>根据</w:t>
            </w:r>
            <w:r>
              <w:rPr>
                <w:rFonts w:hint="eastAsia" w:ascii="宋体" w:hAnsi="宋体" w:cs="宋体"/>
                <w:b/>
                <w:bCs/>
                <w:color w:val="auto"/>
                <w:highlight w:val="none"/>
                <w:lang w:val="en-US" w:eastAsia="zh-CN"/>
              </w:rPr>
              <w:t>投标人</w:t>
            </w:r>
            <w:r>
              <w:rPr>
                <w:rFonts w:hint="eastAsia" w:ascii="宋体" w:hAnsi="宋体" w:cs="宋体"/>
                <w:b/>
                <w:bCs/>
                <w:color w:val="auto"/>
                <w:highlight w:val="none"/>
              </w:rPr>
              <w:t>提供的针对本项目重点、难点分析进行评议：</w:t>
            </w:r>
          </w:p>
          <w:p>
            <w:pPr>
              <w:keepNext w:val="0"/>
              <w:keepLines w:val="0"/>
              <w:widowControl/>
              <w:numPr>
                <w:ilvl w:val="0"/>
                <w:numId w:val="0"/>
              </w:numPr>
              <w:suppressLineNumbers w:val="0"/>
              <w:spacing w:before="0" w:beforeAutospacing="0" w:after="0" w:afterAutospacing="0" w:line="240" w:lineRule="auto"/>
              <w:ind w:left="0" w:right="0"/>
              <w:jc w:val="left"/>
              <w:rPr>
                <w:rFonts w:hint="eastAsia" w:ascii="宋体" w:hAnsi="宋体" w:cs="宋体"/>
                <w:color w:val="auto"/>
                <w:highlight w:val="none"/>
                <w:lang w:eastAsia="zh-CN"/>
              </w:rPr>
            </w:pPr>
            <w:r>
              <w:rPr>
                <w:rFonts w:hint="eastAsia"/>
                <w:color w:val="auto"/>
                <w:highlight w:val="none"/>
              </w:rPr>
              <w:t>①</w:t>
            </w:r>
            <w:r>
              <w:rPr>
                <w:rFonts w:hint="eastAsia" w:ascii="宋体" w:hAnsi="宋体" w:cs="宋体"/>
                <w:color w:val="auto"/>
                <w:highlight w:val="none"/>
                <w:lang w:val="en-US" w:eastAsia="zh-CN"/>
              </w:rPr>
              <w:t>重点及难点分析</w:t>
            </w:r>
            <w:r>
              <w:rPr>
                <w:rFonts w:hint="eastAsia" w:ascii="宋体" w:hAnsi="宋体" w:cs="宋体"/>
                <w:color w:val="auto"/>
                <w:highlight w:val="none"/>
              </w:rPr>
              <w:t>针对性</w:t>
            </w:r>
            <w:r>
              <w:rPr>
                <w:rFonts w:hint="eastAsia" w:ascii="宋体" w:hAnsi="宋体" w:cs="宋体"/>
                <w:color w:val="auto"/>
                <w:highlight w:val="none"/>
                <w:lang w:val="en-US" w:eastAsia="zh-CN"/>
              </w:rPr>
              <w:t>强、内容全面</w:t>
            </w:r>
            <w:r>
              <w:rPr>
                <w:rFonts w:hint="eastAsia" w:ascii="宋体" w:hAnsi="宋体" w:cs="宋体"/>
                <w:color w:val="auto"/>
                <w:highlight w:val="none"/>
              </w:rPr>
              <w:t>的得</w:t>
            </w:r>
            <w:r>
              <w:rPr>
                <w:rFonts w:hint="default" w:ascii="宋体" w:hAnsi="宋体" w:cs="宋体"/>
                <w:color w:val="auto"/>
                <w:highlight w:val="none"/>
              </w:rPr>
              <w:t>5</w:t>
            </w:r>
            <w:r>
              <w:rPr>
                <w:rFonts w:hint="eastAsia" w:ascii="宋体" w:hAnsi="宋体" w:cs="宋体"/>
                <w:color w:val="auto"/>
                <w:highlight w:val="none"/>
              </w:rPr>
              <w:t>分</w:t>
            </w:r>
            <w:r>
              <w:rPr>
                <w:rFonts w:hint="eastAsia" w:ascii="宋体" w:hAnsi="宋体" w:cs="宋体"/>
                <w:color w:val="auto"/>
                <w:highlight w:val="none"/>
                <w:lang w:eastAsia="zh-CN"/>
              </w:rPr>
              <w:t>；</w:t>
            </w:r>
          </w:p>
          <w:p>
            <w:pPr>
              <w:keepNext w:val="0"/>
              <w:keepLines w:val="0"/>
              <w:widowControl/>
              <w:numPr>
                <w:ilvl w:val="0"/>
                <w:numId w:val="0"/>
              </w:numPr>
              <w:suppressLineNumbers w:val="0"/>
              <w:spacing w:before="0" w:beforeAutospacing="0" w:after="0" w:afterAutospacing="0" w:line="240" w:lineRule="auto"/>
              <w:ind w:left="0" w:right="0"/>
              <w:jc w:val="left"/>
              <w:rPr>
                <w:rFonts w:hint="default" w:ascii="宋体" w:hAnsi="宋体" w:cs="宋体"/>
                <w:color w:val="auto"/>
                <w:highlight w:val="none"/>
              </w:rPr>
            </w:pPr>
            <w:r>
              <w:rPr>
                <w:rFonts w:hint="eastAsia"/>
                <w:color w:val="auto"/>
                <w:highlight w:val="none"/>
              </w:rPr>
              <w:t>②</w:t>
            </w:r>
            <w:r>
              <w:rPr>
                <w:rFonts w:hint="eastAsia" w:ascii="宋体" w:hAnsi="宋体" w:cs="宋体"/>
                <w:color w:val="auto"/>
                <w:highlight w:val="none"/>
                <w:lang w:val="en-US" w:eastAsia="zh-CN"/>
              </w:rPr>
              <w:t>重点及难点分析</w:t>
            </w:r>
            <w:r>
              <w:rPr>
                <w:rFonts w:hint="eastAsia" w:ascii="宋体" w:hAnsi="宋体" w:cs="宋体"/>
                <w:color w:val="auto"/>
                <w:highlight w:val="none"/>
              </w:rPr>
              <w:t>针对性</w:t>
            </w:r>
            <w:r>
              <w:rPr>
                <w:rFonts w:hint="eastAsia" w:ascii="宋体" w:hAnsi="宋体" w:cs="宋体"/>
                <w:color w:val="auto"/>
                <w:highlight w:val="none"/>
                <w:lang w:val="en-US" w:eastAsia="zh-CN"/>
              </w:rPr>
              <w:t>一般、内容不够全面</w:t>
            </w:r>
            <w:r>
              <w:rPr>
                <w:rFonts w:hint="eastAsia" w:ascii="宋体" w:hAnsi="宋体" w:cs="宋体"/>
                <w:color w:val="auto"/>
                <w:highlight w:val="none"/>
              </w:rPr>
              <w:t>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pPr>
              <w:keepNext w:val="0"/>
              <w:keepLines w:val="0"/>
              <w:widowControl/>
              <w:numPr>
                <w:ilvl w:val="0"/>
                <w:numId w:val="0"/>
              </w:numPr>
              <w:suppressLineNumbers w:val="0"/>
              <w:spacing w:before="0" w:beforeAutospacing="0" w:after="0" w:afterAutospacing="0" w:line="240" w:lineRule="auto"/>
              <w:ind w:left="0" w:right="0"/>
              <w:jc w:val="left"/>
              <w:rPr>
                <w:rFonts w:hint="eastAsia" w:ascii="宋体" w:hAnsi="宋体" w:eastAsia="宋体" w:cs="宋体"/>
                <w:color w:val="auto"/>
                <w:highlight w:val="none"/>
                <w:lang w:val="en-US" w:eastAsia="zh-CN"/>
              </w:rPr>
            </w:pPr>
            <w:r>
              <w:rPr>
                <w:rFonts w:hint="eastAsia"/>
                <w:color w:val="auto"/>
                <w:highlight w:val="none"/>
              </w:rPr>
              <w:t>③</w:t>
            </w:r>
            <w:r>
              <w:rPr>
                <w:rFonts w:hint="eastAsia" w:ascii="宋体" w:hAnsi="宋体" w:cs="宋体"/>
                <w:color w:val="auto"/>
                <w:highlight w:val="none"/>
                <w:lang w:val="en-US" w:eastAsia="zh-CN"/>
              </w:rPr>
              <w:t>重点及难点分析无</w:t>
            </w:r>
            <w:r>
              <w:rPr>
                <w:rFonts w:hint="eastAsia" w:ascii="宋体" w:hAnsi="宋体" w:cs="宋体"/>
                <w:color w:val="auto"/>
                <w:highlight w:val="none"/>
              </w:rPr>
              <w:t>针对性</w:t>
            </w:r>
            <w:r>
              <w:rPr>
                <w:rFonts w:hint="eastAsia" w:ascii="宋体" w:hAnsi="宋体" w:cs="宋体"/>
                <w:color w:val="auto"/>
                <w:highlight w:val="none"/>
                <w:lang w:val="en-US" w:eastAsia="zh-CN"/>
              </w:rPr>
              <w:t>、缺乏内容</w:t>
            </w:r>
            <w:r>
              <w:rPr>
                <w:rFonts w:hint="eastAsia" w:ascii="宋体" w:hAnsi="宋体" w:cs="宋体"/>
                <w:color w:val="auto"/>
                <w:highlight w:val="none"/>
              </w:rPr>
              <w:t>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eastAsia="宋体" w:cs="宋体"/>
                <w:color w:val="auto"/>
                <w:highlight w:val="none"/>
                <w:lang w:val="en-US" w:eastAsia="zh-CN"/>
              </w:rPr>
              <w:t>；</w:t>
            </w:r>
          </w:p>
          <w:p>
            <w:pPr>
              <w:keepNext w:val="0"/>
              <w:keepLines w:val="0"/>
              <w:widowControl/>
              <w:numPr>
                <w:ilvl w:val="0"/>
                <w:numId w:val="0"/>
              </w:numPr>
              <w:suppressLineNumbers w:val="0"/>
              <w:spacing w:before="0" w:beforeAutospacing="0" w:after="0" w:afterAutospacing="0" w:line="240" w:lineRule="auto"/>
              <w:ind w:left="0" w:right="0"/>
              <w:jc w:val="left"/>
              <w:rPr>
                <w:rFonts w:hint="eastAsia"/>
                <w:color w:val="auto"/>
                <w:highlight w:val="none"/>
              </w:rPr>
            </w:pPr>
            <w:r>
              <w:rPr>
                <w:rFonts w:hint="eastAsia"/>
                <w:color w:val="auto"/>
                <w:highlight w:val="none"/>
              </w:rPr>
              <w:t>④</w:t>
            </w:r>
            <w:r>
              <w:rPr>
                <w:rFonts w:hint="eastAsia" w:ascii="宋体" w:hAnsi="宋体" w:eastAsia="宋体" w:cs="宋体"/>
                <w:color w:val="auto"/>
                <w:highlight w:val="none"/>
                <w:lang w:val="en-US" w:eastAsia="zh-CN"/>
              </w:rPr>
              <w:t>未提供相关内容不得分。</w:t>
            </w:r>
          </w:p>
        </w:tc>
        <w:tc>
          <w:tcPr>
            <w:tcW w:w="630"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cs="宋体"/>
                <w:color w:val="auto"/>
                <w:kern w:val="0"/>
                <w:szCs w:val="21"/>
                <w:highlight w:val="none"/>
              </w:rPr>
            </w:pPr>
            <w:r>
              <w:rPr>
                <w:rFonts w:hint="default" w:ascii="宋体" w:hAnsi="宋体" w:cs="宋体"/>
                <w:color w:val="auto"/>
                <w:kern w:val="0"/>
                <w:szCs w:val="21"/>
                <w:highlight w:val="none"/>
              </w:rPr>
              <w:t>5</w:t>
            </w:r>
          </w:p>
        </w:tc>
        <w:tc>
          <w:tcPr>
            <w:tcW w:w="1425"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938"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rPr>
              <w:t>重点及难点的解决方案</w:t>
            </w:r>
          </w:p>
        </w:tc>
        <w:tc>
          <w:tcPr>
            <w:tcW w:w="5670" w:type="dxa"/>
            <w:vAlign w:val="center"/>
          </w:tcPr>
          <w:p>
            <w:pPr>
              <w:keepNext w:val="0"/>
              <w:keepLines w:val="0"/>
              <w:widowControl/>
              <w:numPr>
                <w:ilvl w:val="0"/>
                <w:numId w:val="0"/>
              </w:numPr>
              <w:suppressLineNumbers w:val="0"/>
              <w:spacing w:before="0" w:beforeAutospacing="0" w:after="0" w:afterAutospacing="0" w:line="240" w:lineRule="auto"/>
              <w:ind w:left="0" w:right="0"/>
              <w:jc w:val="left"/>
              <w:rPr>
                <w:rFonts w:hint="eastAsia" w:ascii="宋体" w:hAnsi="宋体" w:cs="宋体"/>
                <w:color w:val="auto"/>
                <w:highlight w:val="none"/>
              </w:rPr>
            </w:pPr>
            <w:r>
              <w:rPr>
                <w:rFonts w:hint="eastAsia" w:ascii="宋体" w:hAnsi="宋体" w:cs="宋体"/>
                <w:b/>
                <w:bCs/>
                <w:color w:val="auto"/>
                <w:highlight w:val="none"/>
              </w:rPr>
              <w:t>根据</w:t>
            </w:r>
            <w:r>
              <w:rPr>
                <w:rFonts w:hint="eastAsia" w:ascii="宋体" w:hAnsi="宋体" w:cs="宋体"/>
                <w:b/>
                <w:bCs/>
                <w:color w:val="auto"/>
                <w:highlight w:val="none"/>
                <w:lang w:val="en-US" w:eastAsia="zh-CN"/>
              </w:rPr>
              <w:t>投标人</w:t>
            </w:r>
            <w:r>
              <w:rPr>
                <w:rFonts w:hint="eastAsia" w:ascii="宋体" w:hAnsi="宋体" w:cs="宋体"/>
                <w:b/>
                <w:bCs/>
                <w:color w:val="auto"/>
                <w:highlight w:val="none"/>
              </w:rPr>
              <w:t>提供的本项目重点、难点的解决方案进行评议：</w:t>
            </w:r>
          </w:p>
          <w:p>
            <w:pPr>
              <w:keepNext w:val="0"/>
              <w:keepLines w:val="0"/>
              <w:widowControl/>
              <w:numPr>
                <w:ilvl w:val="0"/>
                <w:numId w:val="0"/>
              </w:numPr>
              <w:suppressLineNumbers w:val="0"/>
              <w:spacing w:before="0" w:beforeAutospacing="0" w:after="0" w:afterAutospacing="0" w:line="240" w:lineRule="auto"/>
              <w:ind w:left="0" w:right="0"/>
              <w:jc w:val="left"/>
              <w:rPr>
                <w:rFonts w:hint="eastAsia" w:ascii="宋体" w:hAnsi="宋体" w:cs="宋体"/>
                <w:color w:val="auto"/>
                <w:highlight w:val="none"/>
                <w:lang w:eastAsia="zh-CN"/>
              </w:rPr>
            </w:pPr>
            <w:r>
              <w:rPr>
                <w:rFonts w:hint="eastAsia"/>
                <w:color w:val="auto"/>
                <w:highlight w:val="none"/>
              </w:rPr>
              <w:t>①</w:t>
            </w:r>
            <w:r>
              <w:rPr>
                <w:rFonts w:hint="eastAsia" w:ascii="宋体" w:hAnsi="宋体" w:cs="宋体"/>
                <w:color w:val="auto"/>
                <w:highlight w:val="none"/>
                <w:lang w:val="en-US" w:eastAsia="zh-CN"/>
              </w:rPr>
              <w:t>重点及难点的解决方案针对性强、具有操作性</w:t>
            </w:r>
            <w:r>
              <w:rPr>
                <w:rFonts w:hint="eastAsia" w:ascii="宋体" w:hAnsi="宋体" w:cs="宋体"/>
                <w:color w:val="auto"/>
                <w:highlight w:val="none"/>
              </w:rPr>
              <w:t>的得</w:t>
            </w:r>
            <w:r>
              <w:rPr>
                <w:rFonts w:hint="default" w:ascii="宋体" w:hAnsi="宋体" w:cs="宋体"/>
                <w:color w:val="auto"/>
                <w:highlight w:val="none"/>
              </w:rPr>
              <w:t>5</w:t>
            </w:r>
            <w:r>
              <w:rPr>
                <w:rFonts w:hint="eastAsia" w:ascii="宋体" w:hAnsi="宋体" w:cs="宋体"/>
                <w:color w:val="auto"/>
                <w:highlight w:val="none"/>
              </w:rPr>
              <w:t>分</w:t>
            </w:r>
            <w:r>
              <w:rPr>
                <w:rFonts w:hint="eastAsia" w:ascii="宋体" w:hAnsi="宋体" w:cs="宋体"/>
                <w:color w:val="auto"/>
                <w:highlight w:val="none"/>
                <w:lang w:eastAsia="zh-CN"/>
              </w:rPr>
              <w:t>；</w:t>
            </w:r>
          </w:p>
          <w:p>
            <w:pPr>
              <w:keepNext w:val="0"/>
              <w:keepLines w:val="0"/>
              <w:widowControl/>
              <w:suppressLineNumbers w:val="0"/>
              <w:spacing w:before="0" w:beforeAutospacing="0" w:after="0" w:afterAutospacing="0" w:line="240" w:lineRule="auto"/>
              <w:ind w:left="0" w:right="0"/>
              <w:jc w:val="left"/>
              <w:rPr>
                <w:rFonts w:hint="eastAsia" w:ascii="宋体" w:hAnsi="宋体" w:cs="宋体"/>
                <w:color w:val="auto"/>
                <w:highlight w:val="none"/>
                <w:lang w:eastAsia="zh-CN"/>
              </w:rPr>
            </w:pPr>
            <w:r>
              <w:rPr>
                <w:rFonts w:hint="eastAsia"/>
                <w:color w:val="auto"/>
                <w:highlight w:val="none"/>
              </w:rPr>
              <w:t>②</w:t>
            </w:r>
            <w:r>
              <w:rPr>
                <w:rFonts w:hint="eastAsia" w:ascii="宋体" w:hAnsi="宋体" w:cs="宋体"/>
                <w:color w:val="auto"/>
                <w:highlight w:val="none"/>
                <w:lang w:val="en-US" w:eastAsia="zh-CN"/>
              </w:rPr>
              <w:t>重点及难点的解决方案针对性一般、内容不够全面</w:t>
            </w:r>
            <w:r>
              <w:rPr>
                <w:rFonts w:hint="eastAsia" w:ascii="宋体" w:hAnsi="宋体" w:cs="宋体"/>
                <w:color w:val="auto"/>
                <w:highlight w:val="none"/>
              </w:rPr>
              <w:t>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highlight w:val="none"/>
                <w:lang w:val="en-US" w:eastAsia="zh-CN"/>
              </w:rPr>
            </w:pPr>
            <w:r>
              <w:rPr>
                <w:rFonts w:hint="eastAsia"/>
                <w:color w:val="auto"/>
                <w:highlight w:val="none"/>
              </w:rPr>
              <w:t>③</w:t>
            </w:r>
            <w:r>
              <w:rPr>
                <w:rFonts w:hint="eastAsia" w:ascii="宋体" w:hAnsi="宋体" w:cs="宋体"/>
                <w:color w:val="auto"/>
                <w:highlight w:val="none"/>
                <w:lang w:val="en-US" w:eastAsia="zh-CN"/>
              </w:rPr>
              <w:t>重点及难点的解决方案无</w:t>
            </w:r>
            <w:r>
              <w:rPr>
                <w:rFonts w:hint="eastAsia" w:ascii="宋体" w:hAnsi="宋体" w:cs="宋体"/>
                <w:color w:val="auto"/>
                <w:highlight w:val="none"/>
              </w:rPr>
              <w:t>针对性</w:t>
            </w:r>
            <w:r>
              <w:rPr>
                <w:rFonts w:hint="eastAsia" w:ascii="宋体" w:hAnsi="宋体" w:cs="宋体"/>
                <w:color w:val="auto"/>
                <w:highlight w:val="none"/>
                <w:lang w:val="en-US" w:eastAsia="zh-CN"/>
              </w:rPr>
              <w:t>、缺乏内容</w:t>
            </w:r>
            <w:r>
              <w:rPr>
                <w:rFonts w:hint="eastAsia" w:ascii="宋体" w:hAnsi="宋体" w:cs="宋体"/>
                <w:color w:val="auto"/>
                <w:highlight w:val="none"/>
              </w:rPr>
              <w:t>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eastAsia="宋体" w:cs="宋体"/>
                <w:color w:val="auto"/>
                <w:highlight w:val="none"/>
                <w:lang w:val="en-US" w:eastAsia="zh-CN"/>
              </w:rPr>
              <w:t>；</w:t>
            </w:r>
          </w:p>
          <w:p>
            <w:pPr>
              <w:keepNext w:val="0"/>
              <w:keepLines w:val="0"/>
              <w:widowControl/>
              <w:suppressLineNumbers w:val="0"/>
              <w:spacing w:before="0" w:beforeAutospacing="0" w:after="0" w:afterAutospacing="0" w:line="240" w:lineRule="auto"/>
              <w:ind w:left="0" w:right="0"/>
              <w:jc w:val="left"/>
              <w:rPr>
                <w:rFonts w:hint="eastAsia"/>
                <w:color w:val="auto"/>
                <w:highlight w:val="none"/>
              </w:rPr>
            </w:pPr>
            <w:r>
              <w:rPr>
                <w:rFonts w:hint="eastAsia"/>
                <w:color w:val="auto"/>
                <w:highlight w:val="none"/>
              </w:rPr>
              <w:t>④</w:t>
            </w:r>
            <w:r>
              <w:rPr>
                <w:rFonts w:hint="eastAsia" w:ascii="宋体" w:hAnsi="宋体" w:eastAsia="宋体" w:cs="宋体"/>
                <w:color w:val="auto"/>
                <w:highlight w:val="none"/>
                <w:lang w:val="en-US" w:eastAsia="zh-CN"/>
              </w:rPr>
              <w:t>未提供相关内容不得分。</w:t>
            </w:r>
          </w:p>
        </w:tc>
        <w:tc>
          <w:tcPr>
            <w:tcW w:w="630"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cs="宋体"/>
                <w:color w:val="auto"/>
                <w:kern w:val="0"/>
                <w:szCs w:val="21"/>
                <w:highlight w:val="none"/>
              </w:rPr>
            </w:pPr>
            <w:r>
              <w:rPr>
                <w:rFonts w:hint="default" w:ascii="宋体" w:hAnsi="宋体" w:cs="宋体"/>
                <w:color w:val="auto"/>
                <w:kern w:val="0"/>
                <w:szCs w:val="21"/>
                <w:highlight w:val="none"/>
              </w:rPr>
              <w:t>5</w:t>
            </w:r>
          </w:p>
        </w:tc>
        <w:tc>
          <w:tcPr>
            <w:tcW w:w="1425"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938"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全过程咨询服务方案</w:t>
            </w:r>
          </w:p>
        </w:tc>
        <w:tc>
          <w:tcPr>
            <w:tcW w:w="5670" w:type="dxa"/>
            <w:vAlign w:val="center"/>
          </w:tcPr>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b/>
                <w:bCs/>
                <w:color w:val="auto"/>
                <w:highlight w:val="none"/>
              </w:rPr>
            </w:pPr>
            <w:r>
              <w:rPr>
                <w:rFonts w:hint="eastAsia"/>
                <w:b/>
                <w:bCs/>
                <w:color w:val="auto"/>
                <w:highlight w:val="none"/>
              </w:rPr>
              <w:t>根据</w:t>
            </w:r>
            <w:r>
              <w:rPr>
                <w:rFonts w:hint="eastAsia"/>
                <w:b/>
                <w:bCs/>
                <w:color w:val="auto"/>
                <w:highlight w:val="none"/>
                <w:lang w:eastAsia="zh-CN"/>
              </w:rPr>
              <w:t>投标人</w:t>
            </w:r>
            <w:r>
              <w:rPr>
                <w:rFonts w:hint="eastAsia"/>
                <w:b/>
                <w:bCs/>
                <w:color w:val="auto"/>
                <w:highlight w:val="none"/>
              </w:rPr>
              <w:t>提供的</w:t>
            </w:r>
            <w:r>
              <w:rPr>
                <w:rFonts w:hint="eastAsia"/>
                <w:b/>
                <w:bCs/>
                <w:color w:val="auto"/>
                <w:highlight w:val="none"/>
                <w:lang w:val="en-US" w:eastAsia="zh-CN"/>
              </w:rPr>
              <w:t>项目建设管理服务方案</w:t>
            </w:r>
            <w:r>
              <w:rPr>
                <w:rFonts w:hint="eastAsia"/>
                <w:b/>
                <w:bCs/>
                <w:color w:val="auto"/>
                <w:highlight w:val="none"/>
              </w:rPr>
              <w:t>进行评议：</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①</w:t>
            </w:r>
            <w:r>
              <w:rPr>
                <w:rFonts w:hint="eastAsia"/>
                <w:color w:val="auto"/>
                <w:highlight w:val="none"/>
                <w:lang w:val="en-US" w:eastAsia="zh-CN"/>
              </w:rPr>
              <w:t>服务内容完整，完全符合采购需求，项目进度管理措施有效</w:t>
            </w:r>
            <w:r>
              <w:rPr>
                <w:rFonts w:hint="eastAsia"/>
                <w:color w:val="auto"/>
                <w:highlight w:val="none"/>
              </w:rPr>
              <w:t>的得5分；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②</w:t>
            </w:r>
            <w:r>
              <w:rPr>
                <w:rFonts w:hint="eastAsia"/>
                <w:color w:val="auto"/>
                <w:highlight w:val="none"/>
                <w:lang w:val="en-US" w:eastAsia="zh-CN"/>
              </w:rPr>
              <w:t>服务内容基本完整，基本符合采购需求，项目进度管理措施部分有效</w:t>
            </w:r>
            <w:r>
              <w:rPr>
                <w:rFonts w:hint="eastAsia"/>
                <w:color w:val="auto"/>
                <w:highlight w:val="none"/>
              </w:rPr>
              <w:t>得3分；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③</w:t>
            </w:r>
            <w:r>
              <w:rPr>
                <w:rFonts w:hint="eastAsia"/>
                <w:color w:val="auto"/>
                <w:highlight w:val="none"/>
                <w:lang w:val="en-US" w:eastAsia="zh-CN"/>
              </w:rPr>
              <w:t>服务内容不完整，不符合采购需求，项目进度管理措施无效</w:t>
            </w:r>
            <w:r>
              <w:rPr>
                <w:rFonts w:hint="eastAsia"/>
                <w:color w:val="auto"/>
                <w:highlight w:val="none"/>
              </w:rPr>
              <w:t>的得1分；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938"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b/>
                <w:bCs/>
                <w:color w:val="auto"/>
                <w:kern w:val="0"/>
                <w:szCs w:val="21"/>
                <w:highlight w:val="none"/>
              </w:rPr>
            </w:pPr>
          </w:p>
        </w:tc>
        <w:tc>
          <w:tcPr>
            <w:tcW w:w="5670" w:type="dxa"/>
            <w:vAlign w:val="center"/>
          </w:tcPr>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b/>
                <w:bCs/>
                <w:color w:val="auto"/>
                <w:highlight w:val="none"/>
              </w:rPr>
            </w:pPr>
            <w:r>
              <w:rPr>
                <w:rFonts w:hint="eastAsia"/>
                <w:b/>
                <w:bCs/>
                <w:color w:val="auto"/>
                <w:highlight w:val="none"/>
              </w:rPr>
              <w:t>根据</w:t>
            </w:r>
            <w:r>
              <w:rPr>
                <w:rFonts w:hint="eastAsia"/>
                <w:b/>
                <w:bCs/>
                <w:color w:val="auto"/>
                <w:highlight w:val="none"/>
                <w:lang w:eastAsia="zh-CN"/>
              </w:rPr>
              <w:t>投标人</w:t>
            </w:r>
            <w:r>
              <w:rPr>
                <w:rFonts w:hint="eastAsia"/>
                <w:b/>
                <w:bCs/>
                <w:color w:val="auto"/>
                <w:highlight w:val="none"/>
              </w:rPr>
              <w:t>提供的</w:t>
            </w:r>
            <w:r>
              <w:rPr>
                <w:rFonts w:hint="eastAsia"/>
                <w:b/>
                <w:bCs/>
                <w:color w:val="auto"/>
                <w:highlight w:val="none"/>
                <w:lang w:val="en-US" w:eastAsia="zh-CN"/>
              </w:rPr>
              <w:t>监理服务</w:t>
            </w:r>
            <w:r>
              <w:rPr>
                <w:rFonts w:hint="eastAsia"/>
                <w:b/>
                <w:bCs/>
                <w:color w:val="auto"/>
                <w:highlight w:val="none"/>
              </w:rPr>
              <w:t>方案进行评议：</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①</w:t>
            </w:r>
            <w:r>
              <w:rPr>
                <w:rFonts w:hint="eastAsia"/>
                <w:color w:val="auto"/>
                <w:highlight w:val="none"/>
                <w:lang w:val="en-US" w:eastAsia="zh-CN"/>
              </w:rPr>
              <w:t>监理服务内容完整，</w:t>
            </w:r>
            <w:r>
              <w:rPr>
                <w:rFonts w:hint="eastAsia"/>
                <w:color w:val="auto"/>
                <w:highlight w:val="none"/>
              </w:rPr>
              <w:t>完全符合采购需求</w:t>
            </w:r>
            <w:r>
              <w:rPr>
                <w:rFonts w:hint="eastAsia"/>
                <w:color w:val="auto"/>
                <w:highlight w:val="none"/>
                <w:lang w:eastAsia="zh-CN"/>
              </w:rPr>
              <w:t>，</w:t>
            </w:r>
            <w:r>
              <w:rPr>
                <w:rFonts w:hint="eastAsia"/>
                <w:color w:val="auto"/>
                <w:highlight w:val="none"/>
                <w:lang w:val="en-US" w:eastAsia="zh-CN"/>
              </w:rPr>
              <w:t>服务质量管理措施有效</w:t>
            </w:r>
            <w:r>
              <w:rPr>
                <w:rFonts w:hint="eastAsia"/>
                <w:color w:val="auto"/>
                <w:highlight w:val="none"/>
              </w:rPr>
              <w:t>的得5分；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②</w:t>
            </w:r>
            <w:r>
              <w:rPr>
                <w:rFonts w:hint="eastAsia"/>
                <w:color w:val="auto"/>
                <w:highlight w:val="none"/>
                <w:lang w:val="en-US" w:eastAsia="zh-CN"/>
              </w:rPr>
              <w:t>监理服务内容基本完整，基本</w:t>
            </w:r>
            <w:r>
              <w:rPr>
                <w:rFonts w:hint="eastAsia"/>
                <w:color w:val="auto"/>
                <w:highlight w:val="none"/>
              </w:rPr>
              <w:t>符合采购需求</w:t>
            </w:r>
            <w:r>
              <w:rPr>
                <w:rFonts w:hint="eastAsia"/>
                <w:color w:val="auto"/>
                <w:highlight w:val="none"/>
                <w:lang w:eastAsia="zh-CN"/>
              </w:rPr>
              <w:t>，</w:t>
            </w:r>
            <w:r>
              <w:rPr>
                <w:rFonts w:hint="eastAsia"/>
                <w:color w:val="auto"/>
                <w:highlight w:val="none"/>
                <w:lang w:val="en-US" w:eastAsia="zh-CN"/>
              </w:rPr>
              <w:t>服务质量管理措施部分有效</w:t>
            </w:r>
            <w:r>
              <w:rPr>
                <w:rFonts w:hint="eastAsia"/>
                <w:color w:val="auto"/>
                <w:highlight w:val="none"/>
              </w:rPr>
              <w:t>的得3分；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③</w:t>
            </w:r>
            <w:r>
              <w:rPr>
                <w:rFonts w:hint="eastAsia"/>
                <w:color w:val="auto"/>
                <w:highlight w:val="none"/>
                <w:lang w:val="en-US" w:eastAsia="zh-CN"/>
              </w:rPr>
              <w:t>监理服务内容不完整，不</w:t>
            </w:r>
            <w:r>
              <w:rPr>
                <w:rFonts w:hint="eastAsia"/>
                <w:color w:val="auto"/>
                <w:highlight w:val="none"/>
              </w:rPr>
              <w:t>符合采购需求</w:t>
            </w:r>
            <w:r>
              <w:rPr>
                <w:rFonts w:hint="eastAsia"/>
                <w:color w:val="auto"/>
                <w:highlight w:val="none"/>
                <w:lang w:eastAsia="zh-CN"/>
              </w:rPr>
              <w:t>，</w:t>
            </w:r>
            <w:r>
              <w:rPr>
                <w:rFonts w:hint="eastAsia"/>
                <w:color w:val="auto"/>
                <w:highlight w:val="none"/>
                <w:lang w:val="en-US" w:eastAsia="zh-CN"/>
              </w:rPr>
              <w:t>服务质量管理措施无效</w:t>
            </w:r>
            <w:r>
              <w:rPr>
                <w:rFonts w:hint="eastAsia"/>
                <w:color w:val="auto"/>
                <w:highlight w:val="none"/>
              </w:rPr>
              <w:t>的得1分；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938"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b/>
                <w:bCs/>
                <w:color w:val="auto"/>
                <w:kern w:val="0"/>
                <w:szCs w:val="21"/>
                <w:highlight w:val="none"/>
              </w:rPr>
            </w:pPr>
          </w:p>
        </w:tc>
        <w:tc>
          <w:tcPr>
            <w:tcW w:w="5670" w:type="dxa"/>
            <w:vAlign w:val="center"/>
          </w:tcPr>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b/>
                <w:bCs/>
                <w:color w:val="auto"/>
                <w:highlight w:val="none"/>
              </w:rPr>
            </w:pPr>
            <w:r>
              <w:rPr>
                <w:rFonts w:hint="eastAsia"/>
                <w:b/>
                <w:bCs/>
                <w:color w:val="auto"/>
                <w:highlight w:val="none"/>
              </w:rPr>
              <w:t>根据</w:t>
            </w:r>
            <w:r>
              <w:rPr>
                <w:rFonts w:hint="eastAsia"/>
                <w:b/>
                <w:bCs/>
                <w:color w:val="auto"/>
                <w:highlight w:val="none"/>
                <w:lang w:eastAsia="zh-CN"/>
              </w:rPr>
              <w:t>投标人</w:t>
            </w:r>
            <w:r>
              <w:rPr>
                <w:rFonts w:hint="eastAsia"/>
                <w:b/>
                <w:bCs/>
                <w:color w:val="auto"/>
                <w:highlight w:val="none"/>
              </w:rPr>
              <w:t>提供的施工阶段全过程工程造价控制服务（不含招标控制价及工程量清单编制、不含结算</w:t>
            </w:r>
            <w:r>
              <w:rPr>
                <w:rFonts w:hint="eastAsia"/>
                <w:b/>
                <w:bCs/>
                <w:color w:val="auto"/>
                <w:highlight w:val="none"/>
                <w:lang w:val="en-US" w:eastAsia="zh-CN"/>
              </w:rPr>
              <w:t>审核</w:t>
            </w:r>
            <w:r>
              <w:rPr>
                <w:rFonts w:hint="eastAsia"/>
                <w:b/>
                <w:bCs/>
                <w:color w:val="auto"/>
                <w:highlight w:val="none"/>
              </w:rPr>
              <w:t>）方案进行评议：</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①</w:t>
            </w:r>
            <w:r>
              <w:rPr>
                <w:rFonts w:hint="eastAsia"/>
                <w:color w:val="auto"/>
                <w:highlight w:val="none"/>
                <w:lang w:val="en-US" w:eastAsia="zh-CN"/>
              </w:rPr>
              <w:t>造价控制服务内容完整，</w:t>
            </w:r>
            <w:r>
              <w:rPr>
                <w:rFonts w:hint="eastAsia"/>
                <w:color w:val="auto"/>
                <w:highlight w:val="none"/>
              </w:rPr>
              <w:t>完全符合采购需求</w:t>
            </w:r>
            <w:r>
              <w:rPr>
                <w:rFonts w:hint="eastAsia"/>
                <w:color w:val="auto"/>
                <w:highlight w:val="none"/>
                <w:lang w:eastAsia="zh-CN"/>
              </w:rPr>
              <w:t>，</w:t>
            </w:r>
            <w:r>
              <w:rPr>
                <w:rFonts w:hint="eastAsia"/>
                <w:color w:val="auto"/>
                <w:highlight w:val="none"/>
                <w:lang w:val="en-US" w:eastAsia="zh-CN"/>
              </w:rPr>
              <w:t>服务质量管理措施有效</w:t>
            </w:r>
            <w:r>
              <w:rPr>
                <w:rFonts w:hint="eastAsia"/>
                <w:color w:val="auto"/>
                <w:highlight w:val="none"/>
              </w:rPr>
              <w:t>的得5分；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②</w:t>
            </w:r>
            <w:r>
              <w:rPr>
                <w:rFonts w:hint="eastAsia"/>
                <w:color w:val="auto"/>
                <w:highlight w:val="none"/>
                <w:lang w:val="en-US" w:eastAsia="zh-CN"/>
              </w:rPr>
              <w:t>造价控制服务内容基本完整，基本</w:t>
            </w:r>
            <w:r>
              <w:rPr>
                <w:rFonts w:hint="eastAsia"/>
                <w:color w:val="auto"/>
                <w:highlight w:val="none"/>
              </w:rPr>
              <w:t>符合采购需求</w:t>
            </w:r>
            <w:r>
              <w:rPr>
                <w:rFonts w:hint="eastAsia"/>
                <w:color w:val="auto"/>
                <w:highlight w:val="none"/>
                <w:lang w:eastAsia="zh-CN"/>
              </w:rPr>
              <w:t>，</w:t>
            </w:r>
            <w:r>
              <w:rPr>
                <w:rFonts w:hint="eastAsia"/>
                <w:color w:val="auto"/>
                <w:highlight w:val="none"/>
                <w:lang w:val="en-US" w:eastAsia="zh-CN"/>
              </w:rPr>
              <w:t>服务质量管理措施部分有效</w:t>
            </w:r>
            <w:r>
              <w:rPr>
                <w:rFonts w:hint="eastAsia"/>
                <w:color w:val="auto"/>
                <w:highlight w:val="none"/>
              </w:rPr>
              <w:t>的得3分；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③</w:t>
            </w:r>
            <w:r>
              <w:rPr>
                <w:rFonts w:hint="eastAsia"/>
                <w:color w:val="auto"/>
                <w:highlight w:val="none"/>
                <w:lang w:val="en-US" w:eastAsia="zh-CN"/>
              </w:rPr>
              <w:t>造价控制服务内容不完整，不</w:t>
            </w:r>
            <w:r>
              <w:rPr>
                <w:rFonts w:hint="eastAsia"/>
                <w:color w:val="auto"/>
                <w:highlight w:val="none"/>
              </w:rPr>
              <w:t>符合采购需求</w:t>
            </w:r>
            <w:r>
              <w:rPr>
                <w:rFonts w:hint="eastAsia"/>
                <w:color w:val="auto"/>
                <w:highlight w:val="none"/>
                <w:lang w:eastAsia="zh-CN"/>
              </w:rPr>
              <w:t>，</w:t>
            </w:r>
            <w:r>
              <w:rPr>
                <w:rFonts w:hint="eastAsia"/>
                <w:color w:val="auto"/>
                <w:highlight w:val="none"/>
                <w:lang w:val="en-US" w:eastAsia="zh-CN"/>
              </w:rPr>
              <w:t>服务质量管理措施无效</w:t>
            </w:r>
            <w:r>
              <w:rPr>
                <w:rFonts w:hint="eastAsia"/>
                <w:color w:val="auto"/>
                <w:highlight w:val="none"/>
              </w:rPr>
              <w:t>的得1分；</w:t>
            </w:r>
          </w:p>
          <w:p>
            <w:pPr>
              <w:pStyle w:val="3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rPr>
                <w:rFonts w:hint="eastAsia"/>
                <w:color w:val="auto"/>
                <w:highlight w:val="none"/>
              </w:rPr>
            </w:pPr>
            <w:r>
              <w:rPr>
                <w:rFonts w:hint="eastAsia"/>
                <w:color w:val="auto"/>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938"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b/>
                <w:bCs/>
                <w:color w:val="auto"/>
                <w:highlight w:val="none"/>
              </w:rPr>
            </w:pPr>
            <w:r>
              <w:rPr>
                <w:rFonts w:hint="eastAsia"/>
                <w:b/>
                <w:bCs/>
                <w:color w:val="auto"/>
                <w:highlight w:val="none"/>
              </w:rPr>
              <w:t>进度</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b/>
                <w:bCs/>
                <w:color w:val="auto"/>
                <w:kern w:val="0"/>
                <w:szCs w:val="21"/>
                <w:highlight w:val="none"/>
              </w:rPr>
            </w:pPr>
            <w:r>
              <w:rPr>
                <w:rFonts w:hint="eastAsia"/>
                <w:b/>
                <w:bCs/>
                <w:color w:val="auto"/>
                <w:highlight w:val="none"/>
              </w:rPr>
              <w:t>安排</w:t>
            </w:r>
          </w:p>
        </w:tc>
        <w:tc>
          <w:tcPr>
            <w:tcW w:w="567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b/>
                <w:bCs/>
                <w:color w:val="auto"/>
                <w:szCs w:val="21"/>
                <w:highlight w:val="none"/>
              </w:rPr>
            </w:pPr>
            <w:r>
              <w:rPr>
                <w:rFonts w:hint="eastAsia" w:ascii="宋体" w:hAnsi="宋体"/>
                <w:b/>
                <w:bCs/>
                <w:color w:val="auto"/>
                <w:szCs w:val="21"/>
                <w:highlight w:val="none"/>
              </w:rPr>
              <w:t>根据</w:t>
            </w:r>
            <w:r>
              <w:rPr>
                <w:rFonts w:hint="eastAsia" w:ascii="宋体" w:hAnsi="宋体"/>
                <w:b/>
                <w:bCs/>
                <w:color w:val="auto"/>
                <w:szCs w:val="21"/>
                <w:highlight w:val="none"/>
                <w:lang w:eastAsia="zh-CN"/>
              </w:rPr>
              <w:t>投标人</w:t>
            </w:r>
            <w:r>
              <w:rPr>
                <w:rFonts w:hint="eastAsia" w:ascii="宋体" w:hAnsi="宋体"/>
                <w:b/>
                <w:bCs/>
                <w:color w:val="auto"/>
                <w:szCs w:val="21"/>
                <w:highlight w:val="none"/>
              </w:rPr>
              <w:t>针对本项目</w:t>
            </w:r>
            <w:r>
              <w:rPr>
                <w:rFonts w:hint="eastAsia" w:ascii="宋体" w:hAnsi="宋体"/>
                <w:b/>
                <w:bCs/>
                <w:color w:val="auto"/>
                <w:szCs w:val="21"/>
                <w:highlight w:val="none"/>
                <w:lang w:val="en-US" w:eastAsia="zh-CN"/>
              </w:rPr>
              <w:t>建设管理进度安排</w:t>
            </w:r>
            <w:r>
              <w:rPr>
                <w:rFonts w:hint="eastAsia" w:ascii="宋体" w:hAnsi="宋体"/>
                <w:b/>
                <w:bCs/>
                <w:color w:val="auto"/>
                <w:szCs w:val="21"/>
                <w:highlight w:val="none"/>
              </w:rPr>
              <w:t>进行评议：</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①</w:t>
            </w:r>
            <w:r>
              <w:rPr>
                <w:rFonts w:hint="eastAsia"/>
                <w:color w:val="auto"/>
                <w:szCs w:val="21"/>
                <w:highlight w:val="none"/>
              </w:rPr>
              <w:t>进度计划合理可行、措施针对性强</w:t>
            </w:r>
            <w:r>
              <w:rPr>
                <w:rFonts w:hint="eastAsia" w:ascii="宋体" w:hAnsi="宋体"/>
                <w:color w:val="auto"/>
                <w:szCs w:val="21"/>
                <w:highlight w:val="none"/>
              </w:rPr>
              <w:t>的得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②</w:t>
            </w:r>
            <w:r>
              <w:rPr>
                <w:rFonts w:hint="eastAsia"/>
                <w:color w:val="auto"/>
                <w:szCs w:val="21"/>
                <w:highlight w:val="none"/>
              </w:rPr>
              <w:t>进度计划较合理可行、措施针对性较强</w:t>
            </w:r>
            <w:r>
              <w:rPr>
                <w:rFonts w:hint="eastAsia" w:ascii="宋体" w:hAnsi="宋体"/>
                <w:color w:val="auto"/>
                <w:szCs w:val="21"/>
                <w:highlight w:val="none"/>
              </w:rPr>
              <w:t>的得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③</w:t>
            </w:r>
            <w:r>
              <w:rPr>
                <w:rFonts w:hint="eastAsia"/>
                <w:color w:val="auto"/>
                <w:szCs w:val="21"/>
                <w:highlight w:val="none"/>
              </w:rPr>
              <w:t>进度计划不合理可行、措施针对性不强</w:t>
            </w:r>
            <w:r>
              <w:rPr>
                <w:rFonts w:hint="eastAsia" w:ascii="宋体" w:hAnsi="宋体"/>
                <w:color w:val="auto"/>
                <w:szCs w:val="21"/>
                <w:highlight w:val="none"/>
              </w:rPr>
              <w:t>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default"/>
                <w:color w:val="auto"/>
                <w:szCs w:val="21"/>
                <w:highlight w:val="none"/>
              </w:rPr>
            </w:pPr>
            <w:r>
              <w:rPr>
                <w:rFonts w:hint="eastAsia" w:ascii="宋体" w:hAnsi="宋体"/>
                <w:color w:val="auto"/>
                <w:szCs w:val="21"/>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938"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b/>
                <w:bCs/>
                <w:color w:val="auto"/>
                <w:highlight w:val="none"/>
              </w:rPr>
            </w:pPr>
          </w:p>
        </w:tc>
        <w:tc>
          <w:tcPr>
            <w:tcW w:w="567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b/>
                <w:bCs/>
                <w:color w:val="auto"/>
                <w:szCs w:val="21"/>
                <w:highlight w:val="none"/>
              </w:rPr>
            </w:pPr>
            <w:r>
              <w:rPr>
                <w:rFonts w:hint="eastAsia" w:ascii="宋体" w:hAnsi="宋体"/>
                <w:b/>
                <w:bCs/>
                <w:color w:val="auto"/>
                <w:szCs w:val="21"/>
                <w:highlight w:val="none"/>
              </w:rPr>
              <w:t>根据</w:t>
            </w:r>
            <w:r>
              <w:rPr>
                <w:rFonts w:hint="eastAsia" w:ascii="宋体" w:hAnsi="宋体"/>
                <w:b/>
                <w:bCs/>
                <w:color w:val="auto"/>
                <w:szCs w:val="21"/>
                <w:highlight w:val="none"/>
                <w:lang w:eastAsia="zh-CN"/>
              </w:rPr>
              <w:t>投标人</w:t>
            </w:r>
            <w:r>
              <w:rPr>
                <w:rFonts w:hint="eastAsia" w:ascii="宋体" w:hAnsi="宋体"/>
                <w:b/>
                <w:bCs/>
                <w:color w:val="auto"/>
                <w:szCs w:val="21"/>
                <w:highlight w:val="none"/>
              </w:rPr>
              <w:t>针对本项目</w:t>
            </w:r>
            <w:r>
              <w:rPr>
                <w:rFonts w:hint="eastAsia" w:ascii="宋体" w:hAnsi="宋体"/>
                <w:b/>
                <w:bCs/>
                <w:color w:val="auto"/>
                <w:szCs w:val="21"/>
                <w:highlight w:val="none"/>
                <w:lang w:val="en-US" w:eastAsia="zh-CN"/>
              </w:rPr>
              <w:t>监理进度安排</w:t>
            </w:r>
            <w:r>
              <w:rPr>
                <w:rFonts w:hint="eastAsia" w:ascii="宋体" w:hAnsi="宋体"/>
                <w:b/>
                <w:bCs/>
                <w:color w:val="auto"/>
                <w:szCs w:val="21"/>
                <w:highlight w:val="none"/>
              </w:rPr>
              <w:t>进行评议：</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①</w:t>
            </w:r>
            <w:r>
              <w:rPr>
                <w:rFonts w:hint="eastAsia"/>
                <w:color w:val="auto"/>
                <w:szCs w:val="21"/>
                <w:highlight w:val="none"/>
              </w:rPr>
              <w:t>进度计划合理可行、措施针对性强</w:t>
            </w:r>
            <w:r>
              <w:rPr>
                <w:rFonts w:hint="eastAsia" w:ascii="宋体" w:hAnsi="宋体"/>
                <w:color w:val="auto"/>
                <w:szCs w:val="21"/>
                <w:highlight w:val="none"/>
              </w:rPr>
              <w:t>的得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②</w:t>
            </w:r>
            <w:r>
              <w:rPr>
                <w:rFonts w:hint="eastAsia"/>
                <w:color w:val="auto"/>
                <w:szCs w:val="21"/>
                <w:highlight w:val="none"/>
              </w:rPr>
              <w:t>进度计划较合理可行、措施针对性较强</w:t>
            </w:r>
            <w:r>
              <w:rPr>
                <w:rFonts w:hint="eastAsia" w:ascii="宋体" w:hAnsi="宋体"/>
                <w:color w:val="auto"/>
                <w:szCs w:val="21"/>
                <w:highlight w:val="none"/>
              </w:rPr>
              <w:t>的得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③</w:t>
            </w:r>
            <w:r>
              <w:rPr>
                <w:rFonts w:hint="eastAsia"/>
                <w:color w:val="auto"/>
                <w:szCs w:val="21"/>
                <w:highlight w:val="none"/>
              </w:rPr>
              <w:t>进度计划不合理可行、措施针对性不强</w:t>
            </w:r>
            <w:r>
              <w:rPr>
                <w:rFonts w:hint="eastAsia" w:ascii="宋体" w:hAnsi="宋体"/>
                <w:color w:val="auto"/>
                <w:szCs w:val="21"/>
                <w:highlight w:val="none"/>
              </w:rPr>
              <w:t>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5</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938"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b/>
                <w:bCs/>
                <w:color w:val="auto"/>
                <w:highlight w:val="none"/>
              </w:rPr>
            </w:pPr>
          </w:p>
        </w:tc>
        <w:tc>
          <w:tcPr>
            <w:tcW w:w="567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b/>
                <w:bCs/>
                <w:color w:val="auto"/>
                <w:szCs w:val="21"/>
                <w:highlight w:val="none"/>
              </w:rPr>
            </w:pPr>
            <w:r>
              <w:rPr>
                <w:rFonts w:hint="eastAsia" w:ascii="宋体" w:hAnsi="宋体"/>
                <w:b/>
                <w:bCs/>
                <w:color w:val="auto"/>
                <w:szCs w:val="21"/>
                <w:highlight w:val="none"/>
              </w:rPr>
              <w:t>根据</w:t>
            </w:r>
            <w:r>
              <w:rPr>
                <w:rFonts w:hint="eastAsia" w:ascii="宋体" w:hAnsi="宋体"/>
                <w:b/>
                <w:bCs/>
                <w:color w:val="auto"/>
                <w:szCs w:val="21"/>
                <w:highlight w:val="none"/>
                <w:lang w:eastAsia="zh-CN"/>
              </w:rPr>
              <w:t>投标人</w:t>
            </w:r>
            <w:r>
              <w:rPr>
                <w:rFonts w:hint="eastAsia" w:ascii="宋体" w:hAnsi="宋体"/>
                <w:b/>
                <w:bCs/>
                <w:color w:val="auto"/>
                <w:szCs w:val="21"/>
                <w:highlight w:val="none"/>
              </w:rPr>
              <w:t>针对本项目施工阶段全过程工程造价控制服务（不含招标控制价及工程量清单编制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不含结算审核</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进度安排</w:t>
            </w:r>
            <w:r>
              <w:rPr>
                <w:rFonts w:hint="eastAsia" w:ascii="宋体" w:hAnsi="宋体"/>
                <w:b/>
                <w:bCs/>
                <w:color w:val="auto"/>
                <w:szCs w:val="21"/>
                <w:highlight w:val="none"/>
              </w:rPr>
              <w:t>进行评议：</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①</w:t>
            </w:r>
            <w:r>
              <w:rPr>
                <w:rFonts w:hint="eastAsia"/>
                <w:color w:val="auto"/>
                <w:szCs w:val="21"/>
                <w:highlight w:val="none"/>
              </w:rPr>
              <w:t>进度计划合理可行、措施针对性强</w:t>
            </w:r>
            <w:r>
              <w:rPr>
                <w:rFonts w:hint="eastAsia" w:ascii="宋体" w:hAnsi="宋体"/>
                <w:color w:val="auto"/>
                <w:szCs w:val="21"/>
                <w:highlight w:val="none"/>
              </w:rPr>
              <w:t>的得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②</w:t>
            </w:r>
            <w:r>
              <w:rPr>
                <w:rFonts w:hint="eastAsia"/>
                <w:color w:val="auto"/>
                <w:szCs w:val="21"/>
                <w:highlight w:val="none"/>
              </w:rPr>
              <w:t>进度计划较合理可行、措施针对性较强</w:t>
            </w:r>
            <w:r>
              <w:rPr>
                <w:rFonts w:hint="eastAsia" w:ascii="宋体" w:hAnsi="宋体"/>
                <w:color w:val="auto"/>
                <w:szCs w:val="21"/>
                <w:highlight w:val="none"/>
              </w:rPr>
              <w:t>的得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③</w:t>
            </w:r>
            <w:r>
              <w:rPr>
                <w:rFonts w:hint="eastAsia"/>
                <w:color w:val="auto"/>
                <w:szCs w:val="21"/>
                <w:highlight w:val="none"/>
              </w:rPr>
              <w:t>进度计划不合理可行、措施针对性不强</w:t>
            </w:r>
            <w:r>
              <w:rPr>
                <w:rFonts w:hint="eastAsia" w:ascii="宋体" w:hAnsi="宋体"/>
                <w:color w:val="auto"/>
                <w:szCs w:val="21"/>
                <w:highlight w:val="none"/>
              </w:rPr>
              <w:t>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5</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938"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内部管理制度</w:t>
            </w:r>
          </w:p>
        </w:tc>
        <w:tc>
          <w:tcPr>
            <w:tcW w:w="567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根据</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lang w:val="en-US" w:eastAsia="zh-CN"/>
              </w:rPr>
              <w:t>内部各职能部门的分工、协调</w:t>
            </w:r>
            <w:r>
              <w:rPr>
                <w:rFonts w:hint="eastAsia" w:ascii="宋体" w:hAnsi="宋体" w:cs="宋体"/>
                <w:b/>
                <w:color w:val="auto"/>
                <w:szCs w:val="21"/>
                <w:highlight w:val="none"/>
              </w:rPr>
              <w:t>进行评议：</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①</w:t>
            </w:r>
            <w:r>
              <w:rPr>
                <w:rFonts w:hint="eastAsia" w:ascii="宋体" w:hAnsi="宋体" w:cs="宋体"/>
                <w:bCs/>
                <w:color w:val="auto"/>
                <w:szCs w:val="21"/>
                <w:highlight w:val="none"/>
                <w:lang w:val="en-US" w:eastAsia="zh-CN"/>
              </w:rPr>
              <w:t>各职能部门分工明确，各部门工作协调有序的</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②</w:t>
            </w:r>
            <w:r>
              <w:rPr>
                <w:rFonts w:hint="eastAsia" w:ascii="宋体" w:hAnsi="宋体" w:cs="宋体"/>
                <w:bCs/>
                <w:color w:val="auto"/>
                <w:szCs w:val="21"/>
                <w:highlight w:val="none"/>
                <w:lang w:val="en-US" w:eastAsia="zh-CN"/>
              </w:rPr>
              <w:t>各职能部门分工较明确，各部门工作基本协调有序的</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③</w:t>
            </w:r>
            <w:r>
              <w:rPr>
                <w:rFonts w:hint="eastAsia" w:ascii="宋体" w:hAnsi="宋体" w:cs="宋体"/>
                <w:bCs/>
                <w:color w:val="auto"/>
                <w:szCs w:val="21"/>
                <w:highlight w:val="none"/>
                <w:lang w:val="en-US" w:eastAsia="zh-CN"/>
              </w:rPr>
              <w:t>各职能部门分工不明确，各部门工作不协调的</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938"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拟投入本项目办公及检测设备</w:t>
            </w:r>
          </w:p>
        </w:tc>
        <w:tc>
          <w:tcPr>
            <w:tcW w:w="567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根据</w:t>
            </w:r>
            <w:r>
              <w:rPr>
                <w:rFonts w:hint="eastAsia" w:ascii="宋体" w:hAnsi="宋体" w:cs="宋体"/>
                <w:b/>
                <w:color w:val="auto"/>
                <w:szCs w:val="21"/>
                <w:highlight w:val="none"/>
                <w:lang w:eastAsia="zh-CN"/>
              </w:rPr>
              <w:t>投标人</w:t>
            </w:r>
            <w:r>
              <w:rPr>
                <w:rFonts w:hint="eastAsia" w:ascii="宋体" w:hAnsi="宋体" w:cs="宋体"/>
                <w:b/>
                <w:bCs/>
                <w:color w:val="auto"/>
                <w:kern w:val="0"/>
                <w:szCs w:val="21"/>
                <w:highlight w:val="none"/>
                <w:lang w:val="en-US" w:eastAsia="zh-CN"/>
              </w:rPr>
              <w:t>拟投入本项目办公及检测设备配置方案</w:t>
            </w:r>
            <w:r>
              <w:rPr>
                <w:rFonts w:hint="eastAsia" w:ascii="宋体" w:hAnsi="宋体" w:cs="宋体"/>
                <w:b/>
                <w:color w:val="auto"/>
                <w:szCs w:val="21"/>
                <w:highlight w:val="none"/>
              </w:rPr>
              <w:t>进行评议：</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①</w:t>
            </w:r>
            <w:r>
              <w:rPr>
                <w:rFonts w:hint="eastAsia" w:ascii="宋体" w:hAnsi="宋体" w:cs="宋体"/>
                <w:bCs/>
                <w:color w:val="auto"/>
                <w:szCs w:val="21"/>
                <w:highlight w:val="none"/>
                <w:lang w:val="en-US" w:eastAsia="zh-CN"/>
              </w:rPr>
              <w:t>办公及检测设备配置完全符合采购需求，配置合理的</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②</w:t>
            </w:r>
            <w:r>
              <w:rPr>
                <w:rFonts w:hint="eastAsia" w:ascii="宋体" w:hAnsi="宋体" w:cs="宋体"/>
                <w:bCs/>
                <w:color w:val="auto"/>
                <w:szCs w:val="21"/>
                <w:highlight w:val="none"/>
                <w:lang w:val="en-US" w:eastAsia="zh-CN"/>
              </w:rPr>
              <w:t>办公及检测设备配置基本符合采购需求，配置基本合理的</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③</w:t>
            </w:r>
            <w:r>
              <w:rPr>
                <w:rFonts w:hint="eastAsia" w:ascii="宋体" w:hAnsi="宋体" w:cs="宋体"/>
                <w:bCs/>
                <w:color w:val="auto"/>
                <w:szCs w:val="21"/>
                <w:highlight w:val="none"/>
                <w:lang w:val="en-US" w:eastAsia="zh-CN"/>
              </w:rPr>
              <w:t>办公及检测设备配置不符合采购需求，配置不合理的</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6</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938"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应急预案</w:t>
            </w:r>
          </w:p>
        </w:tc>
        <w:tc>
          <w:tcPr>
            <w:tcW w:w="567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根据</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针对本项目制定的应急保障及紧急服务方案进行评议：</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①应急保障及紧急服务方案完善考虑周全，应急响应及时、后期处置妥当、保障措施有力的得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②应急保障及紧急服务方案较完善考虑较周全，应急响应较及时、后期处置较妥当、保障措施较有力的得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③应急保障及紧急服务方案欠完善考虑欠周全，应急响应欠及时、后期处置欠妥当、保障措施欠有力的得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bCs/>
                <w:color w:val="auto"/>
                <w:kern w:val="0"/>
                <w:szCs w:val="21"/>
                <w:highlight w:val="none"/>
                <w:lang w:val="en-US" w:eastAsia="zh-CN"/>
              </w:rPr>
              <w:t>6</w:t>
            </w:r>
          </w:p>
        </w:tc>
        <w:tc>
          <w:tcPr>
            <w:tcW w:w="1425"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主观</w:t>
            </w:r>
            <w:r>
              <w:rPr>
                <w:rFonts w:hint="eastAsia" w:ascii="宋体" w:hAnsi="宋体" w:cs="宋体"/>
                <w:color w:val="auto"/>
                <w:szCs w:val="21"/>
                <w:highlight w:val="none"/>
                <w:lang w:val="en-US" w:eastAsia="zh-CN"/>
              </w:rPr>
              <w:t>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938"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拟投入本项目人员配置方案</w:t>
            </w:r>
          </w:p>
        </w:tc>
        <w:tc>
          <w:tcPr>
            <w:tcW w:w="567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eastAsia="宋体" w:cs="宋体"/>
                <w:b/>
                <w:bCs/>
                <w:color w:val="auto"/>
                <w:kern w:val="0"/>
                <w:szCs w:val="21"/>
                <w:highlight w:val="none"/>
              </w:rPr>
            </w:pPr>
            <w:r>
              <w:rPr>
                <w:rFonts w:hint="eastAsia"/>
                <w:b/>
                <w:bCs/>
                <w:color w:val="auto"/>
                <w:szCs w:val="21"/>
                <w:highlight w:val="none"/>
              </w:rPr>
              <w:t>根据</w:t>
            </w:r>
            <w:r>
              <w:rPr>
                <w:rFonts w:hint="eastAsia"/>
                <w:b/>
                <w:bCs/>
                <w:color w:val="auto"/>
                <w:szCs w:val="21"/>
                <w:highlight w:val="none"/>
                <w:lang w:eastAsia="zh-CN"/>
              </w:rPr>
              <w:t>投标人</w:t>
            </w:r>
            <w:r>
              <w:rPr>
                <w:rFonts w:hint="eastAsia"/>
                <w:b/>
                <w:bCs/>
                <w:color w:val="auto"/>
                <w:szCs w:val="21"/>
                <w:highlight w:val="none"/>
              </w:rPr>
              <w:t>拟投入本项目人员配置方案（包括人员配置结构是否合理、人员是否具有相关经验、</w:t>
            </w:r>
            <w:r>
              <w:rPr>
                <w:rFonts w:hint="eastAsia"/>
                <w:b/>
                <w:bCs/>
                <w:color w:val="auto"/>
                <w:szCs w:val="21"/>
                <w:highlight w:val="none"/>
                <w:lang w:val="en-US" w:eastAsia="zh-CN"/>
              </w:rPr>
              <w:t>中标</w:t>
            </w:r>
            <w:r>
              <w:rPr>
                <w:rFonts w:hint="eastAsia"/>
                <w:b/>
                <w:bCs/>
                <w:color w:val="auto"/>
                <w:szCs w:val="21"/>
                <w:highlight w:val="none"/>
              </w:rPr>
              <w:t>后人员到岗时间是否及时）进行评议：</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①</w:t>
            </w:r>
            <w:r>
              <w:rPr>
                <w:rFonts w:hint="eastAsia"/>
                <w:color w:val="auto"/>
                <w:szCs w:val="21"/>
                <w:highlight w:val="none"/>
              </w:rPr>
              <w:t>人员配置结构合理、人员相关经验丰富、</w:t>
            </w:r>
            <w:r>
              <w:rPr>
                <w:rFonts w:hint="eastAsia"/>
                <w:color w:val="auto"/>
                <w:szCs w:val="21"/>
                <w:highlight w:val="none"/>
                <w:lang w:val="en-US" w:eastAsia="zh-CN"/>
              </w:rPr>
              <w:t>中标</w:t>
            </w:r>
            <w:r>
              <w:rPr>
                <w:rFonts w:hint="eastAsia"/>
                <w:color w:val="auto"/>
                <w:szCs w:val="21"/>
                <w:highlight w:val="none"/>
              </w:rPr>
              <w:t>后人员到岗时间及时</w:t>
            </w:r>
            <w:r>
              <w:rPr>
                <w:rFonts w:hint="eastAsia" w:ascii="宋体" w:hAnsi="宋体"/>
                <w:color w:val="auto"/>
                <w:szCs w:val="21"/>
                <w:highlight w:val="none"/>
              </w:rPr>
              <w:t>的得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②</w:t>
            </w:r>
            <w:r>
              <w:rPr>
                <w:rFonts w:hint="eastAsia"/>
                <w:color w:val="auto"/>
                <w:szCs w:val="21"/>
                <w:highlight w:val="none"/>
              </w:rPr>
              <w:t>人员配置结构较合理、人员相关经验欠缺、</w:t>
            </w:r>
            <w:r>
              <w:rPr>
                <w:rFonts w:hint="eastAsia"/>
                <w:color w:val="auto"/>
                <w:szCs w:val="21"/>
                <w:highlight w:val="none"/>
                <w:lang w:eastAsia="zh-CN"/>
              </w:rPr>
              <w:t>中标</w:t>
            </w:r>
            <w:r>
              <w:rPr>
                <w:rFonts w:hint="eastAsia"/>
                <w:color w:val="auto"/>
                <w:szCs w:val="21"/>
                <w:highlight w:val="none"/>
              </w:rPr>
              <w:t>后人员到岗时间较及时</w:t>
            </w:r>
            <w:r>
              <w:rPr>
                <w:rFonts w:hint="eastAsia" w:ascii="宋体" w:hAnsi="宋体"/>
                <w:color w:val="auto"/>
                <w:szCs w:val="21"/>
                <w:highlight w:val="none"/>
              </w:rPr>
              <w:t>的得</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olor w:val="auto"/>
                <w:szCs w:val="21"/>
                <w:highlight w:val="none"/>
              </w:rPr>
            </w:pPr>
            <w:r>
              <w:rPr>
                <w:rFonts w:hint="eastAsia" w:ascii="宋体" w:hAnsi="宋体"/>
                <w:color w:val="auto"/>
                <w:szCs w:val="21"/>
                <w:highlight w:val="none"/>
              </w:rPr>
              <w:t>③</w:t>
            </w:r>
            <w:r>
              <w:rPr>
                <w:rFonts w:hint="eastAsia"/>
                <w:color w:val="auto"/>
                <w:szCs w:val="21"/>
                <w:highlight w:val="none"/>
              </w:rPr>
              <w:t>人员配置结构不合理、人员不具有相关经验、</w:t>
            </w:r>
            <w:r>
              <w:rPr>
                <w:rFonts w:hint="eastAsia"/>
                <w:color w:val="auto"/>
                <w:szCs w:val="21"/>
                <w:highlight w:val="none"/>
                <w:lang w:eastAsia="zh-CN"/>
              </w:rPr>
              <w:t>中标</w:t>
            </w:r>
            <w:r>
              <w:rPr>
                <w:rFonts w:hint="eastAsia"/>
                <w:color w:val="auto"/>
                <w:szCs w:val="21"/>
                <w:highlight w:val="none"/>
              </w:rPr>
              <w:t>后人员到岗时间不及时</w:t>
            </w:r>
            <w:r>
              <w:rPr>
                <w:rFonts w:hint="eastAsia" w:ascii="宋体" w:hAnsi="宋体"/>
                <w:color w:val="auto"/>
                <w:szCs w:val="21"/>
                <w:highlight w:val="none"/>
              </w:rPr>
              <w:t>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olor w:val="auto"/>
                <w:szCs w:val="21"/>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938"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人员管理制度</w:t>
            </w:r>
          </w:p>
        </w:tc>
        <w:tc>
          <w:tcPr>
            <w:tcW w:w="567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
                <w:color w:val="auto"/>
                <w:szCs w:val="21"/>
                <w:highlight w:val="none"/>
              </w:rPr>
              <w:t>根据</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提供的人员管理制度进行评议：</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①人员考核制度及管理制度完整、合理的得5分；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②人员考核制度及管理制度较完整、较合理的得3分；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③人员考核制度及管理制度不完整、不合理的得1分；</w:t>
            </w:r>
          </w:p>
          <w:p>
            <w:pPr>
              <w:pStyle w:val="212"/>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textAlignment w:val="auto"/>
              <w:rPr>
                <w:rFonts w:hint="default"/>
                <w:color w:val="auto"/>
                <w:highlight w:val="none"/>
              </w:rPr>
            </w:pPr>
            <w:r>
              <w:rPr>
                <w:rFonts w:hint="eastAsia" w:ascii="宋体" w:hAnsi="宋体" w:cs="宋体"/>
                <w:bCs/>
                <w:color w:val="auto"/>
                <w:szCs w:val="21"/>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default" w:ascii="宋体" w:hAnsi="宋体" w:cs="宋体"/>
                <w:color w:val="auto"/>
                <w:kern w:val="0"/>
                <w:szCs w:val="21"/>
                <w:highlight w:val="none"/>
              </w:rPr>
              <w:t>5</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938"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保密制度</w:t>
            </w:r>
          </w:p>
        </w:tc>
        <w:tc>
          <w:tcPr>
            <w:tcW w:w="567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根据</w:t>
            </w:r>
            <w:r>
              <w:rPr>
                <w:rFonts w:hint="eastAsia" w:ascii="宋体" w:hAnsi="宋体" w:cs="宋体"/>
                <w:b/>
                <w:bCs w:val="0"/>
                <w:color w:val="auto"/>
                <w:szCs w:val="21"/>
                <w:highlight w:val="none"/>
                <w:lang w:eastAsia="zh-CN"/>
              </w:rPr>
              <w:t>投标人</w:t>
            </w:r>
            <w:r>
              <w:rPr>
                <w:rFonts w:hint="eastAsia" w:ascii="宋体" w:hAnsi="宋体" w:cs="宋体"/>
                <w:b/>
                <w:bCs w:val="0"/>
                <w:color w:val="auto"/>
                <w:szCs w:val="21"/>
                <w:highlight w:val="none"/>
              </w:rPr>
              <w:t>提供的保密制度进行评议：</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①保密制度内容全面、措施可行的得5分；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②保密制度内容较全面、措施基本可行的得3分；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③保密制度内容不全面、措施不可行的得1分；</w:t>
            </w:r>
          </w:p>
          <w:p>
            <w:pPr>
              <w:pStyle w:val="212"/>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default" w:ascii="宋体" w:hAnsi="宋体" w:cs="宋体"/>
                <w:color w:val="auto"/>
                <w:kern w:val="0"/>
                <w:szCs w:val="21"/>
                <w:highlight w:val="none"/>
              </w:rPr>
              <w:t>5</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31" w:type="dxa"/>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938"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档案管理制度</w:t>
            </w:r>
          </w:p>
        </w:tc>
        <w:tc>
          <w:tcPr>
            <w:tcW w:w="567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根据</w:t>
            </w:r>
            <w:r>
              <w:rPr>
                <w:rFonts w:hint="eastAsia" w:ascii="宋体" w:hAnsi="宋体" w:cs="宋体"/>
                <w:b/>
                <w:bCs w:val="0"/>
                <w:color w:val="auto"/>
                <w:szCs w:val="21"/>
                <w:highlight w:val="none"/>
                <w:lang w:eastAsia="zh-CN"/>
              </w:rPr>
              <w:t>投标人</w:t>
            </w:r>
            <w:r>
              <w:rPr>
                <w:rFonts w:hint="eastAsia" w:ascii="宋体" w:hAnsi="宋体" w:cs="宋体"/>
                <w:b/>
                <w:bCs w:val="0"/>
                <w:color w:val="auto"/>
                <w:szCs w:val="21"/>
                <w:highlight w:val="none"/>
              </w:rPr>
              <w:t>提供的</w:t>
            </w:r>
            <w:r>
              <w:rPr>
                <w:rFonts w:hint="eastAsia" w:ascii="宋体" w:hAnsi="宋体" w:cs="宋体"/>
                <w:b/>
                <w:bCs w:val="0"/>
                <w:color w:val="auto"/>
                <w:szCs w:val="21"/>
                <w:highlight w:val="none"/>
                <w:lang w:val="en-US" w:eastAsia="zh-CN"/>
              </w:rPr>
              <w:t>档案管理制度</w:t>
            </w:r>
            <w:r>
              <w:rPr>
                <w:rFonts w:hint="eastAsia" w:ascii="宋体" w:hAnsi="宋体" w:cs="宋体"/>
                <w:b/>
                <w:bCs w:val="0"/>
                <w:color w:val="auto"/>
                <w:szCs w:val="21"/>
                <w:highlight w:val="none"/>
              </w:rPr>
              <w:t>进行评议：</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①</w:t>
            </w:r>
            <w:r>
              <w:rPr>
                <w:rFonts w:hint="eastAsia" w:ascii="宋体" w:hAnsi="宋体" w:cs="宋体"/>
                <w:bCs/>
                <w:color w:val="auto"/>
                <w:szCs w:val="21"/>
                <w:highlight w:val="none"/>
                <w:lang w:val="en-US" w:eastAsia="zh-CN"/>
              </w:rPr>
              <w:t>档案管理方法科学，各阶段产出文档编制合理、得当</w:t>
            </w:r>
            <w:r>
              <w:rPr>
                <w:rFonts w:hint="eastAsia" w:ascii="宋体" w:hAnsi="宋体" w:cs="宋体"/>
                <w:bCs/>
                <w:color w:val="auto"/>
                <w:szCs w:val="21"/>
                <w:highlight w:val="none"/>
              </w:rPr>
              <w:t>的得5分；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②</w:t>
            </w:r>
            <w:r>
              <w:rPr>
                <w:rFonts w:hint="eastAsia" w:ascii="宋体" w:hAnsi="宋体" w:cs="宋体"/>
                <w:bCs/>
                <w:color w:val="auto"/>
                <w:szCs w:val="21"/>
                <w:highlight w:val="none"/>
                <w:lang w:val="en-US" w:eastAsia="zh-CN"/>
              </w:rPr>
              <w:t>档案管理方法较科学，各阶段产出文档编制较合理、基本得当</w:t>
            </w:r>
            <w:r>
              <w:rPr>
                <w:rFonts w:hint="eastAsia" w:ascii="宋体" w:hAnsi="宋体" w:cs="宋体"/>
                <w:bCs/>
                <w:color w:val="auto"/>
                <w:szCs w:val="21"/>
                <w:highlight w:val="none"/>
              </w:rPr>
              <w:t>的得3分；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③</w:t>
            </w:r>
            <w:r>
              <w:rPr>
                <w:rFonts w:hint="eastAsia" w:ascii="宋体" w:hAnsi="宋体" w:cs="宋体"/>
                <w:bCs/>
                <w:color w:val="auto"/>
                <w:szCs w:val="21"/>
                <w:highlight w:val="none"/>
                <w:lang w:val="en-US" w:eastAsia="zh-CN"/>
              </w:rPr>
              <w:t>档案管理方法不科学，各阶段产出文档编制不合理、不得当</w:t>
            </w:r>
            <w:r>
              <w:rPr>
                <w:rFonts w:hint="eastAsia" w:ascii="宋体" w:hAnsi="宋体" w:cs="宋体"/>
                <w:bCs/>
                <w:color w:val="auto"/>
                <w:szCs w:val="21"/>
                <w:highlight w:val="none"/>
              </w:rPr>
              <w:t>的得1分；</w:t>
            </w:r>
          </w:p>
          <w:p>
            <w:pPr>
              <w:pStyle w:val="212"/>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④未提供相关方案的不得分。</w:t>
            </w:r>
          </w:p>
        </w:tc>
        <w:tc>
          <w:tcPr>
            <w:tcW w:w="630"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425"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94" w:type="dxa"/>
            <w:gridSpan w:val="5"/>
            <w:vAlign w:val="center"/>
          </w:tcPr>
          <w:p>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lang w:val="en-US" w:eastAsia="zh-CN"/>
              </w:rPr>
              <w:t>二、</w:t>
            </w:r>
            <w:r>
              <w:rPr>
                <w:rFonts w:hint="eastAsia" w:ascii="宋体" w:hAnsi="宋体" w:cs="宋体"/>
                <w:b/>
                <w:bCs/>
                <w:color w:val="auto"/>
                <w:kern w:val="0"/>
                <w:szCs w:val="21"/>
                <w:highlight w:val="none"/>
              </w:rPr>
              <w:t>报价分（</w:t>
            </w:r>
            <w:r>
              <w:rPr>
                <w:rFonts w:hint="eastAsia" w:ascii="宋体" w:hAnsi="宋体" w:cs="宋体"/>
                <w:b/>
                <w:bCs/>
                <w:color w:val="auto"/>
                <w:kern w:val="0"/>
                <w:szCs w:val="21"/>
                <w:highlight w:val="none"/>
                <w:lang w:val="en-US" w:eastAsia="zh-CN"/>
              </w:rPr>
              <w:t>15</w:t>
            </w:r>
            <w:r>
              <w:rPr>
                <w:rFonts w:hint="eastAsia" w:ascii="宋体" w:hAnsi="宋体" w:cs="宋体"/>
                <w:b/>
                <w:bCs/>
                <w:color w:val="auto"/>
                <w:kern w:val="0"/>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31" w:type="dxa"/>
            <w:vAlign w:val="center"/>
          </w:tcPr>
          <w:p>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6608" w:type="dxa"/>
            <w:gridSpan w:val="2"/>
            <w:shd w:val="clear" w:color="auto" w:fill="auto"/>
            <w:vAlign w:val="center"/>
          </w:tcPr>
          <w:p>
            <w:pPr>
              <w:spacing w:line="240" w:lineRule="auto"/>
              <w:rPr>
                <w:rFonts w:asciiTheme="majorEastAsia" w:hAnsiTheme="majorEastAsia" w:eastAsiaTheme="majorEastAsia"/>
                <w:szCs w:val="21"/>
              </w:rPr>
            </w:pPr>
            <w:r>
              <w:rPr>
                <w:rFonts w:hint="eastAsia" w:asciiTheme="majorEastAsia" w:hAnsiTheme="majorEastAsia" w:eastAsiaTheme="majorEastAsia"/>
                <w:szCs w:val="21"/>
              </w:rPr>
              <w:t>评标基准价指的是满足招标文件要求且最低的参与评审的价格。</w:t>
            </w:r>
          </w:p>
          <w:p>
            <w:pPr>
              <w:spacing w:line="240" w:lineRule="auto"/>
              <w:rPr>
                <w:rFonts w:asciiTheme="majorEastAsia" w:hAnsiTheme="majorEastAsia" w:eastAsiaTheme="majorEastAsia"/>
                <w:szCs w:val="21"/>
              </w:rPr>
            </w:pPr>
            <w:r>
              <w:rPr>
                <w:rFonts w:hint="eastAsia" w:asciiTheme="majorEastAsia" w:hAnsiTheme="majorEastAsia" w:eastAsiaTheme="majorEastAsia"/>
                <w:szCs w:val="21"/>
              </w:rPr>
              <w:t>参与评审的价格=投标报价</w:t>
            </w:r>
          </w:p>
          <w:p>
            <w:pPr>
              <w:spacing w:line="240" w:lineRule="auto"/>
              <w:rPr>
                <w:rFonts w:asciiTheme="majorEastAsia" w:hAnsiTheme="majorEastAsia" w:eastAsiaTheme="majorEastAsia"/>
                <w:szCs w:val="21"/>
              </w:rPr>
            </w:pPr>
            <w:r>
              <w:rPr>
                <w:rFonts w:hint="eastAsia" w:asciiTheme="majorEastAsia" w:hAnsiTheme="majorEastAsia" w:eastAsiaTheme="majorEastAsia"/>
                <w:szCs w:val="21"/>
              </w:rPr>
              <w:t>参与评审的价格为评标基准价的其价格得分得满分</w:t>
            </w:r>
            <w:r>
              <w:rPr>
                <w:rFonts w:hint="eastAsia" w:asciiTheme="majorEastAsia" w:hAnsiTheme="majorEastAsia" w:eastAsiaTheme="majorEastAsia"/>
                <w:szCs w:val="21"/>
                <w:lang w:val="en-US" w:eastAsia="zh-CN"/>
              </w:rPr>
              <w:t>15</w:t>
            </w:r>
            <w:r>
              <w:rPr>
                <w:rFonts w:hint="eastAsia" w:asciiTheme="majorEastAsia" w:hAnsiTheme="majorEastAsia" w:eastAsiaTheme="majorEastAsia"/>
                <w:szCs w:val="21"/>
              </w:rPr>
              <w:t>分。</w:t>
            </w:r>
          </w:p>
          <w:p>
            <w:pPr>
              <w:spacing w:line="240" w:lineRule="auto"/>
              <w:rPr>
                <w:rFonts w:asciiTheme="majorEastAsia" w:hAnsiTheme="majorEastAsia" w:eastAsiaTheme="majorEastAsia"/>
                <w:szCs w:val="21"/>
              </w:rPr>
            </w:pPr>
            <w:r>
              <w:rPr>
                <w:rFonts w:hint="eastAsia" w:asciiTheme="majorEastAsia" w:hAnsiTheme="majorEastAsia" w:eastAsiaTheme="majorEastAsia"/>
                <w:szCs w:val="21"/>
              </w:rPr>
              <w:t>其他投标人价格得分按照下列公式计算：</w:t>
            </w:r>
          </w:p>
          <w:p>
            <w:pPr>
              <w:spacing w:line="240" w:lineRule="auto"/>
              <w:rPr>
                <w:rFonts w:asciiTheme="majorEastAsia" w:hAnsiTheme="majorEastAsia" w:eastAsiaTheme="majorEastAsia"/>
                <w:szCs w:val="21"/>
              </w:rPr>
            </w:pPr>
            <w:r>
              <w:rPr>
                <w:rFonts w:hint="eastAsia" w:asciiTheme="majorEastAsia" w:hAnsiTheme="majorEastAsia" w:eastAsiaTheme="majorEastAsia"/>
                <w:szCs w:val="21"/>
              </w:rPr>
              <w:t>价格得分=（评标基准价/各投标人参与评审的价格）×</w:t>
            </w:r>
            <w:r>
              <w:rPr>
                <w:rFonts w:hint="eastAsia" w:asciiTheme="majorEastAsia" w:hAnsiTheme="majorEastAsia" w:eastAsiaTheme="majorEastAsia"/>
                <w:szCs w:val="21"/>
                <w:lang w:val="en-US" w:eastAsia="zh-CN"/>
              </w:rPr>
              <w:t>15</w:t>
            </w:r>
            <w:r>
              <w:rPr>
                <w:rFonts w:hint="eastAsia" w:asciiTheme="majorEastAsia" w:hAnsiTheme="majorEastAsia" w:eastAsiaTheme="majorEastAsia"/>
                <w:szCs w:val="21"/>
              </w:rPr>
              <w:t>％×100。</w:t>
            </w:r>
          </w:p>
          <w:p>
            <w:pPr>
              <w:spacing w:line="240" w:lineRule="auto"/>
              <w:rPr>
                <w:rFonts w:asciiTheme="majorEastAsia" w:hAnsiTheme="majorEastAsia" w:eastAsiaTheme="majorEastAsia"/>
                <w:szCs w:val="21"/>
              </w:rPr>
            </w:pPr>
            <w:r>
              <w:rPr>
                <w:rFonts w:hint="eastAsia" w:asciiTheme="majorEastAsia" w:hAnsiTheme="majorEastAsia" w:eastAsiaTheme="majorEastAsia"/>
                <w:szCs w:val="21"/>
              </w:rPr>
              <w:t>注：1、投标报价超过最高限价的作无效标处理。</w:t>
            </w:r>
          </w:p>
          <w:p>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bCs/>
                <w:color w:val="auto"/>
                <w:kern w:val="0"/>
                <w:sz w:val="21"/>
                <w:szCs w:val="21"/>
                <w:highlight w:val="none"/>
                <w:lang w:val="zh-CN" w:eastAsia="zh-CN" w:bidi="ar-SA"/>
              </w:rPr>
            </w:pPr>
            <w:r>
              <w:rPr>
                <w:rFonts w:hint="eastAsia" w:asciiTheme="majorEastAsia" w:hAnsiTheme="majorEastAsia" w:eastAsiaTheme="majorEastAsia"/>
                <w:szCs w:val="21"/>
              </w:rPr>
              <w:t>2、价格得分小数点后保留2位小数，第3位小数四舍五入。</w:t>
            </w:r>
          </w:p>
        </w:tc>
        <w:tc>
          <w:tcPr>
            <w:tcW w:w="630" w:type="dxa"/>
            <w:vAlign w:val="center"/>
          </w:tcPr>
          <w:p>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firstLine="0"/>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1425" w:type="dxa"/>
            <w:vAlign w:val="center"/>
          </w:tcPr>
          <w:p>
            <w:pPr>
              <w:keepNext w:val="0"/>
              <w:keepLines w:val="0"/>
              <w:pageBreakBefore w:val="0"/>
              <w:widowControl/>
              <w:suppressLineNumbers w:val="0"/>
              <w:tabs>
                <w:tab w:val="left" w:pos="0"/>
              </w:tabs>
              <w:kinsoku/>
              <w:wordWrap/>
              <w:overflowPunct/>
              <w:topLinePunct w:val="0"/>
              <w:bidi w:val="0"/>
              <w:spacing w:before="0" w:beforeAutospacing="0" w:after="0" w:afterAutospacing="0" w:line="240" w:lineRule="auto"/>
              <w:ind w:left="0" w:right="0" w:firstLine="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客观</w:t>
            </w:r>
            <w:r>
              <w:rPr>
                <w:rFonts w:hint="eastAsia" w:ascii="宋体" w:hAnsi="宋体" w:cs="宋体"/>
                <w:color w:val="auto"/>
                <w:kern w:val="0"/>
                <w:szCs w:val="21"/>
                <w:highlight w:val="none"/>
              </w:rPr>
              <w:t>分</w:t>
            </w:r>
          </w:p>
        </w:tc>
      </w:tr>
    </w:tbl>
    <w:p>
      <w:pPr>
        <w:pStyle w:val="2"/>
        <w:numPr>
          <w:ilvl w:val="-1"/>
          <w:numId w:val="0"/>
        </w:numPr>
        <w:ind w:left="-360" w:firstLine="0"/>
      </w:pPr>
    </w:p>
    <w:p>
      <w:pPr>
        <w:pStyle w:val="2"/>
        <w:numPr>
          <w:ilvl w:val="-1"/>
          <w:numId w:val="0"/>
        </w:numPr>
        <w:ind w:left="-360" w:firstLine="0"/>
      </w:pPr>
    </w:p>
    <w:p>
      <w:pPr>
        <w:pStyle w:val="2"/>
        <w:numPr>
          <w:ilvl w:val="-1"/>
          <w:numId w:val="0"/>
        </w:numPr>
        <w:ind w:left="-360" w:firstLine="0"/>
      </w:pPr>
    </w:p>
    <w:p>
      <w:pPr>
        <w:pStyle w:val="2"/>
        <w:numPr>
          <w:ilvl w:val="-1"/>
          <w:numId w:val="0"/>
        </w:numPr>
        <w:ind w:left="-360" w:firstLine="0"/>
      </w:pPr>
    </w:p>
    <w:p>
      <w:pPr>
        <w:pStyle w:val="2"/>
        <w:numPr>
          <w:ilvl w:val="-1"/>
          <w:numId w:val="0"/>
        </w:numPr>
        <w:ind w:left="-360" w:firstLine="0"/>
      </w:pPr>
    </w:p>
    <w:p>
      <w:pPr>
        <w:pStyle w:val="37"/>
        <w:ind w:left="0" w:leftChars="0" w:firstLine="0" w:firstLineChars="0"/>
      </w:pPr>
    </w:p>
    <w:p>
      <w:pPr>
        <w:pStyle w:val="37"/>
      </w:pPr>
    </w:p>
    <w:p>
      <w:pPr>
        <w:pStyle w:val="3"/>
        <w:spacing w:beforeLines="0" w:afterLines="0" w:line="360" w:lineRule="auto"/>
        <w:rPr>
          <w:rFonts w:ascii="宋体" w:hAnsi="宋体"/>
          <w:sz w:val="32"/>
          <w:szCs w:val="32"/>
        </w:rPr>
        <w:sectPr>
          <w:headerReference r:id="rId15" w:type="default"/>
          <w:type w:val="continuous"/>
          <w:pgSz w:w="11907" w:h="16840"/>
          <w:pgMar w:top="1304" w:right="1588" w:bottom="1560" w:left="1588" w:header="720" w:footer="720" w:gutter="0"/>
          <w:cols w:space="720" w:num="1"/>
          <w:docGrid w:linePitch="285" w:charSpace="0"/>
        </w:sectPr>
      </w:pPr>
    </w:p>
    <w:p>
      <w:pPr>
        <w:pStyle w:val="3"/>
        <w:spacing w:beforeLines="0" w:afterLines="0" w:line="360" w:lineRule="auto"/>
        <w:rPr>
          <w:rFonts w:ascii="宋体" w:hAnsi="宋体"/>
          <w:sz w:val="32"/>
          <w:szCs w:val="32"/>
        </w:rPr>
        <w:sectPr>
          <w:headerReference r:id="rId16" w:type="default"/>
          <w:type w:val="continuous"/>
          <w:pgSz w:w="11907" w:h="16840"/>
          <w:pgMar w:top="1304" w:right="1588" w:bottom="1304" w:left="1588" w:header="720" w:footer="720" w:gutter="0"/>
          <w:cols w:space="720" w:num="1"/>
          <w:docGrid w:linePitch="285" w:charSpace="0"/>
        </w:sectPr>
      </w:pPr>
    </w:p>
    <w:bookmarkEnd w:id="134"/>
    <w:p>
      <w:pPr>
        <w:pStyle w:val="3"/>
        <w:spacing w:beforeLines="0" w:afterLines="0" w:line="360" w:lineRule="auto"/>
        <w:rPr>
          <w:rFonts w:ascii="宋体" w:hAnsi="宋体"/>
          <w:sz w:val="32"/>
          <w:szCs w:val="32"/>
        </w:rPr>
      </w:pPr>
      <w:bookmarkStart w:id="135" w:name="_Toc136345113"/>
      <w:bookmarkStart w:id="136" w:name="_Toc316649303"/>
      <w:bookmarkStart w:id="137" w:name="_Toc15869"/>
      <w:r>
        <w:rPr>
          <w:rFonts w:hint="eastAsia" w:ascii="宋体" w:hAnsi="宋体"/>
          <w:sz w:val="32"/>
          <w:szCs w:val="32"/>
        </w:rPr>
        <w:t>第七部分 投标文件格式</w:t>
      </w:r>
      <w:bookmarkEnd w:id="135"/>
      <w:bookmarkEnd w:id="136"/>
      <w:bookmarkEnd w:id="137"/>
    </w:p>
    <w:p>
      <w:pPr>
        <w:jc w:val="center"/>
        <w:rPr>
          <w:rFonts w:ascii="宋体" w:hAnsi="宋体" w:cs="宋体"/>
          <w:b/>
          <w:sz w:val="36"/>
          <w:szCs w:val="36"/>
          <w:u w:val="single"/>
        </w:rPr>
      </w:pPr>
    </w:p>
    <w:p>
      <w:pPr>
        <w:jc w:val="center"/>
        <w:rPr>
          <w:rFonts w:ascii="宋体" w:hAnsi="宋体" w:cs="宋体"/>
          <w:b/>
          <w:sz w:val="36"/>
          <w:szCs w:val="36"/>
          <w:u w:val="single"/>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1、投标文件的外包装封面 </w:t>
      </w:r>
    </w:p>
    <w:p>
      <w:pPr>
        <w:widowControl/>
        <w:spacing w:before="240" w:beforeLines="100"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电子备份投标文件</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项目编号：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项目名称：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投标人名称（加盖公章）：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投标人地址： </w:t>
      </w:r>
    </w:p>
    <w:p>
      <w:pPr>
        <w:widowControl/>
        <w:spacing w:line="360" w:lineRule="auto"/>
        <w:jc w:val="left"/>
        <w:rPr>
          <w:rFonts w:cs="宋体" w:asciiTheme="minorEastAsia" w:hAnsiTheme="minorEastAsia" w:eastAsiaTheme="minorEastAsia"/>
          <w:kern w:val="0"/>
          <w:sz w:val="24"/>
        </w:rPr>
      </w:pP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年 月 日 </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 w:val="24"/>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2、投标文件封面格式 </w:t>
      </w:r>
    </w:p>
    <w:p>
      <w:pPr>
        <w:widowControl/>
        <w:spacing w:before="240" w:beforeLines="100"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资格文件/商务技术文件/报价文件</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项目编号：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项目名称：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投标人名称（加盖公章）：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 xml:space="preserve">投标人地址： </w:t>
      </w:r>
    </w:p>
    <w:p>
      <w:pPr>
        <w:widowControl/>
        <w:spacing w:line="360" w:lineRule="auto"/>
        <w:jc w:val="left"/>
        <w:rPr>
          <w:rFonts w:cs="宋体" w:asciiTheme="minorEastAsia" w:hAnsiTheme="minorEastAsia" w:eastAsiaTheme="minorEastAsia"/>
          <w:kern w:val="0"/>
          <w:szCs w:val="21"/>
        </w:rPr>
      </w:pPr>
    </w:p>
    <w:p>
      <w:pPr>
        <w:spacing w:line="400" w:lineRule="exact"/>
        <w:rPr>
          <w:rFonts w:asciiTheme="minorEastAsia" w:hAnsiTheme="minorEastAsia" w:eastAsiaTheme="minorEastAsia"/>
          <w:bCs/>
          <w:sz w:val="24"/>
          <w:szCs w:val="24"/>
        </w:rPr>
      </w:pPr>
      <w:r>
        <w:rPr>
          <w:rFonts w:hint="eastAsia" w:cs="宋体" w:asciiTheme="minorEastAsia" w:hAnsiTheme="minorEastAsia" w:eastAsiaTheme="minorEastAsia"/>
          <w:kern w:val="0"/>
          <w:szCs w:val="21"/>
        </w:rPr>
        <w:t xml:space="preserve">                                                       年 月 日</w:t>
      </w:r>
      <w:r>
        <w:rPr>
          <w:rFonts w:asciiTheme="minorEastAsia" w:hAnsiTheme="minorEastAsia" w:eastAsiaTheme="minorEastAsia"/>
          <w:bCs/>
          <w:sz w:val="24"/>
          <w:szCs w:val="24"/>
        </w:rPr>
        <w:br w:type="page"/>
      </w:r>
    </w:p>
    <w:p>
      <w:pPr>
        <w:adjustRightInd w:val="0"/>
        <w:snapToGrid w:val="0"/>
        <w:jc w:val="center"/>
        <w:rPr>
          <w:rFonts w:asciiTheme="minorEastAsia" w:hAnsiTheme="minorEastAsia" w:eastAsiaTheme="minorEastAsia"/>
          <w:b/>
          <w:sz w:val="24"/>
        </w:rPr>
      </w:pPr>
    </w:p>
    <w:p>
      <w:pPr>
        <w:adjustRightInd w:val="0"/>
        <w:snapToGrid w:val="0"/>
        <w:jc w:val="center"/>
        <w:rPr>
          <w:rFonts w:asciiTheme="minorEastAsia" w:hAnsiTheme="minorEastAsia" w:eastAsiaTheme="minorEastAsia"/>
          <w:b/>
          <w:sz w:val="24"/>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资格文件组成：</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（1）符合参加政府采购活动应当具备的一般条件的承诺函；</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（3）联合体协议书（仅为联合体投标时须提供）；</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（4）落实政府采购政策需满足的资格要求</w:t>
      </w:r>
      <w:r>
        <w:rPr>
          <w:rFonts w:hint="eastAsia" w:asciiTheme="minorEastAsia" w:hAnsiTheme="minorEastAsia" w:eastAsiaTheme="minorEastAsia"/>
          <w:szCs w:val="21"/>
          <w:lang w:eastAsia="zh-CN"/>
        </w:rPr>
        <w:t>：</w:t>
      </w:r>
      <w:r>
        <w:rPr>
          <w:rFonts w:hint="eastAsia" w:ascii="宋体" w:hAnsi="宋体" w:cs="宋体"/>
        </w:rPr>
        <w:t>中小企业声明函</w:t>
      </w:r>
      <w:r>
        <w:rPr>
          <w:rFonts w:hint="eastAsia" w:asciiTheme="minorEastAsia" w:hAnsiTheme="minorEastAsia" w:eastAsiaTheme="minorEastAsia"/>
        </w:rPr>
        <w:t>；</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（5）投标人的特定条件的证明文件。</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snapToGrid w:val="0"/>
        <w:spacing w:line="360" w:lineRule="auto"/>
        <w:ind w:firstLine="424" w:firstLineChars="202"/>
        <w:rPr>
          <w:rFonts w:asciiTheme="minorEastAsia" w:hAnsiTheme="minorEastAsia" w:eastAsiaTheme="minorEastAsia"/>
          <w:szCs w:val="21"/>
        </w:rPr>
      </w:pPr>
    </w:p>
    <w:p>
      <w:pPr>
        <w:pStyle w:val="5"/>
        <w:spacing w:line="380" w:lineRule="exact"/>
        <w:ind w:left="0" w:firstLine="0"/>
        <w:rPr>
          <w:rFonts w:cs="仿宋_GB2312" w:asciiTheme="minorEastAsia" w:hAnsiTheme="minorEastAsia" w:eastAsiaTheme="minorEastAsia"/>
        </w:rPr>
      </w:pPr>
      <w:bookmarkStart w:id="138" w:name="_Toc136345114"/>
      <w:bookmarkStart w:id="139" w:name="_Toc136017653"/>
      <w:bookmarkStart w:id="140" w:name="_Toc16328"/>
      <w:r>
        <w:rPr>
          <w:rFonts w:hint="eastAsia" w:asciiTheme="minorEastAsia" w:hAnsiTheme="minorEastAsia" w:eastAsiaTheme="minorEastAsia"/>
          <w:sz w:val="28"/>
          <w:szCs w:val="28"/>
        </w:rPr>
        <w:t>（一）</w:t>
      </w:r>
      <w:r>
        <w:rPr>
          <w:rFonts w:cs="仿宋_GB2312" w:asciiTheme="minorEastAsia" w:hAnsiTheme="minorEastAsia" w:eastAsiaTheme="minorEastAsia"/>
        </w:rPr>
        <w:t xml:space="preserve"> 符合参加政府采购活动应当具备的一般条件的承诺函</w:t>
      </w:r>
      <w:bookmarkEnd w:id="138"/>
      <w:bookmarkEnd w:id="139"/>
      <w:bookmarkEnd w:id="140"/>
    </w:p>
    <w:p>
      <w:pPr>
        <w:snapToGrid w:val="0"/>
        <w:spacing w:line="360" w:lineRule="auto"/>
        <w:rPr>
          <w:rFonts w:asciiTheme="minorEastAsia" w:hAnsiTheme="minorEastAsia" w:eastAsiaTheme="minorEastAsia"/>
          <w:sz w:val="24"/>
        </w:rPr>
      </w:pPr>
    </w:p>
    <w:p>
      <w:pPr>
        <w:snapToGrid w:val="0"/>
        <w:spacing w:line="360" w:lineRule="auto"/>
        <w:rPr>
          <w:rFonts w:cs="仿宋_GB2312" w:asciiTheme="minorEastAsia" w:hAnsiTheme="minorEastAsia" w:eastAsiaTheme="minorEastAsia"/>
          <w:szCs w:val="21"/>
        </w:rPr>
      </w:pPr>
      <w:r>
        <w:rPr>
          <w:rFonts w:hint="eastAsia" w:asciiTheme="minorEastAsia" w:hAnsiTheme="minorEastAsia" w:eastAsiaTheme="minorEastAsia"/>
          <w:i/>
          <w:iCs/>
          <w:szCs w:val="21"/>
          <w:u w:val="single"/>
        </w:rPr>
        <w:t xml:space="preserve"> （采购人、采购代理机构） </w:t>
      </w:r>
      <w:r>
        <w:rPr>
          <w:rFonts w:hint="eastAsia" w:cs="仿宋_GB2312" w:asciiTheme="minorEastAsia" w:hAnsiTheme="minorEastAsia" w:eastAsiaTheme="minorEastAsia"/>
          <w:szCs w:val="21"/>
        </w:rPr>
        <w:t>：</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我方参与</w:t>
      </w:r>
      <w:r>
        <w:rPr>
          <w:rFonts w:hint="eastAsia" w:asciiTheme="minorEastAsia" w:hAnsiTheme="minorEastAsia" w:eastAsiaTheme="minorEastAsia"/>
          <w:szCs w:val="21"/>
        </w:rPr>
        <w:t>项目</w:t>
      </w:r>
      <w:r>
        <w:rPr>
          <w:rFonts w:hint="eastAsia" w:cs="仿宋_GB2312" w:asciiTheme="minorEastAsia" w:hAnsiTheme="minorEastAsia" w:eastAsiaTheme="minorEastAsia"/>
          <w:szCs w:val="21"/>
        </w:rPr>
        <w:t>【招标编号：】政府采购活动，郑重承诺：</w:t>
      </w:r>
    </w:p>
    <w:p>
      <w:pPr>
        <w:snapToGrid w:val="0"/>
        <w:spacing w:line="360" w:lineRule="auto"/>
        <w:ind w:firstLine="315" w:firstLineChars="150"/>
        <w:rPr>
          <w:rFonts w:cs="仿宋_GB2312" w:asciiTheme="minorEastAsia" w:hAnsiTheme="minorEastAsia" w:eastAsiaTheme="minorEastAsia"/>
          <w:szCs w:val="21"/>
        </w:rPr>
      </w:pPr>
      <w:r>
        <w:rPr>
          <w:rFonts w:hint="eastAsia" w:cs="仿宋_GB2312" w:asciiTheme="minorEastAsia" w:hAnsiTheme="minorEastAsia" w:eastAsiaTheme="minorEastAsia"/>
          <w:szCs w:val="21"/>
        </w:rPr>
        <w:t>（一）具备《中华人民共和国政府采购法》第二十二条第一款规定的条件：</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w:t>
      </w:r>
      <w:r>
        <w:rPr>
          <w:rFonts w:cs="仿宋_GB2312" w:asciiTheme="minorEastAsia" w:hAnsiTheme="minorEastAsia" w:eastAsiaTheme="minorEastAsia"/>
          <w:szCs w:val="21"/>
        </w:rPr>
        <w:t>具有独立承担民事责任的能力；</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具有良好的商业信誉和健全的财务会计制度； </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具有履行合同所必需的设备和专业技术能力；</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有依法缴纳税收和社会保障资金的良好记录；</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参加政府采购活动前三年内，在经营活动中没有重大违法记录；</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具有法律、行政法规规定的其他条件。</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（二）未被信用中国（</w:t>
      </w:r>
      <w:r>
        <w:rPr>
          <w:rFonts w:asciiTheme="minorEastAsia" w:hAnsiTheme="minorEastAsia" w:eastAsiaTheme="minorEastAsia"/>
          <w:szCs w:val="21"/>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（三）不存在以下情况：</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w:t>
      </w:r>
      <w:r>
        <w:rPr>
          <w:rFonts w:cs="仿宋_GB2312" w:asciiTheme="minorEastAsia" w:hAnsiTheme="minorEastAsia" w:eastAsiaTheme="minorEastAsia"/>
          <w:szCs w:val="21"/>
        </w:rPr>
        <w:t>单位负责人为同一人或者存在直接控股、管理关系的不同供应商参加同一合同项下的政府采购活动的；</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cs="仿宋_GB2312" w:asciiTheme="minorEastAsia" w:hAnsiTheme="minorEastAsia" w:eastAsiaTheme="minorEastAsia"/>
          <w:szCs w:val="21"/>
        </w:rPr>
        <w:t>为采购项目提供整体设计、规范编制或者项目管理、监理、检测等服务后再参加该采购项目的其他采购活动的</w:t>
      </w:r>
      <w:r>
        <w:rPr>
          <w:rFonts w:hint="eastAsia" w:cs="仿宋_GB2312" w:asciiTheme="minorEastAsia" w:hAnsiTheme="minorEastAsia" w:eastAsiaTheme="minorEastAsia"/>
          <w:szCs w:val="21"/>
        </w:rPr>
        <w:t>；</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3、为公益一类事业单位、使用事业编制且由财政拨款保障的群团组织。</w:t>
      </w:r>
    </w:p>
    <w:p>
      <w:pPr>
        <w:pStyle w:val="16"/>
        <w:rPr>
          <w:sz w:val="21"/>
          <w:szCs w:val="21"/>
        </w:rPr>
      </w:pPr>
    </w:p>
    <w:p>
      <w:pPr>
        <w:pStyle w:val="4"/>
        <w:jc w:val="both"/>
        <w:rPr>
          <w:rFonts w:cs="仿宋_GB2312" w:asciiTheme="minorEastAsia" w:hAnsiTheme="minorEastAsia" w:eastAsiaTheme="minorEastAsia"/>
          <w:sz w:val="21"/>
          <w:szCs w:val="21"/>
        </w:rPr>
      </w:pPr>
    </w:p>
    <w:p>
      <w:pPr>
        <w:rPr>
          <w:rFonts w:cs="仿宋_GB2312" w:asciiTheme="minorEastAsia" w:hAnsiTheme="minorEastAsia" w:eastAsiaTheme="minorEastAsia"/>
          <w:szCs w:val="21"/>
        </w:rPr>
      </w:pPr>
    </w:p>
    <w:p>
      <w:pPr>
        <w:adjustRightInd w:val="0"/>
        <w:snapToGrid w:val="0"/>
        <w:spacing w:line="360" w:lineRule="auto"/>
        <w:ind w:left="425"/>
        <w:rPr>
          <w:rFonts w:asciiTheme="minorEastAsia" w:hAnsiTheme="minorEastAsia" w:eastAsiaTheme="minorEastAsia"/>
          <w:spacing w:val="4"/>
          <w:szCs w:val="21"/>
        </w:rPr>
      </w:pPr>
    </w:p>
    <w:p>
      <w:pPr>
        <w:spacing w:line="480" w:lineRule="auto"/>
        <w:ind w:right="420" w:firstLine="5040" w:firstLineChars="2400"/>
        <w:rPr>
          <w:rFonts w:asciiTheme="minorEastAsia" w:hAnsiTheme="minorEastAsia" w:eastAsiaTheme="minorEastAsia"/>
          <w:szCs w:val="21"/>
        </w:rPr>
      </w:pPr>
      <w:r>
        <w:rPr>
          <w:rFonts w:hint="eastAsia" w:asciiTheme="minorEastAsia" w:hAnsiTheme="minorEastAsia" w:eastAsiaTheme="minorEastAsia"/>
          <w:szCs w:val="21"/>
        </w:rPr>
        <w:t xml:space="preserve">投标人（公章）：                                    </w:t>
      </w:r>
    </w:p>
    <w:p>
      <w:pPr>
        <w:spacing w:line="480" w:lineRule="auto"/>
        <w:ind w:right="420" w:firstLine="3045" w:firstLineChars="1450"/>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pPr>
        <w:pStyle w:val="18"/>
        <w:ind w:firstLine="0"/>
        <w:rPr>
          <w:rFonts w:asciiTheme="minorEastAsia" w:hAnsiTheme="minorEastAsia" w:eastAsiaTheme="minorEastAsia"/>
        </w:rPr>
      </w:pPr>
      <w:r>
        <w:rPr>
          <w:rFonts w:hint="eastAsia" w:ascii="宋体" w:hAnsi="宋体" w:cs="宋体"/>
          <w:b/>
          <w:szCs w:val="21"/>
        </w:rPr>
        <w:t>（若为联合体投标，联合体各方须单独提供并盖章）</w:t>
      </w: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pStyle w:val="5"/>
        <w:spacing w:line="380" w:lineRule="exact"/>
        <w:ind w:left="0" w:firstLine="0"/>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br w:type="page"/>
      </w:r>
    </w:p>
    <w:p>
      <w:pPr>
        <w:pStyle w:val="5"/>
        <w:spacing w:line="380" w:lineRule="exact"/>
        <w:ind w:left="0" w:firstLine="0"/>
        <w:rPr>
          <w:rFonts w:asciiTheme="minorEastAsia" w:hAnsiTheme="minorEastAsia" w:eastAsiaTheme="minorEastAsia"/>
          <w:sz w:val="28"/>
          <w:szCs w:val="28"/>
        </w:rPr>
      </w:pPr>
    </w:p>
    <w:p>
      <w:pPr>
        <w:pStyle w:val="5"/>
        <w:spacing w:line="380" w:lineRule="exact"/>
        <w:ind w:left="0" w:firstLine="0"/>
        <w:rPr>
          <w:rFonts w:asciiTheme="minorEastAsia" w:hAnsiTheme="minorEastAsia" w:eastAsiaTheme="minorEastAsia"/>
          <w:sz w:val="28"/>
          <w:szCs w:val="28"/>
        </w:rPr>
      </w:pPr>
      <w:bookmarkStart w:id="141" w:name="_Toc1763"/>
      <w:bookmarkStart w:id="142" w:name="_Toc136017654"/>
      <w:bookmarkStart w:id="143" w:name="_Toc136345115"/>
      <w:r>
        <w:rPr>
          <w:rFonts w:hint="eastAsia" w:asciiTheme="minorEastAsia" w:hAnsiTheme="minorEastAsia" w:eastAsiaTheme="minorEastAsia"/>
          <w:sz w:val="28"/>
          <w:szCs w:val="28"/>
        </w:rPr>
        <w:t>（二）有效的企业法人营业执照（或事业法人登记证）、其他组织（个体工商户的营业执照或者民办非企业单位登记证书复印件。投标人如果有名称变更的，应提供由行政主管部门出具的变更证明文件</w:t>
      </w:r>
      <w:bookmarkEnd w:id="141"/>
      <w:bookmarkEnd w:id="142"/>
      <w:bookmarkEnd w:id="143"/>
    </w:p>
    <w:p>
      <w:pPr>
        <w:pStyle w:val="18"/>
        <w:ind w:firstLine="0"/>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（复印件并加盖公章）</w:t>
      </w: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rPr>
          <w:rFonts w:ascii="宋体" w:hAnsi="宋体" w:cs="宋体"/>
          <w:b/>
          <w:szCs w:val="21"/>
        </w:rPr>
        <w:sectPr>
          <w:headerReference r:id="rId17" w:type="default"/>
          <w:pgSz w:w="11907" w:h="16840"/>
          <w:pgMar w:top="1304" w:right="1588" w:bottom="1418" w:left="1588" w:header="720" w:footer="720" w:gutter="0"/>
          <w:cols w:space="720" w:num="1"/>
          <w:docGrid w:linePitch="285" w:charSpace="0"/>
        </w:sectPr>
      </w:pPr>
      <w:r>
        <w:rPr>
          <w:rFonts w:hint="eastAsia" w:ascii="宋体" w:hAnsi="宋体" w:cs="宋体"/>
          <w:b/>
          <w:szCs w:val="21"/>
        </w:rPr>
        <w:t>（若为联合体投标，联合体各方须单独提供并盖章）</w:t>
      </w:r>
    </w:p>
    <w:p>
      <w:pPr>
        <w:autoSpaceDE w:val="0"/>
        <w:autoSpaceDN w:val="0"/>
        <w:jc w:val="center"/>
        <w:rPr>
          <w:rFonts w:ascii="宋体" w:hAnsi="宋体" w:cs="宋体" w:eastAsiaTheme="minorEastAsia"/>
          <w:b/>
          <w:kern w:val="0"/>
          <w:sz w:val="28"/>
          <w:szCs w:val="28"/>
        </w:rPr>
      </w:pPr>
      <w:r>
        <w:rPr>
          <w:rFonts w:hint="eastAsia" w:asciiTheme="minorEastAsia" w:hAnsiTheme="minorEastAsia" w:eastAsiaTheme="minorEastAsia"/>
          <w:b/>
          <w:sz w:val="24"/>
          <w:szCs w:val="24"/>
        </w:rPr>
        <w:t>（三）</w:t>
      </w:r>
      <w:r>
        <w:rPr>
          <w:rFonts w:hint="eastAsia" w:asciiTheme="minorEastAsia" w:hAnsiTheme="minorEastAsia" w:eastAsiaTheme="minorEastAsia"/>
          <w:b/>
          <w:sz w:val="24"/>
          <w:szCs w:val="24"/>
          <w:lang w:val="zh-CN"/>
        </w:rPr>
        <w:t>联合</w:t>
      </w:r>
      <w:r>
        <w:rPr>
          <w:rFonts w:hint="eastAsia" w:asciiTheme="minorEastAsia" w:hAnsiTheme="minorEastAsia" w:eastAsiaTheme="minorEastAsia"/>
          <w:b/>
          <w:sz w:val="24"/>
          <w:szCs w:val="24"/>
        </w:rPr>
        <w:t>体</w:t>
      </w:r>
      <w:r>
        <w:rPr>
          <w:rFonts w:hint="eastAsia" w:asciiTheme="minorEastAsia" w:hAnsiTheme="minorEastAsia" w:eastAsiaTheme="minorEastAsia"/>
          <w:b/>
          <w:sz w:val="24"/>
          <w:szCs w:val="24"/>
          <w:lang w:val="zh-CN"/>
        </w:rPr>
        <w:t>协议</w:t>
      </w:r>
      <w:r>
        <w:rPr>
          <w:rFonts w:hint="eastAsia" w:asciiTheme="minorEastAsia" w:hAnsiTheme="minorEastAsia" w:eastAsiaTheme="minorEastAsia"/>
          <w:b/>
          <w:sz w:val="24"/>
          <w:szCs w:val="24"/>
        </w:rPr>
        <w:t>书</w:t>
      </w:r>
    </w:p>
    <w:p>
      <w:pPr>
        <w:widowControl/>
        <w:spacing w:line="480" w:lineRule="exact"/>
        <w:ind w:firstLine="422" w:firstLineChars="200"/>
        <w:jc w:val="left"/>
        <w:rPr>
          <w:rFonts w:ascii="宋体" w:hAnsi="宋体" w:cs="宋体"/>
          <w:b/>
          <w:szCs w:val="21"/>
        </w:rPr>
      </w:pPr>
      <w:r>
        <w:rPr>
          <w:rFonts w:hint="eastAsia" w:ascii="宋体" w:hAnsi="宋体" w:cs="宋体"/>
          <w:b/>
          <w:szCs w:val="21"/>
        </w:rPr>
        <w:t>（以联合体形式投标的，提供联合体协议书；本项目不接受联合体投标或者投标人不以联合体形式投标的，则不需要提供；如资格文件中已提供《联合体协议书》的，商务技术文件中无需重复提供）</w:t>
      </w:r>
    </w:p>
    <w:p>
      <w:pPr>
        <w:autoSpaceDE w:val="0"/>
        <w:autoSpaceDN w:val="0"/>
        <w:spacing w:line="336" w:lineRule="auto"/>
        <w:ind w:firstLine="482"/>
        <w:jc w:val="left"/>
        <w:rPr>
          <w:rFonts w:ascii="宋体" w:hAnsi="宋体" w:cs="宋体"/>
          <w:kern w:val="0"/>
          <w:sz w:val="22"/>
          <w:szCs w:val="22"/>
          <w:u w:val="single"/>
          <w:lang w:val="zh-CN" w:bidi="zh-CN"/>
        </w:rPr>
      </w:pPr>
    </w:p>
    <w:p>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u w:val="single"/>
          <w:lang w:val="zh-CN" w:bidi="zh-CN"/>
        </w:rPr>
        <w:t xml:space="preserve">（所有成员单位名称） </w:t>
      </w:r>
      <w:r>
        <w:rPr>
          <w:rFonts w:hint="eastAsia" w:ascii="宋体" w:hAnsi="宋体" w:cs="宋体"/>
          <w:kern w:val="0"/>
          <w:sz w:val="22"/>
          <w:szCs w:val="22"/>
          <w:lang w:val="zh-CN" w:bidi="zh-CN"/>
        </w:rPr>
        <w:t>自愿组成联合体，共同参加</w:t>
      </w:r>
      <w:r>
        <w:rPr>
          <w:rFonts w:hint="eastAsia" w:ascii="宋体" w:hAnsi="宋体" w:cs="宋体"/>
          <w:kern w:val="0"/>
          <w:sz w:val="22"/>
          <w:szCs w:val="22"/>
          <w:u w:val="single"/>
          <w:lang w:val="zh-CN" w:bidi="zh-CN"/>
        </w:rPr>
        <w:t xml:space="preserve">    （招标项目名称） </w:t>
      </w:r>
      <w:r>
        <w:rPr>
          <w:rFonts w:hint="eastAsia" w:ascii="宋体" w:hAnsi="宋体" w:cs="宋体"/>
          <w:kern w:val="0"/>
          <w:sz w:val="22"/>
          <w:szCs w:val="22"/>
          <w:lang w:val="zh-CN" w:bidi="zh-CN"/>
        </w:rPr>
        <w:t>的投标。现就联合体投标事宜订立如下协议。</w:t>
      </w:r>
    </w:p>
    <w:p>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1、</w:t>
      </w:r>
      <w:r>
        <w:rPr>
          <w:rFonts w:hint="eastAsia" w:ascii="宋体" w:hAnsi="宋体" w:cs="宋体"/>
          <w:kern w:val="0"/>
          <w:sz w:val="22"/>
          <w:szCs w:val="22"/>
          <w:u w:val="single"/>
          <w:lang w:val="zh-CN" w:bidi="zh-CN"/>
        </w:rPr>
        <w:t xml:space="preserve">     （某成员单位名称）   </w:t>
      </w:r>
      <w:r>
        <w:rPr>
          <w:rFonts w:hint="eastAsia" w:ascii="宋体" w:hAnsi="宋体" w:cs="宋体"/>
          <w:kern w:val="0"/>
          <w:sz w:val="22"/>
          <w:szCs w:val="22"/>
          <w:lang w:val="zh-CN" w:bidi="zh-CN"/>
        </w:rPr>
        <w:t>为本联合体牵头人。</w:t>
      </w:r>
    </w:p>
    <w:p>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2、联合体牵头人合法代表联合体各成员负责本招标项目投标文件编制、项目负责人委派和合同谈判活动等，代表联合体提交和接受相关的资料、信息，处理与之有关的一切事物，并负责合同实施阶段的主办、组织和协调工作。</w:t>
      </w:r>
    </w:p>
    <w:p>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3、联合体各方共同认可本次投标的所有投标文件组成内容，共同认可本招标文件及合同条款要求，并遵照要求履约、履职。</w:t>
      </w:r>
    </w:p>
    <w:p>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4、联合体将严格按照招标文件的各项要求，提交投标文件，履行合同，并对外承担连带责任。合同违约责任明确时，违约责任由责任方承担；违约责任存在争议时，联合体按照双方职责所占比例承担相应的比例。</w:t>
      </w:r>
    </w:p>
    <w:p>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5、联合体各成员单位内部的职责分工如下：</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 xml:space="preserve"> 。</w:t>
      </w:r>
    </w:p>
    <w:p>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6、联合体牵头人对联合体成员方工作进行检查、管理，承担项目总控责任。</w:t>
      </w:r>
    </w:p>
    <w:p>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val="zh-CN" w:bidi="zh-CN"/>
        </w:rPr>
        <w:t>7、</w:t>
      </w:r>
      <w:r>
        <w:rPr>
          <w:rFonts w:hint="eastAsia" w:ascii="宋体" w:hAnsi="宋体" w:cs="宋体"/>
          <w:kern w:val="0"/>
          <w:sz w:val="22"/>
          <w:szCs w:val="22"/>
          <w:lang w:bidi="zh-CN"/>
        </w:rPr>
        <w:t>实施项目的</w:t>
      </w:r>
      <w:r>
        <w:rPr>
          <w:rFonts w:hint="eastAsia" w:ascii="宋体" w:hAnsi="宋体" w:cs="宋体"/>
          <w:kern w:val="0"/>
          <w:sz w:val="22"/>
          <w:szCs w:val="22"/>
          <w:lang w:val="zh-CN" w:bidi="zh-CN"/>
        </w:rPr>
        <w:t>工作由联合体牵头人主持，本合同范围内相关管理责任（含对联合体成员方的管理）均由牵头人承担。</w:t>
      </w:r>
    </w:p>
    <w:p>
      <w:pPr>
        <w:autoSpaceDE w:val="0"/>
        <w:autoSpaceDN w:val="0"/>
        <w:spacing w:line="336" w:lineRule="auto"/>
        <w:ind w:firstLine="482"/>
        <w:jc w:val="left"/>
        <w:rPr>
          <w:rFonts w:ascii="宋体" w:hAnsi="宋体" w:cs="宋体"/>
          <w:kern w:val="0"/>
          <w:sz w:val="22"/>
          <w:szCs w:val="22"/>
          <w:lang w:bidi="zh-CN"/>
        </w:rPr>
      </w:pPr>
      <w:r>
        <w:rPr>
          <w:rFonts w:hint="eastAsia" w:ascii="宋体" w:hAnsi="宋体" w:cs="宋体"/>
          <w:kern w:val="0"/>
          <w:sz w:val="22"/>
          <w:szCs w:val="22"/>
          <w:lang w:bidi="zh-CN"/>
        </w:rPr>
        <w:t>8、联合体各方共同声明，本项目小微企业的合同份额占到合同金额的</w:t>
      </w:r>
      <w:r>
        <w:rPr>
          <w:rFonts w:hint="eastAsia" w:ascii="宋体" w:hAnsi="宋体" w:cs="宋体"/>
          <w:kern w:val="0"/>
          <w:sz w:val="22"/>
          <w:szCs w:val="22"/>
          <w:u w:val="single"/>
          <w:lang w:bidi="zh-CN"/>
        </w:rPr>
        <w:t xml:space="preserve">     </w:t>
      </w:r>
      <w:r>
        <w:rPr>
          <w:rFonts w:hint="eastAsia" w:ascii="宋体" w:hAnsi="宋体" w:cs="宋体"/>
          <w:kern w:val="0"/>
          <w:sz w:val="22"/>
          <w:szCs w:val="22"/>
          <w:lang w:bidi="zh-CN"/>
        </w:rPr>
        <w:t>%。</w:t>
      </w:r>
    </w:p>
    <w:p>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bidi="zh-CN"/>
        </w:rPr>
        <w:t>9</w:t>
      </w:r>
      <w:r>
        <w:rPr>
          <w:rFonts w:hint="eastAsia" w:ascii="宋体" w:hAnsi="宋体" w:cs="宋体"/>
          <w:kern w:val="0"/>
          <w:sz w:val="22"/>
          <w:szCs w:val="22"/>
          <w:lang w:val="zh-CN" w:bidi="zh-CN"/>
        </w:rPr>
        <w:t>、本协议书自签署之日起生效，合同履行完毕后自动失效。</w:t>
      </w:r>
    </w:p>
    <w:p>
      <w:pPr>
        <w:autoSpaceDE w:val="0"/>
        <w:autoSpaceDN w:val="0"/>
        <w:spacing w:line="336" w:lineRule="auto"/>
        <w:ind w:firstLine="482"/>
        <w:jc w:val="left"/>
        <w:rPr>
          <w:rFonts w:ascii="宋体" w:hAnsi="宋体" w:cs="宋体"/>
          <w:kern w:val="0"/>
          <w:sz w:val="22"/>
          <w:szCs w:val="22"/>
          <w:lang w:val="zh-CN" w:bidi="zh-CN"/>
        </w:rPr>
      </w:pPr>
      <w:r>
        <w:rPr>
          <w:rFonts w:hint="eastAsia" w:ascii="宋体" w:hAnsi="宋体" w:cs="宋体"/>
          <w:kern w:val="0"/>
          <w:sz w:val="22"/>
          <w:szCs w:val="22"/>
          <w:lang w:bidi="zh-CN"/>
        </w:rPr>
        <w:t>10</w:t>
      </w:r>
      <w:r>
        <w:rPr>
          <w:rFonts w:hint="eastAsia" w:ascii="宋体" w:hAnsi="宋体" w:cs="宋体"/>
          <w:kern w:val="0"/>
          <w:sz w:val="22"/>
          <w:szCs w:val="22"/>
          <w:lang w:val="zh-CN" w:bidi="zh-CN"/>
        </w:rPr>
        <w:t>、本协议书一式</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份，联合体成员和招标人各执</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份。</w:t>
      </w:r>
    </w:p>
    <w:p>
      <w:pPr>
        <w:wordWrap w:val="0"/>
        <w:autoSpaceDE w:val="0"/>
        <w:autoSpaceDN w:val="0"/>
        <w:spacing w:line="480" w:lineRule="auto"/>
        <w:jc w:val="right"/>
        <w:rPr>
          <w:rFonts w:ascii="宋体" w:hAnsi="宋体" w:cs="宋体"/>
          <w:kern w:val="0"/>
          <w:sz w:val="22"/>
          <w:szCs w:val="22"/>
          <w:lang w:val="zh-CN" w:bidi="zh-CN"/>
        </w:rPr>
      </w:pPr>
    </w:p>
    <w:p>
      <w:pPr>
        <w:wordWrap w:val="0"/>
        <w:autoSpaceDE w:val="0"/>
        <w:autoSpaceDN w:val="0"/>
        <w:spacing w:line="480" w:lineRule="auto"/>
        <w:jc w:val="right"/>
        <w:rPr>
          <w:rFonts w:ascii="宋体" w:hAnsi="宋体" w:cs="宋体"/>
          <w:kern w:val="0"/>
          <w:sz w:val="22"/>
          <w:szCs w:val="22"/>
          <w:u w:val="single"/>
          <w:lang w:val="zh-CN" w:bidi="zh-CN"/>
        </w:rPr>
      </w:pPr>
      <w:r>
        <w:rPr>
          <w:rFonts w:hint="eastAsia" w:ascii="宋体" w:hAnsi="宋体" w:cs="宋体"/>
          <w:kern w:val="0"/>
          <w:sz w:val="22"/>
          <w:szCs w:val="22"/>
          <w:lang w:val="zh-CN" w:bidi="zh-CN"/>
        </w:rPr>
        <w:t>牵头人名称：</w:t>
      </w:r>
      <w:r>
        <w:rPr>
          <w:rFonts w:hint="eastAsia" w:ascii="宋体" w:hAnsi="宋体" w:cs="宋体"/>
          <w:kern w:val="0"/>
          <w:sz w:val="22"/>
          <w:szCs w:val="22"/>
          <w:u w:val="single"/>
          <w:lang w:val="zh-CN" w:bidi="zh-CN"/>
        </w:rPr>
        <w:t xml:space="preserve">               （盖单位章）</w:t>
      </w:r>
    </w:p>
    <w:p>
      <w:pPr>
        <w:wordWrap w:val="0"/>
        <w:autoSpaceDE w:val="0"/>
        <w:autoSpaceDN w:val="0"/>
        <w:spacing w:line="480" w:lineRule="auto"/>
        <w:jc w:val="right"/>
        <w:rPr>
          <w:rFonts w:ascii="宋体" w:hAnsi="宋体" w:cs="宋体"/>
          <w:kern w:val="0"/>
          <w:sz w:val="22"/>
          <w:szCs w:val="22"/>
          <w:u w:val="single"/>
          <w:lang w:val="zh-CN" w:bidi="zh-CN"/>
        </w:rPr>
      </w:pPr>
      <w:r>
        <w:rPr>
          <w:rFonts w:hint="eastAsia" w:ascii="宋体" w:hAnsi="宋体" w:cs="宋体"/>
          <w:kern w:val="0"/>
          <w:sz w:val="22"/>
          <w:szCs w:val="22"/>
          <w:lang w:val="zh-CN" w:bidi="zh-CN"/>
        </w:rPr>
        <w:t>牵头人法定代表人：</w:t>
      </w:r>
      <w:r>
        <w:rPr>
          <w:rFonts w:hint="eastAsia" w:ascii="宋体" w:hAnsi="宋体" w:cs="宋体"/>
          <w:kern w:val="0"/>
          <w:sz w:val="22"/>
          <w:szCs w:val="22"/>
          <w:u w:val="single"/>
          <w:lang w:val="zh-CN" w:bidi="zh-CN"/>
        </w:rPr>
        <w:t xml:space="preserve">       （签字或盖章）</w:t>
      </w:r>
    </w:p>
    <w:p>
      <w:pPr>
        <w:wordWrap w:val="0"/>
        <w:autoSpaceDE w:val="0"/>
        <w:autoSpaceDN w:val="0"/>
        <w:spacing w:line="480" w:lineRule="auto"/>
        <w:jc w:val="right"/>
        <w:rPr>
          <w:rFonts w:ascii="宋体" w:hAnsi="宋体" w:cs="宋体"/>
          <w:kern w:val="0"/>
          <w:sz w:val="22"/>
          <w:szCs w:val="22"/>
          <w:u w:val="single"/>
          <w:lang w:val="zh-CN" w:bidi="zh-CN"/>
        </w:rPr>
      </w:pPr>
      <w:r>
        <w:rPr>
          <w:rFonts w:hint="eastAsia" w:ascii="宋体" w:hAnsi="宋体" w:cs="宋体"/>
          <w:kern w:val="0"/>
          <w:sz w:val="22"/>
          <w:szCs w:val="22"/>
          <w:lang w:val="zh-CN" w:bidi="zh-CN"/>
        </w:rPr>
        <w:t>成员方名称：</w:t>
      </w:r>
      <w:r>
        <w:rPr>
          <w:rFonts w:hint="eastAsia" w:ascii="宋体" w:hAnsi="宋体" w:cs="宋体"/>
          <w:kern w:val="0"/>
          <w:sz w:val="22"/>
          <w:szCs w:val="22"/>
          <w:u w:val="single"/>
          <w:lang w:val="zh-CN" w:bidi="zh-CN"/>
        </w:rPr>
        <w:t xml:space="preserve">               （盖单位章）</w:t>
      </w:r>
    </w:p>
    <w:p>
      <w:pPr>
        <w:wordWrap w:val="0"/>
        <w:autoSpaceDE w:val="0"/>
        <w:autoSpaceDN w:val="0"/>
        <w:spacing w:line="480" w:lineRule="auto"/>
        <w:jc w:val="right"/>
        <w:rPr>
          <w:rFonts w:ascii="宋体" w:hAnsi="宋体" w:cs="宋体"/>
          <w:kern w:val="0"/>
          <w:sz w:val="22"/>
          <w:szCs w:val="22"/>
          <w:u w:val="single"/>
          <w:lang w:val="zh-CN" w:bidi="zh-CN"/>
        </w:rPr>
      </w:pPr>
      <w:r>
        <w:rPr>
          <w:rFonts w:hint="eastAsia" w:ascii="宋体" w:hAnsi="宋体" w:cs="宋体"/>
          <w:kern w:val="0"/>
          <w:sz w:val="22"/>
          <w:szCs w:val="22"/>
          <w:lang w:val="zh-CN" w:bidi="zh-CN"/>
        </w:rPr>
        <w:t>成员方法定代表人：</w:t>
      </w:r>
      <w:r>
        <w:rPr>
          <w:rFonts w:hint="eastAsia" w:ascii="宋体" w:hAnsi="宋体" w:cs="宋体"/>
          <w:kern w:val="0"/>
          <w:sz w:val="22"/>
          <w:szCs w:val="22"/>
          <w:u w:val="single"/>
          <w:lang w:val="zh-CN" w:bidi="zh-CN"/>
        </w:rPr>
        <w:t xml:space="preserve">       （签字或盖章）</w:t>
      </w:r>
    </w:p>
    <w:p>
      <w:pPr>
        <w:autoSpaceDE w:val="0"/>
        <w:autoSpaceDN w:val="0"/>
        <w:spacing w:line="480" w:lineRule="auto"/>
        <w:jc w:val="right"/>
        <w:rPr>
          <w:rFonts w:ascii="宋体" w:hAnsi="宋体" w:cs="宋体"/>
          <w:kern w:val="0"/>
          <w:sz w:val="22"/>
          <w:szCs w:val="22"/>
          <w:lang w:val="zh-CN" w:bidi="zh-CN"/>
        </w:rPr>
      </w:pPr>
      <w:r>
        <w:rPr>
          <w:rFonts w:hint="eastAsia" w:ascii="宋体" w:hAnsi="宋体" w:cs="宋体"/>
          <w:kern w:val="0"/>
          <w:sz w:val="22"/>
          <w:szCs w:val="22"/>
          <w:lang w:val="zh-CN" w:bidi="zh-CN"/>
        </w:rPr>
        <w:t>日期：</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 xml:space="preserve"> 年 </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 xml:space="preserve">月 </w:t>
      </w:r>
      <w:r>
        <w:rPr>
          <w:rFonts w:hint="eastAsia" w:ascii="宋体" w:hAnsi="宋体" w:cs="宋体"/>
          <w:kern w:val="0"/>
          <w:sz w:val="22"/>
          <w:szCs w:val="22"/>
          <w:u w:val="single"/>
          <w:lang w:val="zh-CN" w:bidi="zh-CN"/>
        </w:rPr>
        <w:t xml:space="preserve">     </w:t>
      </w:r>
      <w:r>
        <w:rPr>
          <w:rFonts w:hint="eastAsia" w:ascii="宋体" w:hAnsi="宋体" w:cs="宋体"/>
          <w:kern w:val="0"/>
          <w:sz w:val="22"/>
          <w:szCs w:val="22"/>
          <w:lang w:val="zh-CN" w:bidi="zh-CN"/>
        </w:rPr>
        <w:t>日</w:t>
      </w:r>
    </w:p>
    <w:p>
      <w:pPr>
        <w:rPr>
          <w:rFonts w:asciiTheme="minorEastAsia" w:hAnsiTheme="minorEastAsia" w:eastAsiaTheme="minorEastAsia"/>
        </w:rPr>
      </w:pPr>
      <w:r>
        <w:rPr>
          <w:rFonts w:hint="eastAsia" w:ascii="宋体" w:hAnsi="宋体" w:cs="宋体"/>
          <w:b/>
          <w:bCs/>
          <w:kern w:val="0"/>
          <w:sz w:val="22"/>
          <w:szCs w:val="22"/>
          <w:lang w:val="zh-CN" w:bidi="zh-CN"/>
        </w:rPr>
        <w:t>注：联合体协议书需由联合体各方共同出具并签署盖章。</w:t>
      </w:r>
      <w:r>
        <w:rPr>
          <w:rFonts w:asciiTheme="minorEastAsia" w:hAnsiTheme="minorEastAsia" w:eastAsiaTheme="minorEastAsia"/>
        </w:rPr>
        <w:br w:type="page"/>
      </w:r>
    </w:p>
    <w:p>
      <w:pPr>
        <w:autoSpaceDE w:val="0"/>
        <w:autoSpaceDN w:val="0"/>
        <w:jc w:val="center"/>
        <w:rPr>
          <w:rFonts w:ascii="宋体" w:hAnsi="宋体" w:cs="宋体"/>
          <w:b/>
          <w:kern w:val="0"/>
          <w:sz w:val="28"/>
          <w:szCs w:val="28"/>
        </w:rPr>
      </w:pPr>
    </w:p>
    <w:p>
      <w:pPr>
        <w:autoSpaceDE w:val="0"/>
        <w:autoSpaceDN w:val="0"/>
        <w:jc w:val="center"/>
        <w:rPr>
          <w:rFonts w:ascii="宋体" w:hAnsi="宋体" w:cs="宋体"/>
          <w:b/>
          <w:kern w:val="0"/>
          <w:sz w:val="28"/>
          <w:szCs w:val="28"/>
        </w:rPr>
      </w:pPr>
      <w:r>
        <w:rPr>
          <w:rFonts w:hint="eastAsia" w:ascii="宋体" w:hAnsi="宋体" w:cs="宋体"/>
          <w:b/>
          <w:kern w:val="0"/>
          <w:sz w:val="28"/>
          <w:szCs w:val="28"/>
        </w:rPr>
        <w:t>（四）落实政府采购政策需满足的资格要求</w:t>
      </w:r>
    </w:p>
    <w:p>
      <w:pPr>
        <w:spacing w:line="360" w:lineRule="auto"/>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（根据招标公告</w:t>
      </w:r>
      <w:r>
        <w:rPr>
          <w:rFonts w:hint="eastAsia" w:asciiTheme="minorEastAsia" w:hAnsiTheme="minorEastAsia" w:eastAsiaTheme="minorEastAsia"/>
          <w:b/>
          <w:bCs/>
          <w:sz w:val="24"/>
        </w:rPr>
        <w:t>落实政府采购政策需满足的资格要求选择提供相应的材料；未要求的，无需提供</w:t>
      </w:r>
      <w:r>
        <w:rPr>
          <w:rFonts w:hint="eastAsia" w:cs="仿宋_GB2312" w:asciiTheme="minorEastAsia" w:hAnsiTheme="minorEastAsia" w:eastAsiaTheme="minorEastAsia"/>
          <w:b/>
          <w:bCs/>
          <w:sz w:val="24"/>
        </w:rPr>
        <w:t>）</w:t>
      </w:r>
    </w:p>
    <w:p>
      <w:pPr>
        <w:spacing w:line="360" w:lineRule="auto"/>
        <w:rPr>
          <w:rFonts w:cs="仿宋_GB2312" w:asciiTheme="minorEastAsia" w:hAnsiTheme="minorEastAsia" w:eastAsiaTheme="minorEastAsia"/>
          <w:szCs w:val="21"/>
        </w:rPr>
      </w:pPr>
    </w:p>
    <w:p>
      <w:pPr>
        <w:spacing w:line="360" w:lineRule="auto"/>
        <w:rPr>
          <w:rFonts w:hint="eastAsia" w:eastAsia="宋体" w:cs="仿宋_GB2312" w:asciiTheme="minorEastAsia" w:hAnsiTheme="minorEastAsia"/>
          <w:szCs w:val="21"/>
          <w:lang w:eastAsia="zh-CN"/>
        </w:rPr>
      </w:pPr>
      <w:r>
        <w:rPr>
          <w:rFonts w:hint="eastAsia" w:ascii="宋体" w:hAnsi="宋体"/>
          <w:u w:val="single"/>
        </w:rPr>
        <w:t>本项目属于专门面向中小企业采购的项目，服务全部由符合政策要求的中小企业承接，提供中小企业声明函</w:t>
      </w:r>
      <w:r>
        <w:rPr>
          <w:rFonts w:hint="eastAsia" w:ascii="宋体" w:hAnsi="宋体"/>
        </w:rPr>
        <w:t>；</w:t>
      </w:r>
      <w:r>
        <w:rPr>
          <w:rFonts w:hint="eastAsia" w:ascii="宋体" w:hAnsi="宋体"/>
          <w:lang w:eastAsia="zh-CN"/>
        </w:rPr>
        <w:t>（</w:t>
      </w:r>
      <w:r>
        <w:rPr>
          <w:rFonts w:hint="eastAsia" w:ascii="宋体" w:hAnsi="宋体"/>
          <w:lang w:val="en-US" w:eastAsia="zh-CN"/>
        </w:rPr>
        <w:t>附件1</w:t>
      </w:r>
      <w:r>
        <w:rPr>
          <w:rFonts w:hint="eastAsia" w:ascii="宋体" w:hAnsi="宋体"/>
          <w:lang w:eastAsia="zh-CN"/>
        </w:rPr>
        <w:t>）</w:t>
      </w:r>
    </w:p>
    <w:p>
      <w:pPr>
        <w:pStyle w:val="5"/>
        <w:spacing w:line="380" w:lineRule="exact"/>
        <w:rPr>
          <w:rFonts w:asciiTheme="minorEastAsia" w:hAnsiTheme="minorEastAsia" w:eastAsiaTheme="minorEastAsia"/>
          <w:sz w:val="28"/>
          <w:szCs w:val="28"/>
        </w:rPr>
      </w:pPr>
    </w:p>
    <w:p>
      <w:pPr>
        <w:rPr>
          <w:rFonts w:asciiTheme="minorEastAsia" w:hAnsiTheme="minorEastAsia" w:eastAsiaTheme="minorEastAsia"/>
          <w:sz w:val="28"/>
          <w:szCs w:val="28"/>
        </w:rPr>
      </w:pPr>
    </w:p>
    <w:p>
      <w:pPr>
        <w:pStyle w:val="16"/>
        <w:rPr>
          <w:rFonts w:asciiTheme="minorEastAsia" w:hAnsiTheme="minorEastAsia" w:eastAsiaTheme="minorEastAsia"/>
          <w:sz w:val="28"/>
          <w:szCs w:val="28"/>
        </w:rPr>
      </w:pPr>
    </w:p>
    <w:p>
      <w:pPr>
        <w:rPr>
          <w:rFonts w:asciiTheme="minorEastAsia" w:hAnsiTheme="minorEastAsia" w:eastAsiaTheme="minorEastAsia"/>
          <w:sz w:val="28"/>
          <w:szCs w:val="28"/>
        </w:rPr>
      </w:pPr>
    </w:p>
    <w:p>
      <w:pPr>
        <w:pStyle w:val="16"/>
        <w:rPr>
          <w:rFonts w:asciiTheme="minorEastAsia" w:hAnsiTheme="minorEastAsia" w:eastAsiaTheme="minorEastAsia"/>
          <w:sz w:val="28"/>
          <w:szCs w:val="28"/>
        </w:rPr>
      </w:pPr>
    </w:p>
    <w:p>
      <w:pPr>
        <w:rPr>
          <w:rFonts w:asciiTheme="minorEastAsia" w:hAnsiTheme="minorEastAsia" w:eastAsiaTheme="minorEastAsia"/>
          <w:sz w:val="28"/>
          <w:szCs w:val="28"/>
        </w:rPr>
      </w:pPr>
    </w:p>
    <w:p>
      <w:pPr>
        <w:pStyle w:val="16"/>
      </w:pPr>
    </w:p>
    <w:p>
      <w:pPr>
        <w:pStyle w:val="5"/>
        <w:spacing w:line="380" w:lineRule="exact"/>
        <w:rPr>
          <w:rFonts w:asciiTheme="minorEastAsia" w:hAnsiTheme="minorEastAsia" w:eastAsiaTheme="minorEastAsia"/>
          <w:sz w:val="28"/>
          <w:szCs w:val="28"/>
        </w:rPr>
      </w:pPr>
      <w:bookmarkStart w:id="144" w:name="_Toc136345118"/>
      <w:bookmarkStart w:id="145" w:name="_Toc136017657"/>
      <w:bookmarkStart w:id="146" w:name="_Toc9360"/>
      <w:r>
        <w:rPr>
          <w:rFonts w:hint="eastAsia" w:asciiTheme="minorEastAsia" w:hAnsiTheme="minorEastAsia" w:eastAsiaTheme="minorEastAsia"/>
          <w:sz w:val="28"/>
          <w:szCs w:val="28"/>
        </w:rPr>
        <w:t>（五）投标人的特定条件的证明文件</w:t>
      </w:r>
      <w:bookmarkEnd w:id="144"/>
      <w:bookmarkEnd w:id="145"/>
      <w:bookmarkEnd w:id="146"/>
    </w:p>
    <w:p>
      <w:pPr>
        <w:pStyle w:val="5"/>
        <w:spacing w:line="380" w:lineRule="exact"/>
        <w:rPr>
          <w:rFonts w:cs="仿宋_GB2312" w:asciiTheme="minorEastAsia" w:hAnsiTheme="minorEastAsia" w:eastAsiaTheme="minorEastAsia"/>
          <w:b w:val="0"/>
          <w:bCs w:val="0"/>
          <w:kern w:val="2"/>
          <w:sz w:val="24"/>
          <w:szCs w:val="20"/>
        </w:rPr>
      </w:pPr>
      <w:bookmarkStart w:id="147" w:name="_Toc136017658"/>
      <w:bookmarkStart w:id="148" w:name="_Toc136345119"/>
      <w:bookmarkStart w:id="149" w:name="_Toc10559"/>
      <w:r>
        <w:rPr>
          <w:rFonts w:hint="eastAsia" w:cs="仿宋_GB2312" w:asciiTheme="minorEastAsia" w:hAnsiTheme="minorEastAsia" w:eastAsiaTheme="minorEastAsia"/>
          <w:b w:val="0"/>
          <w:bCs w:val="0"/>
          <w:kern w:val="2"/>
          <w:sz w:val="24"/>
          <w:szCs w:val="20"/>
        </w:rPr>
        <w:t>（根据招标公告本项目的特定资格要求提供相应的材料）</w:t>
      </w:r>
      <w:bookmarkEnd w:id="147"/>
      <w:bookmarkEnd w:id="148"/>
      <w:bookmarkEnd w:id="149"/>
    </w:p>
    <w:p>
      <w:pPr>
        <w:widowControl/>
        <w:jc w:val="left"/>
        <w:rPr>
          <w:rFonts w:asciiTheme="minorEastAsia" w:hAnsiTheme="minorEastAsia" w:eastAsiaTheme="minorEastAsia"/>
          <w:b/>
          <w:bCs/>
          <w:sz w:val="24"/>
          <w:szCs w:val="24"/>
        </w:rPr>
      </w:pPr>
    </w:p>
    <w:p>
      <w:pPr>
        <w:widowControl/>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pPr>
        <w:widowControl/>
        <w:spacing w:line="360" w:lineRule="auto"/>
        <w:jc w:val="left"/>
        <w:rPr>
          <w:rFonts w:asciiTheme="minorEastAsia" w:hAnsiTheme="minorEastAsia" w:eastAsiaTheme="minorEastAsia"/>
          <w:bCs/>
          <w:sz w:val="24"/>
          <w:szCs w:val="24"/>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 xml:space="preserve">商务技术文件组成： </w:t>
      </w:r>
    </w:p>
    <w:p>
      <w:pPr>
        <w:widowControl/>
        <w:spacing w:line="360" w:lineRule="auto"/>
        <w:ind w:firstLine="420" w:firstLineChars="200"/>
        <w:jc w:val="left"/>
      </w:pPr>
      <w:r>
        <w:rPr>
          <w:rFonts w:hint="eastAsia"/>
        </w:rPr>
        <w:t>（1）单位负责人的身份证明或单位负责人授权书（投标人的代表若不为单位负责人的，必须提交单位负责人授权书），并提供单位负责人和授权代表的身份证正反两面复印件；</w:t>
      </w:r>
    </w:p>
    <w:p>
      <w:pPr>
        <w:widowControl/>
        <w:spacing w:line="360" w:lineRule="auto"/>
        <w:ind w:firstLine="420" w:firstLineChars="200"/>
        <w:jc w:val="left"/>
      </w:pPr>
      <w:r>
        <w:rPr>
          <w:rFonts w:hint="eastAsia"/>
        </w:rPr>
        <w:t>（2）投标人基本情况表；</w:t>
      </w:r>
    </w:p>
    <w:p>
      <w:pPr>
        <w:widowControl/>
        <w:spacing w:line="360" w:lineRule="auto"/>
        <w:ind w:firstLine="420" w:firstLineChars="200"/>
        <w:jc w:val="left"/>
      </w:pPr>
      <w:r>
        <w:rPr>
          <w:rFonts w:hint="eastAsia"/>
        </w:rPr>
        <w:t>（3）技术条款偏离表；</w:t>
      </w:r>
    </w:p>
    <w:p>
      <w:pPr>
        <w:widowControl/>
        <w:spacing w:line="360" w:lineRule="auto"/>
        <w:ind w:firstLine="420" w:firstLineChars="200"/>
        <w:jc w:val="left"/>
      </w:pPr>
      <w:r>
        <w:rPr>
          <w:rFonts w:hint="eastAsia"/>
        </w:rPr>
        <w:t>（4）商务条款偏离表；</w:t>
      </w:r>
    </w:p>
    <w:p>
      <w:pPr>
        <w:widowControl/>
        <w:spacing w:line="360" w:lineRule="auto"/>
        <w:ind w:firstLine="420" w:firstLineChars="200"/>
        <w:jc w:val="left"/>
        <w:rPr>
          <w:rFonts w:cs="宋体" w:asciiTheme="minorEastAsia" w:hAnsiTheme="minorEastAsia" w:eastAsiaTheme="minorEastAsia"/>
          <w:kern w:val="0"/>
          <w:szCs w:val="21"/>
        </w:rPr>
      </w:pPr>
      <w:r>
        <w:rPr>
          <w:rFonts w:hint="eastAsia"/>
        </w:rPr>
        <w:t>（5）第六部分“评标办法”中“评分标准”要求提供的资料（如有需提供）。</w:t>
      </w:r>
    </w:p>
    <w:p>
      <w:pPr>
        <w:widowControl/>
        <w:spacing w:line="360" w:lineRule="auto"/>
        <w:ind w:firstLine="480" w:firstLineChars="200"/>
        <w:jc w:val="left"/>
        <w:rPr>
          <w:rFonts w:cs="宋体" w:asciiTheme="minorEastAsia" w:hAnsiTheme="minorEastAsia" w:eastAsiaTheme="minorEastAsia"/>
          <w:kern w:val="0"/>
          <w:sz w:val="24"/>
        </w:rPr>
      </w:pPr>
    </w:p>
    <w:p>
      <w:pPr>
        <w:widowControl/>
        <w:ind w:firstLine="484" w:firstLineChars="202"/>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pPr>
        <w:pStyle w:val="4"/>
        <w:spacing w:line="380" w:lineRule="exact"/>
        <w:rPr>
          <w:rFonts w:asciiTheme="minorEastAsia" w:hAnsiTheme="minorEastAsia" w:eastAsiaTheme="minorEastAsia"/>
          <w:bCs w:val="0"/>
          <w:sz w:val="24"/>
          <w:szCs w:val="24"/>
        </w:rPr>
      </w:pPr>
    </w:p>
    <w:p>
      <w:pPr>
        <w:pStyle w:val="4"/>
        <w:spacing w:line="380" w:lineRule="exact"/>
        <w:rPr>
          <w:rFonts w:asciiTheme="minorEastAsia" w:hAnsiTheme="minorEastAsia" w:eastAsiaTheme="minorEastAsia"/>
          <w:bCs w:val="0"/>
          <w:sz w:val="24"/>
          <w:szCs w:val="24"/>
        </w:rPr>
      </w:pPr>
      <w:bookmarkStart w:id="150" w:name="_Toc7679"/>
      <w:bookmarkStart w:id="151" w:name="_Toc136345120"/>
      <w:bookmarkStart w:id="152" w:name="_Toc136017659"/>
      <w:r>
        <w:rPr>
          <w:rFonts w:hint="eastAsia" w:asciiTheme="minorEastAsia" w:hAnsiTheme="minorEastAsia" w:eastAsiaTheme="minorEastAsia"/>
          <w:bCs w:val="0"/>
          <w:sz w:val="24"/>
          <w:szCs w:val="24"/>
        </w:rPr>
        <w:t>（一）单位负责人授权书</w:t>
      </w:r>
      <w:bookmarkEnd w:id="150"/>
      <w:bookmarkEnd w:id="151"/>
      <w:bookmarkEnd w:id="152"/>
    </w:p>
    <w:p>
      <w:pPr>
        <w:pStyle w:val="18"/>
        <w:ind w:firstLine="0"/>
        <w:jc w:val="center"/>
        <w:rPr>
          <w:rFonts w:asciiTheme="minorEastAsia" w:hAnsiTheme="minorEastAsia" w:eastAsiaTheme="minorEastAsia"/>
        </w:rPr>
      </w:pPr>
      <w:r>
        <w:rPr>
          <w:rFonts w:hint="eastAsia" w:cs="宋体" w:asciiTheme="minorEastAsia" w:hAnsiTheme="minorEastAsia" w:eastAsiaTheme="minorEastAsia"/>
          <w:bCs/>
          <w:sz w:val="24"/>
        </w:rPr>
        <w:t>（单位负责人来投标的，此表不用）</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 （</w:t>
      </w:r>
      <w:r>
        <w:rPr>
          <w:rFonts w:hint="eastAsia" w:asciiTheme="minorEastAsia" w:hAnsiTheme="minorEastAsia" w:eastAsiaTheme="minorEastAsia"/>
          <w:i/>
          <w:sz w:val="21"/>
          <w:szCs w:val="21"/>
          <w:u w:val="single"/>
        </w:rPr>
        <w:t>采购代理机构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pStyle w:val="18"/>
        <w:ind w:firstLine="0"/>
        <w:rPr>
          <w:rFonts w:asciiTheme="minorEastAsia" w:hAnsiTheme="minorEastAsia" w:eastAsiaTheme="minorEastAsia"/>
          <w:sz w:val="21"/>
          <w:szCs w:val="21"/>
        </w:rPr>
      </w:pPr>
    </w:p>
    <w:p>
      <w:pPr>
        <w:snapToGrid w:val="0"/>
        <w:spacing w:line="360" w:lineRule="auto"/>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现</w:t>
      </w:r>
      <w:r>
        <w:rPr>
          <w:rFonts w:hint="eastAsia" w:cs="仿宋_GB2312" w:asciiTheme="minorEastAsia" w:hAnsiTheme="minorEastAsia" w:eastAsiaTheme="minorEastAsia"/>
          <w:kern w:val="0"/>
          <w:szCs w:val="21"/>
          <w:lang w:val="zh-CN"/>
        </w:rPr>
        <w:t>委托</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（姓名）为我方代理人（身份证号码：</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，手机：</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），以我方名义处理</w:t>
      </w:r>
      <w:r>
        <w:rPr>
          <w:rFonts w:hint="eastAsia" w:cs="仿宋_GB2312" w:asciiTheme="minorEastAsia" w:hAnsiTheme="minorEastAsia" w:eastAsiaTheme="minorEastAsia"/>
          <w:kern w:val="0"/>
          <w:szCs w:val="21"/>
          <w:u w:val="single"/>
        </w:rPr>
        <w:t xml:space="preserve">               </w:t>
      </w:r>
      <w:r>
        <w:rPr>
          <w:rFonts w:hint="eastAsia" w:asciiTheme="minorEastAsia" w:hAnsiTheme="minorEastAsia" w:eastAsiaTheme="minorEastAsia"/>
          <w:szCs w:val="21"/>
        </w:rPr>
        <w:t>项目</w:t>
      </w:r>
      <w:r>
        <w:rPr>
          <w:rFonts w:hint="eastAsia" w:cs="仿宋_GB2312" w:asciiTheme="minorEastAsia" w:hAnsiTheme="minorEastAsia" w:eastAsiaTheme="minorEastAsia"/>
          <w:szCs w:val="21"/>
        </w:rPr>
        <w:t>【招标编号：</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kern w:val="0"/>
          <w:szCs w:val="21"/>
          <w:lang w:val="zh-CN"/>
        </w:rPr>
        <w:t>政府采购投标的一切事项，其法律后果由我方承担。</w:t>
      </w:r>
    </w:p>
    <w:p>
      <w:pPr>
        <w:snapToGrid w:val="0"/>
        <w:spacing w:line="360" w:lineRule="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lang w:val="zh-CN"/>
        </w:rPr>
        <w:t>委托期限</w:t>
      </w:r>
      <w:r>
        <w:rPr>
          <w:rFonts w:hint="eastAsia" w:cs="仿宋_GB2312" w:asciiTheme="minorEastAsia" w:hAnsiTheme="minorEastAsia" w:eastAsiaTheme="minorEastAsia"/>
          <w:kern w:val="0"/>
          <w:szCs w:val="21"/>
        </w:rPr>
        <w:t>：</w:t>
      </w:r>
      <w:r>
        <w:rPr>
          <w:rFonts w:hint="eastAsia" w:cs="仿宋_GB2312" w:asciiTheme="minorEastAsia" w:hAnsiTheme="minorEastAsia" w:eastAsiaTheme="minorEastAsia"/>
          <w:kern w:val="0"/>
          <w:szCs w:val="21"/>
          <w:lang w:val="zh-CN"/>
        </w:rPr>
        <w:t>自</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年</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月</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日起至</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年</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月</w:t>
      </w:r>
      <w:r>
        <w:rPr>
          <w:rFonts w:hint="eastAsia" w:cs="仿宋_GB2312" w:asciiTheme="minorEastAsia" w:hAnsiTheme="minorEastAsia" w:eastAsiaTheme="minorEastAsia"/>
          <w:kern w:val="0"/>
          <w:szCs w:val="21"/>
          <w:u w:val="single"/>
        </w:rPr>
        <w:t xml:space="preserve">   </w:t>
      </w:r>
      <w:r>
        <w:rPr>
          <w:rFonts w:hint="eastAsia" w:cs="仿宋_GB2312" w:asciiTheme="minorEastAsia" w:hAnsiTheme="minorEastAsia" w:eastAsiaTheme="minorEastAsia"/>
          <w:kern w:val="0"/>
          <w:szCs w:val="21"/>
          <w:lang w:val="zh-CN"/>
        </w:rPr>
        <w:t>日止。</w:t>
      </w:r>
    </w:p>
    <w:p>
      <w:pPr>
        <w:pStyle w:val="18"/>
        <w:ind w:firstLine="420"/>
      </w:pPr>
      <w:r>
        <w:rPr>
          <w:rFonts w:hint="eastAsia" w:cs="仿宋_GB2312" w:asciiTheme="minorEastAsia" w:hAnsiTheme="minorEastAsia" w:eastAsiaTheme="minorEastAsia"/>
          <w:sz w:val="21"/>
          <w:szCs w:val="21"/>
          <w:lang w:val="zh-CN"/>
        </w:rPr>
        <w:t>特此告知。</w:t>
      </w:r>
    </w:p>
    <w:p>
      <w:pPr>
        <w:pStyle w:val="37"/>
        <w:ind w:left="0" w:leftChars="0" w:firstLine="0" w:firstLineChars="0"/>
      </w:pPr>
    </w:p>
    <w:p>
      <w:pPr>
        <w:spacing w:line="440" w:lineRule="exact"/>
        <w:rPr>
          <w:rFonts w:ascii="宋体" w:hAnsi="宋体" w:cs="宋体"/>
          <w:szCs w:val="21"/>
        </w:rPr>
      </w:pPr>
      <w:r>
        <w:rPr>
          <w:rFonts w:hint="eastAsia" w:ascii="宋体" w:hAnsi="宋体" w:cs="宋体"/>
          <w:szCs w:val="21"/>
        </w:rPr>
        <w:t>附：</w:t>
      </w:r>
    </w:p>
    <w:p>
      <w:pPr>
        <w:pStyle w:val="16"/>
        <w:spacing w:line="440" w:lineRule="exact"/>
        <w:rPr>
          <w:rFonts w:ascii="宋体" w:hAnsi="宋体" w:cs="宋体"/>
          <w:u w:val="single"/>
        </w:rPr>
      </w:pPr>
      <w:r>
        <w:rPr>
          <w:rFonts w:hint="eastAsia" w:ascii="宋体" w:hAnsi="宋体" w:cs="宋体"/>
        </w:rPr>
        <w:t>授权代表姓名：</w:t>
      </w:r>
      <w:r>
        <w:rPr>
          <w:rFonts w:hint="eastAsia" w:ascii="宋体" w:hAnsi="宋体" w:cs="宋体"/>
          <w:u w:val="single"/>
        </w:rPr>
        <w:t xml:space="preserve">      </w:t>
      </w:r>
      <w:r>
        <w:rPr>
          <w:rFonts w:hint="eastAsia" w:ascii="宋体" w:hAnsi="宋体" w:cs="宋体"/>
        </w:rPr>
        <w:t xml:space="preserve"> 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w:t>
      </w:r>
    </w:p>
    <w:p>
      <w:pPr>
        <w:spacing w:line="440" w:lineRule="exact"/>
        <w:rPr>
          <w:rFonts w:ascii="宋体" w:hAnsi="宋体" w:cs="宋体"/>
          <w:szCs w:val="21"/>
          <w:u w:val="single"/>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投标人（联合体成员）单位全称（公章）：</w:t>
      </w:r>
    </w:p>
    <w:p>
      <w:pPr>
        <w:pStyle w:val="18"/>
        <w:ind w:firstLine="4410" w:firstLineChars="2100"/>
        <w:rPr>
          <w:rFonts w:asciiTheme="minorEastAsia" w:hAnsiTheme="minorEastAsia" w:eastAsiaTheme="minorEastAsia"/>
          <w:sz w:val="21"/>
          <w:szCs w:val="21"/>
        </w:rPr>
      </w:pPr>
      <w:r>
        <w:rPr>
          <w:rFonts w:hint="eastAsia" w:asciiTheme="minorEastAsia" w:hAnsiTheme="minorEastAsia" w:eastAsiaTheme="minorEastAsia"/>
          <w:sz w:val="21"/>
          <w:szCs w:val="21"/>
        </w:rPr>
        <w:t>单位负责人（签字或印章）：</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投标人（联合体成员）单位全称（公章）：</w:t>
      </w:r>
    </w:p>
    <w:p>
      <w:pPr>
        <w:pStyle w:val="18"/>
        <w:ind w:firstLine="4410" w:firstLineChars="2100"/>
        <w:rPr>
          <w:rFonts w:asciiTheme="minorEastAsia" w:hAnsiTheme="minorEastAsia" w:eastAsiaTheme="minorEastAsia"/>
          <w:i/>
          <w:iCs/>
          <w:sz w:val="21"/>
          <w:szCs w:val="21"/>
        </w:rPr>
      </w:pPr>
      <w:r>
        <w:rPr>
          <w:rFonts w:hint="eastAsia" w:asciiTheme="minorEastAsia" w:hAnsiTheme="minorEastAsia" w:eastAsiaTheme="minorEastAsia"/>
          <w:sz w:val="21"/>
          <w:szCs w:val="21"/>
        </w:rPr>
        <w:t>单位负责人（签字或印章）：</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日  期：</w:t>
      </w:r>
    </w:p>
    <w:p>
      <w:pPr>
        <w:ind w:firstLine="417" w:firstLineChars="198"/>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附：被授权人身份证复印件</w:t>
      </w:r>
    </w:p>
    <w:p>
      <w:pPr>
        <w:widowControl/>
        <w:jc w:val="left"/>
        <w:rPr>
          <w:rFonts w:asciiTheme="minorEastAsia" w:hAnsiTheme="minorEastAsia" w:eastAsiaTheme="minorEastAsia"/>
          <w:b/>
          <w:szCs w:val="21"/>
        </w:rPr>
      </w:pPr>
    </w:p>
    <w:p>
      <w:pPr>
        <w:widowControl/>
        <w:jc w:val="left"/>
        <w:rPr>
          <w:rFonts w:asciiTheme="minorEastAsia" w:hAnsiTheme="minorEastAsia" w:eastAsiaTheme="minorEastAsia"/>
          <w:b/>
          <w:szCs w:val="21"/>
        </w:rPr>
      </w:pPr>
    </w:p>
    <w:p>
      <w:pPr>
        <w:widowControl/>
        <w:jc w:val="left"/>
        <w:rPr>
          <w:rFonts w:asciiTheme="minorEastAsia" w:hAnsiTheme="minorEastAsia" w:eastAsiaTheme="minorEastAsia"/>
          <w:b/>
          <w:szCs w:val="21"/>
        </w:rPr>
      </w:pPr>
      <w:r>
        <w:rPr>
          <w:rFonts w:hint="eastAsia" w:ascii="宋体" w:hAnsi="宋体" w:cs="宋体"/>
          <w:b/>
          <w:szCs w:val="21"/>
        </w:rPr>
        <w:t>（若为联合体投标，联合体须同时盖章提供）</w:t>
      </w:r>
      <w:r>
        <w:rPr>
          <w:rFonts w:asciiTheme="minorEastAsia" w:hAnsiTheme="minorEastAsia" w:eastAsiaTheme="minorEastAsia"/>
          <w:b/>
          <w:szCs w:val="21"/>
        </w:rPr>
        <w:br w:type="page"/>
      </w:r>
    </w:p>
    <w:p>
      <w:pPr>
        <w:pStyle w:val="4"/>
        <w:spacing w:line="380" w:lineRule="exact"/>
        <w:rPr>
          <w:rFonts w:asciiTheme="minorEastAsia" w:hAnsiTheme="minorEastAsia" w:eastAsiaTheme="minorEastAsia"/>
          <w:bCs w:val="0"/>
          <w:sz w:val="24"/>
          <w:szCs w:val="24"/>
        </w:rPr>
      </w:pPr>
    </w:p>
    <w:p>
      <w:pPr>
        <w:pStyle w:val="4"/>
        <w:spacing w:line="380" w:lineRule="exact"/>
        <w:rPr>
          <w:rFonts w:asciiTheme="minorEastAsia" w:hAnsiTheme="minorEastAsia" w:eastAsiaTheme="minorEastAsia"/>
          <w:bCs w:val="0"/>
          <w:sz w:val="24"/>
          <w:szCs w:val="24"/>
        </w:rPr>
      </w:pPr>
      <w:bookmarkStart w:id="153" w:name="_Toc136017660"/>
      <w:bookmarkStart w:id="154" w:name="_Toc136345121"/>
      <w:bookmarkStart w:id="155" w:name="_Toc9093"/>
      <w:r>
        <w:rPr>
          <w:rFonts w:hint="eastAsia" w:asciiTheme="minorEastAsia" w:hAnsiTheme="minorEastAsia" w:eastAsiaTheme="minorEastAsia"/>
          <w:bCs w:val="0"/>
          <w:sz w:val="24"/>
          <w:szCs w:val="24"/>
        </w:rPr>
        <w:t>单位负责人身份证明</w:t>
      </w:r>
      <w:bookmarkEnd w:id="153"/>
      <w:bookmarkEnd w:id="154"/>
      <w:bookmarkEnd w:id="155"/>
    </w:p>
    <w:p>
      <w:pPr>
        <w:pStyle w:val="18"/>
        <w:ind w:firstLine="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（单位负责人不来投标的，此表不用）</w:t>
      </w:r>
    </w:p>
    <w:p>
      <w:pPr>
        <w:spacing w:line="480" w:lineRule="auto"/>
        <w:ind w:firstLine="420" w:firstLineChars="200"/>
        <w:rPr>
          <w:rFonts w:cs="宋体" w:asciiTheme="minorEastAsia" w:hAnsiTheme="minorEastAsia" w:eastAsiaTheme="minorEastAsia"/>
          <w:szCs w:val="21"/>
        </w:rPr>
      </w:pP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投标人名称：</w:t>
      </w:r>
      <w:r>
        <w:rPr>
          <w:rFonts w:hint="eastAsia" w:ascii="宋体" w:hAnsi="宋体" w:cs="宋体"/>
          <w:kern w:val="0"/>
          <w:szCs w:val="21"/>
          <w:u w:val="single"/>
          <w:lang w:val="zh-CN" w:bidi="zh-CN"/>
        </w:rPr>
        <w:t xml:space="preserve">                                      </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单位性质：</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 xml:space="preserve"> </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地址：</w:t>
      </w:r>
      <w:r>
        <w:rPr>
          <w:rFonts w:hint="eastAsia" w:ascii="宋体" w:hAnsi="宋体" w:cs="宋体"/>
          <w:kern w:val="0"/>
          <w:szCs w:val="21"/>
          <w:u w:val="single"/>
          <w:lang w:val="zh-CN" w:bidi="zh-CN"/>
        </w:rPr>
        <w:t xml:space="preserve">                                              </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成立时间：</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年</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月</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＿日</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经营期限：</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 xml:space="preserve"> </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姓名：</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性别：</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年龄：</w:t>
      </w:r>
      <w:r>
        <w:rPr>
          <w:rFonts w:hint="eastAsia" w:ascii="宋体" w:hAnsi="宋体" w:cs="宋体"/>
          <w:kern w:val="0"/>
          <w:szCs w:val="21"/>
          <w:u w:val="single"/>
          <w:lang w:val="zh-CN" w:bidi="zh-CN"/>
        </w:rPr>
        <w:t xml:space="preserve">    周岁  </w:t>
      </w:r>
      <w:r>
        <w:rPr>
          <w:rFonts w:hint="eastAsia" w:ascii="宋体" w:hAnsi="宋体" w:cs="宋体"/>
          <w:kern w:val="0"/>
          <w:szCs w:val="21"/>
          <w:lang w:val="zh-CN" w:bidi="zh-CN"/>
        </w:rPr>
        <w:t>职务：</w:t>
      </w:r>
      <w:r>
        <w:rPr>
          <w:rFonts w:hint="eastAsia" w:ascii="宋体" w:hAnsi="宋体" w:cs="宋体"/>
          <w:kern w:val="0"/>
          <w:szCs w:val="21"/>
          <w:u w:val="single"/>
          <w:lang w:val="zh-CN" w:bidi="zh-CN"/>
        </w:rPr>
        <w:t xml:space="preserve">      </w:t>
      </w:r>
    </w:p>
    <w:p>
      <w:pPr>
        <w:autoSpaceDE w:val="0"/>
        <w:autoSpaceDN w:val="0"/>
        <w:spacing w:line="480" w:lineRule="auto"/>
        <w:ind w:firstLine="420" w:firstLineChars="200"/>
        <w:jc w:val="left"/>
        <w:rPr>
          <w:rFonts w:ascii="宋体" w:hAnsi="宋体" w:cs="宋体"/>
          <w:kern w:val="0"/>
          <w:szCs w:val="21"/>
          <w:u w:val="single"/>
          <w:lang w:val="zh-CN" w:bidi="zh-CN"/>
        </w:rPr>
      </w:pPr>
      <w:r>
        <w:rPr>
          <w:rFonts w:hint="eastAsia" w:ascii="宋体" w:hAnsi="宋体" w:cs="宋体"/>
          <w:kern w:val="0"/>
          <w:szCs w:val="21"/>
          <w:lang w:val="zh-CN" w:bidi="zh-CN"/>
        </w:rPr>
        <w:t>身份证号码：</w:t>
      </w:r>
      <w:r>
        <w:rPr>
          <w:rFonts w:hint="eastAsia" w:ascii="宋体" w:hAnsi="宋体" w:cs="宋体"/>
          <w:kern w:val="0"/>
          <w:szCs w:val="21"/>
          <w:u w:val="single"/>
          <w:lang w:val="zh-CN" w:bidi="zh-CN"/>
        </w:rPr>
        <w:t xml:space="preserve">                   </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系</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（投标人名称）的法定代表人。</w:t>
      </w:r>
    </w:p>
    <w:p>
      <w:pPr>
        <w:autoSpaceDE w:val="0"/>
        <w:autoSpaceDN w:val="0"/>
        <w:spacing w:line="480" w:lineRule="auto"/>
        <w:ind w:firstLine="840" w:firstLineChars="400"/>
        <w:jc w:val="left"/>
        <w:rPr>
          <w:rFonts w:ascii="宋体" w:hAnsi="宋体" w:cs="宋体"/>
          <w:kern w:val="0"/>
          <w:szCs w:val="21"/>
          <w:lang w:val="zh-CN" w:bidi="zh-CN"/>
        </w:rPr>
      </w:pPr>
      <w:r>
        <w:rPr>
          <w:rFonts w:hint="eastAsia" w:ascii="宋体" w:hAnsi="宋体" w:cs="宋体"/>
          <w:kern w:val="0"/>
          <w:szCs w:val="21"/>
          <w:lang w:val="zh-CN" w:bidi="zh-CN"/>
        </w:rPr>
        <w:t>特此证明。</w:t>
      </w:r>
    </w:p>
    <w:p>
      <w:pPr>
        <w:autoSpaceDE w:val="0"/>
        <w:autoSpaceDN w:val="0"/>
        <w:spacing w:line="360" w:lineRule="auto"/>
        <w:ind w:firstLine="420" w:firstLineChars="200"/>
        <w:jc w:val="left"/>
        <w:rPr>
          <w:rFonts w:ascii="宋体" w:hAnsi="宋体" w:cs="宋体"/>
          <w:kern w:val="0"/>
          <w:szCs w:val="21"/>
          <w:lang w:val="zh-CN" w:bidi="zh-CN"/>
        </w:rPr>
      </w:pPr>
    </w:p>
    <w:p>
      <w:pPr>
        <w:autoSpaceDE w:val="0"/>
        <w:autoSpaceDN w:val="0"/>
        <w:spacing w:line="360" w:lineRule="auto"/>
        <w:ind w:firstLine="420" w:firstLineChars="200"/>
        <w:jc w:val="left"/>
        <w:rPr>
          <w:rFonts w:ascii="宋体" w:hAnsi="宋体" w:cs="宋体"/>
          <w:kern w:val="0"/>
          <w:szCs w:val="21"/>
          <w:lang w:val="zh-CN" w:bidi="zh-CN"/>
        </w:rPr>
      </w:pPr>
    </w:p>
    <w:p>
      <w:pPr>
        <w:wordWrap w:val="0"/>
        <w:autoSpaceDE w:val="0"/>
        <w:autoSpaceDN w:val="0"/>
        <w:spacing w:line="360" w:lineRule="auto"/>
        <w:jc w:val="right"/>
        <w:rPr>
          <w:rFonts w:ascii="宋体" w:hAnsi="宋体" w:cs="宋体"/>
          <w:kern w:val="0"/>
          <w:szCs w:val="21"/>
          <w:lang w:val="zh-CN" w:bidi="zh-CN"/>
        </w:rPr>
      </w:pPr>
      <w:r>
        <w:rPr>
          <w:rFonts w:hint="eastAsia" w:ascii="宋体" w:hAnsi="宋体" w:cs="宋体"/>
          <w:kern w:val="0"/>
          <w:szCs w:val="21"/>
          <w:lang w:val="zh-CN" w:bidi="zh-CN"/>
        </w:rPr>
        <w:t>投标人：</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（盖单位公章）</w:t>
      </w:r>
    </w:p>
    <w:p>
      <w:pPr>
        <w:autoSpaceDE w:val="0"/>
        <w:autoSpaceDN w:val="0"/>
        <w:spacing w:line="360" w:lineRule="auto"/>
        <w:ind w:firstLine="4515" w:firstLineChars="2150"/>
        <w:jc w:val="left"/>
        <w:rPr>
          <w:rFonts w:ascii="宋体" w:hAnsi="宋体" w:cs="宋体"/>
          <w:kern w:val="0"/>
          <w:szCs w:val="21"/>
          <w:u w:val="single"/>
          <w:lang w:val="zh-CN" w:bidi="zh-CN"/>
        </w:rPr>
      </w:pPr>
    </w:p>
    <w:p>
      <w:pPr>
        <w:spacing w:line="360" w:lineRule="auto"/>
        <w:ind w:firstLine="3675" w:firstLineChars="1750"/>
        <w:rPr>
          <w:rFonts w:cs="宋体" w:asciiTheme="minorEastAsia" w:hAnsiTheme="minorEastAsia" w:eastAsiaTheme="minorEastAsia"/>
          <w:szCs w:val="21"/>
        </w:rPr>
      </w:pP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年</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月</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日</w:t>
      </w: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b/>
          <w:szCs w:val="21"/>
        </w:rPr>
      </w:pPr>
    </w:p>
    <w:p>
      <w:pPr>
        <w:spacing w:line="360" w:lineRule="auto"/>
        <w:rPr>
          <w:rFonts w:cs="宋体" w:asciiTheme="minorEastAsia" w:hAnsiTheme="minorEastAsia" w:eastAsiaTheme="minorEastAsia"/>
          <w:b/>
          <w:szCs w:val="21"/>
        </w:rPr>
      </w:pP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附法定代表人身份证复印件（正反面）：</w:t>
      </w:r>
    </w:p>
    <w:p>
      <w:pPr>
        <w:rPr>
          <w:rFonts w:cs="宋体" w:asciiTheme="minorEastAsia" w:hAnsiTheme="minorEastAsia" w:eastAsiaTheme="minorEastAsia"/>
        </w:rPr>
      </w:pPr>
    </w:p>
    <w:p>
      <w:pPr>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ind w:firstLine="205" w:firstLineChars="98"/>
        <w:rPr>
          <w:rFonts w:asciiTheme="minorEastAsia" w:hAnsiTheme="minorEastAsia" w:eastAsiaTheme="minorEastAsia"/>
        </w:rPr>
      </w:pPr>
    </w:p>
    <w:p>
      <w:pPr>
        <w:rPr>
          <w:rFonts w:asciiTheme="minorEastAsia" w:hAnsiTheme="minorEastAsia" w:eastAsiaTheme="minorEastAsia"/>
        </w:rPr>
        <w:sectPr>
          <w:pgSz w:w="11907" w:h="16840"/>
          <w:pgMar w:top="1304" w:right="1588" w:bottom="1418" w:left="1588" w:header="720" w:footer="720" w:gutter="0"/>
          <w:cols w:space="720" w:num="1"/>
          <w:docGrid w:linePitch="285" w:charSpace="0"/>
        </w:sectPr>
      </w:pPr>
    </w:p>
    <w:p>
      <w:pPr>
        <w:rPr>
          <w:rFonts w:asciiTheme="minorEastAsia" w:hAnsiTheme="minorEastAsia" w:eastAsiaTheme="minorEastAsia"/>
        </w:rPr>
      </w:pPr>
    </w:p>
    <w:p>
      <w:pPr>
        <w:pStyle w:val="4"/>
        <w:spacing w:line="380" w:lineRule="exact"/>
        <w:rPr>
          <w:rFonts w:asciiTheme="minorEastAsia" w:hAnsiTheme="minorEastAsia" w:eastAsiaTheme="minorEastAsia"/>
          <w:bCs w:val="0"/>
          <w:sz w:val="24"/>
          <w:szCs w:val="24"/>
        </w:rPr>
      </w:pPr>
      <w:bookmarkStart w:id="156" w:name="_Toc136017661"/>
      <w:bookmarkStart w:id="157" w:name="_Toc136345122"/>
      <w:bookmarkStart w:id="158" w:name="_Toc25355"/>
      <w:r>
        <w:rPr>
          <w:rFonts w:hint="eastAsia" w:asciiTheme="minorEastAsia" w:hAnsiTheme="minorEastAsia" w:eastAsiaTheme="minorEastAsia"/>
          <w:bCs w:val="0"/>
          <w:sz w:val="24"/>
          <w:szCs w:val="24"/>
        </w:rPr>
        <w:t>（二）投标人基本情况表</w:t>
      </w:r>
      <w:bookmarkEnd w:id="156"/>
      <w:bookmarkEnd w:id="157"/>
      <w:bookmarkEnd w:id="158"/>
    </w:p>
    <w:tbl>
      <w:tblPr>
        <w:tblStyle w:val="3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投标人名称</w:t>
            </w:r>
          </w:p>
        </w:tc>
        <w:tc>
          <w:tcPr>
            <w:tcW w:w="7149" w:type="dxa"/>
            <w:gridSpan w:val="8"/>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注册地址</w:t>
            </w:r>
          </w:p>
        </w:tc>
        <w:tc>
          <w:tcPr>
            <w:tcW w:w="3347" w:type="dxa"/>
            <w:gridSpan w:val="3"/>
            <w:vAlign w:val="center"/>
          </w:tcPr>
          <w:p>
            <w:pPr>
              <w:pStyle w:val="125"/>
              <w:jc w:val="center"/>
              <w:rPr>
                <w:rFonts w:asciiTheme="minorEastAsia" w:hAnsiTheme="minorEastAsia" w:eastAsiaTheme="minorEastAsia"/>
                <w:sz w:val="24"/>
                <w:szCs w:val="24"/>
                <w:lang w:val="en-US"/>
              </w:rPr>
            </w:pPr>
          </w:p>
        </w:tc>
        <w:tc>
          <w:tcPr>
            <w:tcW w:w="1268" w:type="dxa"/>
            <w:gridSpan w:val="2"/>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邮政编码</w:t>
            </w:r>
          </w:p>
        </w:tc>
        <w:tc>
          <w:tcPr>
            <w:tcW w:w="2534" w:type="dxa"/>
            <w:gridSpan w:val="3"/>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联系方式</w:t>
            </w:r>
          </w:p>
        </w:tc>
        <w:tc>
          <w:tcPr>
            <w:tcW w:w="85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联系人</w:t>
            </w:r>
          </w:p>
        </w:tc>
        <w:tc>
          <w:tcPr>
            <w:tcW w:w="2496" w:type="dxa"/>
            <w:gridSpan w:val="2"/>
            <w:vAlign w:val="center"/>
          </w:tcPr>
          <w:p>
            <w:pPr>
              <w:pStyle w:val="125"/>
              <w:jc w:val="center"/>
              <w:rPr>
                <w:rFonts w:asciiTheme="minorEastAsia" w:hAnsiTheme="minorEastAsia" w:eastAsiaTheme="minorEastAsia"/>
                <w:sz w:val="24"/>
                <w:szCs w:val="24"/>
                <w:lang w:val="en-US"/>
              </w:rPr>
            </w:pPr>
          </w:p>
        </w:tc>
        <w:tc>
          <w:tcPr>
            <w:tcW w:w="1268" w:type="dxa"/>
            <w:gridSpan w:val="2"/>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2534" w:type="dxa"/>
            <w:gridSpan w:val="3"/>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pPr>
              <w:pStyle w:val="125"/>
              <w:jc w:val="center"/>
              <w:rPr>
                <w:rFonts w:asciiTheme="minorEastAsia" w:hAnsiTheme="minorEastAsia" w:eastAsiaTheme="minorEastAsia"/>
                <w:sz w:val="24"/>
                <w:szCs w:val="24"/>
                <w:lang w:val="en-US"/>
              </w:rPr>
            </w:pPr>
          </w:p>
        </w:tc>
        <w:tc>
          <w:tcPr>
            <w:tcW w:w="85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传真</w:t>
            </w:r>
          </w:p>
        </w:tc>
        <w:tc>
          <w:tcPr>
            <w:tcW w:w="2496" w:type="dxa"/>
            <w:gridSpan w:val="2"/>
            <w:vAlign w:val="center"/>
          </w:tcPr>
          <w:p>
            <w:pPr>
              <w:pStyle w:val="125"/>
              <w:jc w:val="center"/>
              <w:rPr>
                <w:rFonts w:asciiTheme="minorEastAsia" w:hAnsiTheme="minorEastAsia" w:eastAsiaTheme="minorEastAsia"/>
                <w:sz w:val="24"/>
                <w:szCs w:val="24"/>
                <w:lang w:val="en-US"/>
              </w:rPr>
            </w:pPr>
          </w:p>
        </w:tc>
        <w:tc>
          <w:tcPr>
            <w:tcW w:w="1268" w:type="dxa"/>
            <w:gridSpan w:val="2"/>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电子邮址</w:t>
            </w:r>
          </w:p>
        </w:tc>
        <w:tc>
          <w:tcPr>
            <w:tcW w:w="2534" w:type="dxa"/>
            <w:gridSpan w:val="3"/>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法定代表人</w:t>
            </w:r>
          </w:p>
        </w:tc>
        <w:tc>
          <w:tcPr>
            <w:tcW w:w="85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pPr>
              <w:pStyle w:val="125"/>
              <w:jc w:val="center"/>
              <w:rPr>
                <w:rFonts w:asciiTheme="minorEastAsia" w:hAnsiTheme="minorEastAsia" w:eastAsiaTheme="minorEastAsia"/>
                <w:sz w:val="24"/>
                <w:szCs w:val="24"/>
                <w:lang w:val="en-US"/>
              </w:rPr>
            </w:pPr>
          </w:p>
        </w:tc>
        <w:tc>
          <w:tcPr>
            <w:tcW w:w="1220"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pPr>
              <w:pStyle w:val="125"/>
              <w:jc w:val="center"/>
              <w:rPr>
                <w:rFonts w:asciiTheme="minorEastAsia" w:hAnsiTheme="minorEastAsia" w:eastAsiaTheme="minorEastAsia"/>
                <w:sz w:val="24"/>
                <w:szCs w:val="24"/>
                <w:lang w:val="en-US"/>
              </w:rPr>
            </w:pPr>
          </w:p>
        </w:tc>
        <w:tc>
          <w:tcPr>
            <w:tcW w:w="794"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技术负责人</w:t>
            </w:r>
          </w:p>
        </w:tc>
        <w:tc>
          <w:tcPr>
            <w:tcW w:w="85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pPr>
              <w:pStyle w:val="125"/>
              <w:jc w:val="center"/>
              <w:rPr>
                <w:rFonts w:asciiTheme="minorEastAsia" w:hAnsiTheme="minorEastAsia" w:eastAsiaTheme="minorEastAsia"/>
                <w:sz w:val="24"/>
                <w:szCs w:val="24"/>
                <w:lang w:val="en-US"/>
              </w:rPr>
            </w:pPr>
          </w:p>
        </w:tc>
        <w:tc>
          <w:tcPr>
            <w:tcW w:w="1220"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pPr>
              <w:pStyle w:val="125"/>
              <w:jc w:val="center"/>
              <w:rPr>
                <w:rFonts w:asciiTheme="minorEastAsia" w:hAnsiTheme="minorEastAsia" w:eastAsiaTheme="minorEastAsia"/>
                <w:sz w:val="24"/>
                <w:szCs w:val="24"/>
                <w:lang w:val="en-US"/>
              </w:rPr>
            </w:pPr>
          </w:p>
        </w:tc>
        <w:tc>
          <w:tcPr>
            <w:tcW w:w="794"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成立时间</w:t>
            </w:r>
          </w:p>
        </w:tc>
        <w:tc>
          <w:tcPr>
            <w:tcW w:w="3347" w:type="dxa"/>
            <w:gridSpan w:val="3"/>
            <w:vAlign w:val="center"/>
          </w:tcPr>
          <w:p>
            <w:pPr>
              <w:pStyle w:val="125"/>
              <w:jc w:val="center"/>
              <w:rPr>
                <w:rFonts w:asciiTheme="minorEastAsia" w:hAnsiTheme="minorEastAsia" w:eastAsiaTheme="minorEastAsia"/>
                <w:sz w:val="24"/>
                <w:szCs w:val="24"/>
                <w:lang w:val="en-US"/>
              </w:rPr>
            </w:pPr>
          </w:p>
        </w:tc>
        <w:tc>
          <w:tcPr>
            <w:tcW w:w="3802" w:type="dxa"/>
            <w:gridSpan w:val="5"/>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pPr>
              <w:pStyle w:val="125"/>
              <w:jc w:val="center"/>
              <w:rPr>
                <w:rFonts w:asciiTheme="minorEastAsia" w:hAnsiTheme="minorEastAsia" w:eastAsiaTheme="minorEastAsia"/>
                <w:sz w:val="24"/>
                <w:szCs w:val="24"/>
                <w:lang w:val="en-US"/>
              </w:rPr>
            </w:pPr>
            <w:r>
              <w:rPr>
                <w:rFonts w:asciiTheme="minorEastAsia" w:hAnsiTheme="minorEastAsia" w:eastAsiaTheme="minorEastAsia"/>
                <w:sz w:val="24"/>
                <w:szCs w:val="24"/>
                <w:lang w:val="en-US"/>
              </w:rPr>
              <w:t>资质</w:t>
            </w:r>
            <w:r>
              <w:rPr>
                <w:rFonts w:hint="eastAsia" w:asciiTheme="minorEastAsia" w:hAnsiTheme="minorEastAsia" w:eastAsiaTheme="minorEastAsia"/>
                <w:sz w:val="24"/>
                <w:szCs w:val="24"/>
                <w:lang w:val="en-US"/>
              </w:rPr>
              <w:t>资格与业务范围</w:t>
            </w:r>
          </w:p>
        </w:tc>
        <w:tc>
          <w:tcPr>
            <w:tcW w:w="3347" w:type="dxa"/>
            <w:gridSpan w:val="3"/>
            <w:vMerge w:val="restart"/>
            <w:vAlign w:val="center"/>
          </w:tcPr>
          <w:p>
            <w:pPr>
              <w:pStyle w:val="125"/>
              <w:jc w:val="center"/>
              <w:rPr>
                <w:rFonts w:asciiTheme="minorEastAsia" w:hAnsiTheme="minorEastAsia" w:eastAsiaTheme="minorEastAsia"/>
                <w:sz w:val="24"/>
                <w:szCs w:val="24"/>
                <w:lang w:val="en-US"/>
              </w:rPr>
            </w:pPr>
          </w:p>
        </w:tc>
        <w:tc>
          <w:tcPr>
            <w:tcW w:w="892" w:type="dxa"/>
            <w:vMerge w:val="restart"/>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其中</w:t>
            </w:r>
          </w:p>
        </w:tc>
        <w:tc>
          <w:tcPr>
            <w:tcW w:w="1715" w:type="dxa"/>
            <w:gridSpan w:val="3"/>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高级职称</w:t>
            </w:r>
          </w:p>
        </w:tc>
        <w:tc>
          <w:tcPr>
            <w:tcW w:w="1195" w:type="dxa"/>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pPr>
              <w:pStyle w:val="125"/>
              <w:jc w:val="center"/>
              <w:rPr>
                <w:rFonts w:asciiTheme="minorEastAsia" w:hAnsiTheme="minorEastAsia" w:eastAsiaTheme="minorEastAsia"/>
                <w:sz w:val="24"/>
                <w:szCs w:val="24"/>
                <w:lang w:val="en-US"/>
              </w:rPr>
            </w:pPr>
          </w:p>
        </w:tc>
        <w:tc>
          <w:tcPr>
            <w:tcW w:w="3347" w:type="dxa"/>
            <w:gridSpan w:val="3"/>
            <w:vMerge w:val="continue"/>
            <w:vAlign w:val="center"/>
          </w:tcPr>
          <w:p>
            <w:pPr>
              <w:pStyle w:val="125"/>
              <w:jc w:val="center"/>
              <w:rPr>
                <w:rFonts w:asciiTheme="minorEastAsia" w:hAnsiTheme="minorEastAsia" w:eastAsiaTheme="minorEastAsia"/>
                <w:sz w:val="24"/>
                <w:szCs w:val="24"/>
                <w:lang w:val="en-US"/>
              </w:rPr>
            </w:pPr>
          </w:p>
        </w:tc>
        <w:tc>
          <w:tcPr>
            <w:tcW w:w="892" w:type="dxa"/>
            <w:vMerge w:val="continue"/>
            <w:vAlign w:val="center"/>
          </w:tcPr>
          <w:p>
            <w:pPr>
              <w:pStyle w:val="125"/>
              <w:jc w:val="center"/>
              <w:rPr>
                <w:rFonts w:asciiTheme="minorEastAsia" w:hAnsiTheme="minorEastAsia" w:eastAsiaTheme="minorEastAsia"/>
                <w:sz w:val="24"/>
                <w:szCs w:val="24"/>
                <w:lang w:val="en-US"/>
              </w:rPr>
            </w:pPr>
          </w:p>
        </w:tc>
        <w:tc>
          <w:tcPr>
            <w:tcW w:w="1715" w:type="dxa"/>
            <w:gridSpan w:val="3"/>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中级职称</w:t>
            </w:r>
          </w:p>
        </w:tc>
        <w:tc>
          <w:tcPr>
            <w:tcW w:w="1195" w:type="dxa"/>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营业执照号</w:t>
            </w:r>
          </w:p>
        </w:tc>
        <w:tc>
          <w:tcPr>
            <w:tcW w:w="3347" w:type="dxa"/>
            <w:gridSpan w:val="3"/>
            <w:vAlign w:val="center"/>
          </w:tcPr>
          <w:p>
            <w:pPr>
              <w:pStyle w:val="125"/>
              <w:jc w:val="center"/>
              <w:rPr>
                <w:rFonts w:asciiTheme="minorEastAsia" w:hAnsiTheme="minorEastAsia" w:eastAsiaTheme="minorEastAsia"/>
                <w:sz w:val="24"/>
                <w:szCs w:val="24"/>
                <w:lang w:val="en-US"/>
              </w:rPr>
            </w:pPr>
          </w:p>
        </w:tc>
        <w:tc>
          <w:tcPr>
            <w:tcW w:w="892" w:type="dxa"/>
            <w:vMerge w:val="continue"/>
            <w:vAlign w:val="center"/>
          </w:tcPr>
          <w:p>
            <w:pPr>
              <w:pStyle w:val="125"/>
              <w:jc w:val="center"/>
              <w:rPr>
                <w:rFonts w:asciiTheme="minorEastAsia" w:hAnsiTheme="minorEastAsia" w:eastAsiaTheme="minorEastAsia"/>
                <w:sz w:val="24"/>
                <w:szCs w:val="24"/>
                <w:lang w:val="en-US"/>
              </w:rPr>
            </w:pPr>
          </w:p>
        </w:tc>
        <w:tc>
          <w:tcPr>
            <w:tcW w:w="1715" w:type="dxa"/>
            <w:gridSpan w:val="3"/>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各类注册人员</w:t>
            </w:r>
          </w:p>
        </w:tc>
        <w:tc>
          <w:tcPr>
            <w:tcW w:w="1195" w:type="dxa"/>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注册资金</w:t>
            </w:r>
          </w:p>
        </w:tc>
        <w:tc>
          <w:tcPr>
            <w:tcW w:w="7149" w:type="dxa"/>
            <w:gridSpan w:val="8"/>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基本账户开户银行</w:t>
            </w:r>
          </w:p>
        </w:tc>
        <w:tc>
          <w:tcPr>
            <w:tcW w:w="7149" w:type="dxa"/>
            <w:gridSpan w:val="8"/>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基本账户账号</w:t>
            </w:r>
          </w:p>
        </w:tc>
        <w:tc>
          <w:tcPr>
            <w:tcW w:w="7149" w:type="dxa"/>
            <w:gridSpan w:val="8"/>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经营范围</w:t>
            </w:r>
          </w:p>
        </w:tc>
        <w:tc>
          <w:tcPr>
            <w:tcW w:w="7149" w:type="dxa"/>
            <w:gridSpan w:val="8"/>
            <w:vAlign w:val="center"/>
          </w:tcPr>
          <w:p>
            <w:pPr>
              <w:pStyle w:val="125"/>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pPr>
              <w:pStyle w:val="125"/>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备注</w:t>
            </w:r>
          </w:p>
        </w:tc>
        <w:tc>
          <w:tcPr>
            <w:tcW w:w="7149" w:type="dxa"/>
            <w:gridSpan w:val="8"/>
            <w:vAlign w:val="center"/>
          </w:tcPr>
          <w:p>
            <w:pPr>
              <w:pStyle w:val="125"/>
              <w:jc w:val="center"/>
              <w:rPr>
                <w:rFonts w:asciiTheme="minorEastAsia" w:hAnsiTheme="minorEastAsia" w:eastAsiaTheme="minorEastAsia"/>
                <w:sz w:val="24"/>
                <w:szCs w:val="24"/>
                <w:lang w:val="en-US"/>
              </w:rPr>
            </w:pPr>
          </w:p>
        </w:tc>
      </w:tr>
    </w:tbl>
    <w:p>
      <w:pPr>
        <w:spacing w:line="380" w:lineRule="exact"/>
        <w:rPr>
          <w:rFonts w:asciiTheme="minorEastAsia" w:hAnsiTheme="minorEastAsia" w:eastAsiaTheme="minorEastAsia"/>
          <w:sz w:val="22"/>
          <w:szCs w:val="22"/>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pPr>
        <w:rPr>
          <w:rFonts w:asciiTheme="minorEastAsia" w:hAnsiTheme="minorEastAsia" w:eastAsiaTheme="minorEastAsia"/>
        </w:rPr>
      </w:pPr>
    </w:p>
    <w:p>
      <w:pPr>
        <w:rPr>
          <w:rFonts w:asciiTheme="minorEastAsia" w:hAnsiTheme="minorEastAsia" w:eastAsiaTheme="minorEastAsia"/>
        </w:rPr>
      </w:pPr>
    </w:p>
    <w:p>
      <w:pPr>
        <w:rPr>
          <w:rFonts w:ascii="宋体" w:hAnsi="宋体" w:cs="宋体"/>
          <w:b/>
          <w:szCs w:val="21"/>
        </w:rPr>
      </w:pPr>
      <w:r>
        <w:rPr>
          <w:rFonts w:hint="eastAsia" w:ascii="宋体" w:hAnsi="宋体" w:cs="宋体"/>
          <w:b/>
          <w:szCs w:val="21"/>
        </w:rPr>
        <w:t>（若为联合体投标，联合体各方须单独提供并盖章）</w:t>
      </w:r>
    </w:p>
    <w:p>
      <w:pPr>
        <w:rPr>
          <w:rFonts w:ascii="宋体" w:hAnsi="宋体" w:cs="宋体"/>
          <w:b/>
          <w:szCs w:val="21"/>
        </w:rPr>
      </w:pPr>
      <w:r>
        <w:rPr>
          <w:rFonts w:hint="eastAsia" w:ascii="宋体" w:hAnsi="宋体" w:cs="宋体"/>
          <w:b/>
          <w:szCs w:val="21"/>
        </w:rPr>
        <w:br w:type="page"/>
      </w:r>
    </w:p>
    <w:p>
      <w:pPr>
        <w:pStyle w:val="4"/>
        <w:spacing w:line="380" w:lineRule="exact"/>
        <w:rPr>
          <w:rFonts w:asciiTheme="minorEastAsia" w:hAnsiTheme="minorEastAsia" w:eastAsiaTheme="minorEastAsia"/>
          <w:bCs w:val="0"/>
          <w:sz w:val="24"/>
          <w:szCs w:val="24"/>
        </w:rPr>
      </w:pPr>
      <w:bookmarkStart w:id="159" w:name="_Toc136017664"/>
      <w:bookmarkStart w:id="160" w:name="_Toc136345125"/>
      <w:bookmarkStart w:id="161" w:name="_Toc483"/>
      <w:r>
        <w:rPr>
          <w:rFonts w:hint="eastAsia" w:asciiTheme="minorEastAsia" w:hAnsiTheme="minorEastAsia" w:eastAsiaTheme="minorEastAsia"/>
          <w:bCs w:val="0"/>
          <w:sz w:val="24"/>
          <w:szCs w:val="24"/>
        </w:rPr>
        <w:t>（三）技术条款偏离表</w:t>
      </w:r>
      <w:bookmarkEnd w:id="159"/>
      <w:bookmarkEnd w:id="160"/>
      <w:bookmarkEnd w:id="161"/>
    </w:p>
    <w:tbl>
      <w:tblPr>
        <w:tblStyle w:val="3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3360"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招标文件技术要求</w:t>
            </w:r>
          </w:p>
        </w:tc>
        <w:tc>
          <w:tcPr>
            <w:tcW w:w="290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投标文件对应规格</w:t>
            </w:r>
          </w:p>
        </w:tc>
        <w:tc>
          <w:tcPr>
            <w:tcW w:w="157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p>
        </w:tc>
        <w:tc>
          <w:tcPr>
            <w:tcW w:w="3360" w:type="dxa"/>
            <w:vAlign w:val="center"/>
          </w:tcPr>
          <w:p>
            <w:pPr>
              <w:spacing w:line="380" w:lineRule="exact"/>
              <w:jc w:val="center"/>
              <w:rPr>
                <w:rFonts w:asciiTheme="minorEastAsia" w:hAnsiTheme="minorEastAsia" w:eastAsiaTheme="minorEastAsia"/>
                <w:sz w:val="22"/>
                <w:szCs w:val="22"/>
              </w:rPr>
            </w:pPr>
          </w:p>
        </w:tc>
        <w:tc>
          <w:tcPr>
            <w:tcW w:w="2908" w:type="dxa"/>
            <w:vAlign w:val="center"/>
          </w:tcPr>
          <w:p>
            <w:pPr>
              <w:spacing w:line="380" w:lineRule="exact"/>
              <w:jc w:val="center"/>
              <w:rPr>
                <w:rFonts w:asciiTheme="minorEastAsia" w:hAnsiTheme="minorEastAsia" w:eastAsiaTheme="minorEastAsia"/>
                <w:sz w:val="22"/>
                <w:szCs w:val="22"/>
              </w:rPr>
            </w:pPr>
          </w:p>
        </w:tc>
        <w:tc>
          <w:tcPr>
            <w:tcW w:w="157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p>
        </w:tc>
        <w:tc>
          <w:tcPr>
            <w:tcW w:w="3360" w:type="dxa"/>
            <w:vAlign w:val="center"/>
          </w:tcPr>
          <w:p>
            <w:pPr>
              <w:spacing w:line="380" w:lineRule="exact"/>
              <w:jc w:val="center"/>
              <w:rPr>
                <w:rFonts w:asciiTheme="minorEastAsia" w:hAnsiTheme="minorEastAsia" w:eastAsiaTheme="minorEastAsia"/>
                <w:sz w:val="22"/>
                <w:szCs w:val="22"/>
              </w:rPr>
            </w:pPr>
          </w:p>
        </w:tc>
        <w:tc>
          <w:tcPr>
            <w:tcW w:w="2908" w:type="dxa"/>
            <w:vAlign w:val="center"/>
          </w:tcPr>
          <w:p>
            <w:pPr>
              <w:spacing w:line="380" w:lineRule="exact"/>
              <w:jc w:val="center"/>
              <w:rPr>
                <w:rFonts w:asciiTheme="minorEastAsia" w:hAnsiTheme="minorEastAsia" w:eastAsiaTheme="minorEastAsia"/>
                <w:sz w:val="22"/>
                <w:szCs w:val="22"/>
              </w:rPr>
            </w:pPr>
          </w:p>
        </w:tc>
        <w:tc>
          <w:tcPr>
            <w:tcW w:w="157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p>
        </w:tc>
        <w:tc>
          <w:tcPr>
            <w:tcW w:w="3360" w:type="dxa"/>
            <w:vAlign w:val="center"/>
          </w:tcPr>
          <w:p>
            <w:pPr>
              <w:spacing w:line="380" w:lineRule="exact"/>
              <w:jc w:val="center"/>
              <w:rPr>
                <w:rFonts w:asciiTheme="minorEastAsia" w:hAnsiTheme="minorEastAsia" w:eastAsiaTheme="minorEastAsia"/>
                <w:sz w:val="22"/>
                <w:szCs w:val="22"/>
              </w:rPr>
            </w:pPr>
          </w:p>
        </w:tc>
        <w:tc>
          <w:tcPr>
            <w:tcW w:w="2908" w:type="dxa"/>
            <w:vAlign w:val="center"/>
          </w:tcPr>
          <w:p>
            <w:pPr>
              <w:spacing w:line="380" w:lineRule="exact"/>
              <w:jc w:val="center"/>
              <w:rPr>
                <w:rFonts w:asciiTheme="minorEastAsia" w:hAnsiTheme="minorEastAsia" w:eastAsiaTheme="minorEastAsia"/>
                <w:sz w:val="22"/>
                <w:szCs w:val="22"/>
              </w:rPr>
            </w:pPr>
          </w:p>
        </w:tc>
        <w:tc>
          <w:tcPr>
            <w:tcW w:w="1578" w:type="dxa"/>
            <w:vAlign w:val="center"/>
          </w:tcPr>
          <w:p>
            <w:pPr>
              <w:spacing w:line="380" w:lineRule="exact"/>
              <w:jc w:val="center"/>
              <w:rPr>
                <w:rFonts w:asciiTheme="minorEastAsia" w:hAnsiTheme="minorEastAsia" w:eastAsiaTheme="minorEastAsia"/>
                <w:sz w:val="22"/>
                <w:szCs w:val="22"/>
              </w:rPr>
            </w:pPr>
          </w:p>
        </w:tc>
      </w:tr>
    </w:tbl>
    <w:p>
      <w:pPr>
        <w:spacing w:line="360" w:lineRule="auto"/>
        <w:rPr>
          <w:rFonts w:asciiTheme="minorEastAsia" w:hAnsiTheme="minorEastAsia" w:eastAsiaTheme="minorEastAsia"/>
        </w:rPr>
      </w:pPr>
      <w:r>
        <w:rPr>
          <w:rFonts w:hint="eastAsia" w:asciiTheme="minorEastAsia" w:hAnsiTheme="minorEastAsia" w:eastAsiaTheme="minorEastAsia"/>
        </w:rPr>
        <w:t>备注：1、本表应列明投标人对“第二部分 招标项目需求”中“（二）技术要求”的偏离条款（正偏离或负偏离）；</w:t>
      </w:r>
    </w:p>
    <w:p>
      <w:pPr>
        <w:spacing w:line="360" w:lineRule="auto"/>
        <w:rPr>
          <w:rFonts w:asciiTheme="minorEastAsia" w:hAnsiTheme="minorEastAsia" w:eastAsiaTheme="minorEastAsia"/>
        </w:rPr>
      </w:pPr>
      <w:r>
        <w:rPr>
          <w:rFonts w:hint="eastAsia" w:asciiTheme="minorEastAsia" w:hAnsiTheme="minorEastAsia" w:eastAsiaTheme="minorEastAsia"/>
        </w:rPr>
        <w:t>2、全部无偏离应在本表“说明”处醒目地注明“无条款偏离”的字样。</w:t>
      </w:r>
    </w:p>
    <w:p>
      <w:pPr>
        <w:spacing w:line="360" w:lineRule="auto"/>
        <w:rPr>
          <w:rFonts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pPr>
        <w:spacing w:line="360" w:lineRule="auto"/>
        <w:rPr>
          <w:rFonts w:asciiTheme="minorEastAsia" w:hAnsiTheme="minorEastAsia" w:eastAsiaTheme="minorEastAsia"/>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pPr>
        <w:spacing w:line="380" w:lineRule="exact"/>
        <w:rPr>
          <w:rFonts w:asciiTheme="minorEastAsia" w:hAnsiTheme="minorEastAsia" w:eastAsiaTheme="minorEastAsia"/>
          <w:sz w:val="24"/>
        </w:rPr>
      </w:pPr>
    </w:p>
    <w:p>
      <w:pPr>
        <w:pStyle w:val="4"/>
        <w:spacing w:line="380" w:lineRule="exact"/>
        <w:rPr>
          <w:rFonts w:asciiTheme="minorEastAsia" w:hAnsiTheme="minorEastAsia" w:eastAsiaTheme="minorEastAsia"/>
          <w:bCs w:val="0"/>
          <w:sz w:val="24"/>
          <w:szCs w:val="24"/>
        </w:rPr>
      </w:pPr>
      <w:bookmarkStart w:id="162" w:name="_Toc136017665"/>
      <w:bookmarkStart w:id="163" w:name="_Toc25618"/>
      <w:bookmarkStart w:id="164" w:name="_Toc136345126"/>
      <w:r>
        <w:rPr>
          <w:rFonts w:hint="eastAsia" w:asciiTheme="minorEastAsia" w:hAnsiTheme="minorEastAsia" w:eastAsiaTheme="minorEastAsia"/>
          <w:bCs w:val="0"/>
          <w:sz w:val="24"/>
          <w:szCs w:val="24"/>
        </w:rPr>
        <w:t>（四）商务条款偏离表</w:t>
      </w:r>
      <w:bookmarkEnd w:id="162"/>
      <w:bookmarkEnd w:id="163"/>
      <w:bookmarkEnd w:id="164"/>
    </w:p>
    <w:tbl>
      <w:tblPr>
        <w:tblStyle w:val="38"/>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341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招标文件的商务条款</w:t>
            </w:r>
          </w:p>
        </w:tc>
        <w:tc>
          <w:tcPr>
            <w:tcW w:w="2891"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投标文件的商务条款</w:t>
            </w:r>
          </w:p>
        </w:tc>
        <w:tc>
          <w:tcPr>
            <w:tcW w:w="161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bl>
    <w:p>
      <w:pPr>
        <w:spacing w:line="360" w:lineRule="auto"/>
        <w:rPr>
          <w:rFonts w:asciiTheme="minorEastAsia" w:hAnsiTheme="minorEastAsia" w:eastAsiaTheme="minorEastAsia"/>
        </w:rPr>
      </w:pPr>
      <w:r>
        <w:rPr>
          <w:rFonts w:hint="eastAsia" w:asciiTheme="minorEastAsia" w:hAnsiTheme="minorEastAsia" w:eastAsiaTheme="minorEastAsia"/>
        </w:rPr>
        <w:t>备注：1、本表应列明投标人对“第二部分 招标项目需求”中“（一）商务要求”的偏离条款（正偏离或负偏离）；</w:t>
      </w:r>
    </w:p>
    <w:p>
      <w:pPr>
        <w:spacing w:line="360" w:lineRule="auto"/>
        <w:rPr>
          <w:rFonts w:asciiTheme="minorEastAsia" w:hAnsiTheme="minorEastAsia" w:eastAsiaTheme="minorEastAsia"/>
        </w:rPr>
      </w:pPr>
      <w:r>
        <w:rPr>
          <w:rFonts w:hint="eastAsia" w:asciiTheme="minorEastAsia" w:hAnsiTheme="minorEastAsia" w:eastAsiaTheme="minorEastAsia"/>
        </w:rPr>
        <w:t>2、全部无偏离应在本表“说明”处醒目地注明“无条款偏离”的字样。</w:t>
      </w:r>
    </w:p>
    <w:p>
      <w:pPr>
        <w:spacing w:line="360" w:lineRule="auto"/>
        <w:rPr>
          <w:rFonts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pPr>
        <w:spacing w:line="380" w:lineRule="exact"/>
        <w:rPr>
          <w:rFonts w:asciiTheme="minorEastAsia" w:hAnsiTheme="minorEastAsia" w:eastAsiaTheme="minorEastAsia"/>
          <w:sz w:val="22"/>
          <w:szCs w:val="22"/>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pPr>
        <w:spacing w:line="380" w:lineRule="exact"/>
        <w:rPr>
          <w:rFonts w:asciiTheme="minorEastAsia" w:hAnsiTheme="minorEastAsia" w:eastAsiaTheme="minorEastAsia"/>
          <w:sz w:val="24"/>
          <w:u w:val="single"/>
        </w:rPr>
      </w:pPr>
    </w:p>
    <w:p>
      <w:pPr>
        <w:pStyle w:val="4"/>
        <w:spacing w:line="380" w:lineRule="exact"/>
        <w:rPr>
          <w:rFonts w:asciiTheme="minorEastAsia" w:hAnsiTheme="minorEastAsia" w:eastAsiaTheme="minorEastAsia"/>
          <w:sz w:val="24"/>
          <w:szCs w:val="24"/>
        </w:rPr>
      </w:pPr>
      <w:bookmarkStart w:id="165" w:name="_Toc15508"/>
      <w:bookmarkStart w:id="166" w:name="_Toc136017666"/>
      <w:bookmarkStart w:id="167" w:name="_Toc136345127"/>
      <w:r>
        <w:rPr>
          <w:rFonts w:hint="eastAsia" w:asciiTheme="minorEastAsia" w:hAnsiTheme="minorEastAsia" w:eastAsiaTheme="minorEastAsia"/>
          <w:sz w:val="24"/>
          <w:szCs w:val="24"/>
        </w:rPr>
        <w:t>（五）第六部分“评标办法”中“评分标准”要求提供的资料（如有需提供）</w:t>
      </w:r>
      <w:bookmarkEnd w:id="165"/>
      <w:bookmarkEnd w:id="166"/>
      <w:bookmarkEnd w:id="167"/>
    </w:p>
    <w:p>
      <w:pPr>
        <w:jc w:val="center"/>
        <w:rPr>
          <w:rFonts w:asciiTheme="minorEastAsia" w:hAnsiTheme="minorEastAsia" w:eastAsiaTheme="minorEastAsia"/>
          <w:b/>
          <w:sz w:val="24"/>
          <w:szCs w:val="24"/>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（1）项目需求分析（格式自拟）；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（2）重点及难点分析（格式自拟）；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（3）重点及难点的解决方案（格式自拟）；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（4）全过程咨询服务方案（格式自拟）；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（5）进度安排（格式自拟）；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（6）内部管理制度（格式自拟）；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（7）拟投入本项目办公及检测设备（格式自拟）；</w:t>
      </w:r>
    </w:p>
    <w:tbl>
      <w:tblPr>
        <w:tblStyle w:val="38"/>
        <w:tblW w:w="8796"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23"/>
        <w:gridCol w:w="1179"/>
        <w:gridCol w:w="2506"/>
        <w:gridCol w:w="189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3"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设备名称</w:t>
            </w:r>
          </w:p>
        </w:tc>
        <w:tc>
          <w:tcPr>
            <w:tcW w:w="1179"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2506"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主要功能</w:t>
            </w:r>
          </w:p>
        </w:tc>
        <w:tc>
          <w:tcPr>
            <w:tcW w:w="1890"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自有或租赁</w:t>
            </w:r>
          </w:p>
        </w:tc>
        <w:tc>
          <w:tcPr>
            <w:tcW w:w="1132"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3"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79"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250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890"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32"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23"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79"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250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890"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32"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23"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79"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250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890"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32"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23"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79"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250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890"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32"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23"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79"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250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890"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32"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23"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79"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250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890"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32"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23"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79"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250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890"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32"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23"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79"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250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890"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32"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23"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79"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250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890"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32"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23"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79"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2506"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890"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c>
          <w:tcPr>
            <w:tcW w:w="1132" w:type="dxa"/>
            <w:tcMar>
              <w:left w:w="28" w:type="dxa"/>
              <w:right w:w="28" w:type="dxa"/>
            </w:tcMar>
            <w:vAlign w:val="center"/>
          </w:tcPr>
          <w:p>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p>
        </w:tc>
      </w:tr>
    </w:tbl>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pPr>
        <w:adjustRightInd/>
        <w:snapToGrid/>
        <w:spacing w:line="380" w:lineRule="exact"/>
        <w:ind w:firstLine="0" w:firstLineChars="0"/>
        <w:rPr>
          <w:rFonts w:hint="eastAsia" w:cs="Times New Roman"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sz w:val="22"/>
          <w:szCs w:val="22"/>
        </w:rPr>
        <w:t>日期：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（8）应急预案（格式自拟）；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（9）拟投入本项目人员配置方案（监理员除外，格式自拟）；</w:t>
      </w:r>
    </w:p>
    <w:tbl>
      <w:tblPr>
        <w:tblStyle w:val="38"/>
        <w:tblW w:w="9268" w:type="dxa"/>
        <w:tblInd w:w="1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76"/>
        <w:gridCol w:w="1141"/>
        <w:gridCol w:w="992"/>
        <w:gridCol w:w="1857"/>
        <w:gridCol w:w="1545"/>
        <w:gridCol w:w="1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7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11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性别</w:t>
            </w:r>
          </w:p>
        </w:tc>
        <w:tc>
          <w:tcPr>
            <w:tcW w:w="99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年龄</w:t>
            </w:r>
          </w:p>
        </w:tc>
        <w:tc>
          <w:tcPr>
            <w:tcW w:w="185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本项目岗位</w:t>
            </w:r>
          </w:p>
        </w:tc>
        <w:tc>
          <w:tcPr>
            <w:tcW w:w="154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专业</w:t>
            </w:r>
          </w:p>
        </w:tc>
        <w:tc>
          <w:tcPr>
            <w:tcW w:w="175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职业证书或职称证书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p>
        </w:tc>
        <w:tc>
          <w:tcPr>
            <w:tcW w:w="127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11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99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185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项目负责人</w:t>
            </w:r>
          </w:p>
        </w:tc>
        <w:tc>
          <w:tcPr>
            <w:tcW w:w="1545" w:type="dxa"/>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 w:val="0"/>
                <w:bCs/>
                <w:color w:val="auto"/>
                <w:szCs w:val="21"/>
                <w:highlight w:val="none"/>
              </w:rPr>
            </w:pPr>
          </w:p>
        </w:tc>
        <w:tc>
          <w:tcPr>
            <w:tcW w:w="1752"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Cs w:val="21"/>
                <w:highlight w:val="none"/>
                <w:lang w:val="en-US" w:eastAsia="zh-CN"/>
              </w:rPr>
              <w:t>2</w:t>
            </w:r>
          </w:p>
        </w:tc>
        <w:tc>
          <w:tcPr>
            <w:tcW w:w="127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11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99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185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现场管理</w:t>
            </w:r>
          </w:p>
        </w:tc>
        <w:tc>
          <w:tcPr>
            <w:tcW w:w="1545"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b w:val="0"/>
                <w:bCs/>
                <w:color w:val="auto"/>
                <w:szCs w:val="21"/>
                <w:highlight w:val="none"/>
              </w:rPr>
            </w:pPr>
          </w:p>
        </w:tc>
        <w:tc>
          <w:tcPr>
            <w:tcW w:w="1752"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Cs w:val="21"/>
                <w:highlight w:val="none"/>
                <w:lang w:val="en-US" w:eastAsia="zh-CN"/>
              </w:rPr>
              <w:t>3</w:t>
            </w:r>
          </w:p>
        </w:tc>
        <w:tc>
          <w:tcPr>
            <w:tcW w:w="127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11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99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185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造价管理</w:t>
            </w:r>
          </w:p>
        </w:tc>
        <w:tc>
          <w:tcPr>
            <w:tcW w:w="1545"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b w:val="0"/>
                <w:bCs/>
                <w:color w:val="auto"/>
                <w:szCs w:val="21"/>
                <w:highlight w:val="none"/>
              </w:rPr>
            </w:pPr>
          </w:p>
        </w:tc>
        <w:tc>
          <w:tcPr>
            <w:tcW w:w="1752"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w:t>
            </w:r>
          </w:p>
        </w:tc>
        <w:tc>
          <w:tcPr>
            <w:tcW w:w="127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11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99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rPr>
            </w:pPr>
          </w:p>
        </w:tc>
        <w:tc>
          <w:tcPr>
            <w:tcW w:w="185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color w:val="auto"/>
                <w:szCs w:val="21"/>
                <w:highlight w:val="none"/>
                <w:lang w:val="en-US" w:eastAsia="zh-CN"/>
              </w:rPr>
            </w:pPr>
          </w:p>
        </w:tc>
        <w:tc>
          <w:tcPr>
            <w:tcW w:w="1545"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b w:val="0"/>
                <w:bCs/>
                <w:color w:val="auto"/>
                <w:szCs w:val="21"/>
                <w:highlight w:val="none"/>
              </w:rPr>
            </w:pPr>
          </w:p>
        </w:tc>
        <w:tc>
          <w:tcPr>
            <w:tcW w:w="1752"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w:t>
            </w:r>
          </w:p>
        </w:tc>
        <w:tc>
          <w:tcPr>
            <w:tcW w:w="1276"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b w:val="0"/>
                <w:bCs/>
                <w:color w:val="auto"/>
                <w:szCs w:val="21"/>
                <w:highlight w:val="none"/>
              </w:rPr>
            </w:pPr>
          </w:p>
        </w:tc>
        <w:tc>
          <w:tcPr>
            <w:tcW w:w="1141"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 w:val="0"/>
                <w:bCs/>
                <w:color w:val="auto"/>
                <w:szCs w:val="21"/>
                <w:highlight w:val="none"/>
              </w:rPr>
            </w:pPr>
          </w:p>
        </w:tc>
        <w:tc>
          <w:tcPr>
            <w:tcW w:w="992"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b w:val="0"/>
                <w:bCs/>
                <w:color w:val="auto"/>
                <w:szCs w:val="21"/>
                <w:highlight w:val="none"/>
              </w:rPr>
            </w:pPr>
          </w:p>
        </w:tc>
        <w:tc>
          <w:tcPr>
            <w:tcW w:w="1857" w:type="dxa"/>
            <w:vAlign w:val="center"/>
          </w:tcPr>
          <w:p>
            <w:pPr>
              <w:keepNext w:val="0"/>
              <w:keepLines w:val="0"/>
              <w:widowControl/>
              <w:suppressLineNumbers w:val="0"/>
              <w:shd w:val="clear" w:color="auto" w:fill="auto"/>
              <w:adjustRightInd w:val="0"/>
              <w:snapToGrid w:val="0"/>
              <w:spacing w:before="0" w:beforeAutospacing="0" w:after="0" w:afterAutospacing="0" w:line="480" w:lineRule="exact"/>
              <w:ind w:left="0" w:right="0"/>
              <w:jc w:val="center"/>
              <w:rPr>
                <w:rFonts w:hint="default" w:ascii="Times New Roman" w:hAnsi="Times New Roman" w:eastAsia="宋体" w:cs="宋体"/>
                <w:b w:val="0"/>
                <w:bCs/>
                <w:color w:val="auto"/>
                <w:kern w:val="2"/>
                <w:sz w:val="21"/>
                <w:szCs w:val="21"/>
                <w:highlight w:val="none"/>
                <w:lang w:val="en-US" w:eastAsia="zh-CN" w:bidi="ar-SA"/>
              </w:rPr>
            </w:pPr>
            <w:r>
              <w:rPr>
                <w:rFonts w:hint="eastAsia" w:ascii="Times New Roman" w:hAnsi="Times New Roman" w:eastAsia="宋体" w:cs="宋体"/>
                <w:b w:val="0"/>
                <w:bCs/>
                <w:color w:val="auto"/>
                <w:kern w:val="2"/>
                <w:sz w:val="21"/>
                <w:szCs w:val="21"/>
                <w:highlight w:val="none"/>
                <w:lang w:val="en-US" w:eastAsia="zh-CN" w:bidi="ar-SA"/>
              </w:rPr>
              <w:t>...</w:t>
            </w:r>
          </w:p>
        </w:tc>
        <w:tc>
          <w:tcPr>
            <w:tcW w:w="1545"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b w:val="0"/>
                <w:bCs/>
                <w:color w:val="auto"/>
                <w:szCs w:val="21"/>
                <w:highlight w:val="none"/>
              </w:rPr>
            </w:pPr>
          </w:p>
        </w:tc>
        <w:tc>
          <w:tcPr>
            <w:tcW w:w="1752"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shd w:val="clear" w:color="auto" w:fill="auto"/>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w:t>
            </w:r>
          </w:p>
        </w:tc>
        <w:tc>
          <w:tcPr>
            <w:tcW w:w="1276"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c>
          <w:tcPr>
            <w:tcW w:w="1141"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p>
        </w:tc>
        <w:tc>
          <w:tcPr>
            <w:tcW w:w="992"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c>
          <w:tcPr>
            <w:tcW w:w="1857" w:type="dxa"/>
            <w:vAlign w:val="center"/>
          </w:tcPr>
          <w:p>
            <w:pPr>
              <w:keepNext w:val="0"/>
              <w:keepLines w:val="0"/>
              <w:widowControl/>
              <w:suppressLineNumbers w:val="0"/>
              <w:shd w:val="clear" w:color="auto" w:fill="auto"/>
              <w:adjustRightInd w:val="0"/>
              <w:snapToGrid w:val="0"/>
              <w:spacing w:before="0" w:beforeAutospacing="0" w:after="0" w:afterAutospacing="0" w:line="480" w:lineRule="exact"/>
              <w:ind w:left="0" w:right="0"/>
              <w:jc w:val="center"/>
              <w:rPr>
                <w:rFonts w:hint="eastAsia" w:ascii="Times New Roman" w:hAnsi="Times New Roman" w:eastAsia="宋体" w:cs="宋体"/>
                <w:color w:val="auto"/>
                <w:kern w:val="2"/>
                <w:sz w:val="21"/>
                <w:szCs w:val="21"/>
                <w:highlight w:val="none"/>
                <w:lang w:val="en-US" w:eastAsia="zh-CN" w:bidi="ar-SA"/>
              </w:rPr>
            </w:pPr>
          </w:p>
        </w:tc>
        <w:tc>
          <w:tcPr>
            <w:tcW w:w="1545"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c>
          <w:tcPr>
            <w:tcW w:w="1752"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shd w:val="clear" w:color="auto" w:fill="auto"/>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w:t>
            </w:r>
          </w:p>
        </w:tc>
        <w:tc>
          <w:tcPr>
            <w:tcW w:w="1276"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b w:val="0"/>
                <w:bCs w:val="0"/>
                <w:color w:val="auto"/>
                <w:szCs w:val="21"/>
                <w:highlight w:val="none"/>
              </w:rPr>
            </w:pPr>
          </w:p>
        </w:tc>
        <w:tc>
          <w:tcPr>
            <w:tcW w:w="1141"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p>
        </w:tc>
        <w:tc>
          <w:tcPr>
            <w:tcW w:w="992"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c>
          <w:tcPr>
            <w:tcW w:w="1857" w:type="dxa"/>
            <w:vAlign w:val="center"/>
          </w:tcPr>
          <w:p>
            <w:pPr>
              <w:keepNext w:val="0"/>
              <w:keepLines w:val="0"/>
              <w:suppressLineNumbers w:val="0"/>
              <w:tabs>
                <w:tab w:val="center" w:pos="4860"/>
                <w:tab w:val="right" w:pos="9720"/>
              </w:tabs>
              <w:adjustRightInd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p>
        </w:tc>
        <w:tc>
          <w:tcPr>
            <w:tcW w:w="1545"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c>
          <w:tcPr>
            <w:tcW w:w="1752"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shd w:val="clear" w:color="auto" w:fill="auto"/>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276"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c>
          <w:tcPr>
            <w:tcW w:w="1141"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p>
        </w:tc>
        <w:tc>
          <w:tcPr>
            <w:tcW w:w="992"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c>
          <w:tcPr>
            <w:tcW w:w="1857" w:type="dxa"/>
            <w:vAlign w:val="center"/>
          </w:tcPr>
          <w:p>
            <w:pPr>
              <w:keepNext w:val="0"/>
              <w:keepLines w:val="0"/>
              <w:widowControl w:val="0"/>
              <w:suppressLineNumbers w:val="0"/>
              <w:adjustRightInd w:val="0"/>
              <w:snapToGrid w:val="0"/>
              <w:spacing w:before="0" w:beforeAutospacing="0" w:after="0" w:afterAutospacing="0" w:line="360" w:lineRule="auto"/>
              <w:ind w:left="0" w:right="0" w:firstLine="0"/>
              <w:jc w:val="center"/>
              <w:rPr>
                <w:rFonts w:hint="eastAsia" w:ascii="宋体" w:hAnsi="宋体" w:eastAsia="宋体" w:cs="宋体"/>
                <w:color w:val="auto"/>
                <w:kern w:val="2"/>
                <w:sz w:val="21"/>
                <w:szCs w:val="21"/>
                <w:highlight w:val="none"/>
                <w:lang w:val="en-US" w:eastAsia="zh-CN" w:bidi="ar-SA"/>
              </w:rPr>
            </w:pPr>
          </w:p>
        </w:tc>
        <w:tc>
          <w:tcPr>
            <w:tcW w:w="1545"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c>
          <w:tcPr>
            <w:tcW w:w="1752" w:type="dxa"/>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color w:val="auto"/>
                <w:szCs w:val="21"/>
                <w:highlight w:val="none"/>
              </w:rPr>
            </w:pPr>
          </w:p>
        </w:tc>
      </w:tr>
    </w:tbl>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pPr>
        <w:adjustRightInd w:val="0"/>
        <w:snapToGrid w:val="0"/>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2"/>
          <w:szCs w:val="22"/>
        </w:rPr>
        <w:t>日期：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widowControl w:val="0"/>
        <w:autoSpaceDE w:val="0"/>
        <w:autoSpaceDN w:val="0"/>
        <w:adjustRightInd w:val="0"/>
        <w:spacing w:line="360" w:lineRule="auto"/>
        <w:jc w:val="both"/>
        <w:rPr>
          <w:rFonts w:hint="eastAsia" w:ascii="宋体" w:hAnsi="宋体" w:eastAsia="宋体" w:cs="宋体"/>
          <w:snapToGrid w:val="0"/>
          <w:color w:val="auto"/>
          <w:kern w:val="2"/>
          <w:sz w:val="24"/>
          <w:szCs w:val="21"/>
          <w:highlight w:val="none"/>
          <w:lang w:val="en-US" w:eastAsia="zh-CN" w:bidi="ar-SA"/>
        </w:rPr>
      </w:pPr>
    </w:p>
    <w:p>
      <w:pPr>
        <w:widowControl w:val="0"/>
        <w:jc w:val="both"/>
        <w:rPr>
          <w:rFonts w:hint="eastAsia" w:ascii="宋体" w:hAnsi="宋体" w:eastAsia="宋体" w:cs="宋体"/>
          <w:color w:val="auto"/>
          <w:kern w:val="2"/>
          <w:sz w:val="24"/>
          <w:highlight w:val="none"/>
          <w:lang w:val="en-US" w:eastAsia="zh-CN" w:bidi="ar-SA"/>
        </w:rPr>
      </w:pPr>
    </w:p>
    <w:p>
      <w:pPr>
        <w:widowControl w:val="0"/>
        <w:jc w:val="both"/>
        <w:rPr>
          <w:rFonts w:hint="eastAsia" w:ascii="宋体" w:hAnsi="宋体" w:eastAsia="宋体" w:cs="宋体"/>
          <w:color w:val="auto"/>
          <w:kern w:val="2"/>
          <w:sz w:val="24"/>
          <w:highlight w:val="none"/>
          <w:lang w:val="en-US" w:eastAsia="zh-CN" w:bidi="ar-SA"/>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widowControl w:val="0"/>
        <w:adjustRightInd w:val="0"/>
        <w:spacing w:line="360" w:lineRule="auto"/>
        <w:ind w:firstLine="480" w:firstLineChars="200"/>
        <w:jc w:val="both"/>
        <w:rPr>
          <w:rFonts w:hint="eastAsia" w:ascii="宋体" w:hAnsi="宋体" w:eastAsia="宋体" w:cs="Lucida Sans"/>
          <w:color w:val="auto"/>
          <w:kern w:val="2"/>
          <w:sz w:val="24"/>
          <w:szCs w:val="24"/>
          <w:highlight w:val="none"/>
          <w:lang w:val="en-US" w:eastAsia="zh-CN" w:bidi="ar-SA"/>
        </w:rPr>
      </w:pPr>
    </w:p>
    <w:p>
      <w:pPr>
        <w:widowControl w:val="0"/>
        <w:numPr>
          <w:ilvl w:val="0"/>
          <w:numId w:val="0"/>
        </w:numPr>
        <w:adjustRightInd/>
        <w:ind w:firstLine="422" w:firstLineChars="200"/>
        <w:jc w:val="center"/>
        <w:rPr>
          <w:rFonts w:hint="eastAsia" w:ascii="宋体" w:hAnsi="宋体" w:eastAsia="宋体" w:cs="宋体"/>
          <w:b/>
          <w:color w:val="auto"/>
          <w:kern w:val="0"/>
          <w:sz w:val="21"/>
          <w:szCs w:val="21"/>
          <w:highlight w:val="none"/>
          <w:lang w:val="en-US" w:eastAsia="zh-CN" w:bidi="zh-CN"/>
        </w:rPr>
      </w:pPr>
      <w:r>
        <w:rPr>
          <w:rFonts w:hint="eastAsia" w:ascii="宋体" w:hAnsi="宋体" w:eastAsia="仿宋_GB2312" w:cs="宋体"/>
          <w:b/>
          <w:color w:val="auto"/>
          <w:kern w:val="0"/>
          <w:sz w:val="21"/>
          <w:szCs w:val="21"/>
          <w:highlight w:val="none"/>
          <w:lang w:val="en-US" w:eastAsia="zh-CN" w:bidi="zh-CN"/>
        </w:rPr>
        <w:t>1、</w:t>
      </w:r>
      <w:r>
        <w:rPr>
          <w:rFonts w:hint="eastAsia" w:ascii="宋体" w:hAnsi="宋体" w:eastAsia="宋体" w:cs="宋体"/>
          <w:b/>
          <w:color w:val="auto"/>
          <w:kern w:val="0"/>
          <w:sz w:val="21"/>
          <w:szCs w:val="21"/>
          <w:highlight w:val="none"/>
          <w:lang w:val="en-US" w:eastAsia="zh-CN" w:bidi="zh-CN"/>
        </w:rPr>
        <w:t>拟派项目负责人简历表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97"/>
        <w:gridCol w:w="1901"/>
        <w:gridCol w:w="953"/>
        <w:gridCol w:w="381"/>
        <w:gridCol w:w="759"/>
        <w:gridCol w:w="1335"/>
        <w:gridCol w:w="953"/>
        <w:gridCol w:w="180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97"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901"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3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性别</w:t>
            </w:r>
          </w:p>
        </w:tc>
        <w:tc>
          <w:tcPr>
            <w:tcW w:w="209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3"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80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97"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901"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3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技术职称</w:t>
            </w:r>
            <w:r>
              <w:rPr>
                <w:rFonts w:hint="eastAsia"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资格证书</w:t>
            </w:r>
          </w:p>
        </w:tc>
        <w:tc>
          <w:tcPr>
            <w:tcW w:w="209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3"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80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97"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w:t>
            </w:r>
          </w:p>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时间</w:t>
            </w:r>
          </w:p>
        </w:tc>
        <w:tc>
          <w:tcPr>
            <w:tcW w:w="3235" w:type="dxa"/>
            <w:gridSpan w:val="3"/>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209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取得技术职称</w:t>
            </w:r>
            <w:r>
              <w:rPr>
                <w:rFonts w:hint="eastAsia" w:ascii="宋体" w:hAnsi="宋体" w:eastAsia="宋体" w:cs="宋体"/>
                <w:color w:val="auto"/>
                <w:sz w:val="21"/>
                <w:szCs w:val="21"/>
                <w:highlight w:val="none"/>
                <w:lang w:val="en-US" w:eastAsia="zh-CN"/>
              </w:rPr>
              <w:t>/资格证书</w:t>
            </w:r>
            <w:r>
              <w:rPr>
                <w:rFonts w:hint="eastAsia" w:ascii="宋体" w:hAnsi="宋体" w:eastAsia="宋体" w:cs="宋体"/>
                <w:color w:val="auto"/>
                <w:sz w:val="21"/>
                <w:szCs w:val="21"/>
                <w:highlight w:val="none"/>
              </w:rPr>
              <w:t>时间</w:t>
            </w:r>
          </w:p>
        </w:tc>
        <w:tc>
          <w:tcPr>
            <w:tcW w:w="2758"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9284" w:type="dxa"/>
            <w:gridSpan w:val="8"/>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97"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285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140"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w:t>
            </w:r>
          </w:p>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w:t>
            </w:r>
          </w:p>
        </w:tc>
        <w:tc>
          <w:tcPr>
            <w:tcW w:w="133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953"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在建或已完</w:t>
            </w:r>
          </w:p>
        </w:tc>
        <w:tc>
          <w:tcPr>
            <w:tcW w:w="180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招标人及</w:t>
            </w:r>
          </w:p>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97"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285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140"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3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953"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80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97"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285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140"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3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953"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80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97"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285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140"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3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953"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80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97"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285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140"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3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953"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80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97"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285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140"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3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953"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80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97"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285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140"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3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953"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80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97"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2854"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140" w:type="dxa"/>
            <w:gridSpan w:val="2"/>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3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953"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805" w:type="dxa"/>
            <w:vAlign w:val="center"/>
          </w:tcPr>
          <w:p>
            <w:pPr>
              <w:keepNext w:val="0"/>
              <w:keepLines w:val="0"/>
              <w:suppressLineNumbers w:val="0"/>
              <w:shd w:val="clear" w:color="auto" w:fill="auto"/>
              <w:adjustRightInd w:val="0"/>
              <w:spacing w:before="0" w:beforeAutospacing="0" w:after="0" w:afterAutospacing="0"/>
              <w:ind w:left="0" w:right="0"/>
              <w:jc w:val="center"/>
              <w:rPr>
                <w:rFonts w:hint="eastAsia" w:ascii="宋体" w:hAnsi="宋体" w:eastAsia="宋体" w:cs="宋体"/>
                <w:b/>
                <w:color w:val="auto"/>
                <w:sz w:val="21"/>
                <w:szCs w:val="21"/>
                <w:highlight w:val="none"/>
              </w:rPr>
            </w:pPr>
          </w:p>
        </w:tc>
      </w:tr>
    </w:tbl>
    <w:p>
      <w:pPr>
        <w:adjustRightInd w:val="0"/>
        <w:snapToGrid w:val="0"/>
        <w:spacing w:line="440" w:lineRule="exact"/>
        <w:rPr>
          <w:rFonts w:hint="eastAsia" w:ascii="宋体" w:hAnsi="宋体" w:eastAsia="宋体" w:cs="宋体"/>
          <w:color w:val="auto"/>
          <w:sz w:val="21"/>
          <w:szCs w:val="21"/>
          <w:highlight w:val="none"/>
          <w:shd w:val="pct10" w:color="auto" w:fill="FFFFFF"/>
        </w:rPr>
      </w:pPr>
      <w:r>
        <w:rPr>
          <w:rFonts w:hint="eastAsia" w:ascii="宋体" w:hAnsi="宋体" w:eastAsia="宋体" w:cs="宋体"/>
          <w:b w:val="0"/>
          <w:bCs/>
          <w:color w:val="auto"/>
          <w:sz w:val="21"/>
          <w:szCs w:val="21"/>
          <w:highlight w:val="none"/>
          <w:lang w:val="en-US" w:eastAsia="zh-CN"/>
        </w:rPr>
        <w:t>注：</w:t>
      </w:r>
      <w:r>
        <w:rPr>
          <w:rFonts w:hint="eastAsia" w:ascii="宋体" w:hAnsi="宋体" w:eastAsia="宋体" w:cs="宋体"/>
          <w:b w:val="0"/>
          <w:bCs/>
          <w:color w:val="auto"/>
          <w:sz w:val="21"/>
          <w:szCs w:val="21"/>
          <w:highlight w:val="none"/>
        </w:rPr>
        <w:t>拟派项目负责人</w:t>
      </w:r>
      <w:r>
        <w:rPr>
          <w:rFonts w:hint="eastAsia" w:ascii="宋体" w:hAnsi="宋体" w:eastAsia="宋体" w:cs="宋体"/>
          <w:b w:val="0"/>
          <w:bCs/>
          <w:color w:val="auto"/>
          <w:sz w:val="21"/>
          <w:szCs w:val="21"/>
          <w:highlight w:val="none"/>
          <w:lang w:val="en-US" w:eastAsia="zh-CN"/>
        </w:rPr>
        <w:t>填写此表。后附招标文件要求的人员的执业资格证书、职称证书等复印件。</w:t>
      </w:r>
    </w:p>
    <w:p>
      <w:pPr>
        <w:adjustRightInd w:val="0"/>
        <w:rPr>
          <w:rFonts w:hint="eastAsia" w:ascii="宋体" w:hAnsi="宋体" w:eastAsia="宋体"/>
          <w:color w:val="auto"/>
          <w:sz w:val="24"/>
          <w:szCs w:val="24"/>
          <w:highlight w:val="none"/>
          <w:lang w:val="en-US" w:eastAsia="zh-CN"/>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pPr>
        <w:adjustRightInd w:val="0"/>
        <w:snapToGrid w:val="0"/>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2"/>
          <w:szCs w:val="22"/>
        </w:rPr>
        <w:t>日期：</w:t>
      </w:r>
    </w:p>
    <w:p>
      <w:pPr>
        <w:widowControl w:val="0"/>
        <w:adjustRightInd w:val="0"/>
        <w:spacing w:line="360" w:lineRule="auto"/>
        <w:ind w:firstLine="480" w:firstLineChars="200"/>
        <w:jc w:val="both"/>
        <w:rPr>
          <w:rFonts w:hint="eastAsia" w:ascii="宋体" w:hAnsi="宋体" w:eastAsia="宋体" w:cs="Lucida Sans"/>
          <w:color w:val="auto"/>
          <w:kern w:val="2"/>
          <w:sz w:val="24"/>
          <w:szCs w:val="24"/>
          <w:highlight w:val="none"/>
          <w:lang w:val="en-US" w:eastAsia="zh-CN" w:bidi="ar-SA"/>
        </w:rPr>
      </w:pPr>
    </w:p>
    <w:p>
      <w:pPr>
        <w:adjustRightInd w:val="0"/>
        <w:rPr>
          <w:rFonts w:hint="eastAsia" w:eastAsia="宋体"/>
          <w:color w:val="auto"/>
          <w:szCs w:val="24"/>
          <w:highlight w:val="none"/>
          <w:lang w:val="en-US" w:eastAsia="zh-CN"/>
        </w:rPr>
      </w:pPr>
    </w:p>
    <w:p>
      <w:pPr>
        <w:adjustRightInd w:val="0"/>
        <w:rPr>
          <w:rFonts w:hint="eastAsia" w:ascii="宋体" w:hAnsi="宋体" w:eastAsia="宋体"/>
          <w:color w:val="auto"/>
          <w:sz w:val="24"/>
          <w:szCs w:val="24"/>
          <w:highlight w:val="none"/>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lang w:val="en-US" w:eastAsia="zh-CN" w:bidi="zh-CN"/>
        </w:rPr>
      </w:pPr>
    </w:p>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lang w:val="en-US" w:eastAsia="zh-CN" w:bidi="zh-CN"/>
        </w:rPr>
      </w:pPr>
    </w:p>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lang w:val="en-US" w:eastAsia="zh-CN" w:bidi="zh-CN"/>
        </w:rPr>
      </w:pPr>
    </w:p>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lang w:val="en-US" w:eastAsia="zh-CN" w:bidi="zh-CN"/>
        </w:rPr>
      </w:pPr>
    </w:p>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lang w:val="en-US" w:eastAsia="zh-CN" w:bidi="zh-CN"/>
        </w:rPr>
      </w:pPr>
    </w:p>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0"/>
          <w:sz w:val="21"/>
          <w:szCs w:val="21"/>
          <w:highlight w:val="none"/>
          <w:lang w:val="en-US" w:eastAsia="zh-CN" w:bidi="zh-CN"/>
        </w:rPr>
      </w:pPr>
      <w:r>
        <w:rPr>
          <w:rFonts w:hint="eastAsia" w:ascii="宋体" w:hAnsi="宋体" w:eastAsia="宋体" w:cs="宋体"/>
          <w:b/>
          <w:color w:val="auto"/>
          <w:kern w:val="0"/>
          <w:sz w:val="21"/>
          <w:szCs w:val="21"/>
          <w:highlight w:val="none"/>
          <w:lang w:val="en-US" w:eastAsia="zh-CN" w:bidi="zh-CN"/>
        </w:rPr>
        <w:t>2、拟派监理人员配备承诺书</w:t>
      </w:r>
    </w:p>
    <w:p>
      <w:pPr>
        <w:shd w:val="clear" w:color="auto" w:fill="auto"/>
        <w:adjustRightInd w:val="0"/>
        <w:ind w:firstLine="422" w:firstLineChars="200"/>
        <w:rPr>
          <w:rFonts w:hint="eastAsia" w:ascii="宋体" w:hAnsi="宋体" w:eastAsia="宋体" w:cs="宋体"/>
          <w:b/>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自愿参加项目编号为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 xml:space="preserve"> 的投标，现就本项目拟派监理人员相关承诺如下：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拟派总监理工程师具有注册在我单位的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专业的国家注册监理工程师执业资格。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拟</w:t>
      </w:r>
      <w:r>
        <w:rPr>
          <w:rFonts w:hint="eastAsia" w:ascii="宋体" w:hAnsi="宋体" w:eastAsia="宋体" w:cs="宋体"/>
          <w:color w:val="auto"/>
          <w:sz w:val="21"/>
          <w:szCs w:val="21"/>
          <w:highlight w:val="none"/>
        </w:rPr>
        <w:t>派总监理工程师非拟派</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兼任。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拟</w:t>
      </w:r>
      <w:r>
        <w:rPr>
          <w:rFonts w:hint="eastAsia" w:ascii="宋体" w:hAnsi="宋体" w:eastAsia="宋体" w:cs="宋体"/>
          <w:color w:val="auto"/>
          <w:sz w:val="21"/>
          <w:szCs w:val="21"/>
          <w:highlight w:val="none"/>
        </w:rPr>
        <w:t>派总监理工程师</w:t>
      </w:r>
      <w:r>
        <w:rPr>
          <w:rFonts w:hint="eastAsia" w:ascii="宋体" w:hAnsi="宋体" w:eastAsia="宋体" w:cs="宋体"/>
          <w:color w:val="auto"/>
          <w:sz w:val="21"/>
          <w:szCs w:val="21"/>
          <w:highlight w:val="none"/>
          <w:lang w:val="en-US" w:eastAsia="zh-CN"/>
        </w:rPr>
        <w:t>承担的监理任务量</w:t>
      </w:r>
      <w:r>
        <w:rPr>
          <w:rFonts w:hint="eastAsia" w:ascii="宋体" w:hAnsi="宋体" w:eastAsia="宋体" w:cs="宋体"/>
          <w:color w:val="auto"/>
          <w:sz w:val="21"/>
          <w:szCs w:val="21"/>
          <w:highlight w:val="none"/>
        </w:rPr>
        <w:t>符合《宁波市建设工程施工现场项目管理人员配备管理办法》（甬建发〔2016〕200号）的规定。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拟派监理人员满足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 xml:space="preserve">部分 </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需求》</w:t>
      </w:r>
      <w:r>
        <w:rPr>
          <w:rFonts w:hint="eastAsia" w:ascii="宋体" w:hAnsi="宋体" w:eastAsia="宋体" w:cs="宋体"/>
          <w:color w:val="auto"/>
          <w:sz w:val="21"/>
          <w:szCs w:val="21"/>
          <w:highlight w:val="none"/>
        </w:rPr>
        <w:t>的相关要求。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若我公司中标，我方承诺将按时配备满足</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文件要求的监理人员，否则采购人有权利解除合同且不承担任何违约责任。</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right="0"/>
        <w:textAlignment w:val="auto"/>
        <w:rPr>
          <w:rFonts w:hint="eastAsia" w:ascii="宋体" w:hAnsi="宋体" w:eastAsia="宋体" w:cs="宋体"/>
          <w:bCs/>
          <w:color w:val="auto"/>
          <w:sz w:val="21"/>
          <w:szCs w:val="21"/>
          <w:highlight w:val="none"/>
          <w:u w:val="single"/>
          <w:lang w:val="en-US" w:bidi="ar-SA"/>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pPr>
        <w:adjustRightInd w:val="0"/>
        <w:snapToGrid w:val="0"/>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sz w:val="22"/>
          <w:szCs w:val="22"/>
        </w:rPr>
        <w:t>日期：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（10）人员管理制度（格式自拟）；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（11）保密制度（格式自拟）；</w:t>
      </w:r>
    </w:p>
    <w:p>
      <w:pPr>
        <w:adjustRightInd w:val="0"/>
        <w:snapToGrid w:val="0"/>
        <w:spacing w:line="360" w:lineRule="auto"/>
        <w:ind w:firstLine="960" w:firstLineChars="4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（12）档案管理制度（格式自拟）；</w:t>
      </w:r>
    </w:p>
    <w:p>
      <w:pPr>
        <w:adjustRightInd w:val="0"/>
        <w:snapToGrid w:val="0"/>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（13）评标标准相应的其他商务技术资料。</w:t>
      </w:r>
    </w:p>
    <w:p>
      <w:pPr>
        <w:pStyle w:val="123"/>
        <w:ind w:firstLine="0" w:firstLineChars="0"/>
      </w:pPr>
    </w:p>
    <w:p>
      <w:pPr>
        <w:spacing w:after="120" w:afterLines="50"/>
        <w:jc w:val="center"/>
        <w:rPr>
          <w:rFonts w:asciiTheme="minorEastAsia" w:hAnsiTheme="minorEastAsia" w:eastAsiaTheme="minorEastAsia"/>
          <w:b/>
          <w:sz w:val="24"/>
          <w:szCs w:val="24"/>
        </w:rPr>
      </w:pPr>
    </w:p>
    <w:p>
      <w:pPr>
        <w:spacing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spacing w:after="120" w:afterLines="50"/>
        <w:jc w:val="center"/>
        <w:rPr>
          <w:rFonts w:asciiTheme="minorEastAsia" w:hAnsiTheme="minorEastAsia" w:eastAsiaTheme="minorEastAsia"/>
          <w:b/>
          <w:sz w:val="24"/>
          <w:szCs w:val="24"/>
        </w:rPr>
      </w:pPr>
    </w:p>
    <w:p>
      <w:pPr>
        <w:widowControl/>
        <w:jc w:val="left"/>
        <w:rPr>
          <w:rFonts w:cs="宋体" w:asciiTheme="minorEastAsia" w:hAnsiTheme="minorEastAsia" w:eastAsiaTheme="minorEastAsia"/>
          <w:b/>
          <w:bCs/>
          <w:kern w:val="0"/>
          <w:szCs w:val="21"/>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报价文件组成：</w:t>
      </w:r>
    </w:p>
    <w:p>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（1）</w:t>
      </w:r>
      <w:r>
        <w:rPr>
          <w:rFonts w:hint="eastAsia" w:asciiTheme="minorEastAsia" w:hAnsiTheme="minorEastAsia" w:eastAsiaTheme="minorEastAsia"/>
          <w:szCs w:val="21"/>
        </w:rPr>
        <w:t>投标函；</w:t>
      </w:r>
    </w:p>
    <w:p>
      <w:pPr>
        <w:tabs>
          <w:tab w:val="left" w:pos="1418"/>
        </w:tabs>
        <w:spacing w:line="360" w:lineRule="auto"/>
        <w:ind w:firstLine="420" w:firstLineChars="200"/>
        <w:contextualSpacing/>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hint="eastAsia" w:asciiTheme="minorEastAsia" w:hAnsiTheme="minorEastAsia" w:eastAsiaTheme="minorEastAsia"/>
          <w:szCs w:val="21"/>
        </w:rPr>
        <w:t>开标一览表</w:t>
      </w:r>
      <w:r>
        <w:rPr>
          <w:rFonts w:hint="eastAsia" w:cs="宋体" w:asciiTheme="minorEastAsia" w:hAnsiTheme="minorEastAsia" w:eastAsiaTheme="minorEastAsia"/>
          <w:kern w:val="0"/>
          <w:szCs w:val="21"/>
        </w:rPr>
        <w:t>。</w:t>
      </w:r>
    </w:p>
    <w:p>
      <w:pPr>
        <w:tabs>
          <w:tab w:val="left" w:pos="1418"/>
        </w:tabs>
        <w:spacing w:line="360" w:lineRule="auto"/>
        <w:ind w:firstLine="420" w:firstLineChars="200"/>
        <w:contextualSpacing/>
        <w:rPr>
          <w:rFonts w:asciiTheme="minorEastAsia" w:hAnsiTheme="minorEastAsia" w:eastAsiaTheme="minorEastAsia"/>
          <w:szCs w:val="21"/>
        </w:rPr>
      </w:pPr>
    </w:p>
    <w:p>
      <w:pPr>
        <w:pStyle w:val="4"/>
        <w:spacing w:line="380" w:lineRule="exact"/>
        <w:rPr>
          <w:rFonts w:asciiTheme="minorEastAsia" w:hAnsiTheme="minorEastAsia" w:eastAsiaTheme="minorEastAsia"/>
          <w:bCs w:val="0"/>
          <w:sz w:val="24"/>
          <w:szCs w:val="24"/>
        </w:rPr>
      </w:pPr>
    </w:p>
    <w:p>
      <w:pPr>
        <w:widowControl/>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pPr>
        <w:pStyle w:val="4"/>
        <w:spacing w:line="380" w:lineRule="exact"/>
        <w:rPr>
          <w:rFonts w:asciiTheme="minorEastAsia" w:hAnsiTheme="minorEastAsia" w:eastAsiaTheme="minorEastAsia"/>
          <w:bCs w:val="0"/>
          <w:sz w:val="24"/>
          <w:szCs w:val="24"/>
        </w:rPr>
      </w:pPr>
    </w:p>
    <w:p>
      <w:pPr>
        <w:pStyle w:val="4"/>
        <w:spacing w:line="380" w:lineRule="exact"/>
        <w:rPr>
          <w:rFonts w:asciiTheme="minorEastAsia" w:hAnsiTheme="minorEastAsia" w:eastAsiaTheme="minorEastAsia"/>
          <w:b w:val="0"/>
          <w:sz w:val="24"/>
          <w:szCs w:val="24"/>
        </w:rPr>
      </w:pPr>
      <w:bookmarkStart w:id="168" w:name="_Toc17482"/>
      <w:bookmarkStart w:id="169" w:name="_Toc136017667"/>
      <w:bookmarkStart w:id="170" w:name="_Toc136345128"/>
      <w:r>
        <w:rPr>
          <w:rFonts w:hint="eastAsia" w:asciiTheme="minorEastAsia" w:hAnsiTheme="minorEastAsia" w:eastAsiaTheme="minorEastAsia"/>
          <w:bCs w:val="0"/>
          <w:sz w:val="24"/>
          <w:szCs w:val="24"/>
        </w:rPr>
        <w:t>（一） 投 标 函</w:t>
      </w:r>
      <w:bookmarkEnd w:id="168"/>
      <w:bookmarkEnd w:id="169"/>
      <w:bookmarkEnd w:id="170"/>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w:t>
      </w:r>
      <w:r>
        <w:rPr>
          <w:rFonts w:hint="eastAsia" w:asciiTheme="minorEastAsia" w:hAnsiTheme="minorEastAsia" w:eastAsiaTheme="minorEastAsia"/>
          <w:i/>
          <w:sz w:val="21"/>
          <w:szCs w:val="21"/>
          <w:u w:val="single"/>
        </w:rPr>
        <w:t xml:space="preserve">（采购人） </w:t>
      </w:r>
      <w:r>
        <w:rPr>
          <w:rFonts w:hint="eastAsia" w:asciiTheme="minorEastAsia" w:hAnsiTheme="minorEastAsia" w:eastAsiaTheme="minorEastAsia"/>
          <w:sz w:val="21"/>
          <w:szCs w:val="21"/>
        </w:rPr>
        <w:t>：</w:t>
      </w:r>
    </w:p>
    <w:p>
      <w:pPr>
        <w:pStyle w:val="18"/>
        <w:ind w:firstLine="0"/>
        <w:rPr>
          <w:rFonts w:asciiTheme="minorEastAsia" w:hAnsiTheme="minorEastAsia" w:eastAsiaTheme="minorEastAsia"/>
          <w:sz w:val="21"/>
          <w:szCs w:val="21"/>
          <w:u w:val="single"/>
        </w:rPr>
      </w:pPr>
      <w:r>
        <w:rPr>
          <w:rFonts w:hint="eastAsia" w:asciiTheme="minorEastAsia" w:hAnsiTheme="minorEastAsia" w:eastAsiaTheme="minorEastAsia"/>
          <w:i/>
          <w:sz w:val="21"/>
          <w:szCs w:val="21"/>
          <w:u w:val="single"/>
        </w:rPr>
        <w:t xml:space="preserve"> （投标人全称）</w:t>
      </w:r>
      <w:r>
        <w:rPr>
          <w:rFonts w:hint="eastAsia" w:asciiTheme="minorEastAsia" w:hAnsiTheme="minorEastAsia" w:eastAsiaTheme="minorEastAsia"/>
          <w:sz w:val="21"/>
          <w:szCs w:val="21"/>
        </w:rPr>
        <w:t xml:space="preserve"> 参加贵方组织的 </w:t>
      </w:r>
      <w:r>
        <w:rPr>
          <w:rFonts w:hint="eastAsia" w:asciiTheme="minorEastAsia" w:hAnsiTheme="minorEastAsia" w:eastAsiaTheme="minorEastAsia"/>
          <w:i/>
          <w:sz w:val="21"/>
          <w:szCs w:val="21"/>
          <w:u w:val="single"/>
        </w:rPr>
        <w:t>（招标编号、招标项目名称）</w:t>
      </w:r>
      <w:r>
        <w:rPr>
          <w:rFonts w:hint="eastAsia" w:asciiTheme="minorEastAsia" w:hAnsiTheme="minorEastAsia" w:eastAsiaTheme="minorEastAsia"/>
          <w:sz w:val="21"/>
          <w:szCs w:val="21"/>
        </w:rPr>
        <w:t>招投标活动，代表本公司处理招投标活动中的一切事宜，现对</w:t>
      </w:r>
      <w:r>
        <w:rPr>
          <w:rFonts w:hint="eastAsia" w:asciiTheme="minorEastAsia" w:hAnsiTheme="minorEastAsia" w:eastAsiaTheme="minorEastAsia"/>
          <w:i/>
          <w:sz w:val="21"/>
          <w:szCs w:val="21"/>
          <w:u w:val="single"/>
        </w:rPr>
        <w:t>（项目名称）</w:t>
      </w:r>
      <w:r>
        <w:rPr>
          <w:rFonts w:hint="eastAsia" w:asciiTheme="minorEastAsia" w:hAnsiTheme="minorEastAsia" w:eastAsiaTheme="minorEastAsia"/>
          <w:sz w:val="21"/>
          <w:szCs w:val="21"/>
        </w:rPr>
        <w:t>进行投标，在此：</w:t>
      </w:r>
    </w:p>
    <w:p>
      <w:pPr>
        <w:pStyle w:val="18"/>
        <w:numPr>
          <w:ilvl w:val="0"/>
          <w:numId w:val="8"/>
        </w:numPr>
        <w:tabs>
          <w:tab w:val="left" w:pos="525"/>
        </w:tabs>
        <w:rPr>
          <w:rFonts w:asciiTheme="minorEastAsia" w:hAnsiTheme="minorEastAsia" w:eastAsiaTheme="minorEastAsia"/>
          <w:sz w:val="21"/>
          <w:szCs w:val="21"/>
        </w:rPr>
      </w:pPr>
      <w:r>
        <w:rPr>
          <w:rFonts w:hint="eastAsia" w:asciiTheme="minorEastAsia" w:hAnsiTheme="minorEastAsia" w:eastAsiaTheme="minorEastAsia"/>
          <w:sz w:val="21"/>
          <w:szCs w:val="21"/>
        </w:rPr>
        <w:t>提供招标文件中“投标人须知”规定的全部投标文件。</w:t>
      </w:r>
    </w:p>
    <w:p>
      <w:pPr>
        <w:pStyle w:val="18"/>
        <w:tabs>
          <w:tab w:val="left" w:pos="525"/>
        </w:tabs>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2、据此函，签字代表宣布并承诺如下：</w:t>
      </w:r>
    </w:p>
    <w:p>
      <w:pPr>
        <w:pStyle w:val="18"/>
        <w:numPr>
          <w:ilvl w:val="0"/>
          <w:numId w:val="9"/>
        </w:numPr>
        <w:rPr>
          <w:rFonts w:asciiTheme="minorEastAsia" w:hAnsiTheme="minorEastAsia" w:eastAsiaTheme="minorEastAsia"/>
          <w:sz w:val="21"/>
          <w:szCs w:val="21"/>
        </w:rPr>
      </w:pPr>
      <w:r>
        <w:rPr>
          <w:rFonts w:hint="eastAsia" w:asciiTheme="minorEastAsia" w:hAnsiTheme="minorEastAsia" w:eastAsiaTheme="minorEastAsia"/>
          <w:sz w:val="21"/>
          <w:szCs w:val="21"/>
        </w:rPr>
        <w:t>投标折扣率为：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p>
    <w:p>
      <w:pPr>
        <w:pStyle w:val="18"/>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本报价已经包含了所供货物及服务应纳的税金及招标文件规定的报价方式应包含的其它费用。本报价在投标有效期内固定不变，并在合同有效期内不受利率波动的影响。</w:t>
      </w:r>
    </w:p>
    <w:p>
      <w:pPr>
        <w:pStyle w:val="18"/>
        <w:numPr>
          <w:ilvl w:val="0"/>
          <w:numId w:val="9"/>
        </w:numPr>
        <w:rPr>
          <w:rFonts w:asciiTheme="minorEastAsia" w:hAnsiTheme="minorEastAsia" w:eastAsiaTheme="minorEastAsia"/>
          <w:sz w:val="21"/>
          <w:szCs w:val="21"/>
        </w:rPr>
      </w:pPr>
      <w:r>
        <w:rPr>
          <w:rFonts w:hint="eastAsia" w:asciiTheme="minorEastAsia" w:hAnsiTheme="minorEastAsia" w:eastAsiaTheme="minorEastAsia"/>
          <w:sz w:val="21"/>
          <w:szCs w:val="21"/>
        </w:rPr>
        <w:t>本投标自开标之日起90天内有效。</w:t>
      </w:r>
    </w:p>
    <w:p>
      <w:pPr>
        <w:pStyle w:val="18"/>
        <w:numPr>
          <w:ilvl w:val="0"/>
          <w:numId w:val="9"/>
        </w:numPr>
        <w:rPr>
          <w:rFonts w:asciiTheme="minorEastAsia" w:hAnsiTheme="minorEastAsia" w:eastAsiaTheme="minorEastAsia"/>
          <w:sz w:val="21"/>
          <w:szCs w:val="21"/>
        </w:rPr>
      </w:pPr>
      <w:r>
        <w:rPr>
          <w:rFonts w:hint="eastAsia" w:asciiTheme="minorEastAsia" w:hAnsiTheme="minorEastAsia" w:eastAsiaTheme="minorEastAsia"/>
          <w:sz w:val="21"/>
          <w:szCs w:val="21"/>
        </w:rPr>
        <w:t>我们已详细审查全部招标文件及有关的澄清/修改文件(若有的话)，我们完全理解并同意放弃对这方面提出任何异议的权利，保证遵守招标文件有关条款规定。</w:t>
      </w:r>
    </w:p>
    <w:p>
      <w:pPr>
        <w:pStyle w:val="18"/>
        <w:numPr>
          <w:ilvl w:val="0"/>
          <w:numId w:val="9"/>
        </w:numPr>
        <w:rPr>
          <w:rFonts w:asciiTheme="minorEastAsia" w:hAnsiTheme="minorEastAsia" w:eastAsiaTheme="minorEastAsia"/>
          <w:sz w:val="21"/>
          <w:szCs w:val="21"/>
        </w:rPr>
      </w:pPr>
      <w:r>
        <w:rPr>
          <w:rFonts w:hint="eastAsia" w:asciiTheme="minorEastAsia" w:hAnsiTheme="minorEastAsia" w:eastAsiaTheme="minorEastAsia"/>
          <w:sz w:val="21"/>
          <w:szCs w:val="21"/>
        </w:rPr>
        <w:t>保证遵守招标文件有关条款规定。</w:t>
      </w:r>
    </w:p>
    <w:p>
      <w:pPr>
        <w:pStyle w:val="18"/>
        <w:numPr>
          <w:ilvl w:val="0"/>
          <w:numId w:val="9"/>
        </w:numPr>
        <w:rPr>
          <w:rFonts w:asciiTheme="minorEastAsia" w:hAnsiTheme="minorEastAsia" w:eastAsiaTheme="minorEastAsia"/>
          <w:sz w:val="21"/>
          <w:szCs w:val="21"/>
        </w:rPr>
      </w:pPr>
      <w:r>
        <w:rPr>
          <w:rFonts w:hint="eastAsia" w:asciiTheme="minorEastAsia" w:hAnsiTheme="minorEastAsia" w:eastAsiaTheme="minorEastAsia"/>
          <w:sz w:val="21"/>
          <w:szCs w:val="21"/>
        </w:rPr>
        <w:t>保证在中标后忠实地执行与采购人所签署的合同，并承担合同规定的责任义务。保证在中标后按照招标文件的规定支付中标服务费。</w:t>
      </w:r>
    </w:p>
    <w:p>
      <w:pPr>
        <w:pStyle w:val="18"/>
        <w:numPr>
          <w:ilvl w:val="0"/>
          <w:numId w:val="9"/>
        </w:numPr>
        <w:rPr>
          <w:rFonts w:asciiTheme="minorEastAsia" w:hAnsiTheme="minorEastAsia" w:eastAsiaTheme="minorEastAsia"/>
          <w:sz w:val="21"/>
          <w:szCs w:val="21"/>
        </w:rPr>
      </w:pPr>
      <w:r>
        <w:rPr>
          <w:rFonts w:hint="eastAsia" w:asciiTheme="minorEastAsia" w:hAnsiTheme="minorEastAsia" w:eastAsiaTheme="minorEastAsia"/>
          <w:sz w:val="21"/>
          <w:szCs w:val="21"/>
        </w:rPr>
        <w:t>承诺应贵方要求提供任何与该项目投标有关的数据、情况和技术资料。</w:t>
      </w:r>
    </w:p>
    <w:p>
      <w:pPr>
        <w:pStyle w:val="18"/>
        <w:numPr>
          <w:ilvl w:val="0"/>
          <w:numId w:val="9"/>
        </w:numPr>
        <w:rPr>
          <w:rFonts w:asciiTheme="minorEastAsia" w:hAnsiTheme="minorEastAsia" w:eastAsiaTheme="minorEastAsia"/>
          <w:sz w:val="21"/>
          <w:szCs w:val="21"/>
        </w:rPr>
      </w:pPr>
      <w:r>
        <w:rPr>
          <w:rFonts w:hint="eastAsia" w:asciiTheme="minorEastAsia" w:hAnsiTheme="minorEastAsia" w:eastAsiaTheme="minorEastAsia"/>
          <w:sz w:val="21"/>
          <w:szCs w:val="21"/>
        </w:rPr>
        <w:t>我们承诺，与为采购人采购本项目进行设计、编制规范和其他文件所委托的咨询公司或其附属机构无任何直接或间接的关联。</w:t>
      </w:r>
    </w:p>
    <w:p>
      <w:pPr>
        <w:pStyle w:val="18"/>
        <w:numPr>
          <w:ilvl w:val="0"/>
          <w:numId w:val="9"/>
        </w:numPr>
        <w:rPr>
          <w:rFonts w:asciiTheme="minorEastAsia" w:hAnsiTheme="minorEastAsia" w:eastAsiaTheme="minorEastAsia"/>
          <w:sz w:val="21"/>
          <w:szCs w:val="21"/>
        </w:rPr>
      </w:pPr>
      <w:r>
        <w:rPr>
          <w:rFonts w:hint="eastAsia" w:asciiTheme="minorEastAsia" w:hAnsiTheme="minorEastAsia" w:eastAsiaTheme="minorEastAsia"/>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4、与本投标有关的一切往来通讯请寄：</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地址：</w:t>
      </w:r>
    </w:p>
    <w:p>
      <w:pPr>
        <w:pStyle w:val="18"/>
        <w:ind w:firstLine="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邮编：           电话：             传真：</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投标人（公章）：                  投标人代表（签字或印章）：</w:t>
      </w:r>
    </w:p>
    <w:p>
      <w:pPr>
        <w:pStyle w:val="18"/>
        <w:tabs>
          <w:tab w:val="left" w:pos="4841"/>
        </w:tabs>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日      期：     年   月   日</w:t>
      </w:r>
    </w:p>
    <w:p>
      <w:pPr>
        <w:pStyle w:val="18"/>
        <w:tabs>
          <w:tab w:val="left" w:pos="4841"/>
        </w:tabs>
        <w:ind w:firstLine="0"/>
        <w:rPr>
          <w:rFonts w:asciiTheme="minorEastAsia" w:hAnsiTheme="minorEastAsia" w:eastAsiaTheme="minorEastAsia"/>
          <w:sz w:val="21"/>
          <w:szCs w:val="21"/>
        </w:rPr>
      </w:pPr>
    </w:p>
    <w:p>
      <w:pPr>
        <w:pStyle w:val="4"/>
        <w:spacing w:line="380" w:lineRule="exact"/>
        <w:rPr>
          <w:rFonts w:asciiTheme="minorEastAsia" w:hAnsiTheme="minorEastAsia" w:eastAsiaTheme="minorEastAsia"/>
          <w:bCs w:val="0"/>
          <w:sz w:val="24"/>
          <w:szCs w:val="24"/>
        </w:rPr>
      </w:pPr>
      <w:r>
        <w:rPr>
          <w:rFonts w:asciiTheme="minorEastAsia" w:hAnsiTheme="minorEastAsia" w:eastAsiaTheme="minorEastAsia"/>
          <w:bCs w:val="0"/>
          <w:sz w:val="24"/>
          <w:szCs w:val="24"/>
        </w:rPr>
        <w:br w:type="page"/>
      </w:r>
    </w:p>
    <w:p>
      <w:pPr>
        <w:rPr>
          <w:rFonts w:asciiTheme="minorEastAsia" w:hAnsiTheme="minorEastAsia" w:eastAsiaTheme="minorEastAsia"/>
        </w:rPr>
      </w:pPr>
    </w:p>
    <w:p>
      <w:pPr>
        <w:rPr>
          <w:rFonts w:asciiTheme="minorEastAsia" w:hAnsiTheme="minorEastAsia" w:eastAsiaTheme="minorEastAsia"/>
        </w:rPr>
      </w:pPr>
    </w:p>
    <w:p>
      <w:pPr>
        <w:pStyle w:val="4"/>
        <w:spacing w:line="380" w:lineRule="exact"/>
        <w:rPr>
          <w:rFonts w:asciiTheme="minorEastAsia" w:hAnsiTheme="minorEastAsia" w:eastAsiaTheme="minorEastAsia"/>
          <w:bCs w:val="0"/>
          <w:sz w:val="24"/>
          <w:szCs w:val="24"/>
        </w:rPr>
      </w:pPr>
      <w:bookmarkStart w:id="171" w:name="_Toc3616"/>
      <w:bookmarkStart w:id="172" w:name="_Toc136017668"/>
      <w:bookmarkStart w:id="173" w:name="_Toc136345129"/>
      <w:r>
        <w:rPr>
          <w:rFonts w:hint="eastAsia" w:asciiTheme="minorEastAsia" w:hAnsiTheme="minorEastAsia" w:eastAsiaTheme="minorEastAsia"/>
          <w:bCs w:val="0"/>
          <w:sz w:val="24"/>
          <w:szCs w:val="24"/>
        </w:rPr>
        <w:t>（二）开标一览表</w:t>
      </w:r>
      <w:bookmarkEnd w:id="171"/>
      <w:bookmarkEnd w:id="172"/>
      <w:bookmarkEnd w:id="173"/>
    </w:p>
    <w:p>
      <w:pPr>
        <w:spacing w:line="400" w:lineRule="exact"/>
        <w:ind w:left="525"/>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spacing w:line="380" w:lineRule="exact"/>
        <w:rPr>
          <w:rFonts w:asciiTheme="minorEastAsia" w:hAnsiTheme="minorEastAsia" w:eastAsiaTheme="minorEastAsia"/>
          <w:szCs w:val="21"/>
          <w:u w:val="single"/>
        </w:rPr>
      </w:pPr>
      <w:r>
        <w:rPr>
          <w:rFonts w:hint="eastAsia" w:asciiTheme="minorEastAsia" w:hAnsiTheme="minorEastAsia" w:eastAsiaTheme="minorEastAsia"/>
          <w:szCs w:val="21"/>
        </w:rPr>
        <w:t>项目名称：                                 招标编号：</w:t>
      </w:r>
    </w:p>
    <w:tbl>
      <w:tblPr>
        <w:tblStyle w:val="38"/>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129"/>
        <w:gridCol w:w="2073"/>
        <w:gridCol w:w="201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99" w:type="dxa"/>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129" w:type="dxa"/>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费用组成</w:t>
            </w:r>
          </w:p>
        </w:tc>
        <w:tc>
          <w:tcPr>
            <w:tcW w:w="2073" w:type="dxa"/>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最高限价</w:t>
            </w:r>
            <w:r>
              <w:rPr>
                <w:rFonts w:hint="eastAsia" w:ascii="宋体" w:hAnsi="宋体" w:eastAsia="宋体" w:cs="宋体"/>
                <w:b/>
                <w:color w:val="auto"/>
                <w:kern w:val="0"/>
                <w:sz w:val="21"/>
                <w:szCs w:val="21"/>
                <w:highlight w:val="none"/>
              </w:rPr>
              <w:t>（元）</w:t>
            </w:r>
          </w:p>
        </w:tc>
        <w:tc>
          <w:tcPr>
            <w:tcW w:w="2014" w:type="dxa"/>
            <w:noWrap w:val="0"/>
            <w:vAlign w:val="center"/>
          </w:tcPr>
          <w:p>
            <w:pPr>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投标</w:t>
            </w:r>
            <w:r>
              <w:rPr>
                <w:rFonts w:hint="eastAsia" w:ascii="宋体" w:hAnsi="宋体" w:eastAsia="宋体" w:cs="宋体"/>
                <w:b/>
                <w:color w:val="auto"/>
                <w:kern w:val="0"/>
                <w:sz w:val="21"/>
                <w:szCs w:val="21"/>
                <w:highlight w:val="none"/>
                <w:lang w:val="en-US" w:eastAsia="zh-CN"/>
              </w:rPr>
              <w:t>折扣率</w:t>
            </w:r>
          </w:p>
        </w:tc>
        <w:tc>
          <w:tcPr>
            <w:tcW w:w="1222" w:type="dxa"/>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99" w:type="dxa"/>
            <w:noWrap w:val="0"/>
            <w:vAlign w:val="center"/>
          </w:tcPr>
          <w:p>
            <w:pPr>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w:t>
            </w:r>
          </w:p>
        </w:tc>
        <w:tc>
          <w:tcPr>
            <w:tcW w:w="3129" w:type="dxa"/>
            <w:noWrap w:val="0"/>
            <w:vAlign w:val="center"/>
          </w:tcPr>
          <w:p>
            <w:pPr>
              <w:jc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项目建设管理费</w:t>
            </w:r>
          </w:p>
        </w:tc>
        <w:tc>
          <w:tcPr>
            <w:tcW w:w="2073" w:type="dxa"/>
            <w:noWrap w:val="0"/>
            <w:vAlign w:val="center"/>
          </w:tcPr>
          <w:p>
            <w:pPr>
              <w:keepNext w:val="0"/>
              <w:keepLines w:val="0"/>
              <w:widowControl/>
              <w:suppressLineNumbers w:val="0"/>
              <w:jc w:val="center"/>
              <w:textAlignment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334940</w:t>
            </w:r>
          </w:p>
        </w:tc>
        <w:tc>
          <w:tcPr>
            <w:tcW w:w="2014" w:type="dxa"/>
            <w:vMerge w:val="restart"/>
            <w:noWrap w:val="0"/>
            <w:vAlign w:val="center"/>
          </w:tcPr>
          <w:p>
            <w:pPr>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u w:val="single"/>
              </w:rPr>
              <w:t xml:space="preserve">  </w:t>
            </w:r>
            <w:r>
              <w:rPr>
                <w:rFonts w:hint="eastAsia" w:ascii="宋体" w:hAnsi="宋体" w:eastAsia="宋体" w:cs="宋体"/>
                <w:b w:val="0"/>
                <w:bCs/>
                <w:color w:val="auto"/>
                <w:kern w:val="0"/>
                <w:sz w:val="22"/>
                <w:szCs w:val="22"/>
                <w:highlight w:val="none"/>
                <w:u w:val="single"/>
                <w:lang w:val="en-US" w:eastAsia="zh-CN"/>
              </w:rPr>
              <w:t xml:space="preserve">     </w:t>
            </w:r>
            <w:r>
              <w:rPr>
                <w:rFonts w:hint="eastAsia" w:ascii="宋体" w:hAnsi="宋体" w:eastAsia="宋体" w:cs="宋体"/>
                <w:b w:val="0"/>
                <w:bCs/>
                <w:color w:val="auto"/>
                <w:kern w:val="0"/>
                <w:sz w:val="22"/>
                <w:szCs w:val="22"/>
                <w:highlight w:val="none"/>
                <w:u w:val="single"/>
              </w:rPr>
              <w:t xml:space="preserve"> </w:t>
            </w:r>
            <w:r>
              <w:rPr>
                <w:rFonts w:hint="eastAsia" w:ascii="宋体" w:hAnsi="宋体" w:eastAsia="宋体" w:cs="宋体"/>
                <w:b w:val="0"/>
                <w:bCs/>
                <w:color w:val="auto"/>
                <w:kern w:val="0"/>
                <w:sz w:val="22"/>
                <w:szCs w:val="22"/>
                <w:highlight w:val="none"/>
              </w:rPr>
              <w:t>%</w:t>
            </w:r>
          </w:p>
        </w:tc>
        <w:tc>
          <w:tcPr>
            <w:tcW w:w="1222" w:type="dxa"/>
            <w:vMerge w:val="restart"/>
            <w:noWrap w:val="0"/>
            <w:vAlign w:val="center"/>
          </w:tcPr>
          <w:p>
            <w:pPr>
              <w:jc w:val="center"/>
              <w:rPr>
                <w:rFonts w:hint="eastAsia" w:ascii="宋体" w:hAnsi="宋体" w:eastAsia="宋体" w:cs="宋体"/>
                <w:b w:val="0"/>
                <w:bCs/>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99" w:type="dxa"/>
            <w:noWrap w:val="0"/>
            <w:vAlign w:val="center"/>
          </w:tcPr>
          <w:p>
            <w:pPr>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w:t>
            </w:r>
          </w:p>
        </w:tc>
        <w:tc>
          <w:tcPr>
            <w:tcW w:w="3129" w:type="dxa"/>
            <w:noWrap w:val="0"/>
            <w:vAlign w:val="center"/>
          </w:tcPr>
          <w:p>
            <w:pPr>
              <w:jc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监理服务费</w:t>
            </w:r>
          </w:p>
        </w:tc>
        <w:tc>
          <w:tcPr>
            <w:tcW w:w="2073" w:type="dxa"/>
            <w:noWrap w:val="0"/>
            <w:vAlign w:val="center"/>
          </w:tcPr>
          <w:p>
            <w:pPr>
              <w:keepNext w:val="0"/>
              <w:keepLines w:val="0"/>
              <w:widowControl/>
              <w:suppressLineNumbers w:val="0"/>
              <w:jc w:val="center"/>
              <w:textAlignment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611800</w:t>
            </w:r>
          </w:p>
        </w:tc>
        <w:tc>
          <w:tcPr>
            <w:tcW w:w="2014" w:type="dxa"/>
            <w:vMerge w:val="continue"/>
            <w:noWrap w:val="0"/>
            <w:vAlign w:val="center"/>
          </w:tcPr>
          <w:p>
            <w:pPr>
              <w:widowControl/>
              <w:jc w:val="left"/>
              <w:rPr>
                <w:rFonts w:hint="eastAsia" w:ascii="宋体" w:hAnsi="宋体" w:eastAsia="宋体" w:cs="宋体"/>
                <w:b w:val="0"/>
                <w:bCs/>
                <w:color w:val="auto"/>
                <w:kern w:val="0"/>
                <w:sz w:val="22"/>
                <w:szCs w:val="22"/>
                <w:highlight w:val="none"/>
              </w:rPr>
            </w:pPr>
          </w:p>
        </w:tc>
        <w:tc>
          <w:tcPr>
            <w:tcW w:w="1222" w:type="dxa"/>
            <w:vMerge w:val="continue"/>
            <w:noWrap w:val="0"/>
            <w:vAlign w:val="center"/>
          </w:tcPr>
          <w:p>
            <w:pPr>
              <w:widowControl/>
              <w:jc w:val="left"/>
              <w:rPr>
                <w:rFonts w:hint="eastAsia" w:ascii="宋体" w:hAnsi="宋体" w:eastAsia="宋体" w:cs="宋体"/>
                <w:b w:val="0"/>
                <w:bCs/>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99" w:type="dxa"/>
            <w:noWrap w:val="0"/>
            <w:vAlign w:val="center"/>
          </w:tcPr>
          <w:p>
            <w:pPr>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w:t>
            </w:r>
          </w:p>
        </w:tc>
        <w:tc>
          <w:tcPr>
            <w:tcW w:w="3129" w:type="dxa"/>
            <w:noWrap w:val="0"/>
            <w:vAlign w:val="center"/>
          </w:tcPr>
          <w:p>
            <w:pPr>
              <w:jc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施工阶段全过程工程造价控制费（</w:t>
            </w:r>
            <w:r>
              <w:rPr>
                <w:rFonts w:hint="eastAsia" w:ascii="宋体" w:hAnsi="宋体" w:cs="宋体"/>
                <w:b w:val="0"/>
                <w:bCs/>
                <w:color w:val="auto"/>
                <w:sz w:val="22"/>
                <w:szCs w:val="22"/>
                <w:highlight w:val="none"/>
                <w:lang w:eastAsia="zh-CN"/>
              </w:rPr>
              <w:t>不含招标控制价及工程量清单编制</w:t>
            </w:r>
            <w:r>
              <w:rPr>
                <w:rFonts w:hint="eastAsia" w:ascii="宋体" w:hAnsi="宋体" w:cs="宋体"/>
                <w:color w:val="auto"/>
                <w:sz w:val="22"/>
                <w:szCs w:val="22"/>
                <w:highlight w:val="none"/>
                <w:lang w:eastAsia="zh-CN"/>
              </w:rPr>
              <w:t>、不含结算</w:t>
            </w:r>
            <w:r>
              <w:rPr>
                <w:rFonts w:hint="eastAsia" w:ascii="宋体" w:hAnsi="宋体" w:cs="宋体"/>
                <w:color w:val="auto"/>
                <w:sz w:val="22"/>
                <w:szCs w:val="22"/>
                <w:highlight w:val="none"/>
                <w:lang w:val="en-US" w:eastAsia="zh-CN"/>
              </w:rPr>
              <w:t>审核</w:t>
            </w:r>
            <w:r>
              <w:rPr>
                <w:rFonts w:hint="eastAsia" w:ascii="宋体" w:hAnsi="宋体" w:eastAsia="宋体" w:cs="宋体"/>
                <w:b w:val="0"/>
                <w:bCs/>
                <w:color w:val="auto"/>
                <w:sz w:val="22"/>
                <w:szCs w:val="22"/>
                <w:highlight w:val="none"/>
                <w:lang w:eastAsia="zh-CN"/>
              </w:rPr>
              <w:t>费）</w:t>
            </w:r>
          </w:p>
        </w:tc>
        <w:tc>
          <w:tcPr>
            <w:tcW w:w="2073" w:type="dxa"/>
            <w:noWrap w:val="0"/>
            <w:vAlign w:val="center"/>
          </w:tcPr>
          <w:p>
            <w:pPr>
              <w:keepNext w:val="0"/>
              <w:keepLines w:val="0"/>
              <w:widowControl/>
              <w:suppressLineNumbers w:val="0"/>
              <w:jc w:val="center"/>
              <w:textAlignment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171140</w:t>
            </w:r>
          </w:p>
        </w:tc>
        <w:tc>
          <w:tcPr>
            <w:tcW w:w="2014" w:type="dxa"/>
            <w:vMerge w:val="continue"/>
            <w:noWrap w:val="0"/>
            <w:vAlign w:val="center"/>
          </w:tcPr>
          <w:p>
            <w:pPr>
              <w:widowControl/>
              <w:jc w:val="left"/>
              <w:rPr>
                <w:rFonts w:hint="eastAsia" w:ascii="宋体" w:hAnsi="宋体" w:eastAsia="宋体" w:cs="宋体"/>
                <w:b w:val="0"/>
                <w:bCs/>
                <w:color w:val="auto"/>
                <w:kern w:val="0"/>
                <w:sz w:val="22"/>
                <w:szCs w:val="22"/>
                <w:highlight w:val="none"/>
              </w:rPr>
            </w:pPr>
          </w:p>
        </w:tc>
        <w:tc>
          <w:tcPr>
            <w:tcW w:w="1222" w:type="dxa"/>
            <w:vMerge w:val="continue"/>
            <w:noWrap w:val="0"/>
            <w:vAlign w:val="center"/>
          </w:tcPr>
          <w:p>
            <w:pPr>
              <w:widowControl/>
              <w:jc w:val="left"/>
              <w:rPr>
                <w:rFonts w:hint="eastAsia" w:ascii="宋体" w:hAnsi="宋体" w:eastAsia="宋体" w:cs="宋体"/>
                <w:b w:val="0"/>
                <w:bCs/>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128" w:type="dxa"/>
            <w:gridSpan w:val="2"/>
            <w:noWrap w:val="0"/>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合  计</w:t>
            </w:r>
          </w:p>
        </w:tc>
        <w:tc>
          <w:tcPr>
            <w:tcW w:w="2073" w:type="dxa"/>
            <w:noWrap w:val="0"/>
            <w:vAlign w:val="center"/>
          </w:tcPr>
          <w:p>
            <w:pPr>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1117880</w:t>
            </w:r>
          </w:p>
        </w:tc>
        <w:tc>
          <w:tcPr>
            <w:tcW w:w="2014" w:type="dxa"/>
            <w:noWrap w:val="0"/>
            <w:vAlign w:val="center"/>
          </w:tcPr>
          <w:p>
            <w:pPr>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w:t>
            </w:r>
          </w:p>
        </w:tc>
        <w:tc>
          <w:tcPr>
            <w:tcW w:w="1222" w:type="dxa"/>
            <w:noWrap w:val="0"/>
            <w:vAlign w:val="center"/>
          </w:tcPr>
          <w:p>
            <w:pPr>
              <w:jc w:val="center"/>
              <w:rPr>
                <w:rFonts w:hint="eastAsia" w:ascii="宋体" w:hAnsi="宋体" w:eastAsia="宋体" w:cs="宋体"/>
                <w:b w:val="0"/>
                <w:bCs/>
                <w:color w:val="auto"/>
                <w:sz w:val="22"/>
                <w:szCs w:val="22"/>
                <w:highlight w:val="none"/>
                <w:lang w:val="en-US" w:eastAsia="zh-CN"/>
              </w:rPr>
            </w:pPr>
          </w:p>
        </w:tc>
      </w:tr>
    </w:tbl>
    <w:p>
      <w:pPr>
        <w:pStyle w:val="2"/>
        <w:numPr>
          <w:ilvl w:val="-1"/>
          <w:numId w:val="0"/>
        </w:numPr>
        <w:ind w:left="0" w:firstLine="0"/>
      </w:pPr>
      <w:r>
        <w:rPr>
          <w:rFonts w:hint="eastAsia" w:cs="宋体"/>
          <w:bCs/>
          <w:color w:val="auto"/>
          <w:spacing w:val="0"/>
          <w:sz w:val="22"/>
          <w:szCs w:val="22"/>
          <w:highlight w:val="none"/>
        </w:rPr>
        <w:t>注：投标文件中开标一览表内容与政采云系统“开标一览表”中录入的内容不一致的，以投标文件中开标一览表为准。</w:t>
      </w:r>
    </w:p>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投  标  人（公章）：</w:t>
      </w: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投标人代表（签字或印章）：</w:t>
      </w:r>
    </w:p>
    <w:p>
      <w:pPr>
        <w:spacing w:line="380" w:lineRule="exact"/>
        <w:rPr>
          <w:rFonts w:asciiTheme="minorEastAsia" w:hAnsiTheme="minorEastAsia" w:eastAsiaTheme="minorEastAsia"/>
          <w:szCs w:val="21"/>
        </w:rPr>
      </w:pPr>
    </w:p>
    <w:p>
      <w:pPr>
        <w:rPr>
          <w:rFonts w:asciiTheme="minorEastAsia" w:hAnsiTheme="minorEastAsia" w:eastAsiaTheme="minorEastAsia"/>
        </w:rPr>
      </w:pPr>
      <w:r>
        <w:rPr>
          <w:rFonts w:hint="eastAsia" w:asciiTheme="minorEastAsia" w:hAnsiTheme="minorEastAsia" w:eastAsiaTheme="minorEastAsia"/>
          <w:szCs w:val="21"/>
        </w:rPr>
        <w:t>日期：</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br w:type="page"/>
      </w:r>
    </w:p>
    <w:p>
      <w:pPr>
        <w:rPr>
          <w:rFonts w:asciiTheme="minorEastAsia" w:hAnsiTheme="minorEastAsia" w:eastAsiaTheme="minorEastAsia"/>
        </w:rPr>
      </w:pPr>
    </w:p>
    <w:p/>
    <w:p>
      <w:pPr>
        <w:pStyle w:val="4"/>
        <w:spacing w:line="380" w:lineRule="exact"/>
        <w:rPr>
          <w:rFonts w:asciiTheme="minorEastAsia" w:hAnsiTheme="minorEastAsia" w:eastAsiaTheme="minorEastAsia"/>
          <w:sz w:val="28"/>
          <w:szCs w:val="28"/>
        </w:rPr>
      </w:pPr>
      <w:bookmarkStart w:id="174" w:name="_Toc136345130"/>
      <w:bookmarkStart w:id="175" w:name="_Toc136017669"/>
      <w:bookmarkStart w:id="176" w:name="_Toc4008"/>
      <w:r>
        <w:rPr>
          <w:rFonts w:hint="eastAsia" w:asciiTheme="minorEastAsia" w:hAnsiTheme="minorEastAsia" w:eastAsiaTheme="minorEastAsia"/>
          <w:sz w:val="28"/>
          <w:szCs w:val="28"/>
        </w:rPr>
        <w:t>附  件</w:t>
      </w:r>
      <w:bookmarkEnd w:id="174"/>
      <w:bookmarkEnd w:id="175"/>
      <w:bookmarkEnd w:id="176"/>
    </w:p>
    <w:p>
      <w:pPr>
        <w:pStyle w:val="4"/>
        <w:spacing w:line="380" w:lineRule="exact"/>
        <w:rPr>
          <w:rFonts w:asciiTheme="minorEastAsia" w:hAnsiTheme="minorEastAsia" w:eastAsiaTheme="minorEastAsia"/>
          <w:sz w:val="24"/>
          <w:szCs w:val="24"/>
        </w:rPr>
      </w:pPr>
    </w:p>
    <w:p>
      <w:pPr>
        <w:pStyle w:val="4"/>
        <w:spacing w:line="380" w:lineRule="exact"/>
        <w:jc w:val="both"/>
        <w:rPr>
          <w:rFonts w:asciiTheme="minorEastAsia" w:hAnsiTheme="minorEastAsia" w:eastAsiaTheme="minorEastAsia"/>
          <w:sz w:val="24"/>
          <w:szCs w:val="24"/>
        </w:rPr>
      </w:pPr>
      <w:bookmarkStart w:id="177" w:name="_Toc136017670"/>
      <w:bookmarkStart w:id="178" w:name="_Toc10278"/>
      <w:bookmarkStart w:id="179" w:name="_Toc136345131"/>
      <w:r>
        <w:rPr>
          <w:rFonts w:hint="eastAsia" w:asciiTheme="minorEastAsia" w:hAnsiTheme="minorEastAsia" w:eastAsiaTheme="minorEastAsia"/>
          <w:sz w:val="24"/>
          <w:szCs w:val="24"/>
        </w:rPr>
        <w:t>附件1                       中小企业声明函</w:t>
      </w:r>
      <w:bookmarkEnd w:id="177"/>
      <w:bookmarkEnd w:id="178"/>
      <w:bookmarkEnd w:id="179"/>
    </w:p>
    <w:p>
      <w:pPr>
        <w:rPr>
          <w:rFonts w:asciiTheme="minorEastAsia" w:hAnsiTheme="minorEastAsia" w:eastAsiaTheme="minorEastAsia"/>
        </w:rPr>
      </w:pP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本公司（</w:t>
      </w:r>
      <w:r>
        <w:rPr>
          <w:rFonts w:hint="eastAsia" w:asciiTheme="minorEastAsia" w:hAnsiTheme="minorEastAsia" w:eastAsiaTheme="minorEastAsia"/>
          <w:i/>
          <w:iCs/>
          <w:spacing w:val="6"/>
          <w:szCs w:val="21"/>
        </w:rPr>
        <w:t>联合体</w:t>
      </w:r>
      <w:r>
        <w:rPr>
          <w:rFonts w:hint="eastAsia" w:asciiTheme="minorEastAsia" w:hAnsiTheme="minorEastAsia" w:eastAsiaTheme="minorEastAsia"/>
          <w:spacing w:val="6"/>
          <w:szCs w:val="21"/>
        </w:rPr>
        <w:t>）郑重声明，根据《政府采购促进中小企业发展管理办法》（财库[2020]46号）的规定，本公司（</w:t>
      </w:r>
      <w:r>
        <w:rPr>
          <w:rFonts w:hint="eastAsia" w:asciiTheme="minorEastAsia" w:hAnsiTheme="minorEastAsia" w:eastAsiaTheme="minorEastAsia"/>
          <w:i/>
          <w:iCs/>
          <w:spacing w:val="6"/>
          <w:szCs w:val="21"/>
        </w:rPr>
        <w:t>联合体</w:t>
      </w:r>
      <w:r>
        <w:rPr>
          <w:rFonts w:hint="eastAsia" w:asciiTheme="minorEastAsia" w:hAnsiTheme="minorEastAsia" w:eastAsiaTheme="minorEastAsia"/>
          <w:spacing w:val="6"/>
          <w:szCs w:val="21"/>
        </w:rPr>
        <w:t>）参加</w:t>
      </w:r>
      <w:r>
        <w:rPr>
          <w:rFonts w:hint="eastAsia" w:asciiTheme="minorEastAsia" w:hAnsiTheme="minorEastAsia" w:eastAsiaTheme="minorEastAsia"/>
          <w:i/>
          <w:spacing w:val="6"/>
          <w:szCs w:val="21"/>
          <w:u w:val="single"/>
        </w:rPr>
        <w:t>（单位名称）</w:t>
      </w:r>
      <w:r>
        <w:rPr>
          <w:rFonts w:hint="eastAsia" w:asciiTheme="minorEastAsia" w:hAnsiTheme="minorEastAsia" w:eastAsiaTheme="minorEastAsia"/>
          <w:spacing w:val="6"/>
          <w:szCs w:val="21"/>
        </w:rPr>
        <w:t>的</w:t>
      </w:r>
      <w:r>
        <w:rPr>
          <w:rFonts w:hint="eastAsia" w:asciiTheme="minorEastAsia" w:hAnsiTheme="minorEastAsia" w:eastAsiaTheme="minorEastAsia"/>
          <w:i/>
          <w:spacing w:val="6"/>
          <w:szCs w:val="21"/>
          <w:u w:val="single"/>
        </w:rPr>
        <w:t>（项目名称）</w:t>
      </w:r>
      <w:r>
        <w:rPr>
          <w:rFonts w:hint="eastAsia" w:asciiTheme="minorEastAsia" w:hAnsiTheme="minorEastAsia" w:eastAsiaTheme="minorEastAsia"/>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44" w:firstLineChars="200"/>
        <w:rPr>
          <w:rFonts w:asciiTheme="minorEastAsia" w:hAnsiTheme="minorEastAsia" w:eastAsiaTheme="minorEastAsia"/>
          <w:spacing w:val="6"/>
          <w:szCs w:val="21"/>
          <w:u w:val="single"/>
        </w:rPr>
      </w:pPr>
      <w:r>
        <w:rPr>
          <w:rFonts w:hint="eastAsia" w:asciiTheme="minorEastAsia" w:hAnsiTheme="minorEastAsia" w:eastAsiaTheme="minorEastAsia"/>
          <w:spacing w:val="6"/>
          <w:szCs w:val="21"/>
        </w:rPr>
        <w:t>1.</w:t>
      </w:r>
      <w:r>
        <w:rPr>
          <w:rFonts w:hint="eastAsia" w:ascii="宋体" w:hAnsi="宋体"/>
          <w:u w:val="single"/>
        </w:rPr>
        <w:t>庄桥老街街区更新项目活力街区更新工程全过程咨询项目</w:t>
      </w:r>
      <w:r>
        <w:rPr>
          <w:rFonts w:hint="eastAsia" w:asciiTheme="minorEastAsia" w:hAnsiTheme="minorEastAsia" w:eastAsiaTheme="minorEastAsia"/>
          <w:spacing w:val="6"/>
          <w:szCs w:val="21"/>
        </w:rPr>
        <w:t>，属于</w:t>
      </w:r>
      <w:r>
        <w:rPr>
          <w:rFonts w:hint="eastAsia" w:ascii="宋体" w:hAnsi="宋体" w:cs="宋体"/>
          <w:b/>
          <w:szCs w:val="21"/>
          <w:u w:val="single"/>
        </w:rPr>
        <w:t>其他未列明行业</w:t>
      </w:r>
      <w:r>
        <w:rPr>
          <w:rFonts w:hint="eastAsia" w:asciiTheme="minorEastAsia" w:hAnsiTheme="minorEastAsia" w:eastAsiaTheme="minorEastAsia"/>
          <w:spacing w:val="6"/>
          <w:szCs w:val="21"/>
        </w:rPr>
        <w:t>；承建（承接）企业为</w:t>
      </w:r>
      <w:r>
        <w:rPr>
          <w:rFonts w:hint="eastAsia" w:asciiTheme="minorEastAsia" w:hAnsiTheme="minorEastAsia" w:eastAsiaTheme="minorEastAsia"/>
          <w:i/>
          <w:spacing w:val="6"/>
          <w:szCs w:val="21"/>
          <w:u w:val="single"/>
        </w:rPr>
        <w:t>（企业名称）</w:t>
      </w:r>
      <w:r>
        <w:rPr>
          <w:rFonts w:hint="eastAsia" w:asciiTheme="minorEastAsia" w:hAnsiTheme="minorEastAsia" w:eastAsiaTheme="minorEastAsia"/>
          <w:spacing w:val="6"/>
          <w:szCs w:val="21"/>
        </w:rPr>
        <w:t>，从业人员</w:t>
      </w:r>
      <w:r>
        <w:rPr>
          <w:rFonts w:hint="eastAsia" w:asciiTheme="minorEastAsia" w:hAnsiTheme="minorEastAsia" w:eastAsiaTheme="minorEastAsia"/>
          <w:spacing w:val="6"/>
          <w:szCs w:val="21"/>
          <w:u w:val="single"/>
          <w:lang w:val="en-US" w:eastAsia="zh-CN"/>
        </w:rPr>
        <w:t xml:space="preserve">    </w:t>
      </w:r>
      <w:r>
        <w:rPr>
          <w:rFonts w:hint="eastAsia" w:asciiTheme="minorEastAsia" w:hAnsiTheme="minorEastAsia" w:eastAsiaTheme="minorEastAsia"/>
          <w:spacing w:val="6"/>
          <w:szCs w:val="21"/>
        </w:rPr>
        <w:t>人，营业收入为</w:t>
      </w:r>
      <w:r>
        <w:rPr>
          <w:rFonts w:hint="eastAsia" w:asciiTheme="minorEastAsia" w:hAnsiTheme="minorEastAsia" w:eastAsiaTheme="minorEastAsia"/>
          <w:spacing w:val="6"/>
          <w:szCs w:val="21"/>
          <w:u w:val="single"/>
          <w:lang w:val="en-US" w:eastAsia="zh-CN"/>
        </w:rPr>
        <w:t xml:space="preserve">     </w:t>
      </w:r>
      <w:r>
        <w:rPr>
          <w:rFonts w:hint="eastAsia" w:asciiTheme="minorEastAsia" w:hAnsiTheme="minorEastAsia" w:eastAsiaTheme="minorEastAsia"/>
          <w:spacing w:val="6"/>
          <w:szCs w:val="21"/>
        </w:rPr>
        <w:t>万元，资产总额为</w:t>
      </w:r>
      <w:r>
        <w:rPr>
          <w:rFonts w:hint="eastAsia" w:asciiTheme="minorEastAsia" w:hAnsiTheme="minorEastAsia" w:eastAsiaTheme="minorEastAsia"/>
          <w:spacing w:val="6"/>
          <w:szCs w:val="21"/>
          <w:u w:val="single"/>
          <w:lang w:val="en-US" w:eastAsia="zh-CN"/>
        </w:rPr>
        <w:t xml:space="preserve">    </w:t>
      </w:r>
      <w:r>
        <w:rPr>
          <w:rFonts w:hint="eastAsia" w:asciiTheme="minorEastAsia" w:hAnsiTheme="minorEastAsia" w:eastAsiaTheme="minorEastAsia"/>
          <w:spacing w:val="6"/>
          <w:szCs w:val="21"/>
        </w:rPr>
        <w:t>万元，属于</w:t>
      </w:r>
      <w:r>
        <w:rPr>
          <w:rFonts w:hint="eastAsia" w:asciiTheme="minorEastAsia" w:hAnsiTheme="minorEastAsia" w:eastAsiaTheme="minorEastAsia"/>
          <w:i/>
          <w:spacing w:val="6"/>
          <w:szCs w:val="21"/>
          <w:u w:val="single"/>
        </w:rPr>
        <w:t>（中型企业、小型企业、微型企业）</w:t>
      </w:r>
      <w:r>
        <w:rPr>
          <w:rFonts w:hint="eastAsia" w:asciiTheme="minorEastAsia" w:hAnsiTheme="minorEastAsia" w:eastAsiaTheme="minorEastAsia"/>
          <w:spacing w:val="6"/>
          <w:szCs w:val="21"/>
        </w:rPr>
        <w:t>；</w:t>
      </w:r>
    </w:p>
    <w:p>
      <w:pPr>
        <w:spacing w:line="360" w:lineRule="auto"/>
        <w:ind w:firstLine="444" w:firstLineChars="200"/>
        <w:rPr>
          <w:rFonts w:asciiTheme="minorEastAsia" w:hAnsiTheme="minorEastAsia" w:eastAsiaTheme="minorEastAsia"/>
          <w:spacing w:val="6"/>
          <w:szCs w:val="21"/>
          <w:u w:val="single"/>
        </w:rPr>
      </w:pPr>
      <w:r>
        <w:rPr>
          <w:rFonts w:hint="eastAsia" w:asciiTheme="minorEastAsia" w:hAnsiTheme="minorEastAsia" w:eastAsiaTheme="minorEastAsia"/>
          <w:spacing w:val="6"/>
          <w:szCs w:val="21"/>
        </w:rPr>
        <w:t>2.</w:t>
      </w:r>
      <w:r>
        <w:rPr>
          <w:rFonts w:hint="eastAsia" w:ascii="宋体" w:hAnsi="宋体"/>
          <w:u w:val="single"/>
        </w:rPr>
        <w:t>庄桥老街街区更新项目活力街区更新工程全过程咨询项目</w:t>
      </w:r>
      <w:r>
        <w:rPr>
          <w:rFonts w:hint="eastAsia" w:asciiTheme="minorEastAsia" w:hAnsiTheme="minorEastAsia" w:eastAsiaTheme="minorEastAsia"/>
          <w:spacing w:val="6"/>
          <w:szCs w:val="21"/>
        </w:rPr>
        <w:t>，属于</w:t>
      </w:r>
      <w:r>
        <w:rPr>
          <w:rFonts w:hint="eastAsia" w:ascii="宋体" w:hAnsi="宋体" w:cs="宋体"/>
          <w:b/>
          <w:szCs w:val="21"/>
          <w:u w:val="single"/>
        </w:rPr>
        <w:t>其他未列明行业</w:t>
      </w:r>
      <w:r>
        <w:rPr>
          <w:rFonts w:hint="eastAsia" w:asciiTheme="minorEastAsia" w:hAnsiTheme="minorEastAsia" w:eastAsiaTheme="minorEastAsia"/>
          <w:spacing w:val="6"/>
          <w:szCs w:val="21"/>
        </w:rPr>
        <w:t>；承建（承接）企业为</w:t>
      </w:r>
      <w:r>
        <w:rPr>
          <w:rFonts w:hint="eastAsia" w:asciiTheme="minorEastAsia" w:hAnsiTheme="minorEastAsia" w:eastAsiaTheme="minorEastAsia"/>
          <w:i/>
          <w:spacing w:val="6"/>
          <w:szCs w:val="21"/>
          <w:u w:val="single"/>
        </w:rPr>
        <w:t>（企业名称）</w:t>
      </w:r>
      <w:r>
        <w:rPr>
          <w:rFonts w:hint="eastAsia" w:asciiTheme="minorEastAsia" w:hAnsiTheme="minorEastAsia" w:eastAsiaTheme="minorEastAsia"/>
          <w:spacing w:val="6"/>
          <w:szCs w:val="21"/>
        </w:rPr>
        <w:t>，从业人员</w:t>
      </w:r>
      <w:r>
        <w:rPr>
          <w:rFonts w:hint="eastAsia" w:asciiTheme="minorEastAsia" w:hAnsiTheme="minorEastAsia" w:eastAsiaTheme="minorEastAsia"/>
          <w:spacing w:val="6"/>
          <w:szCs w:val="21"/>
          <w:u w:val="single"/>
          <w:lang w:val="en-US" w:eastAsia="zh-CN"/>
        </w:rPr>
        <w:t xml:space="preserve">    </w:t>
      </w:r>
      <w:r>
        <w:rPr>
          <w:rFonts w:hint="eastAsia" w:asciiTheme="minorEastAsia" w:hAnsiTheme="minorEastAsia" w:eastAsiaTheme="minorEastAsia"/>
          <w:spacing w:val="6"/>
          <w:szCs w:val="21"/>
        </w:rPr>
        <w:t>人，营业收入为</w:t>
      </w:r>
      <w:r>
        <w:rPr>
          <w:rFonts w:hint="eastAsia" w:asciiTheme="minorEastAsia" w:hAnsiTheme="minorEastAsia" w:eastAsiaTheme="minorEastAsia"/>
          <w:spacing w:val="6"/>
          <w:szCs w:val="21"/>
          <w:u w:val="single"/>
          <w:lang w:val="en-US" w:eastAsia="zh-CN"/>
        </w:rPr>
        <w:t xml:space="preserve">    </w:t>
      </w:r>
      <w:r>
        <w:rPr>
          <w:rFonts w:hint="eastAsia" w:asciiTheme="minorEastAsia" w:hAnsiTheme="minorEastAsia" w:eastAsiaTheme="minorEastAsia"/>
          <w:spacing w:val="6"/>
          <w:szCs w:val="21"/>
        </w:rPr>
        <w:t>万元，资产总额为</w:t>
      </w:r>
      <w:r>
        <w:rPr>
          <w:rFonts w:hint="eastAsia" w:asciiTheme="minorEastAsia" w:hAnsiTheme="minorEastAsia" w:eastAsiaTheme="minorEastAsia"/>
          <w:spacing w:val="6"/>
          <w:szCs w:val="21"/>
          <w:u w:val="single"/>
          <w:lang w:val="en-US" w:eastAsia="zh-CN"/>
        </w:rPr>
        <w:t xml:space="preserve">    </w:t>
      </w:r>
      <w:r>
        <w:rPr>
          <w:rFonts w:hint="eastAsia" w:asciiTheme="minorEastAsia" w:hAnsiTheme="minorEastAsia" w:eastAsiaTheme="minorEastAsia"/>
          <w:spacing w:val="6"/>
          <w:szCs w:val="21"/>
        </w:rPr>
        <w:t>万元，属于</w:t>
      </w:r>
      <w:r>
        <w:rPr>
          <w:rFonts w:hint="eastAsia" w:asciiTheme="minorEastAsia" w:hAnsiTheme="minorEastAsia" w:eastAsiaTheme="minorEastAsia"/>
          <w:i/>
          <w:spacing w:val="6"/>
          <w:szCs w:val="21"/>
          <w:u w:val="single"/>
        </w:rPr>
        <w:t>（中型企业、小型企业、微型企业）</w:t>
      </w:r>
      <w:r>
        <w:rPr>
          <w:rFonts w:hint="eastAsia" w:asciiTheme="minorEastAsia" w:hAnsiTheme="minorEastAsia" w:eastAsiaTheme="minorEastAsia"/>
          <w:spacing w:val="6"/>
          <w:szCs w:val="21"/>
        </w:rPr>
        <w:t>；</w:t>
      </w: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w:t>
      </w: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以上企业，不属于大企业的分支机构，不存在控股股东为大企业的情形，也不存在与大企业的负责人为同一人的情形。</w:t>
      </w: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本企业对上述声明内容的真实性负责。如有虚假，将依法承担相应责任。</w:t>
      </w:r>
    </w:p>
    <w:p>
      <w:pPr>
        <w:tabs>
          <w:tab w:val="left" w:pos="4860"/>
        </w:tabs>
        <w:spacing w:line="360" w:lineRule="auto"/>
        <w:ind w:right="-58" w:firstLine="999" w:firstLineChars="450"/>
        <w:rPr>
          <w:rFonts w:asciiTheme="minorEastAsia" w:hAnsiTheme="minorEastAsia" w:eastAsiaTheme="minorEastAsia"/>
          <w:spacing w:val="6"/>
          <w:szCs w:val="21"/>
        </w:rPr>
      </w:pPr>
    </w:p>
    <w:p>
      <w:pPr>
        <w:tabs>
          <w:tab w:val="left" w:pos="4860"/>
        </w:tabs>
        <w:spacing w:line="360" w:lineRule="auto"/>
        <w:ind w:right="-58" w:firstLine="4773" w:firstLineChars="2150"/>
        <w:rPr>
          <w:rFonts w:asciiTheme="minorEastAsia" w:hAnsiTheme="minorEastAsia" w:eastAsiaTheme="minorEastAsia"/>
          <w:spacing w:val="6"/>
          <w:szCs w:val="21"/>
        </w:rPr>
      </w:pPr>
      <w:r>
        <w:rPr>
          <w:rFonts w:hint="eastAsia" w:asciiTheme="minorEastAsia" w:hAnsiTheme="minorEastAsia" w:eastAsiaTheme="minorEastAsia"/>
          <w:spacing w:val="6"/>
          <w:szCs w:val="21"/>
        </w:rPr>
        <w:t xml:space="preserve">企业名称（公章）：                </w:t>
      </w:r>
    </w:p>
    <w:p>
      <w:pPr>
        <w:tabs>
          <w:tab w:val="left" w:pos="4860"/>
        </w:tabs>
        <w:spacing w:line="360" w:lineRule="auto"/>
        <w:ind w:right="-58" w:firstLine="4773" w:firstLineChars="2150"/>
        <w:rPr>
          <w:rFonts w:asciiTheme="minorEastAsia" w:hAnsiTheme="minorEastAsia" w:eastAsiaTheme="minorEastAsia"/>
          <w:spacing w:val="6"/>
          <w:szCs w:val="21"/>
        </w:rPr>
      </w:pPr>
      <w:r>
        <w:rPr>
          <w:rFonts w:hint="eastAsia" w:asciiTheme="minorEastAsia" w:hAnsiTheme="minorEastAsia" w:eastAsiaTheme="minorEastAsia"/>
          <w:spacing w:val="6"/>
          <w:szCs w:val="21"/>
        </w:rPr>
        <w:t xml:space="preserve">日期：  </w:t>
      </w:r>
    </w:p>
    <w:p>
      <w:pPr>
        <w:spacing w:line="360" w:lineRule="auto"/>
        <w:ind w:right="420"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spacing w:val="6"/>
          <w:szCs w:val="21"/>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44" w:firstLineChars="200"/>
        <w:rPr>
          <w:rFonts w:asciiTheme="minorEastAsia" w:hAnsiTheme="minorEastAsia" w:eastAsiaTheme="minorEastAsia"/>
          <w:sz w:val="28"/>
          <w:szCs w:val="28"/>
        </w:rPr>
        <w:sectPr>
          <w:headerReference r:id="rId18"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spacing w:val="6"/>
          <w:szCs w:val="21"/>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szCs w:val="21"/>
        </w:rPr>
        <w:t>。</w:t>
      </w:r>
    </w:p>
    <w:p>
      <w:pPr>
        <w:rPr>
          <w:rFonts w:asciiTheme="minorEastAsia" w:hAnsiTheme="minorEastAsia" w:eastAsiaTheme="minorEastAsia"/>
          <w:b/>
          <w:spacing w:val="6"/>
          <w:sz w:val="28"/>
          <w:szCs w:val="28"/>
        </w:rPr>
      </w:pPr>
    </w:p>
    <w:p>
      <w:pPr>
        <w:jc w:val="center"/>
        <w:rPr>
          <w:rStyle w:val="132"/>
          <w:rFonts w:hint="default" w:asciiTheme="minorEastAsia" w:hAnsiTheme="minorEastAsia" w:eastAsiaTheme="minorEastAsia"/>
          <w:color w:val="auto"/>
          <w:sz w:val="28"/>
          <w:szCs w:val="28"/>
        </w:rPr>
      </w:pPr>
      <w:r>
        <w:rPr>
          <w:rFonts w:hint="eastAsia" w:cs="宋体" w:asciiTheme="minorEastAsia" w:hAnsiTheme="minorEastAsia" w:eastAsiaTheme="minorEastAsia"/>
          <w:b/>
          <w:kern w:val="0"/>
          <w:sz w:val="28"/>
          <w:szCs w:val="28"/>
        </w:rPr>
        <w:t>中小微行业划型标准规定</w:t>
      </w:r>
      <w:r>
        <w:rPr>
          <w:rStyle w:val="132"/>
          <w:rFonts w:hint="default" w:asciiTheme="minorEastAsia" w:hAnsiTheme="minorEastAsia" w:eastAsiaTheme="minorEastAsia"/>
          <w:color w:val="auto"/>
          <w:sz w:val="28"/>
          <w:szCs w:val="28"/>
        </w:rPr>
        <w:t>（根据工信部联企业〔2011〕300号制定）</w:t>
      </w:r>
    </w:p>
    <w:tbl>
      <w:tblPr>
        <w:tblStyle w:val="38"/>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微型企业</w:t>
            </w:r>
          </w:p>
        </w:tc>
      </w:tr>
      <w:tr>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pPr>
              <w:jc w:val="center"/>
              <w:rPr>
                <w:rFonts w:cs="宋体" w:asciiTheme="minorEastAsia" w:hAnsiTheme="minorEastAsia" w:eastAsiaTheme="minorEastAsia"/>
                <w:b/>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资产总额Z（万元）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X＜5</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r>
    </w:tbl>
    <w:p>
      <w:pPr>
        <w:rPr>
          <w:rFonts w:asciiTheme="minorEastAsia" w:hAnsiTheme="minorEastAsia" w:eastAsiaTheme="minorEastAsia"/>
          <w:sz w:val="28"/>
          <w:szCs w:val="28"/>
        </w:rPr>
      </w:pPr>
      <w:r>
        <w:rPr>
          <w:rFonts w:hint="eastAsia" w:cs="宋体" w:asciiTheme="minorEastAsia" w:hAnsiTheme="minorEastAsia" w:eastAsiaTheme="minorEastAsia"/>
          <w:kern w:val="0"/>
          <w:sz w:val="18"/>
          <w:szCs w:val="18"/>
        </w:rPr>
        <w:t>说明　1、企业类型的划分以统计部门的统计数据为依据。2、个体工商户和本规定以外的行业，参照本规定进行划型。3、本规定的中型企业标准上限即为大型企业标准的下限。</w:t>
      </w:r>
    </w:p>
    <w:p>
      <w:pPr>
        <w:pStyle w:val="5"/>
        <w:spacing w:line="380" w:lineRule="exact"/>
        <w:rPr>
          <w:rFonts w:asciiTheme="minorEastAsia" w:hAnsiTheme="minorEastAsia" w:eastAsiaTheme="minorEastAsia"/>
          <w:sz w:val="28"/>
          <w:szCs w:val="28"/>
        </w:rPr>
        <w:sectPr>
          <w:headerReference r:id="rId19" w:type="default"/>
          <w:pgSz w:w="16840" w:h="11907" w:orient="landscape"/>
          <w:pgMar w:top="1588" w:right="1304" w:bottom="1588" w:left="1304" w:header="720" w:footer="720" w:gutter="0"/>
          <w:cols w:space="720" w:num="1"/>
          <w:docGrid w:linePitch="285" w:charSpace="0"/>
        </w:sectPr>
      </w:pPr>
    </w:p>
    <w:p>
      <w:pPr>
        <w:pStyle w:val="4"/>
        <w:spacing w:line="380" w:lineRule="exact"/>
        <w:rPr>
          <w:rFonts w:asciiTheme="minorEastAsia" w:hAnsiTheme="minorEastAsia" w:eastAsiaTheme="minorEastAsia"/>
          <w:sz w:val="24"/>
          <w:szCs w:val="24"/>
        </w:rPr>
      </w:pPr>
    </w:p>
    <w:p>
      <w:pPr>
        <w:pStyle w:val="4"/>
        <w:spacing w:line="380" w:lineRule="exact"/>
        <w:jc w:val="both"/>
        <w:rPr>
          <w:rFonts w:asciiTheme="minorEastAsia" w:hAnsiTheme="minorEastAsia" w:eastAsiaTheme="minorEastAsia"/>
          <w:sz w:val="24"/>
          <w:szCs w:val="24"/>
        </w:rPr>
      </w:pPr>
      <w:bookmarkStart w:id="180" w:name="_Toc136017671"/>
      <w:bookmarkStart w:id="181" w:name="_Toc136345132"/>
      <w:bookmarkStart w:id="182" w:name="_Toc6362"/>
      <w:r>
        <w:rPr>
          <w:rFonts w:hint="eastAsia" w:asciiTheme="minorEastAsia" w:hAnsiTheme="minorEastAsia" w:eastAsiaTheme="minorEastAsia"/>
          <w:sz w:val="24"/>
          <w:szCs w:val="24"/>
        </w:rPr>
        <w:t>附件2              残疾人福利性单位声明函（如有需提供）</w:t>
      </w:r>
      <w:bookmarkEnd w:id="180"/>
      <w:bookmarkEnd w:id="181"/>
      <w:bookmarkEnd w:id="182"/>
    </w:p>
    <w:p>
      <w:pPr>
        <w:ind w:firstLine="420" w:firstLineChars="200"/>
        <w:rPr>
          <w:rFonts w:asciiTheme="minorEastAsia" w:hAnsiTheme="minorEastAsia" w:eastAsiaTheme="minorEastAsia"/>
          <w:szCs w:val="21"/>
        </w:rPr>
      </w:pPr>
    </w:p>
    <w:p>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pPr>
        <w:tabs>
          <w:tab w:val="left" w:pos="4860"/>
        </w:tabs>
        <w:spacing w:line="588" w:lineRule="exact"/>
        <w:ind w:right="1560" w:firstLine="420" w:firstLineChars="200"/>
        <w:jc w:val="center"/>
        <w:rPr>
          <w:rFonts w:asciiTheme="minorEastAsia" w:hAnsiTheme="minorEastAsia" w:eastAsiaTheme="minorEastAsia"/>
          <w:szCs w:val="21"/>
        </w:rPr>
      </w:pPr>
    </w:p>
    <w:p>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单位名称（公章）：</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 xml:space="preserve">                                   日  期：</w:t>
      </w:r>
    </w:p>
    <w:p>
      <w:pPr>
        <w:spacing w:line="400" w:lineRule="exact"/>
        <w:ind w:firstLine="422" w:firstLineChars="200"/>
        <w:rPr>
          <w:rFonts w:asciiTheme="minorEastAsia" w:hAnsiTheme="minorEastAsia" w:eastAsiaTheme="minorEastAsia"/>
          <w:b/>
          <w:szCs w:val="21"/>
        </w:rPr>
      </w:pP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注：</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享受政府采购支持政策的残疾人福利性单位应当同时满足以下条件：</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（一）安置的残疾人占本单位在职职工人数的比例不低于</w:t>
      </w:r>
      <w:r>
        <w:rPr>
          <w:rFonts w:asciiTheme="minorEastAsia" w:hAnsiTheme="minorEastAsia" w:eastAsiaTheme="minorEastAsia"/>
          <w:b/>
          <w:szCs w:val="21"/>
        </w:rPr>
        <w:t>25%</w:t>
      </w:r>
      <w:r>
        <w:rPr>
          <w:rFonts w:hint="eastAsia" w:asciiTheme="minorEastAsia" w:hAnsiTheme="minorEastAsia" w:eastAsiaTheme="minorEastAsia"/>
          <w:b/>
          <w:szCs w:val="21"/>
        </w:rPr>
        <w:t>（含</w:t>
      </w:r>
      <w:r>
        <w:rPr>
          <w:rFonts w:asciiTheme="minorEastAsia" w:hAnsiTheme="minorEastAsia" w:eastAsiaTheme="minorEastAsia"/>
          <w:b/>
          <w:szCs w:val="21"/>
        </w:rPr>
        <w:t>25%</w:t>
      </w:r>
      <w:r>
        <w:rPr>
          <w:rFonts w:hint="eastAsia" w:asciiTheme="minorEastAsia" w:hAnsiTheme="minorEastAsia" w:eastAsiaTheme="minorEastAsia"/>
          <w:b/>
          <w:szCs w:val="21"/>
        </w:rPr>
        <w:t>），并且安置的残疾人人数不少于</w:t>
      </w:r>
      <w:r>
        <w:rPr>
          <w:rFonts w:asciiTheme="minorEastAsia" w:hAnsiTheme="minorEastAsia" w:eastAsiaTheme="minorEastAsia"/>
          <w:b/>
          <w:szCs w:val="21"/>
        </w:rPr>
        <w:t>10</w:t>
      </w:r>
      <w:r>
        <w:rPr>
          <w:rFonts w:hint="eastAsia" w:asciiTheme="minorEastAsia" w:hAnsiTheme="minorEastAsia" w:eastAsiaTheme="minorEastAsia"/>
          <w:b/>
          <w:szCs w:val="21"/>
        </w:rPr>
        <w:t>人（含</w:t>
      </w:r>
      <w:r>
        <w:rPr>
          <w:rFonts w:asciiTheme="minorEastAsia" w:hAnsiTheme="minorEastAsia" w:eastAsiaTheme="minorEastAsia"/>
          <w:b/>
          <w:szCs w:val="21"/>
        </w:rPr>
        <w:t>10</w:t>
      </w:r>
      <w:r>
        <w:rPr>
          <w:rFonts w:hint="eastAsia" w:asciiTheme="minorEastAsia" w:hAnsiTheme="minorEastAsia" w:eastAsiaTheme="minorEastAsia"/>
          <w:b/>
          <w:szCs w:val="21"/>
        </w:rPr>
        <w:t>人）；</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（二）依法与安置的每位残疾人签订了一年以上（含一年）的劳动合同或服务协议；</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（三）为安置的每位残疾人按月足额缴纳了基本养老保险、基本医疗保险、失业保险、工伤保险和生育保险等社会保险费；</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（四）通过银行等金融机构向安置的每位残疾人，按月支付了不低于单位所在区县适用的经省级人民政府批准的月最低工资标准的工资；</w:t>
      </w:r>
    </w:p>
    <w:p>
      <w:pPr>
        <w:spacing w:line="40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（五）提供本单位制造的货物、承担的工程或者服务（以下简称产品），或者提供其他残疾人福利性单位制造的货物（不包括使用非残疾人福利性单位注册商标的货物）。</w:t>
      </w:r>
    </w:p>
    <w:p>
      <w:pPr>
        <w:widowControl/>
        <w:spacing w:line="400" w:lineRule="exact"/>
        <w:ind w:firstLine="422" w:firstLineChars="200"/>
        <w:jc w:val="left"/>
        <w:rPr>
          <w:rFonts w:hint="eastAsia" w:cs="Times New Roman" w:asciiTheme="minorEastAsia" w:hAnsiTheme="minorEastAsia" w:eastAsiaTheme="minorEastAsia"/>
          <w:b/>
          <w:kern w:val="2"/>
          <w:szCs w:val="21"/>
        </w:rPr>
      </w:pPr>
      <w:r>
        <w:rPr>
          <w:rFonts w:hint="eastAsia" w:asciiTheme="minorEastAsia" w:hAnsiTheme="minorEastAsia" w:eastAsiaTheme="minorEastAsia"/>
          <w:b/>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
        <w:spacing w:before="240" w:after="240"/>
      </w:pPr>
    </w:p>
    <w:p/>
    <w:p>
      <w:pPr>
        <w:pStyle w:val="3"/>
        <w:spacing w:before="240" w:after="240"/>
      </w:pPr>
    </w:p>
    <w:p/>
    <w:sectPr>
      <w:headerReference r:id="rId20"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111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pPr>
          <w:pStyle w:val="26"/>
          <w:jc w:val="center"/>
        </w:pPr>
        <w:r>
          <w:fldChar w:fldCharType="begin"/>
        </w:r>
        <w:r>
          <w:instrText xml:space="preserve"> PAGE   \* MERGEFORMAT </w:instrText>
        </w:r>
        <w:r>
          <w:fldChar w:fldCharType="separate"/>
        </w:r>
        <w:r>
          <w:rPr>
            <w:lang w:val="zh-CN"/>
          </w:rPr>
          <w:t>125</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评标办法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政府采购公开招标招标文件招标项目需求</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21"/>
        <w:szCs w:val="21"/>
      </w:rPr>
    </w:pPr>
    <w:r>
      <w:rPr>
        <w:rFonts w:hint="eastAsia"/>
        <w:sz w:val="21"/>
        <w:szCs w:val="21"/>
      </w:rPr>
      <w:t>政府采购公开招标招标文件                                              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投标文件格式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投标资料表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合同格式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5D118"/>
    <w:multiLevelType w:val="singleLevel"/>
    <w:tmpl w:val="D2A5D118"/>
    <w:lvl w:ilvl="0" w:tentative="0">
      <w:start w:val="2"/>
      <w:numFmt w:val="decimal"/>
      <w:suff w:val="nothing"/>
      <w:lvlText w:val="%1．"/>
      <w:lvlJc w:val="left"/>
    </w:lvl>
  </w:abstractNum>
  <w:abstractNum w:abstractNumId="1">
    <w:nsid w:val="DB02A339"/>
    <w:multiLevelType w:val="singleLevel"/>
    <w:tmpl w:val="DB02A339"/>
    <w:lvl w:ilvl="0" w:tentative="0">
      <w:start w:val="2"/>
      <w:numFmt w:val="decimal"/>
      <w:suff w:val="nothing"/>
      <w:lvlText w:val="（%1）"/>
      <w:lvlJc w:val="left"/>
    </w:lvl>
  </w:abstractNum>
  <w:abstractNum w:abstractNumId="2">
    <w:nsid w:val="DBBC0E0F"/>
    <w:multiLevelType w:val="singleLevel"/>
    <w:tmpl w:val="DBBC0E0F"/>
    <w:lvl w:ilvl="0" w:tentative="0">
      <w:start w:val="1"/>
      <w:numFmt w:val="decimal"/>
      <w:suff w:val="nothing"/>
      <w:lvlText w:val="%1）"/>
      <w:lvlJc w:val="left"/>
    </w:lvl>
  </w:abstractNum>
  <w:abstractNum w:abstractNumId="3">
    <w:nsid w:val="00000002"/>
    <w:multiLevelType w:val="singleLevel"/>
    <w:tmpl w:val="00000002"/>
    <w:lvl w:ilvl="0" w:tentative="0">
      <w:start w:val="1"/>
      <w:numFmt w:val="chineseCounting"/>
      <w:suff w:val="nothing"/>
      <w:lvlText w:val="%1、"/>
      <w:lvlJc w:val="left"/>
      <w:pPr>
        <w:tabs>
          <w:tab w:val="left" w:pos="0"/>
        </w:tabs>
        <w:ind w:left="0" w:firstLine="0"/>
      </w:pPr>
      <w:rPr>
        <w:rFonts w:hint="eastAsia" w:ascii="宋体" w:hAnsi="宋体" w:eastAsia="宋体" w:cs="宋体"/>
        <w:color w:val="000000"/>
      </w:rPr>
    </w:lvl>
  </w:abstractNum>
  <w:abstractNum w:abstractNumId="4">
    <w:nsid w:val="00000004"/>
    <w:multiLevelType w:val="singleLevel"/>
    <w:tmpl w:val="00000004"/>
    <w:lvl w:ilvl="0" w:tentative="0">
      <w:start w:val="1"/>
      <w:numFmt w:val="chineseCounting"/>
      <w:suff w:val="nothing"/>
      <w:lvlText w:val="（%1）"/>
      <w:lvlJc w:val="left"/>
      <w:rPr>
        <w:rFonts w:hint="eastAsia"/>
      </w:rPr>
    </w:lvl>
  </w:abstractNum>
  <w:abstractNum w:abstractNumId="5">
    <w:nsid w:val="00000020"/>
    <w:multiLevelType w:val="singleLevel"/>
    <w:tmpl w:val="00000020"/>
    <w:lvl w:ilvl="0" w:tentative="0">
      <w:start w:val="1"/>
      <w:numFmt w:val="chineseCounting"/>
      <w:suff w:val="nothing"/>
      <w:lvlText w:val="（%1）"/>
      <w:lvlJc w:val="left"/>
    </w:lvl>
  </w:abstractNum>
  <w:abstractNum w:abstractNumId="6">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B509F3"/>
    <w:multiLevelType w:val="multilevel"/>
    <w:tmpl w:val="1FB509F3"/>
    <w:lvl w:ilvl="0" w:tentative="0">
      <w:start w:val="1"/>
      <w:numFmt w:val="decimal"/>
      <w:pStyle w:val="2"/>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8">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2"/>
  </w:num>
  <w:num w:numId="3">
    <w:abstractNumId w:val="4"/>
  </w:num>
  <w:num w:numId="4">
    <w:abstractNumId w:val="1"/>
  </w:num>
  <w:num w:numId="5">
    <w:abstractNumId w:val="3"/>
  </w:num>
  <w:num w:numId="6">
    <w:abstractNumId w:val="5"/>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NTAwZTIwOTJlZjU3Yjk4MGRjZTY0MWU2ODQzMDYifQ=="/>
  </w:docVars>
  <w:rsids>
    <w:rsidRoot w:val="00172A27"/>
    <w:rsid w:val="0000154C"/>
    <w:rsid w:val="000026B7"/>
    <w:rsid w:val="000033D9"/>
    <w:rsid w:val="000038FC"/>
    <w:rsid w:val="000059B7"/>
    <w:rsid w:val="0000638F"/>
    <w:rsid w:val="00006955"/>
    <w:rsid w:val="00007EB7"/>
    <w:rsid w:val="0001295F"/>
    <w:rsid w:val="00014CB0"/>
    <w:rsid w:val="00014F3E"/>
    <w:rsid w:val="0001514B"/>
    <w:rsid w:val="00015180"/>
    <w:rsid w:val="0001578F"/>
    <w:rsid w:val="00016B63"/>
    <w:rsid w:val="00016FB3"/>
    <w:rsid w:val="00020537"/>
    <w:rsid w:val="000207EE"/>
    <w:rsid w:val="00020F9A"/>
    <w:rsid w:val="00022DBD"/>
    <w:rsid w:val="0002342D"/>
    <w:rsid w:val="0002496A"/>
    <w:rsid w:val="00024DDD"/>
    <w:rsid w:val="00025826"/>
    <w:rsid w:val="000270E0"/>
    <w:rsid w:val="00027FD3"/>
    <w:rsid w:val="0003280D"/>
    <w:rsid w:val="00032AB1"/>
    <w:rsid w:val="000364B5"/>
    <w:rsid w:val="00037B77"/>
    <w:rsid w:val="000435FF"/>
    <w:rsid w:val="00045BF5"/>
    <w:rsid w:val="0004663F"/>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6197"/>
    <w:rsid w:val="000667E6"/>
    <w:rsid w:val="00067049"/>
    <w:rsid w:val="00067545"/>
    <w:rsid w:val="000678E6"/>
    <w:rsid w:val="00067BEE"/>
    <w:rsid w:val="00071A90"/>
    <w:rsid w:val="000729D5"/>
    <w:rsid w:val="00080353"/>
    <w:rsid w:val="000806C0"/>
    <w:rsid w:val="00080713"/>
    <w:rsid w:val="000811E6"/>
    <w:rsid w:val="0008191D"/>
    <w:rsid w:val="00082A4E"/>
    <w:rsid w:val="00082CDD"/>
    <w:rsid w:val="00083803"/>
    <w:rsid w:val="00083FC6"/>
    <w:rsid w:val="00084B92"/>
    <w:rsid w:val="00084EE6"/>
    <w:rsid w:val="00086FC5"/>
    <w:rsid w:val="00087328"/>
    <w:rsid w:val="00090A64"/>
    <w:rsid w:val="00091070"/>
    <w:rsid w:val="00091E8C"/>
    <w:rsid w:val="00093976"/>
    <w:rsid w:val="00094113"/>
    <w:rsid w:val="00094656"/>
    <w:rsid w:val="00094AD7"/>
    <w:rsid w:val="00095780"/>
    <w:rsid w:val="00096B3E"/>
    <w:rsid w:val="000973AA"/>
    <w:rsid w:val="0009789A"/>
    <w:rsid w:val="00097D71"/>
    <w:rsid w:val="000A07DC"/>
    <w:rsid w:val="000A0861"/>
    <w:rsid w:val="000A0CAD"/>
    <w:rsid w:val="000A1C2F"/>
    <w:rsid w:val="000A386A"/>
    <w:rsid w:val="000A4F52"/>
    <w:rsid w:val="000A51AC"/>
    <w:rsid w:val="000A778E"/>
    <w:rsid w:val="000B20FA"/>
    <w:rsid w:val="000B2452"/>
    <w:rsid w:val="000B2CD2"/>
    <w:rsid w:val="000B37C5"/>
    <w:rsid w:val="000B380B"/>
    <w:rsid w:val="000B4340"/>
    <w:rsid w:val="000B6CB5"/>
    <w:rsid w:val="000C02D0"/>
    <w:rsid w:val="000C05C2"/>
    <w:rsid w:val="000C189C"/>
    <w:rsid w:val="000C19CC"/>
    <w:rsid w:val="000C213B"/>
    <w:rsid w:val="000C3E90"/>
    <w:rsid w:val="000C5CF1"/>
    <w:rsid w:val="000C5D8A"/>
    <w:rsid w:val="000C6B2B"/>
    <w:rsid w:val="000C7390"/>
    <w:rsid w:val="000D1E32"/>
    <w:rsid w:val="000D54FF"/>
    <w:rsid w:val="000D68F1"/>
    <w:rsid w:val="000D6D10"/>
    <w:rsid w:val="000E0C2E"/>
    <w:rsid w:val="000E0D05"/>
    <w:rsid w:val="000E0D25"/>
    <w:rsid w:val="000E1023"/>
    <w:rsid w:val="000E1097"/>
    <w:rsid w:val="000E14BF"/>
    <w:rsid w:val="000E269D"/>
    <w:rsid w:val="000E449E"/>
    <w:rsid w:val="000E5C6B"/>
    <w:rsid w:val="000E6C56"/>
    <w:rsid w:val="000E7057"/>
    <w:rsid w:val="000F0DA1"/>
    <w:rsid w:val="000F0F6F"/>
    <w:rsid w:val="000F1B1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AF2"/>
    <w:rsid w:val="001125BE"/>
    <w:rsid w:val="0011290C"/>
    <w:rsid w:val="00115B8D"/>
    <w:rsid w:val="001163EC"/>
    <w:rsid w:val="00116F3B"/>
    <w:rsid w:val="00117216"/>
    <w:rsid w:val="0012010C"/>
    <w:rsid w:val="00124963"/>
    <w:rsid w:val="00124B80"/>
    <w:rsid w:val="001254F0"/>
    <w:rsid w:val="0012584B"/>
    <w:rsid w:val="001258B9"/>
    <w:rsid w:val="0012645C"/>
    <w:rsid w:val="001265C7"/>
    <w:rsid w:val="001279F2"/>
    <w:rsid w:val="0013126F"/>
    <w:rsid w:val="001316A9"/>
    <w:rsid w:val="00133163"/>
    <w:rsid w:val="001331FC"/>
    <w:rsid w:val="00133D9E"/>
    <w:rsid w:val="0013425B"/>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3030"/>
    <w:rsid w:val="00154BF5"/>
    <w:rsid w:val="00155CC5"/>
    <w:rsid w:val="00157A8C"/>
    <w:rsid w:val="001604EA"/>
    <w:rsid w:val="0016172B"/>
    <w:rsid w:val="00162CD0"/>
    <w:rsid w:val="00162DD6"/>
    <w:rsid w:val="00163690"/>
    <w:rsid w:val="001654A4"/>
    <w:rsid w:val="00166232"/>
    <w:rsid w:val="0016634C"/>
    <w:rsid w:val="00166686"/>
    <w:rsid w:val="00170473"/>
    <w:rsid w:val="00170D8C"/>
    <w:rsid w:val="00172A27"/>
    <w:rsid w:val="001734C2"/>
    <w:rsid w:val="001755E5"/>
    <w:rsid w:val="00175773"/>
    <w:rsid w:val="0017650C"/>
    <w:rsid w:val="001765A8"/>
    <w:rsid w:val="001777A0"/>
    <w:rsid w:val="00177910"/>
    <w:rsid w:val="00180872"/>
    <w:rsid w:val="00182175"/>
    <w:rsid w:val="00183609"/>
    <w:rsid w:val="00184098"/>
    <w:rsid w:val="00184E49"/>
    <w:rsid w:val="0018740C"/>
    <w:rsid w:val="00187887"/>
    <w:rsid w:val="0019037E"/>
    <w:rsid w:val="001905A5"/>
    <w:rsid w:val="00190CE6"/>
    <w:rsid w:val="00191D5E"/>
    <w:rsid w:val="00194A4F"/>
    <w:rsid w:val="00194E39"/>
    <w:rsid w:val="001955A9"/>
    <w:rsid w:val="001974DD"/>
    <w:rsid w:val="00197899"/>
    <w:rsid w:val="00197F50"/>
    <w:rsid w:val="001A03A1"/>
    <w:rsid w:val="001A06CA"/>
    <w:rsid w:val="001A542C"/>
    <w:rsid w:val="001A555F"/>
    <w:rsid w:val="001A6059"/>
    <w:rsid w:val="001A7040"/>
    <w:rsid w:val="001B049D"/>
    <w:rsid w:val="001B3F78"/>
    <w:rsid w:val="001B46E4"/>
    <w:rsid w:val="001B55CF"/>
    <w:rsid w:val="001B5801"/>
    <w:rsid w:val="001B60F7"/>
    <w:rsid w:val="001B7D86"/>
    <w:rsid w:val="001C0D22"/>
    <w:rsid w:val="001C1099"/>
    <w:rsid w:val="001C1A4F"/>
    <w:rsid w:val="001C22FD"/>
    <w:rsid w:val="001C23EA"/>
    <w:rsid w:val="001C2A36"/>
    <w:rsid w:val="001C3540"/>
    <w:rsid w:val="001C4873"/>
    <w:rsid w:val="001C67DF"/>
    <w:rsid w:val="001C7961"/>
    <w:rsid w:val="001D1258"/>
    <w:rsid w:val="001D36A1"/>
    <w:rsid w:val="001D480F"/>
    <w:rsid w:val="001D4BC0"/>
    <w:rsid w:val="001D52CE"/>
    <w:rsid w:val="001D5805"/>
    <w:rsid w:val="001D6C14"/>
    <w:rsid w:val="001D7611"/>
    <w:rsid w:val="001E0C96"/>
    <w:rsid w:val="001E315A"/>
    <w:rsid w:val="001E3FCB"/>
    <w:rsid w:val="001E58AC"/>
    <w:rsid w:val="001E79D9"/>
    <w:rsid w:val="001F1DCF"/>
    <w:rsid w:val="001F1EA7"/>
    <w:rsid w:val="001F1F79"/>
    <w:rsid w:val="001F2107"/>
    <w:rsid w:val="001F284E"/>
    <w:rsid w:val="001F74FF"/>
    <w:rsid w:val="002030EE"/>
    <w:rsid w:val="00203783"/>
    <w:rsid w:val="002039E0"/>
    <w:rsid w:val="002043F2"/>
    <w:rsid w:val="00204B2F"/>
    <w:rsid w:val="0020535A"/>
    <w:rsid w:val="00206FF9"/>
    <w:rsid w:val="0021030F"/>
    <w:rsid w:val="0021177F"/>
    <w:rsid w:val="00211C78"/>
    <w:rsid w:val="00213338"/>
    <w:rsid w:val="00213575"/>
    <w:rsid w:val="00213C57"/>
    <w:rsid w:val="00213D92"/>
    <w:rsid w:val="002147D6"/>
    <w:rsid w:val="00214BE7"/>
    <w:rsid w:val="002154C8"/>
    <w:rsid w:val="002166F2"/>
    <w:rsid w:val="00216A4A"/>
    <w:rsid w:val="00220A5A"/>
    <w:rsid w:val="0022197F"/>
    <w:rsid w:val="00222021"/>
    <w:rsid w:val="00222445"/>
    <w:rsid w:val="00222D78"/>
    <w:rsid w:val="002243C9"/>
    <w:rsid w:val="00224D60"/>
    <w:rsid w:val="00224E40"/>
    <w:rsid w:val="00225102"/>
    <w:rsid w:val="002301D6"/>
    <w:rsid w:val="002308FF"/>
    <w:rsid w:val="00230926"/>
    <w:rsid w:val="002309AD"/>
    <w:rsid w:val="00231355"/>
    <w:rsid w:val="002315E6"/>
    <w:rsid w:val="00233C76"/>
    <w:rsid w:val="00234C1F"/>
    <w:rsid w:val="002365C9"/>
    <w:rsid w:val="00236613"/>
    <w:rsid w:val="00241EFB"/>
    <w:rsid w:val="00241FFA"/>
    <w:rsid w:val="002429A8"/>
    <w:rsid w:val="002446D4"/>
    <w:rsid w:val="002452A0"/>
    <w:rsid w:val="0024622B"/>
    <w:rsid w:val="002473A8"/>
    <w:rsid w:val="00247AC1"/>
    <w:rsid w:val="00250076"/>
    <w:rsid w:val="00250248"/>
    <w:rsid w:val="00250D24"/>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A9A"/>
    <w:rsid w:val="002705C7"/>
    <w:rsid w:val="002731CA"/>
    <w:rsid w:val="002747F2"/>
    <w:rsid w:val="00274FD3"/>
    <w:rsid w:val="002758DB"/>
    <w:rsid w:val="00276348"/>
    <w:rsid w:val="00276EC2"/>
    <w:rsid w:val="002771BE"/>
    <w:rsid w:val="00277A6F"/>
    <w:rsid w:val="00280A32"/>
    <w:rsid w:val="002813D9"/>
    <w:rsid w:val="00282ACA"/>
    <w:rsid w:val="00283328"/>
    <w:rsid w:val="00283964"/>
    <w:rsid w:val="00284FCA"/>
    <w:rsid w:val="00287021"/>
    <w:rsid w:val="002871A8"/>
    <w:rsid w:val="00287ED8"/>
    <w:rsid w:val="002911DC"/>
    <w:rsid w:val="0029294B"/>
    <w:rsid w:val="00294ED9"/>
    <w:rsid w:val="00297EA6"/>
    <w:rsid w:val="002A0466"/>
    <w:rsid w:val="002A0558"/>
    <w:rsid w:val="002A05CD"/>
    <w:rsid w:val="002A18C2"/>
    <w:rsid w:val="002A214D"/>
    <w:rsid w:val="002A2D23"/>
    <w:rsid w:val="002A31F5"/>
    <w:rsid w:val="002A36CE"/>
    <w:rsid w:val="002A450E"/>
    <w:rsid w:val="002A4578"/>
    <w:rsid w:val="002A47C9"/>
    <w:rsid w:val="002A55B9"/>
    <w:rsid w:val="002A6321"/>
    <w:rsid w:val="002A66B4"/>
    <w:rsid w:val="002A7014"/>
    <w:rsid w:val="002A73E0"/>
    <w:rsid w:val="002B0F0C"/>
    <w:rsid w:val="002B1C78"/>
    <w:rsid w:val="002B218C"/>
    <w:rsid w:val="002B2698"/>
    <w:rsid w:val="002B28C1"/>
    <w:rsid w:val="002B2FB6"/>
    <w:rsid w:val="002B3848"/>
    <w:rsid w:val="002B45AF"/>
    <w:rsid w:val="002B4B77"/>
    <w:rsid w:val="002B4F37"/>
    <w:rsid w:val="002B5E02"/>
    <w:rsid w:val="002C0018"/>
    <w:rsid w:val="002C1206"/>
    <w:rsid w:val="002C16C5"/>
    <w:rsid w:val="002C1717"/>
    <w:rsid w:val="002C1851"/>
    <w:rsid w:val="002C4F8F"/>
    <w:rsid w:val="002C518E"/>
    <w:rsid w:val="002C5A3D"/>
    <w:rsid w:val="002C6A74"/>
    <w:rsid w:val="002C739C"/>
    <w:rsid w:val="002C7668"/>
    <w:rsid w:val="002D06AA"/>
    <w:rsid w:val="002D19ED"/>
    <w:rsid w:val="002D2085"/>
    <w:rsid w:val="002D2837"/>
    <w:rsid w:val="002D3715"/>
    <w:rsid w:val="002D4C2E"/>
    <w:rsid w:val="002D6702"/>
    <w:rsid w:val="002E0449"/>
    <w:rsid w:val="002E0762"/>
    <w:rsid w:val="002E0FBD"/>
    <w:rsid w:val="002E1172"/>
    <w:rsid w:val="002E1369"/>
    <w:rsid w:val="002E18E4"/>
    <w:rsid w:val="002E2392"/>
    <w:rsid w:val="002E3956"/>
    <w:rsid w:val="002E3C3A"/>
    <w:rsid w:val="002E3C73"/>
    <w:rsid w:val="002E61E8"/>
    <w:rsid w:val="002E6EFD"/>
    <w:rsid w:val="002E791C"/>
    <w:rsid w:val="002F0D78"/>
    <w:rsid w:val="002F142F"/>
    <w:rsid w:val="002F1744"/>
    <w:rsid w:val="002F2DCB"/>
    <w:rsid w:val="002F45E3"/>
    <w:rsid w:val="002F4ED2"/>
    <w:rsid w:val="002F5BBE"/>
    <w:rsid w:val="002F6B39"/>
    <w:rsid w:val="0030035F"/>
    <w:rsid w:val="003029E0"/>
    <w:rsid w:val="00302FEE"/>
    <w:rsid w:val="00303D51"/>
    <w:rsid w:val="00304904"/>
    <w:rsid w:val="00306613"/>
    <w:rsid w:val="00307048"/>
    <w:rsid w:val="00307A9E"/>
    <w:rsid w:val="003108FE"/>
    <w:rsid w:val="00311237"/>
    <w:rsid w:val="00311A45"/>
    <w:rsid w:val="00311E68"/>
    <w:rsid w:val="00314C48"/>
    <w:rsid w:val="00315C0A"/>
    <w:rsid w:val="00316296"/>
    <w:rsid w:val="00316DA2"/>
    <w:rsid w:val="00320426"/>
    <w:rsid w:val="00321B29"/>
    <w:rsid w:val="00322736"/>
    <w:rsid w:val="00325783"/>
    <w:rsid w:val="00326D49"/>
    <w:rsid w:val="00326E5D"/>
    <w:rsid w:val="003272E5"/>
    <w:rsid w:val="003277E7"/>
    <w:rsid w:val="00331A5E"/>
    <w:rsid w:val="00333053"/>
    <w:rsid w:val="0033372B"/>
    <w:rsid w:val="00334939"/>
    <w:rsid w:val="00335A2F"/>
    <w:rsid w:val="0033668D"/>
    <w:rsid w:val="00337064"/>
    <w:rsid w:val="0033707D"/>
    <w:rsid w:val="00340785"/>
    <w:rsid w:val="0034277B"/>
    <w:rsid w:val="00342F88"/>
    <w:rsid w:val="00345599"/>
    <w:rsid w:val="00346306"/>
    <w:rsid w:val="00347004"/>
    <w:rsid w:val="003470CC"/>
    <w:rsid w:val="003501BA"/>
    <w:rsid w:val="00353D47"/>
    <w:rsid w:val="00354107"/>
    <w:rsid w:val="00354F62"/>
    <w:rsid w:val="00356065"/>
    <w:rsid w:val="00356520"/>
    <w:rsid w:val="003568EB"/>
    <w:rsid w:val="0035794A"/>
    <w:rsid w:val="003579D7"/>
    <w:rsid w:val="00360235"/>
    <w:rsid w:val="00360EB6"/>
    <w:rsid w:val="00361975"/>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65A6"/>
    <w:rsid w:val="00397B7D"/>
    <w:rsid w:val="003A03AF"/>
    <w:rsid w:val="003A11D1"/>
    <w:rsid w:val="003A2585"/>
    <w:rsid w:val="003A2590"/>
    <w:rsid w:val="003A3754"/>
    <w:rsid w:val="003A47F3"/>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E08"/>
    <w:rsid w:val="003C44B8"/>
    <w:rsid w:val="003C59BA"/>
    <w:rsid w:val="003C6ABC"/>
    <w:rsid w:val="003D1AC4"/>
    <w:rsid w:val="003D554F"/>
    <w:rsid w:val="003D7C83"/>
    <w:rsid w:val="003D7EE0"/>
    <w:rsid w:val="003E00B3"/>
    <w:rsid w:val="003E0549"/>
    <w:rsid w:val="003E0C54"/>
    <w:rsid w:val="003E1772"/>
    <w:rsid w:val="003E18DA"/>
    <w:rsid w:val="003E22FE"/>
    <w:rsid w:val="003E3D88"/>
    <w:rsid w:val="003E4836"/>
    <w:rsid w:val="003E4A8E"/>
    <w:rsid w:val="003E4DC9"/>
    <w:rsid w:val="003E5225"/>
    <w:rsid w:val="003E5457"/>
    <w:rsid w:val="003E6D60"/>
    <w:rsid w:val="003E73CA"/>
    <w:rsid w:val="003E74B8"/>
    <w:rsid w:val="003F010F"/>
    <w:rsid w:val="003F09ED"/>
    <w:rsid w:val="003F1A0C"/>
    <w:rsid w:val="003F22C8"/>
    <w:rsid w:val="003F24AA"/>
    <w:rsid w:val="003F4286"/>
    <w:rsid w:val="003F4FC0"/>
    <w:rsid w:val="003F69A8"/>
    <w:rsid w:val="003F72BB"/>
    <w:rsid w:val="003F7435"/>
    <w:rsid w:val="0040072B"/>
    <w:rsid w:val="00400C4B"/>
    <w:rsid w:val="0040100B"/>
    <w:rsid w:val="00401EA7"/>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593F"/>
    <w:rsid w:val="00417D26"/>
    <w:rsid w:val="00417EA0"/>
    <w:rsid w:val="0042074C"/>
    <w:rsid w:val="00420B33"/>
    <w:rsid w:val="0042247B"/>
    <w:rsid w:val="00422537"/>
    <w:rsid w:val="004225FE"/>
    <w:rsid w:val="0042377D"/>
    <w:rsid w:val="00423C85"/>
    <w:rsid w:val="004243AA"/>
    <w:rsid w:val="00424724"/>
    <w:rsid w:val="00427A37"/>
    <w:rsid w:val="00430B3D"/>
    <w:rsid w:val="004313B2"/>
    <w:rsid w:val="004315E2"/>
    <w:rsid w:val="00432704"/>
    <w:rsid w:val="004332D5"/>
    <w:rsid w:val="00434B05"/>
    <w:rsid w:val="004359BB"/>
    <w:rsid w:val="00435AEC"/>
    <w:rsid w:val="00435D35"/>
    <w:rsid w:val="004370B8"/>
    <w:rsid w:val="00437EFD"/>
    <w:rsid w:val="0044001F"/>
    <w:rsid w:val="0044055E"/>
    <w:rsid w:val="00440635"/>
    <w:rsid w:val="00440CF6"/>
    <w:rsid w:val="004417F1"/>
    <w:rsid w:val="00441BDC"/>
    <w:rsid w:val="0044367E"/>
    <w:rsid w:val="00444294"/>
    <w:rsid w:val="00445007"/>
    <w:rsid w:val="00446014"/>
    <w:rsid w:val="0044688C"/>
    <w:rsid w:val="0044693E"/>
    <w:rsid w:val="00447100"/>
    <w:rsid w:val="0045255B"/>
    <w:rsid w:val="00453717"/>
    <w:rsid w:val="00455231"/>
    <w:rsid w:val="00456C70"/>
    <w:rsid w:val="00460013"/>
    <w:rsid w:val="00460775"/>
    <w:rsid w:val="00460F16"/>
    <w:rsid w:val="00461860"/>
    <w:rsid w:val="00462031"/>
    <w:rsid w:val="0046225E"/>
    <w:rsid w:val="0046420B"/>
    <w:rsid w:val="0046475C"/>
    <w:rsid w:val="00464E4F"/>
    <w:rsid w:val="004700C0"/>
    <w:rsid w:val="00471CCA"/>
    <w:rsid w:val="00472873"/>
    <w:rsid w:val="00472908"/>
    <w:rsid w:val="00472D35"/>
    <w:rsid w:val="0047411C"/>
    <w:rsid w:val="00474B5D"/>
    <w:rsid w:val="004751B9"/>
    <w:rsid w:val="00475537"/>
    <w:rsid w:val="00475FA8"/>
    <w:rsid w:val="00476928"/>
    <w:rsid w:val="00476AE1"/>
    <w:rsid w:val="00476BD7"/>
    <w:rsid w:val="00477F2F"/>
    <w:rsid w:val="0048378D"/>
    <w:rsid w:val="00483A74"/>
    <w:rsid w:val="00485548"/>
    <w:rsid w:val="00487106"/>
    <w:rsid w:val="004873D3"/>
    <w:rsid w:val="00487A5A"/>
    <w:rsid w:val="0049110F"/>
    <w:rsid w:val="00491B36"/>
    <w:rsid w:val="00491ED6"/>
    <w:rsid w:val="00491F94"/>
    <w:rsid w:val="0049399A"/>
    <w:rsid w:val="004942E7"/>
    <w:rsid w:val="00494B98"/>
    <w:rsid w:val="00497B40"/>
    <w:rsid w:val="004A1E50"/>
    <w:rsid w:val="004A3ABD"/>
    <w:rsid w:val="004A4403"/>
    <w:rsid w:val="004A4D80"/>
    <w:rsid w:val="004A5C59"/>
    <w:rsid w:val="004A6A20"/>
    <w:rsid w:val="004B1826"/>
    <w:rsid w:val="004B1E38"/>
    <w:rsid w:val="004B272D"/>
    <w:rsid w:val="004B38A0"/>
    <w:rsid w:val="004B5670"/>
    <w:rsid w:val="004B568B"/>
    <w:rsid w:val="004B71D1"/>
    <w:rsid w:val="004B79CE"/>
    <w:rsid w:val="004B7B62"/>
    <w:rsid w:val="004B7CF3"/>
    <w:rsid w:val="004C09B8"/>
    <w:rsid w:val="004C0B5E"/>
    <w:rsid w:val="004C2765"/>
    <w:rsid w:val="004C276C"/>
    <w:rsid w:val="004C5FA6"/>
    <w:rsid w:val="004C7F2F"/>
    <w:rsid w:val="004D1DCF"/>
    <w:rsid w:val="004D3DD9"/>
    <w:rsid w:val="004D5044"/>
    <w:rsid w:val="004D5411"/>
    <w:rsid w:val="004D5D22"/>
    <w:rsid w:val="004D6595"/>
    <w:rsid w:val="004D6C37"/>
    <w:rsid w:val="004D7372"/>
    <w:rsid w:val="004E04FE"/>
    <w:rsid w:val="004E16D7"/>
    <w:rsid w:val="004E1B5B"/>
    <w:rsid w:val="004E2AB2"/>
    <w:rsid w:val="004E42D1"/>
    <w:rsid w:val="004E5211"/>
    <w:rsid w:val="004E72A2"/>
    <w:rsid w:val="004E7D00"/>
    <w:rsid w:val="004F0449"/>
    <w:rsid w:val="004F25CE"/>
    <w:rsid w:val="004F2A41"/>
    <w:rsid w:val="004F2DE5"/>
    <w:rsid w:val="004F46F5"/>
    <w:rsid w:val="004F5631"/>
    <w:rsid w:val="004F68E9"/>
    <w:rsid w:val="00500CCB"/>
    <w:rsid w:val="00501FF0"/>
    <w:rsid w:val="005020D4"/>
    <w:rsid w:val="005025C0"/>
    <w:rsid w:val="0050269E"/>
    <w:rsid w:val="005028D9"/>
    <w:rsid w:val="005031F6"/>
    <w:rsid w:val="00503236"/>
    <w:rsid w:val="005045CC"/>
    <w:rsid w:val="0050588B"/>
    <w:rsid w:val="00506401"/>
    <w:rsid w:val="005070CE"/>
    <w:rsid w:val="005072B6"/>
    <w:rsid w:val="00510051"/>
    <w:rsid w:val="005116FC"/>
    <w:rsid w:val="00511BF0"/>
    <w:rsid w:val="00512404"/>
    <w:rsid w:val="00512BF6"/>
    <w:rsid w:val="00513351"/>
    <w:rsid w:val="00513488"/>
    <w:rsid w:val="00514204"/>
    <w:rsid w:val="00516654"/>
    <w:rsid w:val="005169FA"/>
    <w:rsid w:val="00517C6E"/>
    <w:rsid w:val="00521209"/>
    <w:rsid w:val="0052206B"/>
    <w:rsid w:val="0052404B"/>
    <w:rsid w:val="005260F4"/>
    <w:rsid w:val="00526377"/>
    <w:rsid w:val="00527AF1"/>
    <w:rsid w:val="00532143"/>
    <w:rsid w:val="00532761"/>
    <w:rsid w:val="00533D84"/>
    <w:rsid w:val="00535F33"/>
    <w:rsid w:val="00542514"/>
    <w:rsid w:val="00542741"/>
    <w:rsid w:val="005441D8"/>
    <w:rsid w:val="0054479C"/>
    <w:rsid w:val="0055082F"/>
    <w:rsid w:val="00551363"/>
    <w:rsid w:val="00552003"/>
    <w:rsid w:val="00552206"/>
    <w:rsid w:val="0055269D"/>
    <w:rsid w:val="00552FE0"/>
    <w:rsid w:val="0055364F"/>
    <w:rsid w:val="00554DBE"/>
    <w:rsid w:val="00554F7F"/>
    <w:rsid w:val="005551AE"/>
    <w:rsid w:val="00556E8C"/>
    <w:rsid w:val="005602B7"/>
    <w:rsid w:val="00560819"/>
    <w:rsid w:val="00561C00"/>
    <w:rsid w:val="005625A4"/>
    <w:rsid w:val="00563660"/>
    <w:rsid w:val="00563BE9"/>
    <w:rsid w:val="00563D20"/>
    <w:rsid w:val="00564300"/>
    <w:rsid w:val="00564D6F"/>
    <w:rsid w:val="00571539"/>
    <w:rsid w:val="00572312"/>
    <w:rsid w:val="00575252"/>
    <w:rsid w:val="00575265"/>
    <w:rsid w:val="00575481"/>
    <w:rsid w:val="005764C6"/>
    <w:rsid w:val="00577261"/>
    <w:rsid w:val="0058031B"/>
    <w:rsid w:val="00580B75"/>
    <w:rsid w:val="005810D4"/>
    <w:rsid w:val="00583658"/>
    <w:rsid w:val="00586E2C"/>
    <w:rsid w:val="00590626"/>
    <w:rsid w:val="00591D2F"/>
    <w:rsid w:val="005924CD"/>
    <w:rsid w:val="0059370E"/>
    <w:rsid w:val="00594206"/>
    <w:rsid w:val="0059503A"/>
    <w:rsid w:val="00595A49"/>
    <w:rsid w:val="005976C5"/>
    <w:rsid w:val="00597FC9"/>
    <w:rsid w:val="005A16D2"/>
    <w:rsid w:val="005A4177"/>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F15"/>
    <w:rsid w:val="005C0FCD"/>
    <w:rsid w:val="005C11DE"/>
    <w:rsid w:val="005C30B1"/>
    <w:rsid w:val="005C3209"/>
    <w:rsid w:val="005C344D"/>
    <w:rsid w:val="005C5488"/>
    <w:rsid w:val="005C5B21"/>
    <w:rsid w:val="005C5B2A"/>
    <w:rsid w:val="005C639B"/>
    <w:rsid w:val="005C661B"/>
    <w:rsid w:val="005C66FB"/>
    <w:rsid w:val="005C7721"/>
    <w:rsid w:val="005C77E1"/>
    <w:rsid w:val="005D01B5"/>
    <w:rsid w:val="005D10B0"/>
    <w:rsid w:val="005D30AF"/>
    <w:rsid w:val="005D5AAB"/>
    <w:rsid w:val="005E4372"/>
    <w:rsid w:val="005E4898"/>
    <w:rsid w:val="005E4FF0"/>
    <w:rsid w:val="005F08D0"/>
    <w:rsid w:val="005F0C3F"/>
    <w:rsid w:val="005F2C2C"/>
    <w:rsid w:val="005F6BD6"/>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420F"/>
    <w:rsid w:val="00615FE1"/>
    <w:rsid w:val="006162E0"/>
    <w:rsid w:val="006170FF"/>
    <w:rsid w:val="00617584"/>
    <w:rsid w:val="00617D85"/>
    <w:rsid w:val="006216A3"/>
    <w:rsid w:val="00621C19"/>
    <w:rsid w:val="00623BCA"/>
    <w:rsid w:val="006242BE"/>
    <w:rsid w:val="00626AEB"/>
    <w:rsid w:val="0063084B"/>
    <w:rsid w:val="006350F3"/>
    <w:rsid w:val="006355A0"/>
    <w:rsid w:val="00636792"/>
    <w:rsid w:val="006368E3"/>
    <w:rsid w:val="00637127"/>
    <w:rsid w:val="00641F89"/>
    <w:rsid w:val="006423DF"/>
    <w:rsid w:val="006435A1"/>
    <w:rsid w:val="00644114"/>
    <w:rsid w:val="0064584A"/>
    <w:rsid w:val="00650182"/>
    <w:rsid w:val="00652EB8"/>
    <w:rsid w:val="00653A4A"/>
    <w:rsid w:val="00653ACF"/>
    <w:rsid w:val="00653BD3"/>
    <w:rsid w:val="00653DC2"/>
    <w:rsid w:val="00653F21"/>
    <w:rsid w:val="00654069"/>
    <w:rsid w:val="00654617"/>
    <w:rsid w:val="00654EC8"/>
    <w:rsid w:val="00656AC3"/>
    <w:rsid w:val="00656BF2"/>
    <w:rsid w:val="00657DAB"/>
    <w:rsid w:val="00661B59"/>
    <w:rsid w:val="00662CD2"/>
    <w:rsid w:val="00662DB8"/>
    <w:rsid w:val="00664317"/>
    <w:rsid w:val="00666216"/>
    <w:rsid w:val="00666B53"/>
    <w:rsid w:val="00667F77"/>
    <w:rsid w:val="00670C9C"/>
    <w:rsid w:val="00670D25"/>
    <w:rsid w:val="00671008"/>
    <w:rsid w:val="0067142E"/>
    <w:rsid w:val="006714A1"/>
    <w:rsid w:val="00672A61"/>
    <w:rsid w:val="00675469"/>
    <w:rsid w:val="006755BB"/>
    <w:rsid w:val="00676109"/>
    <w:rsid w:val="006768FA"/>
    <w:rsid w:val="006769C1"/>
    <w:rsid w:val="00677710"/>
    <w:rsid w:val="00681C2F"/>
    <w:rsid w:val="00682023"/>
    <w:rsid w:val="006829EB"/>
    <w:rsid w:val="00682F97"/>
    <w:rsid w:val="00683AAA"/>
    <w:rsid w:val="0068697F"/>
    <w:rsid w:val="0069010E"/>
    <w:rsid w:val="0069017C"/>
    <w:rsid w:val="00692412"/>
    <w:rsid w:val="0069296E"/>
    <w:rsid w:val="00693A99"/>
    <w:rsid w:val="00697022"/>
    <w:rsid w:val="00697FB3"/>
    <w:rsid w:val="006A0C2E"/>
    <w:rsid w:val="006A18CB"/>
    <w:rsid w:val="006A3FFF"/>
    <w:rsid w:val="006A41B6"/>
    <w:rsid w:val="006A4C46"/>
    <w:rsid w:val="006A64D0"/>
    <w:rsid w:val="006A77FC"/>
    <w:rsid w:val="006B033E"/>
    <w:rsid w:val="006B07B1"/>
    <w:rsid w:val="006B0B38"/>
    <w:rsid w:val="006B1C57"/>
    <w:rsid w:val="006B4345"/>
    <w:rsid w:val="006B49D1"/>
    <w:rsid w:val="006B4DB8"/>
    <w:rsid w:val="006B784F"/>
    <w:rsid w:val="006B7EC7"/>
    <w:rsid w:val="006C061F"/>
    <w:rsid w:val="006C0F6D"/>
    <w:rsid w:val="006C3AD0"/>
    <w:rsid w:val="006D0700"/>
    <w:rsid w:val="006D2032"/>
    <w:rsid w:val="006D2919"/>
    <w:rsid w:val="006D2BD1"/>
    <w:rsid w:val="006D38FD"/>
    <w:rsid w:val="006D46EC"/>
    <w:rsid w:val="006D49C3"/>
    <w:rsid w:val="006D5F4B"/>
    <w:rsid w:val="006D6CB8"/>
    <w:rsid w:val="006D6E71"/>
    <w:rsid w:val="006D7118"/>
    <w:rsid w:val="006D7827"/>
    <w:rsid w:val="006E2193"/>
    <w:rsid w:val="006E2D74"/>
    <w:rsid w:val="006E34F6"/>
    <w:rsid w:val="006E36CE"/>
    <w:rsid w:val="006E4D9E"/>
    <w:rsid w:val="006E59AF"/>
    <w:rsid w:val="006E6EF9"/>
    <w:rsid w:val="006F0430"/>
    <w:rsid w:val="006F2811"/>
    <w:rsid w:val="006F3771"/>
    <w:rsid w:val="006F47FD"/>
    <w:rsid w:val="006F530B"/>
    <w:rsid w:val="006F60A2"/>
    <w:rsid w:val="00700552"/>
    <w:rsid w:val="00700F66"/>
    <w:rsid w:val="00704682"/>
    <w:rsid w:val="00705B01"/>
    <w:rsid w:val="00706A50"/>
    <w:rsid w:val="00706DB7"/>
    <w:rsid w:val="00710941"/>
    <w:rsid w:val="00713B34"/>
    <w:rsid w:val="00713D98"/>
    <w:rsid w:val="007155D3"/>
    <w:rsid w:val="00716598"/>
    <w:rsid w:val="0071741F"/>
    <w:rsid w:val="007177F8"/>
    <w:rsid w:val="00720433"/>
    <w:rsid w:val="00720BBE"/>
    <w:rsid w:val="00721182"/>
    <w:rsid w:val="00721D8E"/>
    <w:rsid w:val="007226AB"/>
    <w:rsid w:val="00726280"/>
    <w:rsid w:val="007278A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31AF"/>
    <w:rsid w:val="00744DF7"/>
    <w:rsid w:val="00744FF0"/>
    <w:rsid w:val="00745383"/>
    <w:rsid w:val="007461B6"/>
    <w:rsid w:val="0075076F"/>
    <w:rsid w:val="00750B65"/>
    <w:rsid w:val="00750B8D"/>
    <w:rsid w:val="0075195E"/>
    <w:rsid w:val="007535E3"/>
    <w:rsid w:val="0075432E"/>
    <w:rsid w:val="007571D6"/>
    <w:rsid w:val="007574D6"/>
    <w:rsid w:val="00757735"/>
    <w:rsid w:val="00757A8D"/>
    <w:rsid w:val="00761375"/>
    <w:rsid w:val="00766D67"/>
    <w:rsid w:val="00767DE3"/>
    <w:rsid w:val="00771852"/>
    <w:rsid w:val="00772B6D"/>
    <w:rsid w:val="0077451B"/>
    <w:rsid w:val="00774774"/>
    <w:rsid w:val="00775330"/>
    <w:rsid w:val="00776EE8"/>
    <w:rsid w:val="00777BCF"/>
    <w:rsid w:val="007803AE"/>
    <w:rsid w:val="00781DFF"/>
    <w:rsid w:val="00783C9C"/>
    <w:rsid w:val="0078450E"/>
    <w:rsid w:val="00784829"/>
    <w:rsid w:val="00784E47"/>
    <w:rsid w:val="007870F3"/>
    <w:rsid w:val="007902D5"/>
    <w:rsid w:val="007909DA"/>
    <w:rsid w:val="007916FA"/>
    <w:rsid w:val="00792EFF"/>
    <w:rsid w:val="00793D97"/>
    <w:rsid w:val="00793EA6"/>
    <w:rsid w:val="007944CA"/>
    <w:rsid w:val="007946E6"/>
    <w:rsid w:val="00795040"/>
    <w:rsid w:val="00796AE0"/>
    <w:rsid w:val="007A2BD7"/>
    <w:rsid w:val="007A64A6"/>
    <w:rsid w:val="007A6A3B"/>
    <w:rsid w:val="007A730E"/>
    <w:rsid w:val="007B00A8"/>
    <w:rsid w:val="007B0859"/>
    <w:rsid w:val="007B0CD6"/>
    <w:rsid w:val="007B0EB2"/>
    <w:rsid w:val="007B2148"/>
    <w:rsid w:val="007B2B0D"/>
    <w:rsid w:val="007B4AA4"/>
    <w:rsid w:val="007B51F7"/>
    <w:rsid w:val="007B63F5"/>
    <w:rsid w:val="007C048F"/>
    <w:rsid w:val="007C1BAA"/>
    <w:rsid w:val="007C21F4"/>
    <w:rsid w:val="007C58D8"/>
    <w:rsid w:val="007C5EE5"/>
    <w:rsid w:val="007C742D"/>
    <w:rsid w:val="007D1219"/>
    <w:rsid w:val="007D1469"/>
    <w:rsid w:val="007D1B95"/>
    <w:rsid w:val="007D200D"/>
    <w:rsid w:val="007D370F"/>
    <w:rsid w:val="007D4A45"/>
    <w:rsid w:val="007D5191"/>
    <w:rsid w:val="007D56AC"/>
    <w:rsid w:val="007D60E8"/>
    <w:rsid w:val="007D644C"/>
    <w:rsid w:val="007D6CC5"/>
    <w:rsid w:val="007D774C"/>
    <w:rsid w:val="007E0C4F"/>
    <w:rsid w:val="007E12C3"/>
    <w:rsid w:val="007E337C"/>
    <w:rsid w:val="007E3AF8"/>
    <w:rsid w:val="007E3C6C"/>
    <w:rsid w:val="007E3DEE"/>
    <w:rsid w:val="007E50C3"/>
    <w:rsid w:val="007E5254"/>
    <w:rsid w:val="007E666B"/>
    <w:rsid w:val="007E7112"/>
    <w:rsid w:val="007E7253"/>
    <w:rsid w:val="007E7474"/>
    <w:rsid w:val="007F1667"/>
    <w:rsid w:val="007F1818"/>
    <w:rsid w:val="007F3D1C"/>
    <w:rsid w:val="008008F4"/>
    <w:rsid w:val="00800E58"/>
    <w:rsid w:val="00801FEC"/>
    <w:rsid w:val="008021DE"/>
    <w:rsid w:val="00802481"/>
    <w:rsid w:val="008026E1"/>
    <w:rsid w:val="008036EB"/>
    <w:rsid w:val="00803C4C"/>
    <w:rsid w:val="00805384"/>
    <w:rsid w:val="00807499"/>
    <w:rsid w:val="00807A46"/>
    <w:rsid w:val="008100EA"/>
    <w:rsid w:val="00810971"/>
    <w:rsid w:val="00810B14"/>
    <w:rsid w:val="0081115D"/>
    <w:rsid w:val="00811222"/>
    <w:rsid w:val="00812BDA"/>
    <w:rsid w:val="00812DCF"/>
    <w:rsid w:val="0081314D"/>
    <w:rsid w:val="0081413F"/>
    <w:rsid w:val="008142E9"/>
    <w:rsid w:val="00815557"/>
    <w:rsid w:val="00815BA8"/>
    <w:rsid w:val="008167C4"/>
    <w:rsid w:val="00816FEC"/>
    <w:rsid w:val="00822731"/>
    <w:rsid w:val="008234E5"/>
    <w:rsid w:val="00825540"/>
    <w:rsid w:val="00825DD6"/>
    <w:rsid w:val="00827409"/>
    <w:rsid w:val="00830738"/>
    <w:rsid w:val="0083163A"/>
    <w:rsid w:val="00832AC7"/>
    <w:rsid w:val="00833B7E"/>
    <w:rsid w:val="00834789"/>
    <w:rsid w:val="00835AA3"/>
    <w:rsid w:val="008367C4"/>
    <w:rsid w:val="00837FF0"/>
    <w:rsid w:val="00840126"/>
    <w:rsid w:val="008401A8"/>
    <w:rsid w:val="008402FE"/>
    <w:rsid w:val="00842FAC"/>
    <w:rsid w:val="0084659B"/>
    <w:rsid w:val="0084671E"/>
    <w:rsid w:val="00847606"/>
    <w:rsid w:val="00847E5C"/>
    <w:rsid w:val="00855011"/>
    <w:rsid w:val="008561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A83"/>
    <w:rsid w:val="00870AE7"/>
    <w:rsid w:val="00870FB6"/>
    <w:rsid w:val="00871C70"/>
    <w:rsid w:val="00872C2A"/>
    <w:rsid w:val="0087353F"/>
    <w:rsid w:val="00873C0A"/>
    <w:rsid w:val="008753E6"/>
    <w:rsid w:val="0087640A"/>
    <w:rsid w:val="008801A3"/>
    <w:rsid w:val="00880280"/>
    <w:rsid w:val="0088047C"/>
    <w:rsid w:val="0088053F"/>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A052C"/>
    <w:rsid w:val="008A06DB"/>
    <w:rsid w:val="008A2D30"/>
    <w:rsid w:val="008A30BF"/>
    <w:rsid w:val="008A412F"/>
    <w:rsid w:val="008A480C"/>
    <w:rsid w:val="008A4911"/>
    <w:rsid w:val="008A54A8"/>
    <w:rsid w:val="008A54AC"/>
    <w:rsid w:val="008A61B6"/>
    <w:rsid w:val="008A666D"/>
    <w:rsid w:val="008A6C64"/>
    <w:rsid w:val="008B00F6"/>
    <w:rsid w:val="008B1504"/>
    <w:rsid w:val="008B2AD7"/>
    <w:rsid w:val="008B2B28"/>
    <w:rsid w:val="008B3990"/>
    <w:rsid w:val="008B3D7A"/>
    <w:rsid w:val="008B4C49"/>
    <w:rsid w:val="008B55EE"/>
    <w:rsid w:val="008B5E3F"/>
    <w:rsid w:val="008B692F"/>
    <w:rsid w:val="008B7634"/>
    <w:rsid w:val="008C0FA4"/>
    <w:rsid w:val="008C1C84"/>
    <w:rsid w:val="008C3FB3"/>
    <w:rsid w:val="008C4FD6"/>
    <w:rsid w:val="008C6366"/>
    <w:rsid w:val="008C7C1F"/>
    <w:rsid w:val="008D171D"/>
    <w:rsid w:val="008D24B0"/>
    <w:rsid w:val="008D2AB8"/>
    <w:rsid w:val="008D2CD9"/>
    <w:rsid w:val="008D2F60"/>
    <w:rsid w:val="008D313D"/>
    <w:rsid w:val="008D48B0"/>
    <w:rsid w:val="008D6193"/>
    <w:rsid w:val="008D7216"/>
    <w:rsid w:val="008E075B"/>
    <w:rsid w:val="008E1F85"/>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8F77FD"/>
    <w:rsid w:val="0090009C"/>
    <w:rsid w:val="0090065D"/>
    <w:rsid w:val="0090089C"/>
    <w:rsid w:val="0090115E"/>
    <w:rsid w:val="009012D1"/>
    <w:rsid w:val="00902346"/>
    <w:rsid w:val="0090295A"/>
    <w:rsid w:val="009029FC"/>
    <w:rsid w:val="00902FEF"/>
    <w:rsid w:val="00903AF3"/>
    <w:rsid w:val="00905687"/>
    <w:rsid w:val="00906533"/>
    <w:rsid w:val="00907B73"/>
    <w:rsid w:val="0091040F"/>
    <w:rsid w:val="00910868"/>
    <w:rsid w:val="00910B9A"/>
    <w:rsid w:val="0091167D"/>
    <w:rsid w:val="0091176C"/>
    <w:rsid w:val="00912C86"/>
    <w:rsid w:val="00913563"/>
    <w:rsid w:val="00914058"/>
    <w:rsid w:val="00915B4B"/>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198"/>
    <w:rsid w:val="0093659B"/>
    <w:rsid w:val="0094187B"/>
    <w:rsid w:val="00941DE8"/>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7043"/>
    <w:rsid w:val="009570E7"/>
    <w:rsid w:val="009578AD"/>
    <w:rsid w:val="00960C0D"/>
    <w:rsid w:val="00961521"/>
    <w:rsid w:val="00963413"/>
    <w:rsid w:val="00963477"/>
    <w:rsid w:val="009634A1"/>
    <w:rsid w:val="00963660"/>
    <w:rsid w:val="00963BE8"/>
    <w:rsid w:val="00964FFB"/>
    <w:rsid w:val="00965BD4"/>
    <w:rsid w:val="00965FA3"/>
    <w:rsid w:val="00965FE7"/>
    <w:rsid w:val="009662A6"/>
    <w:rsid w:val="009670AA"/>
    <w:rsid w:val="009678CF"/>
    <w:rsid w:val="00970117"/>
    <w:rsid w:val="00971CBF"/>
    <w:rsid w:val="00972AA9"/>
    <w:rsid w:val="0097386D"/>
    <w:rsid w:val="00973FCA"/>
    <w:rsid w:val="00974218"/>
    <w:rsid w:val="009767EF"/>
    <w:rsid w:val="00977861"/>
    <w:rsid w:val="009811AB"/>
    <w:rsid w:val="00981F0A"/>
    <w:rsid w:val="00981FD8"/>
    <w:rsid w:val="0098298D"/>
    <w:rsid w:val="00982AC0"/>
    <w:rsid w:val="00983158"/>
    <w:rsid w:val="009839F7"/>
    <w:rsid w:val="00984682"/>
    <w:rsid w:val="009857B5"/>
    <w:rsid w:val="00985C8B"/>
    <w:rsid w:val="00986B04"/>
    <w:rsid w:val="00986BFD"/>
    <w:rsid w:val="009871A0"/>
    <w:rsid w:val="00987720"/>
    <w:rsid w:val="00990F5F"/>
    <w:rsid w:val="009917BB"/>
    <w:rsid w:val="0099183D"/>
    <w:rsid w:val="00992127"/>
    <w:rsid w:val="00992958"/>
    <w:rsid w:val="0099326A"/>
    <w:rsid w:val="00993EA6"/>
    <w:rsid w:val="009947F4"/>
    <w:rsid w:val="00994C1A"/>
    <w:rsid w:val="009962FA"/>
    <w:rsid w:val="009A0433"/>
    <w:rsid w:val="009A3808"/>
    <w:rsid w:val="009A52AB"/>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71BB"/>
    <w:rsid w:val="009C776F"/>
    <w:rsid w:val="009C7D43"/>
    <w:rsid w:val="009D11FE"/>
    <w:rsid w:val="009D2284"/>
    <w:rsid w:val="009D2DB0"/>
    <w:rsid w:val="009D3978"/>
    <w:rsid w:val="009D499A"/>
    <w:rsid w:val="009D4BDC"/>
    <w:rsid w:val="009D52BE"/>
    <w:rsid w:val="009D5AE4"/>
    <w:rsid w:val="009D5DA7"/>
    <w:rsid w:val="009D747C"/>
    <w:rsid w:val="009D78BE"/>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B02"/>
    <w:rsid w:val="009F7310"/>
    <w:rsid w:val="009F7E98"/>
    <w:rsid w:val="00A01641"/>
    <w:rsid w:val="00A03517"/>
    <w:rsid w:val="00A040B4"/>
    <w:rsid w:val="00A051E7"/>
    <w:rsid w:val="00A06817"/>
    <w:rsid w:val="00A074E5"/>
    <w:rsid w:val="00A12995"/>
    <w:rsid w:val="00A12C39"/>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4FDB"/>
    <w:rsid w:val="00A35D06"/>
    <w:rsid w:val="00A37C88"/>
    <w:rsid w:val="00A42168"/>
    <w:rsid w:val="00A421C5"/>
    <w:rsid w:val="00A42A6E"/>
    <w:rsid w:val="00A439CF"/>
    <w:rsid w:val="00A471C7"/>
    <w:rsid w:val="00A50359"/>
    <w:rsid w:val="00A50E3E"/>
    <w:rsid w:val="00A520BF"/>
    <w:rsid w:val="00A534AB"/>
    <w:rsid w:val="00A57714"/>
    <w:rsid w:val="00A6127D"/>
    <w:rsid w:val="00A62E3E"/>
    <w:rsid w:val="00A63002"/>
    <w:rsid w:val="00A63106"/>
    <w:rsid w:val="00A636C7"/>
    <w:rsid w:val="00A647C0"/>
    <w:rsid w:val="00A6761A"/>
    <w:rsid w:val="00A67FE1"/>
    <w:rsid w:val="00A70A87"/>
    <w:rsid w:val="00A70FBD"/>
    <w:rsid w:val="00A71880"/>
    <w:rsid w:val="00A7216B"/>
    <w:rsid w:val="00A72CC3"/>
    <w:rsid w:val="00A730EB"/>
    <w:rsid w:val="00A731CF"/>
    <w:rsid w:val="00A73768"/>
    <w:rsid w:val="00A762BD"/>
    <w:rsid w:val="00A76396"/>
    <w:rsid w:val="00A76A81"/>
    <w:rsid w:val="00A801A3"/>
    <w:rsid w:val="00A81CAD"/>
    <w:rsid w:val="00A8223C"/>
    <w:rsid w:val="00A828FA"/>
    <w:rsid w:val="00A82BE0"/>
    <w:rsid w:val="00A838F7"/>
    <w:rsid w:val="00A84246"/>
    <w:rsid w:val="00A84E33"/>
    <w:rsid w:val="00A8692E"/>
    <w:rsid w:val="00A873CC"/>
    <w:rsid w:val="00A9020B"/>
    <w:rsid w:val="00A90DC5"/>
    <w:rsid w:val="00A912E5"/>
    <w:rsid w:val="00A92761"/>
    <w:rsid w:val="00A93FA0"/>
    <w:rsid w:val="00A94B20"/>
    <w:rsid w:val="00A9567C"/>
    <w:rsid w:val="00A95FBD"/>
    <w:rsid w:val="00A977B3"/>
    <w:rsid w:val="00AA0929"/>
    <w:rsid w:val="00AA21C8"/>
    <w:rsid w:val="00AA27B2"/>
    <w:rsid w:val="00AA2E1D"/>
    <w:rsid w:val="00AA343D"/>
    <w:rsid w:val="00AA43A8"/>
    <w:rsid w:val="00AA572E"/>
    <w:rsid w:val="00AA68BD"/>
    <w:rsid w:val="00AB1564"/>
    <w:rsid w:val="00AB1F25"/>
    <w:rsid w:val="00AB2088"/>
    <w:rsid w:val="00AB334C"/>
    <w:rsid w:val="00AB3576"/>
    <w:rsid w:val="00AB69A3"/>
    <w:rsid w:val="00AC0518"/>
    <w:rsid w:val="00AC2297"/>
    <w:rsid w:val="00AC2361"/>
    <w:rsid w:val="00AC24DF"/>
    <w:rsid w:val="00AC35F6"/>
    <w:rsid w:val="00AC4E8A"/>
    <w:rsid w:val="00AC595E"/>
    <w:rsid w:val="00AC5A15"/>
    <w:rsid w:val="00AD009C"/>
    <w:rsid w:val="00AD1A1E"/>
    <w:rsid w:val="00AD3036"/>
    <w:rsid w:val="00AD406C"/>
    <w:rsid w:val="00AD4278"/>
    <w:rsid w:val="00AD5589"/>
    <w:rsid w:val="00AD6211"/>
    <w:rsid w:val="00AE016E"/>
    <w:rsid w:val="00AE2C24"/>
    <w:rsid w:val="00AE302E"/>
    <w:rsid w:val="00AE3161"/>
    <w:rsid w:val="00AE3648"/>
    <w:rsid w:val="00AE546D"/>
    <w:rsid w:val="00AE5C6D"/>
    <w:rsid w:val="00AE6C42"/>
    <w:rsid w:val="00AE7238"/>
    <w:rsid w:val="00AE745E"/>
    <w:rsid w:val="00AF178F"/>
    <w:rsid w:val="00AF47F6"/>
    <w:rsid w:val="00AF4D8E"/>
    <w:rsid w:val="00AF6066"/>
    <w:rsid w:val="00B0036C"/>
    <w:rsid w:val="00B01DE1"/>
    <w:rsid w:val="00B02040"/>
    <w:rsid w:val="00B021D8"/>
    <w:rsid w:val="00B02561"/>
    <w:rsid w:val="00B02624"/>
    <w:rsid w:val="00B03336"/>
    <w:rsid w:val="00B03CD5"/>
    <w:rsid w:val="00B06550"/>
    <w:rsid w:val="00B06FF2"/>
    <w:rsid w:val="00B07EAA"/>
    <w:rsid w:val="00B105FF"/>
    <w:rsid w:val="00B10E9C"/>
    <w:rsid w:val="00B13803"/>
    <w:rsid w:val="00B138CC"/>
    <w:rsid w:val="00B14545"/>
    <w:rsid w:val="00B15175"/>
    <w:rsid w:val="00B15A48"/>
    <w:rsid w:val="00B15B2F"/>
    <w:rsid w:val="00B15D19"/>
    <w:rsid w:val="00B219E8"/>
    <w:rsid w:val="00B21B89"/>
    <w:rsid w:val="00B26463"/>
    <w:rsid w:val="00B26819"/>
    <w:rsid w:val="00B278F1"/>
    <w:rsid w:val="00B27FDA"/>
    <w:rsid w:val="00B312B5"/>
    <w:rsid w:val="00B32DEA"/>
    <w:rsid w:val="00B32DEE"/>
    <w:rsid w:val="00B344D5"/>
    <w:rsid w:val="00B34BFD"/>
    <w:rsid w:val="00B34CEB"/>
    <w:rsid w:val="00B35317"/>
    <w:rsid w:val="00B35A72"/>
    <w:rsid w:val="00B36809"/>
    <w:rsid w:val="00B3681C"/>
    <w:rsid w:val="00B36D7D"/>
    <w:rsid w:val="00B400A9"/>
    <w:rsid w:val="00B40EE7"/>
    <w:rsid w:val="00B4221B"/>
    <w:rsid w:val="00B42D34"/>
    <w:rsid w:val="00B42DD3"/>
    <w:rsid w:val="00B43583"/>
    <w:rsid w:val="00B435B2"/>
    <w:rsid w:val="00B43DED"/>
    <w:rsid w:val="00B446DA"/>
    <w:rsid w:val="00B473F7"/>
    <w:rsid w:val="00B47804"/>
    <w:rsid w:val="00B50528"/>
    <w:rsid w:val="00B505FA"/>
    <w:rsid w:val="00B50A1F"/>
    <w:rsid w:val="00B5103D"/>
    <w:rsid w:val="00B513A1"/>
    <w:rsid w:val="00B51696"/>
    <w:rsid w:val="00B51D60"/>
    <w:rsid w:val="00B5240F"/>
    <w:rsid w:val="00B535AC"/>
    <w:rsid w:val="00B53AE6"/>
    <w:rsid w:val="00B548C4"/>
    <w:rsid w:val="00B54FC8"/>
    <w:rsid w:val="00B5637F"/>
    <w:rsid w:val="00B60071"/>
    <w:rsid w:val="00B60676"/>
    <w:rsid w:val="00B60780"/>
    <w:rsid w:val="00B60AD9"/>
    <w:rsid w:val="00B61727"/>
    <w:rsid w:val="00B637A5"/>
    <w:rsid w:val="00B64F39"/>
    <w:rsid w:val="00B65A00"/>
    <w:rsid w:val="00B66092"/>
    <w:rsid w:val="00B67551"/>
    <w:rsid w:val="00B70378"/>
    <w:rsid w:val="00B71389"/>
    <w:rsid w:val="00B71534"/>
    <w:rsid w:val="00B7156B"/>
    <w:rsid w:val="00B73ED9"/>
    <w:rsid w:val="00B7626E"/>
    <w:rsid w:val="00B767B8"/>
    <w:rsid w:val="00B81433"/>
    <w:rsid w:val="00B8161B"/>
    <w:rsid w:val="00B84EF9"/>
    <w:rsid w:val="00B86347"/>
    <w:rsid w:val="00B873D9"/>
    <w:rsid w:val="00B911FF"/>
    <w:rsid w:val="00B9129C"/>
    <w:rsid w:val="00B91727"/>
    <w:rsid w:val="00B943E5"/>
    <w:rsid w:val="00B94A05"/>
    <w:rsid w:val="00B95663"/>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24E4"/>
    <w:rsid w:val="00BB4536"/>
    <w:rsid w:val="00BB4A4C"/>
    <w:rsid w:val="00BB5B10"/>
    <w:rsid w:val="00BB610E"/>
    <w:rsid w:val="00BB61B1"/>
    <w:rsid w:val="00BB77B0"/>
    <w:rsid w:val="00BC04BA"/>
    <w:rsid w:val="00BC0E8F"/>
    <w:rsid w:val="00BC32CA"/>
    <w:rsid w:val="00BC3B25"/>
    <w:rsid w:val="00BC5396"/>
    <w:rsid w:val="00BC54E6"/>
    <w:rsid w:val="00BC5821"/>
    <w:rsid w:val="00BD1458"/>
    <w:rsid w:val="00BD1977"/>
    <w:rsid w:val="00BD1B1F"/>
    <w:rsid w:val="00BD2ED3"/>
    <w:rsid w:val="00BD30AB"/>
    <w:rsid w:val="00BD4995"/>
    <w:rsid w:val="00BD5145"/>
    <w:rsid w:val="00BD525E"/>
    <w:rsid w:val="00BD75EE"/>
    <w:rsid w:val="00BD79F7"/>
    <w:rsid w:val="00BE1515"/>
    <w:rsid w:val="00BE1F3C"/>
    <w:rsid w:val="00BE219E"/>
    <w:rsid w:val="00BE2AC3"/>
    <w:rsid w:val="00BE3F41"/>
    <w:rsid w:val="00BE418E"/>
    <w:rsid w:val="00BE4960"/>
    <w:rsid w:val="00BE5736"/>
    <w:rsid w:val="00BE5D0C"/>
    <w:rsid w:val="00BE637F"/>
    <w:rsid w:val="00BE643A"/>
    <w:rsid w:val="00BE7B9F"/>
    <w:rsid w:val="00BF2F02"/>
    <w:rsid w:val="00BF5081"/>
    <w:rsid w:val="00BF53AE"/>
    <w:rsid w:val="00BF5483"/>
    <w:rsid w:val="00BF68D7"/>
    <w:rsid w:val="00BF6D22"/>
    <w:rsid w:val="00BF6D40"/>
    <w:rsid w:val="00BF7A75"/>
    <w:rsid w:val="00C024B5"/>
    <w:rsid w:val="00C033FC"/>
    <w:rsid w:val="00C036D3"/>
    <w:rsid w:val="00C03B65"/>
    <w:rsid w:val="00C06581"/>
    <w:rsid w:val="00C06BBD"/>
    <w:rsid w:val="00C07378"/>
    <w:rsid w:val="00C0753C"/>
    <w:rsid w:val="00C07E3C"/>
    <w:rsid w:val="00C10183"/>
    <w:rsid w:val="00C11393"/>
    <w:rsid w:val="00C128E7"/>
    <w:rsid w:val="00C12DDE"/>
    <w:rsid w:val="00C1384E"/>
    <w:rsid w:val="00C1454C"/>
    <w:rsid w:val="00C14EFF"/>
    <w:rsid w:val="00C15F82"/>
    <w:rsid w:val="00C16813"/>
    <w:rsid w:val="00C17353"/>
    <w:rsid w:val="00C20A76"/>
    <w:rsid w:val="00C20D66"/>
    <w:rsid w:val="00C218CA"/>
    <w:rsid w:val="00C2221F"/>
    <w:rsid w:val="00C22945"/>
    <w:rsid w:val="00C244E7"/>
    <w:rsid w:val="00C25745"/>
    <w:rsid w:val="00C26FF1"/>
    <w:rsid w:val="00C27B7D"/>
    <w:rsid w:val="00C27FEC"/>
    <w:rsid w:val="00C30F85"/>
    <w:rsid w:val="00C358E4"/>
    <w:rsid w:val="00C3595D"/>
    <w:rsid w:val="00C36B98"/>
    <w:rsid w:val="00C37020"/>
    <w:rsid w:val="00C3768C"/>
    <w:rsid w:val="00C41AC4"/>
    <w:rsid w:val="00C42ECF"/>
    <w:rsid w:val="00C43824"/>
    <w:rsid w:val="00C43C10"/>
    <w:rsid w:val="00C43C45"/>
    <w:rsid w:val="00C45F43"/>
    <w:rsid w:val="00C4619F"/>
    <w:rsid w:val="00C461EE"/>
    <w:rsid w:val="00C502E4"/>
    <w:rsid w:val="00C50EC2"/>
    <w:rsid w:val="00C52AEB"/>
    <w:rsid w:val="00C557A3"/>
    <w:rsid w:val="00C55C68"/>
    <w:rsid w:val="00C57475"/>
    <w:rsid w:val="00C613C8"/>
    <w:rsid w:val="00C619A2"/>
    <w:rsid w:val="00C61CE1"/>
    <w:rsid w:val="00C62113"/>
    <w:rsid w:val="00C63507"/>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D4D"/>
    <w:rsid w:val="00C812E0"/>
    <w:rsid w:val="00C8213F"/>
    <w:rsid w:val="00C82DC7"/>
    <w:rsid w:val="00C83D87"/>
    <w:rsid w:val="00C84DFA"/>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15F9"/>
    <w:rsid w:val="00CA2325"/>
    <w:rsid w:val="00CA23FB"/>
    <w:rsid w:val="00CA5838"/>
    <w:rsid w:val="00CA5FF3"/>
    <w:rsid w:val="00CA79F9"/>
    <w:rsid w:val="00CA7EEE"/>
    <w:rsid w:val="00CB20EB"/>
    <w:rsid w:val="00CB27C1"/>
    <w:rsid w:val="00CB3E26"/>
    <w:rsid w:val="00CB43F4"/>
    <w:rsid w:val="00CB5712"/>
    <w:rsid w:val="00CB7F91"/>
    <w:rsid w:val="00CC34DA"/>
    <w:rsid w:val="00CC3DCB"/>
    <w:rsid w:val="00CC53AA"/>
    <w:rsid w:val="00CC6200"/>
    <w:rsid w:val="00CC6700"/>
    <w:rsid w:val="00CC7468"/>
    <w:rsid w:val="00CD1370"/>
    <w:rsid w:val="00CD1B0E"/>
    <w:rsid w:val="00CD21D4"/>
    <w:rsid w:val="00CD314C"/>
    <w:rsid w:val="00CD3A7E"/>
    <w:rsid w:val="00CD3F18"/>
    <w:rsid w:val="00CD4D60"/>
    <w:rsid w:val="00CD4EB5"/>
    <w:rsid w:val="00CD4FE1"/>
    <w:rsid w:val="00CD5D83"/>
    <w:rsid w:val="00CD7094"/>
    <w:rsid w:val="00CD72EB"/>
    <w:rsid w:val="00CE0A1E"/>
    <w:rsid w:val="00CE15C8"/>
    <w:rsid w:val="00CE47D6"/>
    <w:rsid w:val="00CE5430"/>
    <w:rsid w:val="00CE5D4E"/>
    <w:rsid w:val="00CE651E"/>
    <w:rsid w:val="00CE6C17"/>
    <w:rsid w:val="00CE722D"/>
    <w:rsid w:val="00CE7E38"/>
    <w:rsid w:val="00CF07A8"/>
    <w:rsid w:val="00CF0ACA"/>
    <w:rsid w:val="00CF1000"/>
    <w:rsid w:val="00CF1E5B"/>
    <w:rsid w:val="00CF2359"/>
    <w:rsid w:val="00CF4705"/>
    <w:rsid w:val="00CF7FA0"/>
    <w:rsid w:val="00D01E56"/>
    <w:rsid w:val="00D024C8"/>
    <w:rsid w:val="00D02CE1"/>
    <w:rsid w:val="00D02D39"/>
    <w:rsid w:val="00D03F02"/>
    <w:rsid w:val="00D05E90"/>
    <w:rsid w:val="00D068E2"/>
    <w:rsid w:val="00D077DA"/>
    <w:rsid w:val="00D07E51"/>
    <w:rsid w:val="00D10262"/>
    <w:rsid w:val="00D10E32"/>
    <w:rsid w:val="00D142FA"/>
    <w:rsid w:val="00D148D6"/>
    <w:rsid w:val="00D17228"/>
    <w:rsid w:val="00D17DE4"/>
    <w:rsid w:val="00D213BD"/>
    <w:rsid w:val="00D23830"/>
    <w:rsid w:val="00D24314"/>
    <w:rsid w:val="00D24B47"/>
    <w:rsid w:val="00D30242"/>
    <w:rsid w:val="00D30DC0"/>
    <w:rsid w:val="00D310F5"/>
    <w:rsid w:val="00D318A4"/>
    <w:rsid w:val="00D32200"/>
    <w:rsid w:val="00D335F0"/>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54E6"/>
    <w:rsid w:val="00D47408"/>
    <w:rsid w:val="00D52ADC"/>
    <w:rsid w:val="00D53195"/>
    <w:rsid w:val="00D564B5"/>
    <w:rsid w:val="00D56AB7"/>
    <w:rsid w:val="00D60DB3"/>
    <w:rsid w:val="00D644D1"/>
    <w:rsid w:val="00D64995"/>
    <w:rsid w:val="00D65161"/>
    <w:rsid w:val="00D67A93"/>
    <w:rsid w:val="00D67C04"/>
    <w:rsid w:val="00D7133A"/>
    <w:rsid w:val="00D71B9B"/>
    <w:rsid w:val="00D72937"/>
    <w:rsid w:val="00D74958"/>
    <w:rsid w:val="00D74E20"/>
    <w:rsid w:val="00D75C41"/>
    <w:rsid w:val="00D75E0D"/>
    <w:rsid w:val="00D762A7"/>
    <w:rsid w:val="00D76569"/>
    <w:rsid w:val="00D76D7F"/>
    <w:rsid w:val="00D80663"/>
    <w:rsid w:val="00D855BF"/>
    <w:rsid w:val="00D85C40"/>
    <w:rsid w:val="00D863E7"/>
    <w:rsid w:val="00D8689F"/>
    <w:rsid w:val="00D904A2"/>
    <w:rsid w:val="00D90AA5"/>
    <w:rsid w:val="00D91496"/>
    <w:rsid w:val="00D950E3"/>
    <w:rsid w:val="00D96375"/>
    <w:rsid w:val="00D964DD"/>
    <w:rsid w:val="00D964E2"/>
    <w:rsid w:val="00D970DD"/>
    <w:rsid w:val="00DA03B6"/>
    <w:rsid w:val="00DA0D8E"/>
    <w:rsid w:val="00DA10B6"/>
    <w:rsid w:val="00DA132C"/>
    <w:rsid w:val="00DA1886"/>
    <w:rsid w:val="00DA231F"/>
    <w:rsid w:val="00DA2ADB"/>
    <w:rsid w:val="00DA2F2B"/>
    <w:rsid w:val="00DA4357"/>
    <w:rsid w:val="00DA607B"/>
    <w:rsid w:val="00DA75A0"/>
    <w:rsid w:val="00DA77A4"/>
    <w:rsid w:val="00DB0838"/>
    <w:rsid w:val="00DB0895"/>
    <w:rsid w:val="00DB208A"/>
    <w:rsid w:val="00DB2698"/>
    <w:rsid w:val="00DB2D09"/>
    <w:rsid w:val="00DB2F59"/>
    <w:rsid w:val="00DB34D8"/>
    <w:rsid w:val="00DB383E"/>
    <w:rsid w:val="00DB395D"/>
    <w:rsid w:val="00DB64AE"/>
    <w:rsid w:val="00DB6804"/>
    <w:rsid w:val="00DB6AED"/>
    <w:rsid w:val="00DB6E98"/>
    <w:rsid w:val="00DB7E54"/>
    <w:rsid w:val="00DC0743"/>
    <w:rsid w:val="00DC172C"/>
    <w:rsid w:val="00DC1A7E"/>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53E3"/>
    <w:rsid w:val="00DD551F"/>
    <w:rsid w:val="00DD556C"/>
    <w:rsid w:val="00DD5584"/>
    <w:rsid w:val="00DD5591"/>
    <w:rsid w:val="00DD6738"/>
    <w:rsid w:val="00DD6DE2"/>
    <w:rsid w:val="00DE0B80"/>
    <w:rsid w:val="00DE1675"/>
    <w:rsid w:val="00DE192E"/>
    <w:rsid w:val="00DE1D0E"/>
    <w:rsid w:val="00DE1DAC"/>
    <w:rsid w:val="00DE30F9"/>
    <w:rsid w:val="00DE3BD8"/>
    <w:rsid w:val="00DE41A4"/>
    <w:rsid w:val="00DE4EB1"/>
    <w:rsid w:val="00DE4FF3"/>
    <w:rsid w:val="00DE5C22"/>
    <w:rsid w:val="00DE7048"/>
    <w:rsid w:val="00DE7362"/>
    <w:rsid w:val="00DE7415"/>
    <w:rsid w:val="00DE7F8E"/>
    <w:rsid w:val="00DF1A28"/>
    <w:rsid w:val="00DF1F9C"/>
    <w:rsid w:val="00DF35FF"/>
    <w:rsid w:val="00DF4D03"/>
    <w:rsid w:val="00DF4E35"/>
    <w:rsid w:val="00DF5D27"/>
    <w:rsid w:val="00DF6A1E"/>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E7C"/>
    <w:rsid w:val="00E216C0"/>
    <w:rsid w:val="00E2182A"/>
    <w:rsid w:val="00E21C4C"/>
    <w:rsid w:val="00E220B2"/>
    <w:rsid w:val="00E22317"/>
    <w:rsid w:val="00E24272"/>
    <w:rsid w:val="00E243EE"/>
    <w:rsid w:val="00E249DE"/>
    <w:rsid w:val="00E24F69"/>
    <w:rsid w:val="00E2534B"/>
    <w:rsid w:val="00E26A9C"/>
    <w:rsid w:val="00E274BF"/>
    <w:rsid w:val="00E27901"/>
    <w:rsid w:val="00E31018"/>
    <w:rsid w:val="00E31E2B"/>
    <w:rsid w:val="00E31F51"/>
    <w:rsid w:val="00E32104"/>
    <w:rsid w:val="00E343BE"/>
    <w:rsid w:val="00E35C09"/>
    <w:rsid w:val="00E36A91"/>
    <w:rsid w:val="00E3719D"/>
    <w:rsid w:val="00E37200"/>
    <w:rsid w:val="00E37251"/>
    <w:rsid w:val="00E4225D"/>
    <w:rsid w:val="00E4235C"/>
    <w:rsid w:val="00E424D9"/>
    <w:rsid w:val="00E43A28"/>
    <w:rsid w:val="00E4611C"/>
    <w:rsid w:val="00E50B54"/>
    <w:rsid w:val="00E51145"/>
    <w:rsid w:val="00E51839"/>
    <w:rsid w:val="00E522BB"/>
    <w:rsid w:val="00E534BA"/>
    <w:rsid w:val="00E57D2A"/>
    <w:rsid w:val="00E60672"/>
    <w:rsid w:val="00E60FC3"/>
    <w:rsid w:val="00E62C15"/>
    <w:rsid w:val="00E63407"/>
    <w:rsid w:val="00E65E91"/>
    <w:rsid w:val="00E65FF9"/>
    <w:rsid w:val="00E67230"/>
    <w:rsid w:val="00E7059F"/>
    <w:rsid w:val="00E70A95"/>
    <w:rsid w:val="00E71254"/>
    <w:rsid w:val="00E73602"/>
    <w:rsid w:val="00E74D34"/>
    <w:rsid w:val="00E75A71"/>
    <w:rsid w:val="00E76EE3"/>
    <w:rsid w:val="00E80281"/>
    <w:rsid w:val="00E8215D"/>
    <w:rsid w:val="00E854B0"/>
    <w:rsid w:val="00E859AB"/>
    <w:rsid w:val="00E85E93"/>
    <w:rsid w:val="00E86DE6"/>
    <w:rsid w:val="00E91447"/>
    <w:rsid w:val="00E92073"/>
    <w:rsid w:val="00E92617"/>
    <w:rsid w:val="00E94558"/>
    <w:rsid w:val="00E9480D"/>
    <w:rsid w:val="00E9532F"/>
    <w:rsid w:val="00E95582"/>
    <w:rsid w:val="00E9558A"/>
    <w:rsid w:val="00EA2152"/>
    <w:rsid w:val="00EA2221"/>
    <w:rsid w:val="00EA42F3"/>
    <w:rsid w:val="00EA5141"/>
    <w:rsid w:val="00EA718A"/>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B20"/>
    <w:rsid w:val="00EC0B25"/>
    <w:rsid w:val="00EC0D7C"/>
    <w:rsid w:val="00EC0E20"/>
    <w:rsid w:val="00EC1805"/>
    <w:rsid w:val="00EC252B"/>
    <w:rsid w:val="00EC368E"/>
    <w:rsid w:val="00EC3C9B"/>
    <w:rsid w:val="00EC44FA"/>
    <w:rsid w:val="00EC4E79"/>
    <w:rsid w:val="00ED0E77"/>
    <w:rsid w:val="00ED1D9B"/>
    <w:rsid w:val="00ED252D"/>
    <w:rsid w:val="00ED3186"/>
    <w:rsid w:val="00ED4BEA"/>
    <w:rsid w:val="00ED683F"/>
    <w:rsid w:val="00ED73D7"/>
    <w:rsid w:val="00ED74B4"/>
    <w:rsid w:val="00ED7C9F"/>
    <w:rsid w:val="00EE034E"/>
    <w:rsid w:val="00EE0EAF"/>
    <w:rsid w:val="00EE25EF"/>
    <w:rsid w:val="00EE3462"/>
    <w:rsid w:val="00EE5874"/>
    <w:rsid w:val="00EE6ABE"/>
    <w:rsid w:val="00EF0F2C"/>
    <w:rsid w:val="00EF1700"/>
    <w:rsid w:val="00EF1BBB"/>
    <w:rsid w:val="00EF2C8B"/>
    <w:rsid w:val="00EF35B8"/>
    <w:rsid w:val="00EF5580"/>
    <w:rsid w:val="00EF5D1C"/>
    <w:rsid w:val="00EF76D6"/>
    <w:rsid w:val="00F00FE5"/>
    <w:rsid w:val="00F0153D"/>
    <w:rsid w:val="00F01F7C"/>
    <w:rsid w:val="00F03270"/>
    <w:rsid w:val="00F044C7"/>
    <w:rsid w:val="00F057FA"/>
    <w:rsid w:val="00F06A96"/>
    <w:rsid w:val="00F071C6"/>
    <w:rsid w:val="00F07983"/>
    <w:rsid w:val="00F109CA"/>
    <w:rsid w:val="00F11017"/>
    <w:rsid w:val="00F1279B"/>
    <w:rsid w:val="00F12A6E"/>
    <w:rsid w:val="00F13F6D"/>
    <w:rsid w:val="00F14FE3"/>
    <w:rsid w:val="00F154AD"/>
    <w:rsid w:val="00F16CCA"/>
    <w:rsid w:val="00F17003"/>
    <w:rsid w:val="00F17750"/>
    <w:rsid w:val="00F17E49"/>
    <w:rsid w:val="00F20035"/>
    <w:rsid w:val="00F20572"/>
    <w:rsid w:val="00F20697"/>
    <w:rsid w:val="00F20A44"/>
    <w:rsid w:val="00F20CD5"/>
    <w:rsid w:val="00F21044"/>
    <w:rsid w:val="00F22D17"/>
    <w:rsid w:val="00F23F40"/>
    <w:rsid w:val="00F24508"/>
    <w:rsid w:val="00F2543F"/>
    <w:rsid w:val="00F2552C"/>
    <w:rsid w:val="00F25CC9"/>
    <w:rsid w:val="00F26E84"/>
    <w:rsid w:val="00F30147"/>
    <w:rsid w:val="00F307D4"/>
    <w:rsid w:val="00F31A11"/>
    <w:rsid w:val="00F31EAE"/>
    <w:rsid w:val="00F3367B"/>
    <w:rsid w:val="00F33700"/>
    <w:rsid w:val="00F34954"/>
    <w:rsid w:val="00F35B72"/>
    <w:rsid w:val="00F36A49"/>
    <w:rsid w:val="00F37177"/>
    <w:rsid w:val="00F3735A"/>
    <w:rsid w:val="00F377FB"/>
    <w:rsid w:val="00F37DFC"/>
    <w:rsid w:val="00F415A6"/>
    <w:rsid w:val="00F41906"/>
    <w:rsid w:val="00F42D1E"/>
    <w:rsid w:val="00F42EBA"/>
    <w:rsid w:val="00F44F81"/>
    <w:rsid w:val="00F46A72"/>
    <w:rsid w:val="00F46F5F"/>
    <w:rsid w:val="00F47943"/>
    <w:rsid w:val="00F47B47"/>
    <w:rsid w:val="00F504BA"/>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817"/>
    <w:rsid w:val="00F655A9"/>
    <w:rsid w:val="00F66309"/>
    <w:rsid w:val="00F66B4A"/>
    <w:rsid w:val="00F66EB2"/>
    <w:rsid w:val="00F67AA3"/>
    <w:rsid w:val="00F7232E"/>
    <w:rsid w:val="00F754F2"/>
    <w:rsid w:val="00F75F8E"/>
    <w:rsid w:val="00F80AD2"/>
    <w:rsid w:val="00F81BB5"/>
    <w:rsid w:val="00F81E7C"/>
    <w:rsid w:val="00F8244F"/>
    <w:rsid w:val="00F82510"/>
    <w:rsid w:val="00F82CD7"/>
    <w:rsid w:val="00F82F64"/>
    <w:rsid w:val="00F850A4"/>
    <w:rsid w:val="00F8580B"/>
    <w:rsid w:val="00F860BB"/>
    <w:rsid w:val="00F86BB4"/>
    <w:rsid w:val="00F87593"/>
    <w:rsid w:val="00F90BD8"/>
    <w:rsid w:val="00F914AE"/>
    <w:rsid w:val="00F929FA"/>
    <w:rsid w:val="00F92D6E"/>
    <w:rsid w:val="00F92DB4"/>
    <w:rsid w:val="00F941C0"/>
    <w:rsid w:val="00F94885"/>
    <w:rsid w:val="00F94984"/>
    <w:rsid w:val="00F94B38"/>
    <w:rsid w:val="00F94BEB"/>
    <w:rsid w:val="00F974D8"/>
    <w:rsid w:val="00F97B09"/>
    <w:rsid w:val="00FA0C66"/>
    <w:rsid w:val="00FA2E8F"/>
    <w:rsid w:val="00FA3525"/>
    <w:rsid w:val="00FA4BC4"/>
    <w:rsid w:val="00FB0C78"/>
    <w:rsid w:val="00FB1576"/>
    <w:rsid w:val="00FB1954"/>
    <w:rsid w:val="00FB35CE"/>
    <w:rsid w:val="00FB388E"/>
    <w:rsid w:val="00FB3BFA"/>
    <w:rsid w:val="00FC01B8"/>
    <w:rsid w:val="00FC0510"/>
    <w:rsid w:val="00FC17AD"/>
    <w:rsid w:val="00FC1BAE"/>
    <w:rsid w:val="00FC4D04"/>
    <w:rsid w:val="00FC5394"/>
    <w:rsid w:val="00FC7A69"/>
    <w:rsid w:val="00FC7A70"/>
    <w:rsid w:val="00FD49FD"/>
    <w:rsid w:val="00FD4CE2"/>
    <w:rsid w:val="00FD73E5"/>
    <w:rsid w:val="00FD7760"/>
    <w:rsid w:val="00FD77C0"/>
    <w:rsid w:val="00FD7BA8"/>
    <w:rsid w:val="00FE0AE2"/>
    <w:rsid w:val="00FE1B10"/>
    <w:rsid w:val="00FE2555"/>
    <w:rsid w:val="00FE33AF"/>
    <w:rsid w:val="00FE445E"/>
    <w:rsid w:val="00FE5103"/>
    <w:rsid w:val="00FE5572"/>
    <w:rsid w:val="00FE69DB"/>
    <w:rsid w:val="00FF04EC"/>
    <w:rsid w:val="00FF0804"/>
    <w:rsid w:val="00FF1F6D"/>
    <w:rsid w:val="00FF443A"/>
    <w:rsid w:val="00FF4A74"/>
    <w:rsid w:val="00FF6CCB"/>
    <w:rsid w:val="00FF7F70"/>
    <w:rsid w:val="0491109A"/>
    <w:rsid w:val="05970C81"/>
    <w:rsid w:val="06851E05"/>
    <w:rsid w:val="06A64F55"/>
    <w:rsid w:val="06CE3597"/>
    <w:rsid w:val="08536A17"/>
    <w:rsid w:val="08FA42A7"/>
    <w:rsid w:val="09714C67"/>
    <w:rsid w:val="09BF06F0"/>
    <w:rsid w:val="09D0689B"/>
    <w:rsid w:val="0A860A29"/>
    <w:rsid w:val="0B4F3039"/>
    <w:rsid w:val="0B970DE5"/>
    <w:rsid w:val="0DE469F3"/>
    <w:rsid w:val="0DF05006"/>
    <w:rsid w:val="0F143499"/>
    <w:rsid w:val="0FE73EE9"/>
    <w:rsid w:val="122E739E"/>
    <w:rsid w:val="133B6DB5"/>
    <w:rsid w:val="13CC58CF"/>
    <w:rsid w:val="13D0003E"/>
    <w:rsid w:val="145204CA"/>
    <w:rsid w:val="15130B7D"/>
    <w:rsid w:val="156C05A2"/>
    <w:rsid w:val="15AD0FD1"/>
    <w:rsid w:val="16265028"/>
    <w:rsid w:val="165D794D"/>
    <w:rsid w:val="16DE635F"/>
    <w:rsid w:val="18321C37"/>
    <w:rsid w:val="184A261E"/>
    <w:rsid w:val="1888270D"/>
    <w:rsid w:val="18C258F5"/>
    <w:rsid w:val="19441DE5"/>
    <w:rsid w:val="19C322EB"/>
    <w:rsid w:val="1ADB3611"/>
    <w:rsid w:val="1AFC446E"/>
    <w:rsid w:val="1B946BE7"/>
    <w:rsid w:val="1BE21178"/>
    <w:rsid w:val="1C1D316C"/>
    <w:rsid w:val="1CC11C1A"/>
    <w:rsid w:val="1CD766A8"/>
    <w:rsid w:val="1D352C93"/>
    <w:rsid w:val="1E370B51"/>
    <w:rsid w:val="1E3D6448"/>
    <w:rsid w:val="1E474D4D"/>
    <w:rsid w:val="1F0559C8"/>
    <w:rsid w:val="1FA134B3"/>
    <w:rsid w:val="1FFC753C"/>
    <w:rsid w:val="20143080"/>
    <w:rsid w:val="205C35B9"/>
    <w:rsid w:val="20CC7FED"/>
    <w:rsid w:val="211F1734"/>
    <w:rsid w:val="21670BCA"/>
    <w:rsid w:val="219577E4"/>
    <w:rsid w:val="21EC21E7"/>
    <w:rsid w:val="21F143C8"/>
    <w:rsid w:val="223D3F10"/>
    <w:rsid w:val="231D7560"/>
    <w:rsid w:val="241205CC"/>
    <w:rsid w:val="245C67FB"/>
    <w:rsid w:val="24635E7D"/>
    <w:rsid w:val="247F4DF4"/>
    <w:rsid w:val="24B14B5B"/>
    <w:rsid w:val="258D5AAF"/>
    <w:rsid w:val="25A22FD7"/>
    <w:rsid w:val="260777CB"/>
    <w:rsid w:val="263664B6"/>
    <w:rsid w:val="271322A1"/>
    <w:rsid w:val="274176DD"/>
    <w:rsid w:val="27543939"/>
    <w:rsid w:val="278B2413"/>
    <w:rsid w:val="27FB1276"/>
    <w:rsid w:val="28AE6D65"/>
    <w:rsid w:val="28CC4941"/>
    <w:rsid w:val="2A015E1B"/>
    <w:rsid w:val="2A6B0ED0"/>
    <w:rsid w:val="2AA11C5C"/>
    <w:rsid w:val="2ABD78C8"/>
    <w:rsid w:val="2BD30778"/>
    <w:rsid w:val="2C730B86"/>
    <w:rsid w:val="2D6A53A3"/>
    <w:rsid w:val="2D8E56CE"/>
    <w:rsid w:val="2DA5159B"/>
    <w:rsid w:val="2DA63B8C"/>
    <w:rsid w:val="2E26328B"/>
    <w:rsid w:val="2F1E1CFF"/>
    <w:rsid w:val="2FCB57E4"/>
    <w:rsid w:val="30C16364"/>
    <w:rsid w:val="33706BEB"/>
    <w:rsid w:val="33874FF8"/>
    <w:rsid w:val="33983272"/>
    <w:rsid w:val="33F22F90"/>
    <w:rsid w:val="341B61F9"/>
    <w:rsid w:val="342741D7"/>
    <w:rsid w:val="34293CCC"/>
    <w:rsid w:val="34487CF9"/>
    <w:rsid w:val="34D36666"/>
    <w:rsid w:val="35045611"/>
    <w:rsid w:val="35296AB6"/>
    <w:rsid w:val="35F65B88"/>
    <w:rsid w:val="36304E7B"/>
    <w:rsid w:val="369127F9"/>
    <w:rsid w:val="36B96E01"/>
    <w:rsid w:val="36EB4F5A"/>
    <w:rsid w:val="37047173"/>
    <w:rsid w:val="37163172"/>
    <w:rsid w:val="390B0AC4"/>
    <w:rsid w:val="391F0FE9"/>
    <w:rsid w:val="39977633"/>
    <w:rsid w:val="3B3C77EA"/>
    <w:rsid w:val="3BA26D92"/>
    <w:rsid w:val="3D157604"/>
    <w:rsid w:val="3D191474"/>
    <w:rsid w:val="3D3375B7"/>
    <w:rsid w:val="3E681366"/>
    <w:rsid w:val="3EE467A0"/>
    <w:rsid w:val="3EFC099A"/>
    <w:rsid w:val="3FFB0793"/>
    <w:rsid w:val="40592330"/>
    <w:rsid w:val="407E0B6A"/>
    <w:rsid w:val="410A40C6"/>
    <w:rsid w:val="427F7566"/>
    <w:rsid w:val="42C40121"/>
    <w:rsid w:val="434D7F2B"/>
    <w:rsid w:val="45183DD8"/>
    <w:rsid w:val="464C5D5E"/>
    <w:rsid w:val="467B2A76"/>
    <w:rsid w:val="46E74DE9"/>
    <w:rsid w:val="47056C7A"/>
    <w:rsid w:val="47160567"/>
    <w:rsid w:val="47C76A81"/>
    <w:rsid w:val="48DE2B8D"/>
    <w:rsid w:val="48EF0478"/>
    <w:rsid w:val="48F84F55"/>
    <w:rsid w:val="4935502F"/>
    <w:rsid w:val="49C8625F"/>
    <w:rsid w:val="49F7040F"/>
    <w:rsid w:val="4A2E5198"/>
    <w:rsid w:val="4A990955"/>
    <w:rsid w:val="4AE534F2"/>
    <w:rsid w:val="4BBF2226"/>
    <w:rsid w:val="4BC81235"/>
    <w:rsid w:val="4CD61BE0"/>
    <w:rsid w:val="4D1A3483"/>
    <w:rsid w:val="4D720CBA"/>
    <w:rsid w:val="4E0D35E9"/>
    <w:rsid w:val="4E600B13"/>
    <w:rsid w:val="4E83697A"/>
    <w:rsid w:val="4EB82EEB"/>
    <w:rsid w:val="4F0C1F2F"/>
    <w:rsid w:val="4F2C0D29"/>
    <w:rsid w:val="502136CA"/>
    <w:rsid w:val="50AB7AEE"/>
    <w:rsid w:val="50CA7193"/>
    <w:rsid w:val="522968FD"/>
    <w:rsid w:val="524B6656"/>
    <w:rsid w:val="52630BD1"/>
    <w:rsid w:val="52C42599"/>
    <w:rsid w:val="53226280"/>
    <w:rsid w:val="53710C04"/>
    <w:rsid w:val="53A03E57"/>
    <w:rsid w:val="53B85196"/>
    <w:rsid w:val="542B11E0"/>
    <w:rsid w:val="5463070C"/>
    <w:rsid w:val="54AA6D09"/>
    <w:rsid w:val="54D25434"/>
    <w:rsid w:val="551A519E"/>
    <w:rsid w:val="551E55B5"/>
    <w:rsid w:val="554973B1"/>
    <w:rsid w:val="55F47FE6"/>
    <w:rsid w:val="55F6162D"/>
    <w:rsid w:val="569F23F4"/>
    <w:rsid w:val="56A33411"/>
    <w:rsid w:val="56B87702"/>
    <w:rsid w:val="570B5E72"/>
    <w:rsid w:val="570E72ED"/>
    <w:rsid w:val="57720022"/>
    <w:rsid w:val="584C374D"/>
    <w:rsid w:val="58BD0A48"/>
    <w:rsid w:val="59503CBB"/>
    <w:rsid w:val="598918A5"/>
    <w:rsid w:val="59DB7DA3"/>
    <w:rsid w:val="5A6F6B45"/>
    <w:rsid w:val="5A873A2A"/>
    <w:rsid w:val="5B162181"/>
    <w:rsid w:val="5BA6155E"/>
    <w:rsid w:val="5BC621D1"/>
    <w:rsid w:val="5C1F21B2"/>
    <w:rsid w:val="5C843552"/>
    <w:rsid w:val="5CB4245B"/>
    <w:rsid w:val="5DB017FD"/>
    <w:rsid w:val="5E267815"/>
    <w:rsid w:val="5E445F05"/>
    <w:rsid w:val="5F2049FB"/>
    <w:rsid w:val="5F3C4CA0"/>
    <w:rsid w:val="60D00B30"/>
    <w:rsid w:val="6117122F"/>
    <w:rsid w:val="615838CB"/>
    <w:rsid w:val="61AC36FA"/>
    <w:rsid w:val="61FD25A1"/>
    <w:rsid w:val="62F30EEC"/>
    <w:rsid w:val="63DC35A6"/>
    <w:rsid w:val="642701AC"/>
    <w:rsid w:val="64E132F6"/>
    <w:rsid w:val="652E6D08"/>
    <w:rsid w:val="653E7D58"/>
    <w:rsid w:val="65835E7B"/>
    <w:rsid w:val="659A37F1"/>
    <w:rsid w:val="659E32B5"/>
    <w:rsid w:val="65EC0A86"/>
    <w:rsid w:val="664673FD"/>
    <w:rsid w:val="66863BFB"/>
    <w:rsid w:val="66BD6B7E"/>
    <w:rsid w:val="67004FE0"/>
    <w:rsid w:val="679D028A"/>
    <w:rsid w:val="68585004"/>
    <w:rsid w:val="68592C4A"/>
    <w:rsid w:val="690F638E"/>
    <w:rsid w:val="692B7910"/>
    <w:rsid w:val="692E1E15"/>
    <w:rsid w:val="69690FEF"/>
    <w:rsid w:val="6A670B9B"/>
    <w:rsid w:val="6D77157D"/>
    <w:rsid w:val="6DDF30E4"/>
    <w:rsid w:val="6EBE1D77"/>
    <w:rsid w:val="6F5C3995"/>
    <w:rsid w:val="6FE834A6"/>
    <w:rsid w:val="7091578D"/>
    <w:rsid w:val="70A37E16"/>
    <w:rsid w:val="70BB77CA"/>
    <w:rsid w:val="70F2135C"/>
    <w:rsid w:val="70FB0C71"/>
    <w:rsid w:val="711F2CDA"/>
    <w:rsid w:val="7141437C"/>
    <w:rsid w:val="72175B12"/>
    <w:rsid w:val="74E83E15"/>
    <w:rsid w:val="75E03B34"/>
    <w:rsid w:val="75EE6384"/>
    <w:rsid w:val="761656E6"/>
    <w:rsid w:val="76A33CAD"/>
    <w:rsid w:val="776B3A1B"/>
    <w:rsid w:val="77C5138E"/>
    <w:rsid w:val="77D643AB"/>
    <w:rsid w:val="77F02658"/>
    <w:rsid w:val="78853310"/>
    <w:rsid w:val="78AD41E5"/>
    <w:rsid w:val="791670B8"/>
    <w:rsid w:val="799F5386"/>
    <w:rsid w:val="7B007056"/>
    <w:rsid w:val="7B6650AE"/>
    <w:rsid w:val="7DF347D8"/>
    <w:rsid w:val="7E517E56"/>
    <w:rsid w:val="7F6E4E2D"/>
    <w:rsid w:val="7F7C76B0"/>
    <w:rsid w:val="7F9E56FA"/>
    <w:rsid w:val="7FAB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99" w:semiHidden="0"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7"/>
    <w:qFormat/>
    <w:uiPriority w:val="9"/>
    <w:pPr>
      <w:keepNext/>
      <w:keepLines/>
      <w:spacing w:beforeLines="100" w:afterLines="100" w:line="400" w:lineRule="exact"/>
      <w:jc w:val="center"/>
      <w:outlineLvl w:val="0"/>
    </w:pPr>
    <w:rPr>
      <w:b/>
      <w:bCs/>
      <w:kern w:val="44"/>
      <w:sz w:val="44"/>
      <w:szCs w:val="44"/>
    </w:rPr>
  </w:style>
  <w:style w:type="paragraph" w:styleId="4">
    <w:name w:val="heading 2"/>
    <w:basedOn w:val="1"/>
    <w:next w:val="1"/>
    <w:link w:val="48"/>
    <w:qFormat/>
    <w:uiPriority w:val="0"/>
    <w:pPr>
      <w:keepNext/>
      <w:jc w:val="center"/>
      <w:outlineLvl w:val="1"/>
    </w:pPr>
    <w:rPr>
      <w:rFonts w:ascii="Cambria" w:hAnsi="Cambria"/>
      <w:b/>
      <w:bCs/>
      <w:sz w:val="30"/>
      <w:szCs w:val="32"/>
    </w:rPr>
  </w:style>
  <w:style w:type="paragraph" w:styleId="5">
    <w:name w:val="heading 3"/>
    <w:basedOn w:val="1"/>
    <w:next w:val="1"/>
    <w:link w:val="49"/>
    <w:qFormat/>
    <w:uiPriority w:val="9"/>
    <w:pPr>
      <w:keepNext/>
      <w:tabs>
        <w:tab w:val="left" w:pos="720"/>
      </w:tabs>
      <w:spacing w:line="240" w:lineRule="atLeast"/>
      <w:ind w:left="720" w:hanging="720"/>
      <w:jc w:val="center"/>
      <w:outlineLvl w:val="2"/>
    </w:pPr>
    <w:rPr>
      <w:b/>
      <w:bCs/>
      <w:kern w:val="0"/>
      <w:sz w:val="32"/>
      <w:szCs w:val="32"/>
    </w:rPr>
  </w:style>
  <w:style w:type="paragraph" w:styleId="6">
    <w:name w:val="heading 4"/>
    <w:basedOn w:val="1"/>
    <w:next w:val="1"/>
    <w:link w:val="50"/>
    <w:qFormat/>
    <w:uiPriority w:val="9"/>
    <w:pPr>
      <w:keepNext/>
      <w:keepLines/>
      <w:spacing w:before="280" w:after="290" w:line="374" w:lineRule="auto"/>
      <w:outlineLvl w:val="3"/>
    </w:pPr>
    <w:rPr>
      <w:rFonts w:ascii="Cambria" w:hAnsi="Cambria"/>
      <w:b/>
      <w:bCs/>
      <w:kern w:val="0"/>
      <w:sz w:val="28"/>
      <w:szCs w:val="28"/>
    </w:rPr>
  </w:style>
  <w:style w:type="paragraph" w:styleId="7">
    <w:name w:val="heading 5"/>
    <w:basedOn w:val="1"/>
    <w:next w:val="1"/>
    <w:link w:val="51"/>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8">
    <w:name w:val="heading 6"/>
    <w:basedOn w:val="1"/>
    <w:next w:val="1"/>
    <w:link w:val="135"/>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9">
    <w:name w:val="heading 7"/>
    <w:basedOn w:val="1"/>
    <w:next w:val="1"/>
    <w:link w:val="136"/>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10">
    <w:name w:val="heading 8"/>
    <w:basedOn w:val="1"/>
    <w:next w:val="1"/>
    <w:link w:val="137"/>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1">
    <w:name w:val="heading 9"/>
    <w:basedOn w:val="1"/>
    <w:next w:val="1"/>
    <w:link w:val="138"/>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qFormat/>
    <w:uiPriority w:val="99"/>
    <w:pPr>
      <w:numPr>
        <w:ilvl w:val="0"/>
        <w:numId w:val="1"/>
      </w:numPr>
      <w:spacing w:line="360" w:lineRule="auto"/>
      <w:jc w:val="left"/>
    </w:pPr>
    <w:rPr>
      <w:rFonts w:ascii="宋体" w:hAnsi="宋体"/>
      <w:spacing w:val="4"/>
      <w:sz w:val="18"/>
      <w:szCs w:val="20"/>
    </w:rPr>
  </w:style>
  <w:style w:type="paragraph" w:styleId="12">
    <w:name w:val="Normal Indent"/>
    <w:basedOn w:val="1"/>
    <w:next w:val="1"/>
    <w:link w:val="52"/>
    <w:qFormat/>
    <w:uiPriority w:val="0"/>
    <w:pPr>
      <w:widowControl/>
      <w:adjustRightInd w:val="0"/>
      <w:snapToGrid w:val="0"/>
      <w:spacing w:line="480" w:lineRule="exact"/>
      <w:ind w:firstLine="567"/>
    </w:pPr>
    <w:rPr>
      <w:rFonts w:ascii="宋体"/>
      <w:snapToGrid w:val="0"/>
      <w:color w:val="000000"/>
      <w:kern w:val="28"/>
      <w:sz w:val="28"/>
    </w:rPr>
  </w:style>
  <w:style w:type="paragraph" w:styleId="13">
    <w:name w:val="Document Map"/>
    <w:basedOn w:val="1"/>
    <w:link w:val="53"/>
    <w:qFormat/>
    <w:uiPriority w:val="0"/>
    <w:pPr>
      <w:shd w:val="clear" w:color="auto" w:fill="000080"/>
    </w:pPr>
    <w:rPr>
      <w:kern w:val="0"/>
      <w:sz w:val="2"/>
    </w:rPr>
  </w:style>
  <w:style w:type="paragraph" w:styleId="14">
    <w:name w:val="toa heading"/>
    <w:basedOn w:val="1"/>
    <w:next w:val="1"/>
    <w:semiHidden/>
    <w:unhideWhenUsed/>
    <w:qFormat/>
    <w:uiPriority w:val="99"/>
    <w:pPr>
      <w:spacing w:before="120"/>
    </w:pPr>
    <w:rPr>
      <w:rFonts w:ascii="Arial" w:hAnsi="Arial" w:cs="Arial"/>
      <w:sz w:val="24"/>
      <w:szCs w:val="24"/>
    </w:rPr>
  </w:style>
  <w:style w:type="paragraph" w:styleId="15">
    <w:name w:val="annotation text"/>
    <w:basedOn w:val="1"/>
    <w:link w:val="54"/>
    <w:qFormat/>
    <w:uiPriority w:val="99"/>
    <w:pPr>
      <w:jc w:val="left"/>
    </w:pPr>
  </w:style>
  <w:style w:type="paragraph" w:styleId="16">
    <w:name w:val="Body Text"/>
    <w:basedOn w:val="1"/>
    <w:next w:val="17"/>
    <w:link w:val="55"/>
    <w:qFormat/>
    <w:uiPriority w:val="0"/>
    <w:rPr>
      <w:kern w:val="0"/>
      <w:sz w:val="20"/>
    </w:rPr>
  </w:style>
  <w:style w:type="paragraph" w:customStyle="1" w:styleId="1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18">
    <w:name w:val="Body Text Indent"/>
    <w:basedOn w:val="1"/>
    <w:next w:val="1"/>
    <w:link w:val="56"/>
    <w:qFormat/>
    <w:uiPriority w:val="0"/>
    <w:pPr>
      <w:spacing w:line="380" w:lineRule="exact"/>
      <w:ind w:firstLine="480"/>
    </w:pPr>
    <w:rPr>
      <w:kern w:val="0"/>
      <w:sz w:val="20"/>
    </w:rPr>
  </w:style>
  <w:style w:type="paragraph" w:styleId="19">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20">
    <w:name w:val="toc 5"/>
    <w:basedOn w:val="1"/>
    <w:next w:val="1"/>
    <w:qFormat/>
    <w:uiPriority w:val="99"/>
    <w:pPr>
      <w:ind w:left="1680" w:leftChars="800"/>
    </w:pPr>
  </w:style>
  <w:style w:type="paragraph" w:styleId="21">
    <w:name w:val="toc 3"/>
    <w:basedOn w:val="1"/>
    <w:next w:val="1"/>
    <w:qFormat/>
    <w:uiPriority w:val="39"/>
    <w:pPr>
      <w:ind w:left="840" w:leftChars="400"/>
    </w:pPr>
  </w:style>
  <w:style w:type="paragraph" w:styleId="22">
    <w:name w:val="Plain Text"/>
    <w:basedOn w:val="1"/>
    <w:next w:val="1"/>
    <w:link w:val="57"/>
    <w:qFormat/>
    <w:uiPriority w:val="0"/>
    <w:rPr>
      <w:rFonts w:ascii="宋体" w:hAnsi="Courier New"/>
      <w:kern w:val="0"/>
      <w:szCs w:val="21"/>
    </w:rPr>
  </w:style>
  <w:style w:type="paragraph" w:styleId="23">
    <w:name w:val="Date"/>
    <w:basedOn w:val="1"/>
    <w:next w:val="1"/>
    <w:link w:val="58"/>
    <w:qFormat/>
    <w:uiPriority w:val="0"/>
    <w:rPr>
      <w:sz w:val="28"/>
    </w:rPr>
  </w:style>
  <w:style w:type="paragraph" w:styleId="24">
    <w:name w:val="Body Text Indent 2"/>
    <w:basedOn w:val="1"/>
    <w:link w:val="59"/>
    <w:qFormat/>
    <w:uiPriority w:val="0"/>
    <w:pPr>
      <w:tabs>
        <w:tab w:val="left" w:pos="240"/>
        <w:tab w:val="left" w:pos="480"/>
      </w:tabs>
      <w:ind w:left="630" w:leftChars="300"/>
    </w:pPr>
    <w:rPr>
      <w:kern w:val="0"/>
      <w:sz w:val="20"/>
    </w:rPr>
  </w:style>
  <w:style w:type="paragraph" w:styleId="25">
    <w:name w:val="Balloon Text"/>
    <w:basedOn w:val="1"/>
    <w:link w:val="6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kern w:val="0"/>
      <w:sz w:val="18"/>
      <w:szCs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rPr>
      <w:sz w:val="24"/>
    </w:rPr>
  </w:style>
  <w:style w:type="paragraph" w:styleId="29">
    <w:name w:val="toc 6"/>
    <w:basedOn w:val="1"/>
    <w:next w:val="1"/>
    <w:qFormat/>
    <w:uiPriority w:val="99"/>
    <w:pPr>
      <w:ind w:left="2100" w:leftChars="1000"/>
    </w:pPr>
    <w:rPr>
      <w:szCs w:val="24"/>
    </w:rPr>
  </w:style>
  <w:style w:type="paragraph" w:styleId="30">
    <w:name w:val="Body Text Indent 3"/>
    <w:basedOn w:val="1"/>
    <w:link w:val="63"/>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link w:val="64"/>
    <w:qFormat/>
    <w:uiPriority w:val="0"/>
    <w:pPr>
      <w:spacing w:after="120" w:line="480" w:lineRule="auto"/>
    </w:pPr>
    <w:rPr>
      <w:kern w:val="0"/>
      <w:sz w:val="20"/>
    </w:rPr>
  </w:style>
  <w:style w:type="paragraph" w:styleId="3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4">
    <w:name w:val="Title"/>
    <w:next w:val="1"/>
    <w:link w:val="153"/>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35">
    <w:name w:val="annotation subject"/>
    <w:basedOn w:val="15"/>
    <w:next w:val="15"/>
    <w:link w:val="65"/>
    <w:qFormat/>
    <w:uiPriority w:val="0"/>
    <w:rPr>
      <w:b/>
      <w:bCs/>
    </w:rPr>
  </w:style>
  <w:style w:type="paragraph" w:styleId="36">
    <w:name w:val="Body Text First Indent"/>
    <w:basedOn w:val="16"/>
    <w:next w:val="1"/>
    <w:link w:val="66"/>
    <w:unhideWhenUsed/>
    <w:qFormat/>
    <w:uiPriority w:val="99"/>
    <w:pPr>
      <w:spacing w:after="120"/>
      <w:ind w:firstLine="420" w:firstLineChars="100"/>
    </w:pPr>
    <w:rPr>
      <w:kern w:val="2"/>
      <w:sz w:val="21"/>
    </w:rPr>
  </w:style>
  <w:style w:type="paragraph" w:styleId="37">
    <w:name w:val="Body Text First Indent 2"/>
    <w:basedOn w:val="18"/>
    <w:next w:val="1"/>
    <w:unhideWhenUsed/>
    <w:qFormat/>
    <w:uiPriority w:val="0"/>
    <w:pPr>
      <w:spacing w:after="120" w:line="240" w:lineRule="auto"/>
      <w:ind w:left="420" w:leftChars="200" w:firstLine="420" w:firstLineChars="200"/>
    </w:pPr>
    <w:rPr>
      <w:rFonts w:ascii="Calibri" w:hAnsi="Calibri"/>
      <w:sz w:val="21"/>
      <w:szCs w:val="24"/>
    </w:rPr>
  </w:style>
  <w:style w:type="table" w:styleId="39">
    <w:name w:val="Table Grid"/>
    <w:basedOn w:val="3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1">
    <w:name w:val="Strong"/>
    <w:qFormat/>
    <w:uiPriority w:val="0"/>
    <w:rPr>
      <w:b/>
      <w:bCs/>
    </w:rPr>
  </w:style>
  <w:style w:type="character" w:styleId="42">
    <w:name w:val="page number"/>
    <w:basedOn w:val="40"/>
    <w:qFormat/>
    <w:uiPriority w:val="0"/>
    <w:rPr>
      <w:rFonts w:cs="Times New Roman"/>
    </w:rPr>
  </w:style>
  <w:style w:type="character" w:styleId="43">
    <w:name w:val="FollowedHyperlink"/>
    <w:qFormat/>
    <w:uiPriority w:val="99"/>
    <w:rPr>
      <w:rFonts w:cs="Times New Roman"/>
      <w:color w:val="800080"/>
      <w:u w:val="single"/>
    </w:rPr>
  </w:style>
  <w:style w:type="character" w:styleId="44">
    <w:name w:val="HTML Typewriter"/>
    <w:qFormat/>
    <w:uiPriority w:val="99"/>
    <w:rPr>
      <w:rFonts w:ascii="Courier New" w:hAnsi="Courier New" w:cs="Courier New"/>
      <w:sz w:val="20"/>
      <w:szCs w:val="20"/>
    </w:rPr>
  </w:style>
  <w:style w:type="character" w:styleId="45">
    <w:name w:val="Hyperlink"/>
    <w:qFormat/>
    <w:uiPriority w:val="99"/>
    <w:rPr>
      <w:rFonts w:cs="Times New Roman"/>
      <w:color w:val="0000FF"/>
      <w:u w:val="single"/>
    </w:rPr>
  </w:style>
  <w:style w:type="character" w:styleId="46">
    <w:name w:val="annotation reference"/>
    <w:basedOn w:val="40"/>
    <w:qFormat/>
    <w:uiPriority w:val="0"/>
    <w:rPr>
      <w:sz w:val="21"/>
      <w:szCs w:val="21"/>
    </w:rPr>
  </w:style>
  <w:style w:type="character" w:customStyle="1" w:styleId="47">
    <w:name w:val="标题 1 字符"/>
    <w:link w:val="3"/>
    <w:qFormat/>
    <w:uiPriority w:val="0"/>
    <w:rPr>
      <w:rFonts w:cs="Times New Roman"/>
      <w:b/>
      <w:bCs/>
      <w:kern w:val="44"/>
      <w:sz w:val="44"/>
      <w:szCs w:val="44"/>
    </w:rPr>
  </w:style>
  <w:style w:type="character" w:customStyle="1" w:styleId="48">
    <w:name w:val="标题 2 字符"/>
    <w:link w:val="4"/>
    <w:qFormat/>
    <w:uiPriority w:val="0"/>
    <w:rPr>
      <w:rFonts w:ascii="Cambria" w:hAnsi="Cambria"/>
      <w:b/>
      <w:bCs/>
      <w:kern w:val="2"/>
      <w:sz w:val="30"/>
      <w:szCs w:val="32"/>
    </w:rPr>
  </w:style>
  <w:style w:type="character" w:customStyle="1" w:styleId="49">
    <w:name w:val="标题 3 字符"/>
    <w:link w:val="5"/>
    <w:qFormat/>
    <w:uiPriority w:val="0"/>
    <w:rPr>
      <w:rFonts w:cs="Times New Roman"/>
      <w:b/>
      <w:bCs/>
      <w:sz w:val="32"/>
      <w:szCs w:val="32"/>
    </w:rPr>
  </w:style>
  <w:style w:type="character" w:customStyle="1" w:styleId="50">
    <w:name w:val="标题 4 字符"/>
    <w:link w:val="6"/>
    <w:qFormat/>
    <w:uiPriority w:val="0"/>
    <w:rPr>
      <w:rFonts w:ascii="Cambria" w:hAnsi="Cambria" w:eastAsia="宋体" w:cs="Times New Roman"/>
      <w:b/>
      <w:bCs/>
      <w:sz w:val="28"/>
      <w:szCs w:val="28"/>
    </w:rPr>
  </w:style>
  <w:style w:type="character" w:customStyle="1" w:styleId="51">
    <w:name w:val="标题 5 字符"/>
    <w:basedOn w:val="40"/>
    <w:link w:val="7"/>
    <w:semiHidden/>
    <w:qFormat/>
    <w:uiPriority w:val="9"/>
    <w:rPr>
      <w:rFonts w:asciiTheme="minorHAnsi" w:hAnsiTheme="minorHAnsi" w:eastAsiaTheme="minorEastAsia" w:cstheme="minorBidi"/>
      <w:b/>
      <w:kern w:val="2"/>
      <w:sz w:val="28"/>
      <w:szCs w:val="22"/>
    </w:rPr>
  </w:style>
  <w:style w:type="character" w:customStyle="1" w:styleId="52">
    <w:name w:val="正文缩进 字符"/>
    <w:link w:val="12"/>
    <w:qFormat/>
    <w:uiPriority w:val="0"/>
    <w:rPr>
      <w:rFonts w:ascii="宋体" w:eastAsia="宋体"/>
      <w:snapToGrid w:val="0"/>
      <w:color w:val="000000"/>
      <w:kern w:val="28"/>
      <w:sz w:val="28"/>
      <w:lang w:val="en-US" w:eastAsia="zh-CN" w:bidi="ar-SA"/>
    </w:rPr>
  </w:style>
  <w:style w:type="character" w:customStyle="1" w:styleId="53">
    <w:name w:val="文档结构图 字符"/>
    <w:link w:val="13"/>
    <w:qFormat/>
    <w:uiPriority w:val="0"/>
    <w:rPr>
      <w:rFonts w:cs="Times New Roman"/>
      <w:sz w:val="2"/>
    </w:rPr>
  </w:style>
  <w:style w:type="character" w:customStyle="1" w:styleId="54">
    <w:name w:val="批注文字 字符"/>
    <w:basedOn w:val="40"/>
    <w:link w:val="15"/>
    <w:qFormat/>
    <w:uiPriority w:val="99"/>
    <w:rPr>
      <w:kern w:val="2"/>
      <w:sz w:val="21"/>
    </w:rPr>
  </w:style>
  <w:style w:type="character" w:customStyle="1" w:styleId="55">
    <w:name w:val="正文文本 字符"/>
    <w:link w:val="16"/>
    <w:qFormat/>
    <w:uiPriority w:val="0"/>
    <w:rPr>
      <w:rFonts w:cs="Times New Roman"/>
      <w:sz w:val="20"/>
      <w:szCs w:val="20"/>
    </w:rPr>
  </w:style>
  <w:style w:type="character" w:customStyle="1" w:styleId="56">
    <w:name w:val="正文文本缩进 字符"/>
    <w:link w:val="18"/>
    <w:qFormat/>
    <w:uiPriority w:val="0"/>
    <w:rPr>
      <w:rFonts w:cs="Times New Roman"/>
      <w:sz w:val="20"/>
      <w:szCs w:val="20"/>
    </w:rPr>
  </w:style>
  <w:style w:type="character" w:customStyle="1" w:styleId="57">
    <w:name w:val="纯文本 字符"/>
    <w:link w:val="22"/>
    <w:qFormat/>
    <w:uiPriority w:val="0"/>
    <w:rPr>
      <w:rFonts w:ascii="宋体" w:hAnsi="Courier New" w:cs="Courier New"/>
      <w:sz w:val="21"/>
      <w:szCs w:val="21"/>
    </w:rPr>
  </w:style>
  <w:style w:type="character" w:customStyle="1" w:styleId="58">
    <w:name w:val="日期 字符"/>
    <w:link w:val="23"/>
    <w:qFormat/>
    <w:uiPriority w:val="0"/>
    <w:rPr>
      <w:rFonts w:cs="Times New Roman"/>
      <w:kern w:val="2"/>
      <w:sz w:val="28"/>
    </w:rPr>
  </w:style>
  <w:style w:type="character" w:customStyle="1" w:styleId="59">
    <w:name w:val="正文文本缩进 2 字符"/>
    <w:link w:val="24"/>
    <w:qFormat/>
    <w:uiPriority w:val="0"/>
    <w:rPr>
      <w:rFonts w:cs="Times New Roman"/>
      <w:sz w:val="20"/>
      <w:szCs w:val="20"/>
    </w:rPr>
  </w:style>
  <w:style w:type="character" w:customStyle="1" w:styleId="60">
    <w:name w:val="批注框文本 字符"/>
    <w:basedOn w:val="40"/>
    <w:link w:val="25"/>
    <w:qFormat/>
    <w:uiPriority w:val="0"/>
    <w:rPr>
      <w:rFonts w:ascii="Times New Roman" w:hAnsi="Times New Roman" w:eastAsia="宋体" w:cs="Times New Roman"/>
      <w:kern w:val="2"/>
      <w:sz w:val="18"/>
      <w:szCs w:val="18"/>
    </w:rPr>
  </w:style>
  <w:style w:type="character" w:customStyle="1" w:styleId="61">
    <w:name w:val="页脚 字符"/>
    <w:link w:val="26"/>
    <w:qFormat/>
    <w:uiPriority w:val="99"/>
    <w:rPr>
      <w:rFonts w:cs="Times New Roman"/>
      <w:sz w:val="18"/>
      <w:szCs w:val="18"/>
    </w:rPr>
  </w:style>
  <w:style w:type="character" w:customStyle="1" w:styleId="62">
    <w:name w:val="页眉 字符"/>
    <w:link w:val="27"/>
    <w:qFormat/>
    <w:uiPriority w:val="99"/>
    <w:rPr>
      <w:rFonts w:cs="Times New Roman"/>
      <w:sz w:val="18"/>
      <w:szCs w:val="18"/>
    </w:rPr>
  </w:style>
  <w:style w:type="character" w:customStyle="1" w:styleId="63">
    <w:name w:val="正文文本缩进 3 字符"/>
    <w:link w:val="30"/>
    <w:qFormat/>
    <w:uiPriority w:val="0"/>
    <w:rPr>
      <w:rFonts w:cs="Times New Roman"/>
      <w:kern w:val="2"/>
      <w:sz w:val="16"/>
      <w:szCs w:val="16"/>
    </w:rPr>
  </w:style>
  <w:style w:type="character" w:customStyle="1" w:styleId="64">
    <w:name w:val="正文文本 2 字符"/>
    <w:link w:val="32"/>
    <w:qFormat/>
    <w:uiPriority w:val="0"/>
    <w:rPr>
      <w:rFonts w:cs="Times New Roman"/>
      <w:sz w:val="20"/>
      <w:szCs w:val="20"/>
    </w:rPr>
  </w:style>
  <w:style w:type="character" w:customStyle="1" w:styleId="65">
    <w:name w:val="批注主题 字符"/>
    <w:basedOn w:val="54"/>
    <w:link w:val="35"/>
    <w:qFormat/>
    <w:uiPriority w:val="0"/>
    <w:rPr>
      <w:b/>
      <w:bCs/>
      <w:kern w:val="2"/>
      <w:sz w:val="21"/>
    </w:rPr>
  </w:style>
  <w:style w:type="character" w:customStyle="1" w:styleId="66">
    <w:name w:val="正文首行缩进 字符"/>
    <w:link w:val="36"/>
    <w:qFormat/>
    <w:uiPriority w:val="99"/>
    <w:rPr>
      <w:rFonts w:cs="Times New Roman"/>
      <w:kern w:val="2"/>
      <w:sz w:val="21"/>
      <w:szCs w:val="20"/>
    </w:rPr>
  </w:style>
  <w:style w:type="character" w:customStyle="1" w:styleId="67">
    <w:name w:val="普通文字 Char Char2"/>
    <w:qFormat/>
    <w:locked/>
    <w:uiPriority w:val="0"/>
    <w:rPr>
      <w:rFonts w:ascii="宋体" w:hAnsi="Courier New" w:eastAsia="宋体" w:cs="Times New Roman"/>
      <w:kern w:val="2"/>
      <w:sz w:val="21"/>
      <w:lang w:val="en-US" w:eastAsia="zh-CN" w:bidi="ar-SA"/>
    </w:rPr>
  </w:style>
  <w:style w:type="character" w:customStyle="1" w:styleId="68">
    <w:name w:val="_正文段落 Char"/>
    <w:link w:val="69"/>
    <w:qFormat/>
    <w:uiPriority w:val="0"/>
    <w:rPr>
      <w:rFonts w:ascii="仿宋_GB2312" w:eastAsia="仿宋_GB2312"/>
      <w:sz w:val="28"/>
      <w:szCs w:val="24"/>
    </w:rPr>
  </w:style>
  <w:style w:type="paragraph" w:customStyle="1" w:styleId="69">
    <w:name w:val="_正文段落"/>
    <w:basedOn w:val="1"/>
    <w:link w:val="68"/>
    <w:qFormat/>
    <w:uiPriority w:val="0"/>
    <w:pPr>
      <w:spacing w:line="360" w:lineRule="auto"/>
      <w:ind w:firstLine="200" w:firstLineChars="200"/>
    </w:pPr>
    <w:rPr>
      <w:rFonts w:ascii="仿宋_GB2312" w:eastAsia="仿宋_GB2312"/>
      <w:kern w:val="0"/>
      <w:sz w:val="28"/>
      <w:szCs w:val="24"/>
    </w:rPr>
  </w:style>
  <w:style w:type="character" w:customStyle="1" w:styleId="70">
    <w:name w:val="内容"/>
    <w:qFormat/>
    <w:uiPriority w:val="0"/>
    <w:rPr>
      <w:rFonts w:ascii="华文细黑" w:eastAsia="华文细黑"/>
      <w:color w:val="75787B"/>
      <w:sz w:val="20"/>
      <w:u w:val="none"/>
    </w:rPr>
  </w:style>
  <w:style w:type="character" w:customStyle="1" w:styleId="71">
    <w:name w:val="纯文本 Char1"/>
    <w:qFormat/>
    <w:uiPriority w:val="99"/>
    <w:rPr>
      <w:rFonts w:ascii="宋体" w:hAnsi="Courier New" w:eastAsia="宋体"/>
      <w:kern w:val="2"/>
      <w:sz w:val="21"/>
      <w:lang w:val="en-US" w:eastAsia="zh-CN" w:bidi="ar-SA"/>
    </w:rPr>
  </w:style>
  <w:style w:type="character" w:customStyle="1" w:styleId="72">
    <w:name w:val="ca-31"/>
    <w:qFormat/>
    <w:uiPriority w:val="0"/>
    <w:rPr>
      <w:rFonts w:hint="eastAsia" w:ascii="宋体" w:hAnsi="宋体" w:eastAsia="宋体"/>
      <w:sz w:val="21"/>
      <w:szCs w:val="21"/>
    </w:rPr>
  </w:style>
  <w:style w:type="character" w:customStyle="1" w:styleId="73">
    <w:name w:val="正文2 Char Char"/>
    <w:link w:val="74"/>
    <w:qFormat/>
    <w:uiPriority w:val="0"/>
    <w:rPr>
      <w:rFonts w:eastAsia="宋体"/>
      <w:kern w:val="2"/>
      <w:sz w:val="24"/>
      <w:lang w:val="en-US" w:eastAsia="zh-CN" w:bidi="ar-SA"/>
    </w:rPr>
  </w:style>
  <w:style w:type="paragraph" w:customStyle="1" w:styleId="74">
    <w:name w:val="正文2"/>
    <w:basedOn w:val="1"/>
    <w:link w:val="73"/>
    <w:qFormat/>
    <w:uiPriority w:val="0"/>
    <w:pPr>
      <w:spacing w:before="156" w:line="360" w:lineRule="auto"/>
      <w:ind w:firstLine="510" w:firstLineChars="200"/>
    </w:pPr>
    <w:rPr>
      <w:sz w:val="24"/>
    </w:rPr>
  </w:style>
  <w:style w:type="character" w:customStyle="1" w:styleId="75">
    <w:name w:val="ca-51"/>
    <w:qFormat/>
    <w:uiPriority w:val="0"/>
    <w:rPr>
      <w:rFonts w:hint="eastAsia" w:ascii="宋体" w:hAnsi="宋体" w:eastAsia="宋体"/>
      <w:color w:val="FF0000"/>
      <w:sz w:val="21"/>
      <w:szCs w:val="21"/>
    </w:rPr>
  </w:style>
  <w:style w:type="paragraph" w:customStyle="1" w:styleId="76">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Char1"/>
    <w:basedOn w:val="13"/>
    <w:qFormat/>
    <w:uiPriority w:val="0"/>
    <w:pPr>
      <w:adjustRightInd w:val="0"/>
      <w:spacing w:line="436" w:lineRule="exact"/>
      <w:ind w:left="357"/>
      <w:jc w:val="left"/>
      <w:outlineLvl w:val="3"/>
    </w:pPr>
  </w:style>
  <w:style w:type="paragraph" w:customStyle="1" w:styleId="80">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83">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Char Char Char Char Char Char"/>
    <w:basedOn w:val="1"/>
    <w:qFormat/>
    <w:uiPriority w:val="0"/>
    <w:pPr>
      <w:ind w:firstLine="200" w:firstLineChars="200"/>
    </w:pPr>
    <w:rPr>
      <w:rFonts w:ascii="Tahoma" w:hAnsi="Tahoma"/>
      <w:sz w:val="24"/>
    </w:rPr>
  </w:style>
  <w:style w:type="paragraph" w:styleId="89">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Char2 Char Char"/>
    <w:basedOn w:val="1"/>
    <w:qFormat/>
    <w:uiPriority w:val="0"/>
    <w:rPr>
      <w:rFonts w:ascii="Tahoma" w:hAnsi="Tahoma"/>
      <w:sz w:val="24"/>
    </w:rPr>
  </w:style>
  <w:style w:type="paragraph" w:customStyle="1" w:styleId="92">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Char Char Char"/>
    <w:basedOn w:val="1"/>
    <w:qFormat/>
    <w:uiPriority w:val="0"/>
    <w:rPr>
      <w:rFonts w:ascii="Tahoma" w:hAnsi="Tahoma"/>
      <w:sz w:val="24"/>
    </w:rPr>
  </w:style>
  <w:style w:type="paragraph" w:customStyle="1" w:styleId="96">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styleId="99">
    <w:name w:val="List Paragraph"/>
    <w:basedOn w:val="1"/>
    <w:next w:val="1"/>
    <w:qFormat/>
    <w:uiPriority w:val="34"/>
    <w:pPr>
      <w:ind w:firstLine="420" w:firstLineChars="200"/>
    </w:pPr>
  </w:style>
  <w:style w:type="paragraph" w:customStyle="1" w:styleId="100">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TOC 标题1"/>
    <w:basedOn w:val="3"/>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4">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7">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Char"/>
    <w:basedOn w:val="1"/>
    <w:qFormat/>
    <w:uiPriority w:val="0"/>
    <w:pPr>
      <w:widowControl/>
      <w:spacing w:line="400" w:lineRule="exact"/>
      <w:jc w:val="center"/>
    </w:pPr>
    <w:rPr>
      <w:rFonts w:ascii="Verdana" w:hAnsi="Verdana"/>
      <w:kern w:val="0"/>
      <w:lang w:eastAsia="en-US"/>
    </w:rPr>
  </w:style>
  <w:style w:type="paragraph" w:customStyle="1" w:styleId="112">
    <w:name w:val="Char2"/>
    <w:basedOn w:val="1"/>
    <w:qFormat/>
    <w:uiPriority w:val="0"/>
    <w:pPr>
      <w:tabs>
        <w:tab w:val="left" w:pos="720"/>
      </w:tabs>
      <w:ind w:left="720" w:hanging="360"/>
    </w:pPr>
    <w:rPr>
      <w:sz w:val="24"/>
      <w:szCs w:val="24"/>
    </w:rPr>
  </w:style>
  <w:style w:type="paragraph" w:customStyle="1" w:styleId="113">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Char11"/>
    <w:basedOn w:val="13"/>
    <w:qFormat/>
    <w:uiPriority w:val="0"/>
    <w:pPr>
      <w:adjustRightInd w:val="0"/>
      <w:spacing w:line="436" w:lineRule="exact"/>
      <w:ind w:left="357"/>
      <w:jc w:val="left"/>
      <w:outlineLvl w:val="3"/>
    </w:pPr>
    <w:rPr>
      <w:rFonts w:ascii="Tahoma" w:hAnsi="Tahoma"/>
      <w:b/>
      <w:sz w:val="24"/>
      <w:szCs w:val="24"/>
    </w:rPr>
  </w:style>
  <w:style w:type="paragraph" w:customStyle="1" w:styleId="118">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
    <w:name w:val="Char Char2"/>
    <w:basedOn w:val="1"/>
    <w:qFormat/>
    <w:uiPriority w:val="0"/>
    <w:rPr>
      <w:rFonts w:ascii="宋体" w:hAnsi="宋体"/>
      <w:b/>
      <w:sz w:val="28"/>
      <w:szCs w:val="28"/>
    </w:rPr>
  </w:style>
  <w:style w:type="paragraph" w:customStyle="1" w:styleId="122">
    <w:name w:val="表"/>
    <w:basedOn w:val="1"/>
    <w:qFormat/>
    <w:uiPriority w:val="0"/>
    <w:pPr>
      <w:spacing w:line="360" w:lineRule="auto"/>
    </w:pPr>
    <w:rPr>
      <w:rFonts w:cs="Garamond"/>
      <w:b/>
      <w:bCs/>
      <w:color w:val="FF0000"/>
    </w:rPr>
  </w:style>
  <w:style w:type="paragraph" w:customStyle="1" w:styleId="123">
    <w:name w:val="主体"/>
    <w:basedOn w:val="1"/>
    <w:link w:val="124"/>
    <w:qFormat/>
    <w:uiPriority w:val="99"/>
    <w:pPr>
      <w:spacing w:line="360" w:lineRule="auto"/>
      <w:ind w:firstLine="480" w:firstLineChars="200"/>
    </w:pPr>
    <w:rPr>
      <w:rFonts w:ascii="宋体" w:hAnsi="宋体"/>
      <w:kern w:val="58"/>
      <w:sz w:val="24"/>
      <w:szCs w:val="24"/>
    </w:rPr>
  </w:style>
  <w:style w:type="character" w:customStyle="1" w:styleId="124">
    <w:name w:val="主体 Char Char"/>
    <w:link w:val="123"/>
    <w:qFormat/>
    <w:uiPriority w:val="99"/>
    <w:rPr>
      <w:rFonts w:ascii="宋体" w:hAnsi="宋体"/>
      <w:kern w:val="58"/>
      <w:sz w:val="24"/>
      <w:szCs w:val="24"/>
    </w:rPr>
  </w:style>
  <w:style w:type="paragraph" w:customStyle="1" w:styleId="125">
    <w:name w:val="表格文字"/>
    <w:basedOn w:val="1"/>
    <w:link w:val="126"/>
    <w:qFormat/>
    <w:uiPriority w:val="0"/>
    <w:pPr>
      <w:jc w:val="left"/>
    </w:pPr>
    <w:rPr>
      <w:rFonts w:ascii="宋体" w:hAnsi="宋体"/>
      <w:bCs/>
      <w:spacing w:val="-4"/>
      <w:kern w:val="0"/>
      <w:sz w:val="32"/>
      <w:szCs w:val="32"/>
      <w:lang w:val="zh-CN"/>
    </w:rPr>
  </w:style>
  <w:style w:type="character" w:customStyle="1" w:styleId="126">
    <w:name w:val="表格文字 Char Char"/>
    <w:link w:val="125"/>
    <w:qFormat/>
    <w:uiPriority w:val="99"/>
    <w:rPr>
      <w:rFonts w:ascii="宋体" w:hAnsi="宋体"/>
      <w:bCs/>
      <w:spacing w:val="-4"/>
      <w:sz w:val="32"/>
      <w:szCs w:val="32"/>
      <w:lang w:val="zh-CN"/>
    </w:rPr>
  </w:style>
  <w:style w:type="paragraph" w:customStyle="1" w:styleId="127">
    <w:name w:val="表格文字2"/>
    <w:basedOn w:val="125"/>
    <w:qFormat/>
    <w:uiPriority w:val="99"/>
    <w:pPr>
      <w:jc w:val="both"/>
    </w:pPr>
  </w:style>
  <w:style w:type="character" w:customStyle="1" w:styleId="128">
    <w:name w:val="标准正文 Char"/>
    <w:qFormat/>
    <w:uiPriority w:val="0"/>
    <w:rPr>
      <w:kern w:val="2"/>
      <w:sz w:val="24"/>
      <w:szCs w:val="24"/>
    </w:rPr>
  </w:style>
  <w:style w:type="paragraph" w:customStyle="1" w:styleId="129">
    <w:name w:val="标题2"/>
    <w:basedOn w:val="1"/>
    <w:link w:val="130"/>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30">
    <w:name w:val="标题2 Char Char"/>
    <w:link w:val="129"/>
    <w:qFormat/>
    <w:uiPriority w:val="0"/>
    <w:rPr>
      <w:rFonts w:ascii="宋体"/>
      <w:b/>
      <w:sz w:val="24"/>
    </w:rPr>
  </w:style>
  <w:style w:type="paragraph" w:customStyle="1" w:styleId="131">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32">
    <w:name w:val="font01"/>
    <w:basedOn w:val="40"/>
    <w:qFormat/>
    <w:uiPriority w:val="0"/>
    <w:rPr>
      <w:rFonts w:hint="eastAsia" w:ascii="宋体" w:hAnsi="宋体" w:eastAsia="宋体" w:cs="宋体"/>
      <w:b/>
      <w:color w:val="333333"/>
      <w:sz w:val="24"/>
      <w:szCs w:val="24"/>
      <w:u w:val="none"/>
    </w:rPr>
  </w:style>
  <w:style w:type="paragraph" w:customStyle="1" w:styleId="13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4">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5">
    <w:name w:val="标题 6 字符"/>
    <w:basedOn w:val="40"/>
    <w:link w:val="8"/>
    <w:semiHidden/>
    <w:qFormat/>
    <w:uiPriority w:val="9"/>
    <w:rPr>
      <w:rFonts w:ascii="Arial" w:hAnsi="Arial" w:eastAsia="黑体" w:cstheme="minorBidi"/>
      <w:b/>
      <w:kern w:val="2"/>
      <w:sz w:val="24"/>
      <w:szCs w:val="22"/>
    </w:rPr>
  </w:style>
  <w:style w:type="character" w:customStyle="1" w:styleId="136">
    <w:name w:val="标题 7 字符"/>
    <w:basedOn w:val="40"/>
    <w:link w:val="9"/>
    <w:semiHidden/>
    <w:qFormat/>
    <w:uiPriority w:val="9"/>
    <w:rPr>
      <w:rFonts w:asciiTheme="minorHAnsi" w:hAnsiTheme="minorHAnsi" w:eastAsiaTheme="minorEastAsia" w:cstheme="minorBidi"/>
      <w:b/>
      <w:kern w:val="2"/>
      <w:sz w:val="24"/>
      <w:szCs w:val="22"/>
    </w:rPr>
  </w:style>
  <w:style w:type="character" w:customStyle="1" w:styleId="137">
    <w:name w:val="标题 8 字符"/>
    <w:basedOn w:val="40"/>
    <w:link w:val="10"/>
    <w:semiHidden/>
    <w:qFormat/>
    <w:uiPriority w:val="9"/>
    <w:rPr>
      <w:rFonts w:ascii="Arial" w:hAnsi="Arial" w:eastAsia="黑体" w:cstheme="minorBidi"/>
      <w:kern w:val="2"/>
      <w:sz w:val="24"/>
      <w:szCs w:val="22"/>
    </w:rPr>
  </w:style>
  <w:style w:type="character" w:customStyle="1" w:styleId="138">
    <w:name w:val="标题 9 字符"/>
    <w:basedOn w:val="40"/>
    <w:link w:val="11"/>
    <w:semiHidden/>
    <w:qFormat/>
    <w:uiPriority w:val="9"/>
    <w:rPr>
      <w:rFonts w:ascii="Arial" w:hAnsi="Arial" w:eastAsia="黑体" w:cstheme="minorBidi"/>
      <w:kern w:val="2"/>
      <w:sz w:val="21"/>
      <w:szCs w:val="22"/>
    </w:rPr>
  </w:style>
  <w:style w:type="paragraph" w:customStyle="1" w:styleId="13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0">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1">
    <w:name w:val="索引 11"/>
    <w:basedOn w:val="1"/>
    <w:next w:val="1"/>
    <w:qFormat/>
    <w:uiPriority w:val="99"/>
    <w:pPr>
      <w:spacing w:line="360" w:lineRule="auto"/>
    </w:pPr>
    <w:rPr>
      <w:rFonts w:ascii="仿宋_GB2312" w:eastAsia="仿宋_GB2312"/>
      <w:sz w:val="24"/>
    </w:rPr>
  </w:style>
  <w:style w:type="paragraph" w:customStyle="1" w:styleId="142">
    <w:name w:val="纯文本1"/>
    <w:basedOn w:val="1"/>
    <w:qFormat/>
    <w:uiPriority w:val="0"/>
    <w:rPr>
      <w:rFonts w:ascii="宋体" w:hAnsi="Courier New"/>
      <w:kern w:val="0"/>
      <w:sz w:val="20"/>
    </w:rPr>
  </w:style>
  <w:style w:type="paragraph" w:customStyle="1" w:styleId="143">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44">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145">
    <w:name w:val="3级标题"/>
    <w:qFormat/>
    <w:uiPriority w:val="0"/>
    <w:pPr>
      <w:widowControl w:val="0"/>
      <w:snapToGrid w:val="0"/>
      <w:spacing w:before="60" w:after="60" w:line="400" w:lineRule="exact"/>
      <w:jc w:val="both"/>
    </w:pPr>
    <w:rPr>
      <w:rFonts w:ascii="Arial" w:hAnsi="Arial" w:eastAsia="黑体" w:cs="Times New Roman"/>
      <w:b/>
      <w:spacing w:val="4"/>
      <w:kern w:val="2"/>
      <w:sz w:val="21"/>
      <w:szCs w:val="21"/>
      <w:lang w:val="en-US" w:eastAsia="zh-CN" w:bidi="ar-SA"/>
    </w:rPr>
  </w:style>
  <w:style w:type="paragraph" w:customStyle="1" w:styleId="146">
    <w:name w:val="列出段落1"/>
    <w:qFormat/>
    <w:uiPriority w:val="99"/>
    <w:pPr>
      <w:widowControl w:val="0"/>
      <w:ind w:firstLine="200" w:firstLineChars="200"/>
      <w:jc w:val="both"/>
    </w:pPr>
    <w:rPr>
      <w:rFonts w:ascii="Calibri" w:hAnsi="Calibri" w:eastAsia="宋体" w:cs="Arial"/>
      <w:kern w:val="2"/>
      <w:sz w:val="21"/>
      <w:szCs w:val="24"/>
      <w:lang w:val="en-US" w:eastAsia="zh-CN" w:bidi="ar-SA"/>
    </w:rPr>
  </w:style>
  <w:style w:type="paragraph" w:customStyle="1" w:styleId="147">
    <w:name w:val="正文格式"/>
    <w:qFormat/>
    <w:uiPriority w:val="0"/>
    <w:pPr>
      <w:widowControl w:val="0"/>
      <w:spacing w:line="360" w:lineRule="auto"/>
      <w:ind w:firstLine="200" w:firstLineChars="200"/>
      <w:jc w:val="both"/>
    </w:pPr>
    <w:rPr>
      <w:rFonts w:ascii="宋体" w:hAnsi="宋体" w:eastAsia="华文宋体" w:cs="Times New Roman"/>
      <w:sz w:val="21"/>
      <w:lang w:val="en-US" w:eastAsia="zh-CN" w:bidi="ar-SA"/>
    </w:rPr>
  </w:style>
  <w:style w:type="paragraph" w:customStyle="1" w:styleId="148">
    <w:name w:val="图注"/>
    <w:qFormat/>
    <w:uiPriority w:val="0"/>
    <w:pPr>
      <w:widowControl w:val="0"/>
      <w:spacing w:before="160" w:after="120"/>
      <w:ind w:firstLine="881" w:firstLineChars="200"/>
      <w:jc w:val="center"/>
    </w:pPr>
    <w:rPr>
      <w:rFonts w:ascii="Times New Roman" w:hAnsi="Times New Roman" w:eastAsia="宋体" w:cs="Times New Roman"/>
      <w:kern w:val="2"/>
      <w:sz w:val="21"/>
      <w:szCs w:val="18"/>
      <w:lang w:val="en-US" w:eastAsia="zh-CN" w:bidi="ar-SA"/>
    </w:rPr>
  </w:style>
  <w:style w:type="character" w:customStyle="1" w:styleId="149">
    <w:name w:val="font101"/>
    <w:qFormat/>
    <w:uiPriority w:val="0"/>
    <w:rPr>
      <w:rFonts w:hint="eastAsia" w:ascii="宋体" w:hAnsi="宋体" w:eastAsia="宋体" w:cs="宋体"/>
      <w:color w:val="auto"/>
      <w:sz w:val="16"/>
      <w:szCs w:val="16"/>
      <w:u w:val="none"/>
    </w:rPr>
  </w:style>
  <w:style w:type="paragraph" w:customStyle="1" w:styleId="150">
    <w:name w:val="Table Paragraph"/>
    <w:basedOn w:val="1"/>
    <w:qFormat/>
    <w:uiPriority w:val="1"/>
    <w:rPr>
      <w:rFonts w:ascii="宋体" w:hAnsi="宋体" w:cs="宋体"/>
      <w:lang w:val="zh-CN" w:bidi="zh-CN"/>
    </w:rPr>
  </w:style>
  <w:style w:type="paragraph" w:customStyle="1" w:styleId="151">
    <w:name w:val="无间隔1"/>
    <w:qFormat/>
    <w:uiPriority w:val="0"/>
    <w:rPr>
      <w:rFonts w:ascii="Calibri" w:hAnsi="Calibri" w:eastAsia="宋体" w:cs="Times New Roman"/>
      <w:sz w:val="22"/>
      <w:szCs w:val="22"/>
      <w:lang w:val="en-US" w:eastAsia="en-US" w:bidi="ar-SA"/>
    </w:rPr>
  </w:style>
  <w:style w:type="paragraph" w:customStyle="1" w:styleId="152">
    <w:name w:val="正文空2格  1."/>
    <w:qFormat/>
    <w:uiPriority w:val="0"/>
    <w:pPr>
      <w:widowControl w:val="0"/>
      <w:adjustRightInd w:val="0"/>
      <w:spacing w:line="360" w:lineRule="auto"/>
      <w:ind w:firstLine="480" w:firstLineChars="200"/>
      <w:jc w:val="both"/>
      <w:textAlignment w:val="baseline"/>
    </w:pPr>
    <w:rPr>
      <w:rFonts w:ascii="宋体" w:hAnsi="Times New Roman" w:eastAsia="仿宋" w:cs="宋体"/>
      <w:sz w:val="28"/>
      <w:lang w:val="en-US" w:eastAsia="zh-CN" w:bidi="ar-SA"/>
    </w:rPr>
  </w:style>
  <w:style w:type="character" w:customStyle="1" w:styleId="153">
    <w:name w:val="标题 字符"/>
    <w:basedOn w:val="40"/>
    <w:link w:val="34"/>
    <w:qFormat/>
    <w:uiPriority w:val="10"/>
    <w:rPr>
      <w:rFonts w:ascii="Cambria" w:hAnsi="Cambria"/>
      <w:b/>
      <w:bCs/>
      <w:kern w:val="2"/>
      <w:sz w:val="32"/>
      <w:szCs w:val="32"/>
    </w:rPr>
  </w:style>
  <w:style w:type="paragraph" w:customStyle="1" w:styleId="15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6">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5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9">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0">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61">
    <w:name w:val="font11"/>
    <w:basedOn w:val="1"/>
    <w:qFormat/>
    <w:uiPriority w:val="0"/>
    <w:pPr>
      <w:widowControl/>
      <w:spacing w:before="100" w:beforeAutospacing="1" w:after="100" w:afterAutospacing="1"/>
      <w:jc w:val="left"/>
    </w:pPr>
    <w:rPr>
      <w:rFonts w:ascii="Symbol" w:hAnsi="Symbol" w:cs="宋体"/>
      <w:color w:val="000000"/>
      <w:kern w:val="0"/>
      <w:sz w:val="20"/>
    </w:rPr>
  </w:style>
  <w:style w:type="paragraph" w:customStyle="1" w:styleId="16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16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71">
    <w:name w:val="xl86"/>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17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7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8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8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8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18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8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8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8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8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rPr>
  </w:style>
  <w:style w:type="paragraph" w:customStyle="1" w:styleId="189">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9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rPr>
  </w:style>
  <w:style w:type="paragraph" w:customStyle="1" w:styleId="1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9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9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19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9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0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20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06">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0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0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10">
    <w:name w:val="xl125"/>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211">
    <w:name w:val="xl12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212">
    <w:name w:val="_Style 7"/>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71AD9B-8F0C-4B94-A58F-B363E6062048}">
  <ds:schemaRefs/>
</ds:datastoreItem>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73</Pages>
  <Words>15150</Words>
  <Characters>16590</Characters>
  <Lines>911</Lines>
  <Paragraphs>256</Paragraphs>
  <TotalTime>133</TotalTime>
  <ScaleCrop>false</ScaleCrop>
  <LinksUpToDate>false</LinksUpToDate>
  <CharactersWithSpaces>16847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2021-07-07T08:41:00Z</dcterms:created>
  <dc:creator>vivian</dc:creator>
  <cp:lastModifiedBy>邱晔</cp:lastModifiedBy>
  <cp:lastPrinted>2024-01-15T01:49:00Z</cp:lastPrinted>
  <dcterms:modified xsi:type="dcterms:W3CDTF">2025-07-10T07:49:31Z</dcterms:modified>
  <dc:title>政 府 采 购 招 标 项 目</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FC284BB861F24A1484CFB214AD9F7115_13</vt:lpwstr>
  </property>
  <property fmtid="{D5CDD505-2E9C-101B-9397-08002B2CF9AE}" pid="4" name="KSOTemplateDocerSaveRecord">
    <vt:lpwstr>eyJoZGlkIjoiMDlkZThkODgxOGQ2YTNlMmM5ZWZjNGVmNjIyNWZiNDciLCJ1c2VySWQiOiIyMjc4NjU4MzUifQ==</vt:lpwstr>
  </property>
</Properties>
</file>