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7BF6">
      <w:pPr>
        <w:pStyle w:val="77"/>
        <w:spacing w:line="276" w:lineRule="auto"/>
        <w:ind w:left="840" w:firstLine="0" w:firstLineChars="0"/>
        <w:rPr>
          <w:rFonts w:ascii="宋体"/>
          <w:color w:val="auto"/>
          <w:sz w:val="22"/>
          <w:szCs w:val="22"/>
          <w:highlight w:val="none"/>
        </w:rPr>
      </w:pPr>
    </w:p>
    <w:p w14:paraId="35076CC9">
      <w:pPr>
        <w:spacing w:line="276" w:lineRule="auto"/>
        <w:rPr>
          <w:rFonts w:ascii="宋体"/>
          <w:color w:val="auto"/>
          <w:szCs w:val="21"/>
          <w:highlight w:val="none"/>
        </w:rPr>
      </w:pPr>
    </w:p>
    <w:p w14:paraId="16536628">
      <w:pPr>
        <w:spacing w:line="276" w:lineRule="auto"/>
        <w:rPr>
          <w:rFonts w:ascii="宋体"/>
          <w:color w:val="auto"/>
          <w:szCs w:val="21"/>
          <w:highlight w:val="none"/>
        </w:rPr>
      </w:pPr>
    </w:p>
    <w:p w14:paraId="12192DBC">
      <w:pPr>
        <w:spacing w:before="100" w:beforeAutospacing="1" w:after="100" w:afterAutospacing="1" w:line="276" w:lineRule="auto"/>
        <w:jc w:val="center"/>
        <w:rPr>
          <w:rFonts w:hint="eastAsia" w:ascii="宋体" w:hAnsi="宋体" w:cs="宋体"/>
          <w:b/>
          <w:color w:val="auto"/>
          <w:sz w:val="40"/>
          <w:szCs w:val="40"/>
          <w:highlight w:val="none"/>
          <w:lang w:eastAsia="zh-CN"/>
        </w:rPr>
      </w:pPr>
      <w:r>
        <w:rPr>
          <w:rFonts w:hint="eastAsia" w:ascii="宋体" w:hAnsi="宋体" w:cs="宋体"/>
          <w:b/>
          <w:color w:val="auto"/>
          <w:sz w:val="40"/>
          <w:szCs w:val="40"/>
          <w:highlight w:val="none"/>
          <w:lang w:eastAsia="zh-CN"/>
        </w:rPr>
        <w:t>宁波高新区求精书院智慧图书阅读空间采购项目</w:t>
      </w:r>
    </w:p>
    <w:p w14:paraId="32D1319D">
      <w:pPr>
        <w:spacing w:line="276" w:lineRule="auto"/>
        <w:jc w:val="center"/>
        <w:rPr>
          <w:rFonts w:ascii="宋体"/>
          <w:b/>
          <w:bCs/>
          <w:color w:val="auto"/>
          <w:sz w:val="48"/>
          <w:szCs w:val="48"/>
          <w:highlight w:val="none"/>
        </w:rPr>
      </w:pPr>
    </w:p>
    <w:p w14:paraId="6D2FDB7B">
      <w:pPr>
        <w:spacing w:line="276" w:lineRule="auto"/>
        <w:jc w:val="center"/>
        <w:rPr>
          <w:rFonts w:ascii="宋体"/>
          <w:b/>
          <w:bCs/>
          <w:color w:val="auto"/>
          <w:sz w:val="44"/>
          <w:szCs w:val="44"/>
          <w:highlight w:val="none"/>
        </w:rPr>
      </w:pPr>
    </w:p>
    <w:p w14:paraId="71B20AB3">
      <w:pPr>
        <w:spacing w:line="276" w:lineRule="auto"/>
        <w:jc w:val="center"/>
        <w:rPr>
          <w:rFonts w:ascii="宋体"/>
          <w:b/>
          <w:bCs/>
          <w:color w:val="auto"/>
          <w:sz w:val="44"/>
          <w:szCs w:val="44"/>
          <w:highlight w:val="none"/>
          <w:shd w:val="clear" w:color="FFFFFF" w:fill="D9D9D9"/>
        </w:rPr>
      </w:pPr>
    </w:p>
    <w:p w14:paraId="3632E616">
      <w:pPr>
        <w:spacing w:line="276" w:lineRule="auto"/>
        <w:jc w:val="center"/>
        <w:rPr>
          <w:rFonts w:ascii="宋体"/>
          <w:b/>
          <w:color w:val="auto"/>
          <w:sz w:val="72"/>
          <w:szCs w:val="72"/>
          <w:highlight w:val="none"/>
        </w:rPr>
      </w:pPr>
      <w:r>
        <w:rPr>
          <w:rFonts w:hint="eastAsia" w:ascii="宋体"/>
          <w:b/>
          <w:bCs/>
          <w:color w:val="auto"/>
          <w:sz w:val="72"/>
          <w:szCs w:val="72"/>
          <w:highlight w:val="none"/>
        </w:rPr>
        <w:t>政府采购招标文件</w:t>
      </w:r>
      <w:r>
        <w:rPr>
          <w:rFonts w:hint="eastAsia" w:ascii="宋体"/>
          <w:b/>
          <w:bCs/>
          <w:color w:val="auto"/>
          <w:sz w:val="72"/>
          <w:szCs w:val="72"/>
          <w:highlight w:val="none"/>
        </w:rPr>
        <w:tab/>
      </w:r>
    </w:p>
    <w:p w14:paraId="5A863707">
      <w:pPr>
        <w:spacing w:line="276" w:lineRule="auto"/>
        <w:ind w:firstLine="600"/>
        <w:jc w:val="both"/>
        <w:rPr>
          <w:rFonts w:ascii="宋体"/>
          <w:b/>
          <w:bCs/>
          <w:color w:val="auto"/>
          <w:sz w:val="30"/>
          <w:highlight w:val="none"/>
        </w:rPr>
      </w:pPr>
    </w:p>
    <w:p w14:paraId="0F735117">
      <w:pPr>
        <w:spacing w:line="276" w:lineRule="auto"/>
        <w:ind w:firstLine="600"/>
        <w:jc w:val="both"/>
        <w:rPr>
          <w:rFonts w:ascii="宋体"/>
          <w:b/>
          <w:bCs/>
          <w:color w:val="auto"/>
          <w:sz w:val="30"/>
          <w:highlight w:val="none"/>
        </w:rPr>
      </w:pPr>
    </w:p>
    <w:p w14:paraId="22F81074">
      <w:pPr>
        <w:spacing w:line="276" w:lineRule="auto"/>
        <w:ind w:firstLine="2397" w:firstLineChars="796"/>
        <w:rPr>
          <w:rFonts w:hint="eastAsia" w:ascii="宋体" w:eastAsia="宋体"/>
          <w:b/>
          <w:bCs/>
          <w:color w:val="auto"/>
          <w:sz w:val="30"/>
          <w:highlight w:val="none"/>
          <w:u w:val="single"/>
          <w:lang w:eastAsia="zh-CN"/>
        </w:rPr>
      </w:pPr>
      <w:r>
        <w:rPr>
          <w:rFonts w:hint="eastAsia" w:ascii="宋体"/>
          <w:b/>
          <w:bCs/>
          <w:color w:val="auto"/>
          <w:sz w:val="30"/>
          <w:highlight w:val="none"/>
        </w:rPr>
        <w:t>招标编号：</w:t>
      </w:r>
      <w:r>
        <w:rPr>
          <w:rFonts w:hint="eastAsia" w:ascii="宋体"/>
          <w:b/>
          <w:bCs/>
          <w:color w:val="auto"/>
          <w:sz w:val="30"/>
          <w:highlight w:val="none"/>
          <w:u w:val="single"/>
          <w:lang w:eastAsia="zh-CN"/>
        </w:rPr>
        <w:t>NBITC-202530768G</w:t>
      </w:r>
    </w:p>
    <w:p w14:paraId="5A4735E7">
      <w:pPr>
        <w:spacing w:line="276" w:lineRule="auto"/>
        <w:ind w:firstLine="600"/>
        <w:rPr>
          <w:rFonts w:ascii="宋体"/>
          <w:color w:val="auto"/>
          <w:highlight w:val="none"/>
        </w:rPr>
      </w:pPr>
    </w:p>
    <w:p w14:paraId="1944D970">
      <w:pPr>
        <w:spacing w:line="276" w:lineRule="auto"/>
        <w:ind w:firstLine="600"/>
        <w:rPr>
          <w:rFonts w:ascii="宋体"/>
          <w:color w:val="auto"/>
          <w:highlight w:val="none"/>
        </w:rPr>
      </w:pPr>
    </w:p>
    <w:p w14:paraId="16EA7C44">
      <w:pPr>
        <w:spacing w:line="276" w:lineRule="auto"/>
        <w:ind w:firstLine="600"/>
        <w:rPr>
          <w:rFonts w:ascii="宋体"/>
          <w:color w:val="auto"/>
          <w:highlight w:val="none"/>
        </w:rPr>
      </w:pPr>
    </w:p>
    <w:p w14:paraId="2CAB501B">
      <w:pPr>
        <w:spacing w:line="276" w:lineRule="auto"/>
        <w:ind w:firstLine="600"/>
        <w:rPr>
          <w:rFonts w:ascii="宋体"/>
          <w:color w:val="auto"/>
          <w:highlight w:val="none"/>
        </w:rPr>
      </w:pPr>
    </w:p>
    <w:p w14:paraId="1DAFFDDB">
      <w:pPr>
        <w:pStyle w:val="49"/>
        <w:numPr>
          <w:ilvl w:val="0"/>
          <w:numId w:val="0"/>
        </w:numPr>
        <w:ind w:left="2100"/>
        <w:rPr>
          <w:color w:val="auto"/>
          <w:highlight w:val="none"/>
        </w:rPr>
      </w:pPr>
    </w:p>
    <w:p w14:paraId="5D286D68">
      <w:pPr>
        <w:rPr>
          <w:color w:val="auto"/>
          <w:highlight w:val="none"/>
        </w:rPr>
      </w:pPr>
    </w:p>
    <w:p w14:paraId="31308069">
      <w:pPr>
        <w:spacing w:line="276" w:lineRule="auto"/>
        <w:ind w:firstLine="600"/>
        <w:rPr>
          <w:rFonts w:hint="eastAsia" w:ascii="宋体" w:eastAsia="宋体"/>
          <w:b/>
          <w:bCs/>
          <w:color w:val="auto"/>
          <w:sz w:val="30"/>
          <w:highlight w:val="none"/>
          <w:lang w:eastAsia="zh-CN"/>
        </w:rPr>
      </w:pPr>
      <w:r>
        <w:rPr>
          <w:rFonts w:hint="eastAsia" w:ascii="宋体"/>
          <w:b/>
          <w:bCs/>
          <w:color w:val="auto"/>
          <w:sz w:val="30"/>
          <w:highlight w:val="none"/>
        </w:rPr>
        <w:t>招标人：</w:t>
      </w:r>
      <w:r>
        <w:rPr>
          <w:rFonts w:hint="eastAsia" w:ascii="宋体"/>
          <w:b/>
          <w:bCs/>
          <w:color w:val="auto"/>
          <w:sz w:val="30"/>
          <w:highlight w:val="none"/>
          <w:lang w:eastAsia="zh-CN"/>
        </w:rPr>
        <w:t>宁波高新区求精书院</w:t>
      </w:r>
    </w:p>
    <w:p w14:paraId="2970DC9D">
      <w:pPr>
        <w:spacing w:line="276" w:lineRule="auto"/>
        <w:ind w:firstLine="600"/>
        <w:rPr>
          <w:rFonts w:ascii="宋体"/>
          <w:b/>
          <w:bCs/>
          <w:color w:val="auto"/>
          <w:sz w:val="30"/>
          <w:highlight w:val="none"/>
        </w:rPr>
      </w:pPr>
    </w:p>
    <w:p w14:paraId="76D92E5A">
      <w:pPr>
        <w:spacing w:line="276" w:lineRule="auto"/>
        <w:ind w:firstLine="602" w:firstLineChars="200"/>
        <w:rPr>
          <w:rFonts w:ascii="宋体"/>
          <w:b/>
          <w:bCs/>
          <w:color w:val="auto"/>
          <w:sz w:val="30"/>
          <w:highlight w:val="none"/>
        </w:rPr>
      </w:pPr>
      <w:r>
        <w:rPr>
          <w:rFonts w:hint="eastAsia" w:ascii="宋体"/>
          <w:b/>
          <w:bCs/>
          <w:color w:val="auto"/>
          <w:sz w:val="30"/>
          <w:highlight w:val="none"/>
        </w:rPr>
        <w:t>招标代理机构：宁波市国际招标有限公司</w:t>
      </w:r>
    </w:p>
    <w:p w14:paraId="4FDD6272">
      <w:pPr>
        <w:spacing w:line="276" w:lineRule="auto"/>
        <w:rPr>
          <w:rFonts w:ascii="宋体"/>
          <w:b/>
          <w:bCs/>
          <w:color w:val="auto"/>
          <w:sz w:val="30"/>
          <w:highlight w:val="none"/>
        </w:rPr>
      </w:pPr>
    </w:p>
    <w:p w14:paraId="0D5D50B1">
      <w:pPr>
        <w:spacing w:line="276" w:lineRule="auto"/>
        <w:ind w:firstLine="596" w:firstLineChars="198"/>
        <w:rPr>
          <w:rFonts w:ascii="方正小标宋_GBK" w:eastAsia="方正小标宋_GBK"/>
          <w:color w:val="auto"/>
          <w:sz w:val="36"/>
          <w:szCs w:val="36"/>
          <w:highlight w:val="none"/>
        </w:rPr>
      </w:pPr>
      <w:r>
        <w:rPr>
          <w:rFonts w:hint="eastAsia" w:ascii="宋体"/>
          <w:b/>
          <w:bCs/>
          <w:color w:val="auto"/>
          <w:sz w:val="30"/>
          <w:highlight w:val="none"/>
        </w:rPr>
        <w:t>编制日期：</w:t>
      </w:r>
      <w:r>
        <w:rPr>
          <w:rFonts w:hint="eastAsia" w:ascii="宋体"/>
          <w:b/>
          <w:bCs/>
          <w:color w:val="auto"/>
          <w:sz w:val="30"/>
          <w:highlight w:val="none"/>
          <w:lang w:eastAsia="zh-CN"/>
        </w:rPr>
        <w:t>2025年</w:t>
      </w:r>
      <w:r>
        <w:rPr>
          <w:rFonts w:hint="eastAsia" w:ascii="宋体"/>
          <w:b/>
          <w:bCs/>
          <w:color w:val="auto"/>
          <w:sz w:val="30"/>
          <w:highlight w:val="none"/>
          <w:lang w:val="en-US" w:eastAsia="zh-CN"/>
        </w:rPr>
        <w:t>7</w:t>
      </w:r>
      <w:r>
        <w:rPr>
          <w:rFonts w:hint="eastAsia" w:ascii="宋体"/>
          <w:b/>
          <w:bCs/>
          <w:color w:val="auto"/>
          <w:sz w:val="30"/>
          <w:highlight w:val="none"/>
        </w:rPr>
        <w:t>月</w:t>
      </w:r>
    </w:p>
    <w:p w14:paraId="29377641">
      <w:pPr>
        <w:spacing w:line="276" w:lineRule="auto"/>
        <w:jc w:val="center"/>
        <w:rPr>
          <w:rFonts w:ascii="宋体"/>
          <w:color w:val="auto"/>
          <w:sz w:val="30"/>
          <w:highlight w:val="none"/>
        </w:rPr>
      </w:pPr>
      <w:bookmarkStart w:id="0" w:name="_Toc241827234"/>
      <w:bookmarkStart w:id="1" w:name="_Toc241827233"/>
      <w:bookmarkStart w:id="2" w:name="_Toc86202580"/>
    </w:p>
    <w:p w14:paraId="441B6401">
      <w:pPr>
        <w:spacing w:line="276" w:lineRule="auto"/>
        <w:jc w:val="center"/>
        <w:rPr>
          <w:rFonts w:ascii="宋体"/>
          <w:color w:val="auto"/>
          <w:sz w:val="30"/>
          <w:highlight w:val="none"/>
        </w:rPr>
      </w:pPr>
    </w:p>
    <w:p w14:paraId="0F37BF57">
      <w:pPr>
        <w:spacing w:line="276" w:lineRule="auto"/>
        <w:jc w:val="center"/>
        <w:rPr>
          <w:b/>
          <w:color w:val="auto"/>
          <w:highlight w:val="none"/>
        </w:rPr>
      </w:pPr>
    </w:p>
    <w:p w14:paraId="541A3D71">
      <w:pPr>
        <w:spacing w:line="276" w:lineRule="auto"/>
        <w:jc w:val="center"/>
        <w:rPr>
          <w:b/>
          <w:color w:val="auto"/>
          <w:highlight w:val="none"/>
        </w:rPr>
      </w:pPr>
      <w:r>
        <w:rPr>
          <w:b/>
          <w:color w:val="auto"/>
          <w:highlight w:val="none"/>
        </w:rPr>
        <w:br w:type="page"/>
      </w:r>
    </w:p>
    <w:p w14:paraId="55C806B9">
      <w:pPr>
        <w:spacing w:line="276" w:lineRule="auto"/>
        <w:jc w:val="center"/>
        <w:rPr>
          <w:b/>
          <w:color w:val="auto"/>
          <w:highlight w:val="none"/>
        </w:rPr>
      </w:pPr>
    </w:p>
    <w:p w14:paraId="67219542">
      <w:pPr>
        <w:spacing w:line="276" w:lineRule="auto"/>
        <w:jc w:val="center"/>
        <w:rPr>
          <w:b/>
          <w:color w:val="auto"/>
          <w:sz w:val="44"/>
          <w:szCs w:val="44"/>
          <w:highlight w:val="none"/>
        </w:rPr>
      </w:pPr>
    </w:p>
    <w:p w14:paraId="0C8CFE09">
      <w:pPr>
        <w:spacing w:line="276" w:lineRule="auto"/>
        <w:jc w:val="center"/>
        <w:rPr>
          <w:b/>
          <w:color w:val="auto"/>
          <w:sz w:val="44"/>
          <w:szCs w:val="44"/>
          <w:highlight w:val="none"/>
        </w:rPr>
      </w:pPr>
      <w:r>
        <w:rPr>
          <w:rFonts w:hint="eastAsia"/>
          <w:b/>
          <w:color w:val="auto"/>
          <w:sz w:val="44"/>
          <w:szCs w:val="44"/>
          <w:highlight w:val="none"/>
        </w:rPr>
        <w:t>目    录</w:t>
      </w:r>
    </w:p>
    <w:p w14:paraId="4820EE4C">
      <w:pPr>
        <w:pStyle w:val="17"/>
        <w:rPr>
          <w:color w:val="auto"/>
          <w:highlight w:val="none"/>
        </w:rPr>
      </w:pPr>
    </w:p>
    <w:p w14:paraId="507EDA77">
      <w:pPr>
        <w:pStyle w:val="34"/>
        <w:tabs>
          <w:tab w:val="right" w:leader="dot" w:pos="8900"/>
        </w:tabs>
        <w:rPr>
          <w:color w:val="auto"/>
          <w:sz w:val="30"/>
          <w:szCs w:val="30"/>
          <w:highlight w:val="none"/>
        </w:rPr>
      </w:pPr>
      <w:r>
        <w:rPr>
          <w:rFonts w:hint="eastAsia" w:ascii="宋体" w:hAnsi="宋体" w:cs="宋体"/>
          <w:color w:val="auto"/>
          <w:sz w:val="30"/>
          <w:szCs w:val="30"/>
          <w:highlight w:val="none"/>
        </w:rPr>
        <w:fldChar w:fldCharType="begin"/>
      </w:r>
      <w:r>
        <w:rPr>
          <w:rStyle w:val="46"/>
          <w:rFonts w:hint="eastAsia" w:ascii="宋体" w:hAnsi="宋体" w:cs="宋体"/>
          <w:color w:val="auto"/>
          <w:sz w:val="30"/>
          <w:szCs w:val="30"/>
          <w:highlight w:val="none"/>
        </w:rPr>
        <w:instrText xml:space="preserve"> TOC \o "1-2" \h \z \u </w:instrText>
      </w:r>
      <w:r>
        <w:rPr>
          <w:rFonts w:hint="eastAsia"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"_Toc27131" </w:instrText>
      </w:r>
      <w:r>
        <w:rPr>
          <w:color w:val="auto"/>
          <w:highlight w:val="none"/>
        </w:rPr>
        <w:fldChar w:fldCharType="separate"/>
      </w:r>
      <w:r>
        <w:rPr>
          <w:rFonts w:hint="eastAsia"/>
          <w:color w:val="auto"/>
          <w:sz w:val="30"/>
          <w:szCs w:val="30"/>
          <w:highlight w:val="none"/>
        </w:rPr>
        <w:t>第一章  采购公告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_Toc27131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color w:val="auto"/>
          <w:sz w:val="30"/>
          <w:szCs w:val="30"/>
          <w:highlight w:val="none"/>
        </w:rPr>
        <w:fldChar w:fldCharType="end"/>
      </w:r>
    </w:p>
    <w:p w14:paraId="54797AFE">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"_Toc13272" </w:instrText>
      </w:r>
      <w:r>
        <w:rPr>
          <w:color w:val="auto"/>
          <w:highlight w:val="none"/>
        </w:rPr>
        <w:fldChar w:fldCharType="separate"/>
      </w:r>
      <w:r>
        <w:rPr>
          <w:rFonts w:hint="eastAsia"/>
          <w:color w:val="auto"/>
          <w:sz w:val="30"/>
          <w:szCs w:val="30"/>
          <w:highlight w:val="none"/>
        </w:rPr>
        <w:t>第二章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_Toc13272 \h </w:instrText>
      </w:r>
      <w:r>
        <w:rPr>
          <w:color w:val="auto"/>
          <w:sz w:val="30"/>
          <w:szCs w:val="30"/>
          <w:highlight w:val="none"/>
        </w:rPr>
        <w:fldChar w:fldCharType="separate"/>
      </w:r>
      <w:r>
        <w:rPr>
          <w:color w:val="auto"/>
          <w:sz w:val="30"/>
          <w:szCs w:val="30"/>
          <w:highlight w:val="none"/>
        </w:rPr>
        <w:t>5</w:t>
      </w:r>
      <w:r>
        <w:rPr>
          <w:color w:val="auto"/>
          <w:sz w:val="30"/>
          <w:szCs w:val="30"/>
          <w:highlight w:val="none"/>
        </w:rPr>
        <w:fldChar w:fldCharType="end"/>
      </w:r>
      <w:r>
        <w:rPr>
          <w:color w:val="auto"/>
          <w:sz w:val="30"/>
          <w:szCs w:val="30"/>
          <w:highlight w:val="none"/>
        </w:rPr>
        <w:fldChar w:fldCharType="end"/>
      </w:r>
    </w:p>
    <w:p w14:paraId="5CA46584">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"_Toc21453" </w:instrText>
      </w:r>
      <w:r>
        <w:rPr>
          <w:color w:val="auto"/>
          <w:highlight w:val="none"/>
        </w:rPr>
        <w:fldChar w:fldCharType="separate"/>
      </w:r>
      <w:r>
        <w:rPr>
          <w:rFonts w:hint="eastAsia"/>
          <w:color w:val="auto"/>
          <w:sz w:val="30"/>
          <w:szCs w:val="30"/>
          <w:highlight w:val="none"/>
        </w:rPr>
        <w:t>第三章  合同主要条款</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_Toc21453 \h </w:instrText>
      </w:r>
      <w:r>
        <w:rPr>
          <w:color w:val="auto"/>
          <w:sz w:val="30"/>
          <w:szCs w:val="30"/>
          <w:highlight w:val="none"/>
        </w:rPr>
        <w:fldChar w:fldCharType="separate"/>
      </w:r>
      <w:r>
        <w:rPr>
          <w:color w:val="auto"/>
          <w:sz w:val="30"/>
          <w:szCs w:val="30"/>
          <w:highlight w:val="none"/>
        </w:rPr>
        <w:t>19</w:t>
      </w:r>
      <w:r>
        <w:rPr>
          <w:color w:val="auto"/>
          <w:sz w:val="30"/>
          <w:szCs w:val="30"/>
          <w:highlight w:val="none"/>
        </w:rPr>
        <w:fldChar w:fldCharType="end"/>
      </w:r>
      <w:r>
        <w:rPr>
          <w:color w:val="auto"/>
          <w:sz w:val="30"/>
          <w:szCs w:val="30"/>
          <w:highlight w:val="none"/>
        </w:rPr>
        <w:fldChar w:fldCharType="end"/>
      </w:r>
    </w:p>
    <w:p w14:paraId="0FE8E0A4">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"_Toc8213" </w:instrText>
      </w:r>
      <w:r>
        <w:rPr>
          <w:color w:val="auto"/>
          <w:highlight w:val="none"/>
        </w:rPr>
        <w:fldChar w:fldCharType="separate"/>
      </w:r>
      <w:r>
        <w:rPr>
          <w:rFonts w:hint="eastAsia"/>
          <w:color w:val="auto"/>
          <w:sz w:val="30"/>
          <w:szCs w:val="30"/>
          <w:highlight w:val="none"/>
        </w:rPr>
        <w:t>第四章  招标内容及技术需求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_Toc8213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color w:val="auto"/>
          <w:sz w:val="30"/>
          <w:szCs w:val="30"/>
          <w:highlight w:val="none"/>
        </w:rPr>
        <w:fldChar w:fldCharType="end"/>
      </w:r>
    </w:p>
    <w:p w14:paraId="527D3DF4">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"_Toc19511" </w:instrText>
      </w:r>
      <w:r>
        <w:rPr>
          <w:color w:val="auto"/>
          <w:highlight w:val="none"/>
        </w:rPr>
        <w:fldChar w:fldCharType="separate"/>
      </w:r>
      <w:r>
        <w:rPr>
          <w:rFonts w:hint="eastAsia"/>
          <w:color w:val="auto"/>
          <w:sz w:val="30"/>
          <w:szCs w:val="30"/>
          <w:highlight w:val="none"/>
        </w:rPr>
        <w:t>第五章  评标办法及标准</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_Toc19511 \h </w:instrText>
      </w:r>
      <w:r>
        <w:rPr>
          <w:color w:val="auto"/>
          <w:sz w:val="30"/>
          <w:szCs w:val="30"/>
          <w:highlight w:val="none"/>
        </w:rPr>
        <w:fldChar w:fldCharType="separate"/>
      </w:r>
      <w:r>
        <w:rPr>
          <w:color w:val="auto"/>
          <w:sz w:val="30"/>
          <w:szCs w:val="30"/>
          <w:highlight w:val="none"/>
        </w:rPr>
        <w:t>31</w:t>
      </w:r>
      <w:r>
        <w:rPr>
          <w:color w:val="auto"/>
          <w:sz w:val="30"/>
          <w:szCs w:val="30"/>
          <w:highlight w:val="none"/>
        </w:rPr>
        <w:fldChar w:fldCharType="end"/>
      </w:r>
      <w:r>
        <w:rPr>
          <w:color w:val="auto"/>
          <w:sz w:val="30"/>
          <w:szCs w:val="30"/>
          <w:highlight w:val="none"/>
        </w:rPr>
        <w:fldChar w:fldCharType="end"/>
      </w:r>
    </w:p>
    <w:p w14:paraId="7A9FB6E1">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"_Toc32656" </w:instrText>
      </w:r>
      <w:r>
        <w:rPr>
          <w:color w:val="auto"/>
          <w:highlight w:val="none"/>
        </w:rPr>
        <w:fldChar w:fldCharType="separate"/>
      </w:r>
      <w:r>
        <w:rPr>
          <w:rFonts w:hint="eastAsia"/>
          <w:color w:val="auto"/>
          <w:sz w:val="30"/>
          <w:szCs w:val="30"/>
          <w:highlight w:val="none"/>
        </w:rPr>
        <w:t>第六章  投标文件格式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_Toc32656 \h </w:instrText>
      </w:r>
      <w:r>
        <w:rPr>
          <w:color w:val="auto"/>
          <w:sz w:val="30"/>
          <w:szCs w:val="30"/>
          <w:highlight w:val="none"/>
        </w:rPr>
        <w:fldChar w:fldCharType="separate"/>
      </w:r>
      <w:r>
        <w:rPr>
          <w:color w:val="auto"/>
          <w:sz w:val="30"/>
          <w:szCs w:val="30"/>
          <w:highlight w:val="none"/>
        </w:rPr>
        <w:t>42</w:t>
      </w:r>
      <w:r>
        <w:rPr>
          <w:color w:val="auto"/>
          <w:sz w:val="30"/>
          <w:szCs w:val="30"/>
          <w:highlight w:val="none"/>
        </w:rPr>
        <w:fldChar w:fldCharType="end"/>
      </w:r>
      <w:r>
        <w:rPr>
          <w:color w:val="auto"/>
          <w:sz w:val="30"/>
          <w:szCs w:val="30"/>
          <w:highlight w:val="none"/>
        </w:rPr>
        <w:fldChar w:fldCharType="end"/>
      </w:r>
    </w:p>
    <w:p w14:paraId="01B1EB8D">
      <w:pPr>
        <w:pStyle w:val="31"/>
        <w:tabs>
          <w:tab w:val="right" w:leader="dot" w:pos="8890"/>
        </w:tabs>
        <w:spacing w:line="480" w:lineRule="auto"/>
        <w:jc w:val="both"/>
        <w:rPr>
          <w:rFonts w:ascii="宋体" w:hAnsi="宋体" w:cs="宋体"/>
          <w:color w:val="auto"/>
          <w:highlight w:val="none"/>
        </w:rPr>
        <w:sectPr>
          <w:headerReference r:id="rId6" w:type="first"/>
          <w:headerReference r:id="rId5" w:type="default"/>
          <w:footerReference r:id="rId7" w:type="default"/>
          <w:pgSz w:w="11905" w:h="16838"/>
          <w:pgMar w:top="1417" w:right="1587" w:bottom="1417" w:left="1587" w:header="850" w:footer="850"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sz w:val="30"/>
          <w:szCs w:val="30"/>
          <w:highlight w:val="none"/>
        </w:rPr>
        <w:fldChar w:fldCharType="end"/>
      </w:r>
    </w:p>
    <w:bookmarkEnd w:id="0"/>
    <w:bookmarkEnd w:id="1"/>
    <w:bookmarkEnd w:id="2"/>
    <w:p w14:paraId="08927275">
      <w:pPr>
        <w:wordWrap w:val="0"/>
        <w:spacing w:line="1200" w:lineRule="exact"/>
        <w:jc w:val="center"/>
        <w:rPr>
          <w:rFonts w:ascii="宋体" w:hAnsi="宋体"/>
          <w:b/>
          <w:color w:val="auto"/>
          <w:sz w:val="72"/>
          <w:szCs w:val="72"/>
          <w:highlight w:val="none"/>
        </w:rPr>
      </w:pPr>
      <w:bookmarkStart w:id="3" w:name="_Toc27131"/>
      <w:r>
        <w:rPr>
          <w:rFonts w:hint="eastAsia" w:ascii="宋体" w:hAnsi="宋体"/>
          <w:b/>
          <w:color w:val="auto"/>
          <w:sz w:val="72"/>
          <w:szCs w:val="72"/>
          <w:highlight w:val="none"/>
        </w:rPr>
        <w:t>温馨提醒</w:t>
      </w:r>
    </w:p>
    <w:p w14:paraId="73F09507">
      <w:pPr>
        <w:wordWrap w:val="0"/>
        <w:spacing w:line="1200" w:lineRule="exact"/>
        <w:jc w:val="center"/>
        <w:rPr>
          <w:rFonts w:ascii="宋体" w:hAnsi="宋体"/>
          <w:b/>
          <w:color w:val="auto"/>
          <w:sz w:val="52"/>
          <w:szCs w:val="52"/>
          <w:highlight w:val="none"/>
        </w:rPr>
      </w:pPr>
    </w:p>
    <w:p w14:paraId="65AB95CC">
      <w:pPr>
        <w:wordWrap w:val="0"/>
        <w:adjustRightInd/>
        <w:spacing w:line="1000" w:lineRule="exact"/>
        <w:jc w:val="left"/>
        <w:textAlignment w:val="auto"/>
        <w:rPr>
          <w:rFonts w:hint="eastAsia" w:ascii="宋体" w:hAnsi="宋体" w:cs="Times New Roman"/>
          <w:b/>
          <w:color w:val="auto"/>
          <w:kern w:val="2"/>
          <w:sz w:val="30"/>
          <w:szCs w:val="30"/>
          <w:highlight w:val="none"/>
        </w:rPr>
      </w:pPr>
      <w:r>
        <w:rPr>
          <w:rFonts w:hint="eastAsia" w:ascii="宋体" w:hAnsi="宋体" w:cs="Times New Roman"/>
          <w:b/>
          <w:color w:val="auto"/>
          <w:kern w:val="2"/>
          <w:sz w:val="30"/>
          <w:szCs w:val="30"/>
          <w:highlight w:val="none"/>
        </w:rPr>
        <w:t>1、投标文件应按招标文件要求将“</w:t>
      </w:r>
      <w:r>
        <w:rPr>
          <w:rFonts w:hint="eastAsia" w:ascii="宋体" w:hAnsi="宋体" w:cs="Times New Roman"/>
          <w:b/>
          <w:color w:val="auto"/>
          <w:kern w:val="2"/>
          <w:sz w:val="30"/>
          <w:szCs w:val="30"/>
          <w:highlight w:val="none"/>
          <w:lang w:eastAsia="zh-CN"/>
        </w:rPr>
        <w:t>资格文件</w:t>
      </w:r>
      <w:r>
        <w:rPr>
          <w:rFonts w:hint="eastAsia" w:ascii="宋体" w:hAnsi="宋体" w:cs="Times New Roman"/>
          <w:b/>
          <w:color w:val="auto"/>
          <w:kern w:val="2"/>
          <w:sz w:val="30"/>
          <w:szCs w:val="30"/>
          <w:highlight w:val="none"/>
        </w:rPr>
        <w:t>”、“商务和技术文件”、“报价文件”分别编制。</w:t>
      </w:r>
    </w:p>
    <w:p w14:paraId="356BE85D">
      <w:pPr>
        <w:wordWrap w:val="0"/>
        <w:adjustRightInd/>
        <w:spacing w:line="1000" w:lineRule="exact"/>
        <w:jc w:val="left"/>
        <w:textAlignment w:val="auto"/>
        <w:rPr>
          <w:rFonts w:hint="eastAsia" w:ascii="宋体" w:hAnsi="宋体" w:cs="Times New Roman"/>
          <w:b/>
          <w:color w:val="auto"/>
          <w:kern w:val="2"/>
          <w:sz w:val="30"/>
          <w:szCs w:val="30"/>
          <w:highlight w:val="none"/>
        </w:rPr>
      </w:pPr>
      <w:r>
        <w:rPr>
          <w:rFonts w:hint="eastAsia" w:ascii="宋体" w:hAnsi="宋体" w:cs="Times New Roman"/>
          <w:b/>
          <w:color w:val="auto"/>
          <w:kern w:val="2"/>
          <w:sz w:val="30"/>
          <w:szCs w:val="30"/>
          <w:highlight w:val="none"/>
        </w:rPr>
        <w:t>2、招标人可以对已发出的招标文件进行必要的澄清或者修改，将以“更正公告”的形式发布在政采云平台，供应商应及时登录政采云平台，进行浏览并下载，未及时浏览下载的责任自负。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Times New Roman"/>
          <w:b/>
          <w:color w:val="auto"/>
          <w:kern w:val="2"/>
          <w:sz w:val="30"/>
          <w:szCs w:val="30"/>
          <w:highlight w:val="none"/>
        </w:rPr>
        <w:br w:type="page"/>
      </w:r>
    </w:p>
    <w:p w14:paraId="7B2B1894">
      <w:pPr>
        <w:pStyle w:val="3"/>
        <w:jc w:val="center"/>
        <w:rPr>
          <w:color w:val="auto"/>
          <w:szCs w:val="28"/>
          <w:highlight w:val="none"/>
        </w:rPr>
      </w:pPr>
      <w:r>
        <w:rPr>
          <w:rFonts w:hint="eastAsia"/>
          <w:color w:val="auto"/>
          <w:highlight w:val="none"/>
        </w:rPr>
        <w:t>第一章  采购公告</w:t>
      </w:r>
      <w:bookmarkEnd w:id="3"/>
    </w:p>
    <w:p w14:paraId="5BE6F74D">
      <w:pPr>
        <w:wordWrap w:val="0"/>
        <w:spacing w:line="360" w:lineRule="auto"/>
        <w:rPr>
          <w:rFonts w:ascii="宋体" w:hAnsi="宋体" w:cs="宋体"/>
          <w:color w:val="auto"/>
          <w:sz w:val="21"/>
          <w:szCs w:val="21"/>
          <w:highlight w:val="none"/>
        </w:rPr>
      </w:pPr>
      <w:bookmarkStart w:id="4" w:name="_Toc10720"/>
      <w:r>
        <w:rPr>
          <w:rFonts w:hint="eastAsia" w:ascii="宋体" w:hAnsi="宋体" w:cs="宋体"/>
          <w:color w:val="auto"/>
          <w:sz w:val="21"/>
          <w:szCs w:val="21"/>
          <w:highlight w:val="none"/>
        </w:rPr>
        <w:t>发布日期：</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07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w:t>
      </w:r>
    </w:p>
    <w:tbl>
      <w:tblPr>
        <w:tblStyle w:val="41"/>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56EF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380" w:type="dxa"/>
          </w:tcPr>
          <w:p w14:paraId="0997EB7A">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项目概况</w:t>
            </w:r>
          </w:p>
          <w:p w14:paraId="269CE2E0">
            <w:pPr>
              <w:wordWrap w:val="0"/>
              <w:spacing w:line="360" w:lineRule="auto"/>
              <w:ind w:firstLine="420" w:firstLineChars="200"/>
              <w:rPr>
                <w:rFonts w:ascii="宋体" w:hAnsi="宋体" w:cs="宋体"/>
                <w:color w:val="auto"/>
                <w:sz w:val="21"/>
                <w:szCs w:val="21"/>
                <w:highlight w:val="none"/>
              </w:rPr>
            </w:pPr>
            <w:r>
              <w:rPr>
                <w:rFonts w:hint="eastAsia" w:ascii="宋体" w:hAnsi="宋体" w:cs="仿宋"/>
                <w:iCs/>
                <w:color w:val="auto"/>
                <w:sz w:val="21"/>
                <w:szCs w:val="21"/>
                <w:highlight w:val="none"/>
                <w:u w:val="single"/>
                <w:lang w:eastAsia="zh-CN"/>
              </w:rPr>
              <w:t>宁波高新区求精书院智慧图书阅读空间采购项目</w:t>
            </w:r>
            <w:r>
              <w:rPr>
                <w:rFonts w:hint="eastAsia" w:ascii="宋体" w:hAnsi="宋体" w:cs="宋体"/>
                <w:color w:val="auto"/>
                <w:sz w:val="21"/>
                <w:szCs w:val="21"/>
                <w:highlight w:val="none"/>
              </w:rPr>
              <w:t>的潜在投标人应在政府采购云平台（www.zcygov.cn）获取（下载）采购文件，并于</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lang w:eastAsia="zh-CN"/>
              </w:rPr>
              <w:t>：00（北京时间）</w:t>
            </w:r>
            <w:r>
              <w:rPr>
                <w:rFonts w:hint="eastAsia" w:ascii="宋体" w:hAnsi="宋体" w:cs="宋体"/>
                <w:color w:val="auto"/>
                <w:sz w:val="21"/>
                <w:szCs w:val="21"/>
                <w:highlight w:val="none"/>
              </w:rPr>
              <w:t>前递交（上传）投标文件。</w:t>
            </w:r>
          </w:p>
        </w:tc>
      </w:tr>
    </w:tbl>
    <w:p w14:paraId="78039507">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一、项目基本情况</w:t>
      </w:r>
    </w:p>
    <w:p w14:paraId="71231264">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NBITC-202530768G</w:t>
      </w:r>
    </w:p>
    <w:p w14:paraId="536F4595">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宁波高新区求精书院智慧图书阅读空间采购项目</w:t>
      </w:r>
    </w:p>
    <w:p w14:paraId="3B66D954">
      <w:pPr>
        <w:wordWrap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eastAsia="zh-CN"/>
        </w:rPr>
        <w:t>470966</w:t>
      </w:r>
      <w:r>
        <w:rPr>
          <w:rFonts w:hint="eastAsia" w:ascii="宋体" w:hAnsi="宋体" w:cs="宋体"/>
          <w:color w:val="auto"/>
          <w:sz w:val="21"/>
          <w:szCs w:val="21"/>
          <w:highlight w:val="none"/>
          <w:lang w:val="en-US" w:eastAsia="zh-CN"/>
        </w:rPr>
        <w:t>.00</w:t>
      </w:r>
    </w:p>
    <w:p w14:paraId="22BABBA7">
      <w:pPr>
        <w:wordWrap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最高限价（元）：</w:t>
      </w:r>
      <w:r>
        <w:rPr>
          <w:rFonts w:hint="eastAsia" w:ascii="宋体" w:hAnsi="宋体" w:cs="宋体"/>
          <w:color w:val="auto"/>
          <w:sz w:val="21"/>
          <w:szCs w:val="21"/>
          <w:highlight w:val="none"/>
          <w:lang w:val="en-US" w:eastAsia="zh-CN"/>
        </w:rPr>
        <w:t>468320.00</w:t>
      </w:r>
    </w:p>
    <w:p w14:paraId="190F0809">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采购需求：</w:t>
      </w:r>
    </w:p>
    <w:p w14:paraId="0BC1F3D4">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标项：一</w:t>
      </w:r>
    </w:p>
    <w:p w14:paraId="5067F4B0">
      <w:pPr>
        <w:wordWrap w:val="0"/>
        <w:spacing w:line="360" w:lineRule="auto"/>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标项名称：</w:t>
      </w:r>
      <w:r>
        <w:rPr>
          <w:rFonts w:hint="eastAsia" w:ascii="宋体" w:hAnsi="宋体" w:cs="宋体"/>
          <w:color w:val="auto"/>
          <w:sz w:val="21"/>
          <w:szCs w:val="21"/>
          <w:highlight w:val="none"/>
          <w:lang w:eastAsia="zh-CN"/>
        </w:rPr>
        <w:t>智慧图书阅读空间采购</w:t>
      </w:r>
    </w:p>
    <w:p w14:paraId="19FF2BDE">
      <w:pPr>
        <w:wordWrap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数量：1</w:t>
      </w:r>
      <w:r>
        <w:rPr>
          <w:rFonts w:hint="eastAsia" w:ascii="宋体" w:hAnsi="宋体" w:cs="宋体"/>
          <w:color w:val="auto"/>
          <w:sz w:val="21"/>
          <w:szCs w:val="21"/>
          <w:highlight w:val="none"/>
          <w:lang w:val="en-US" w:eastAsia="zh-CN"/>
        </w:rPr>
        <w:t>批</w:t>
      </w:r>
    </w:p>
    <w:p w14:paraId="23EB6DD8">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eastAsia="zh-CN"/>
        </w:rPr>
        <w:t>470966</w:t>
      </w:r>
      <w:r>
        <w:rPr>
          <w:rFonts w:hint="eastAsia" w:ascii="宋体" w:hAnsi="宋体" w:cs="宋体"/>
          <w:color w:val="auto"/>
          <w:sz w:val="21"/>
          <w:szCs w:val="21"/>
          <w:highlight w:val="none"/>
          <w:lang w:val="en-US" w:eastAsia="zh-CN"/>
        </w:rPr>
        <w:t>.00</w:t>
      </w:r>
    </w:p>
    <w:p w14:paraId="64B823EB">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简要规格描述或项目基本概况介绍、用途：详见招标文件第三章招标内容与技术需求。</w:t>
      </w:r>
    </w:p>
    <w:p w14:paraId="3928395C">
      <w:pPr>
        <w:wordWrap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备注：</w:t>
      </w:r>
      <w:r>
        <w:rPr>
          <w:rFonts w:hint="eastAsia" w:ascii="宋体" w:hAnsi="宋体" w:cs="宋体"/>
          <w:color w:val="auto"/>
          <w:sz w:val="21"/>
          <w:szCs w:val="21"/>
          <w:highlight w:val="none"/>
          <w:lang w:eastAsia="zh-CN"/>
        </w:rPr>
        <w:t>详细采购需求详见招标文件</w:t>
      </w:r>
    </w:p>
    <w:p w14:paraId="547C5FC9">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合同履约期限：</w:t>
      </w:r>
      <w:r>
        <w:rPr>
          <w:rFonts w:hint="eastAsia" w:ascii="宋体" w:hAnsi="宋体" w:cs="宋体"/>
          <w:color w:val="auto"/>
          <w:sz w:val="21"/>
          <w:szCs w:val="21"/>
          <w:highlight w:val="none"/>
          <w:lang w:eastAsia="zh-CN"/>
        </w:rPr>
        <w:t>合同签订之日后</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eastAsia="zh-CN"/>
        </w:rPr>
        <w:t>日历天内交货并安装完毕。</w:t>
      </w:r>
    </w:p>
    <w:p w14:paraId="384E581C">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本项目（否）接受联合体投标。</w:t>
      </w:r>
    </w:p>
    <w:p w14:paraId="307C1C0A">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45D5588C">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1.满足《中华人民共和国政府采购法》第二十二条规定；未被“信用中国”（www.creditchina.gov.cn)、中国政府采购网（www.ccgp.gov.cn）列入失信被执行人、</w:t>
      </w:r>
      <w:r>
        <w:rPr>
          <w:rFonts w:hint="eastAsia" w:ascii="宋体" w:hAnsi="宋体"/>
          <w:color w:val="auto"/>
          <w:sz w:val="21"/>
          <w:szCs w:val="21"/>
          <w:highlight w:val="none"/>
        </w:rPr>
        <w:t>重大税收违法案件当事人名单（重大税收违法失信主体）</w:t>
      </w:r>
      <w:r>
        <w:rPr>
          <w:rFonts w:hint="eastAsia" w:ascii="宋体" w:hAnsi="宋体" w:cs="宋体"/>
          <w:color w:val="auto"/>
          <w:sz w:val="21"/>
          <w:szCs w:val="21"/>
          <w:highlight w:val="none"/>
        </w:rPr>
        <w:t>、政府采购严重违法失信行为记录名单。</w:t>
      </w:r>
    </w:p>
    <w:p w14:paraId="773E03D6">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2.落实政府采购政策需满足的资格要求：</w:t>
      </w:r>
      <w:r>
        <w:rPr>
          <w:rFonts w:hint="eastAsia" w:ascii="宋体" w:hAnsi="宋体" w:cs="宋体"/>
          <w:color w:val="auto"/>
          <w:sz w:val="21"/>
          <w:szCs w:val="21"/>
          <w:highlight w:val="none"/>
          <w:lang w:val="en-US" w:eastAsia="zh-CN"/>
        </w:rPr>
        <w:t>无</w:t>
      </w:r>
    </w:p>
    <w:p w14:paraId="0AFFC489">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w:t>
      </w:r>
      <w:r>
        <w:rPr>
          <w:rFonts w:hint="eastAsia" w:ascii="宋体" w:hAnsi="宋体" w:cs="宋体"/>
          <w:color w:val="auto"/>
          <w:sz w:val="21"/>
          <w:szCs w:val="21"/>
          <w:highlight w:val="none"/>
          <w:lang w:val="en-US" w:eastAsia="zh-CN"/>
        </w:rPr>
        <w:t>无</w:t>
      </w:r>
    </w:p>
    <w:p w14:paraId="5AEBAE0E">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三、获取采购文件</w:t>
      </w:r>
    </w:p>
    <w:p w14:paraId="7158793E">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07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07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日（北京时间，线上获取法定节假日均可，线下获取文件法定节假日除外）</w:t>
      </w:r>
    </w:p>
    <w:p w14:paraId="5C11E73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地点（网址）：政府采购云平台（www.zcygov.cn）</w:t>
      </w:r>
    </w:p>
    <w:p w14:paraId="715EF544">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方式：供应商登录政府采购云平台（www.zcygov.cn）的注册账号后，进入政采云系统“项目采购”模块“获取招标文件”菜单，进行网上获取招标文件。如有疑问请及时咨询网站客服，咨询电话：95763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44AD4EF5">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30CAB3DE">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56DE9E2B">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提交投标文件截止时间：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lang w:eastAsia="zh-CN"/>
        </w:rPr>
        <w:t>：00（北京时间）</w:t>
      </w:r>
    </w:p>
    <w:p w14:paraId="5D28408A">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投标地点（网址）：政府采购云平台（www.zcygov.cn）</w:t>
      </w:r>
    </w:p>
    <w:p w14:paraId="39A5B638">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开标时间：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lang w:eastAsia="zh-CN"/>
        </w:rPr>
        <w:t>：00（北京时间）</w:t>
      </w:r>
    </w:p>
    <w:p w14:paraId="0C37C396">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开标地点（网址）：政府采购云平台（www.zcygov.cn）</w:t>
      </w:r>
    </w:p>
    <w:p w14:paraId="73EDAB7A">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五、公告期限</w:t>
      </w:r>
    </w:p>
    <w:p w14:paraId="382D56E2">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7C17FF8">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0D5ACE6C">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EEE44A">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子包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14:paraId="1ABD10EA">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3C74A5A9">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7B12ED42">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eastAsia="zh-CN"/>
        </w:rPr>
        <w:t>宁波高新区求精书院</w:t>
      </w:r>
    </w:p>
    <w:p w14:paraId="701EF6F5">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地址：宁波高新区梅墟街道黄杨路155号</w:t>
      </w:r>
    </w:p>
    <w:p w14:paraId="1F3B120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07E56C8B">
      <w:pPr>
        <w:wordWrap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卢</w:t>
      </w:r>
      <w:r>
        <w:rPr>
          <w:rFonts w:hint="eastAsia" w:ascii="宋体" w:hAnsi="宋体" w:cs="宋体"/>
          <w:color w:val="auto"/>
          <w:sz w:val="21"/>
          <w:szCs w:val="21"/>
          <w:highlight w:val="none"/>
        </w:rPr>
        <w:t>老师</w:t>
      </w:r>
    </w:p>
    <w:p w14:paraId="36935203">
      <w:pPr>
        <w:wordWrap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项目联系方式（询问）：</w:t>
      </w:r>
      <w:r>
        <w:rPr>
          <w:rFonts w:hint="eastAsia" w:ascii="宋体" w:hAnsi="宋体" w:cs="宋体"/>
          <w:color w:val="auto"/>
          <w:sz w:val="21"/>
          <w:szCs w:val="21"/>
          <w:highlight w:val="none"/>
          <w:lang w:val="en-US" w:eastAsia="zh-CN"/>
        </w:rPr>
        <w:t>0574-87345034</w:t>
      </w:r>
    </w:p>
    <w:p w14:paraId="57CAA998">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val="en-US" w:eastAsia="zh-CN"/>
        </w:rPr>
        <w:t>庄</w:t>
      </w:r>
      <w:r>
        <w:rPr>
          <w:rFonts w:hint="eastAsia" w:ascii="宋体" w:hAnsi="宋体" w:cs="宋体"/>
          <w:color w:val="auto"/>
          <w:sz w:val="21"/>
          <w:szCs w:val="21"/>
          <w:highlight w:val="none"/>
        </w:rPr>
        <w:t>老师</w:t>
      </w:r>
    </w:p>
    <w:p w14:paraId="2D9DEA05">
      <w:pPr>
        <w:wordWrap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质疑联系方式：</w:t>
      </w:r>
      <w:r>
        <w:rPr>
          <w:rFonts w:hint="eastAsia" w:ascii="宋体" w:hAnsi="宋体" w:cs="宋体"/>
          <w:color w:val="auto"/>
          <w:sz w:val="21"/>
          <w:szCs w:val="21"/>
          <w:highlight w:val="none"/>
          <w:lang w:val="en-US" w:eastAsia="zh-CN"/>
        </w:rPr>
        <w:t>0574-88352845</w:t>
      </w:r>
    </w:p>
    <w:p w14:paraId="1F3FD3C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648B2F82">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名称：宁波市国际招标有限公司</w:t>
      </w:r>
    </w:p>
    <w:p w14:paraId="32342DE6">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地址：宁波市江北区环城北路西段207弄19号世茂茂悦商业中心1号楼八楼</w:t>
      </w:r>
    </w:p>
    <w:p w14:paraId="080C99C0">
      <w:pPr>
        <w:wordWrap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传真：0574-87388460</w:t>
      </w:r>
    </w:p>
    <w:p w14:paraId="1D7356C0">
      <w:pPr>
        <w:wordWrap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邮箱：nbitc@126.com</w:t>
      </w:r>
    </w:p>
    <w:p w14:paraId="407EFA07">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项目联系人（询问）：张宇华、</w:t>
      </w:r>
      <w:r>
        <w:rPr>
          <w:rFonts w:hint="eastAsia" w:ascii="宋体" w:hAnsi="宋体" w:cs="宋体"/>
          <w:color w:val="auto"/>
          <w:sz w:val="21"/>
          <w:szCs w:val="21"/>
          <w:highlight w:val="none"/>
          <w:lang w:eastAsia="zh-CN"/>
        </w:rPr>
        <w:t>李蒙、</w:t>
      </w:r>
      <w:r>
        <w:rPr>
          <w:rFonts w:hint="eastAsia" w:ascii="宋体" w:hAnsi="宋体" w:cs="宋体"/>
          <w:color w:val="auto"/>
          <w:sz w:val="21"/>
          <w:szCs w:val="21"/>
          <w:highlight w:val="none"/>
        </w:rPr>
        <w:t>陈若水、严锋</w:t>
      </w:r>
    </w:p>
    <w:p w14:paraId="739CCAE1">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项目联系方式（询问）：0574-87629230</w:t>
      </w:r>
    </w:p>
    <w:p w14:paraId="3FF4AFD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质疑联系人：夏伟立</w:t>
      </w:r>
    </w:p>
    <w:p w14:paraId="2A36A66E">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质疑联系方式：0574-87128864</w:t>
      </w:r>
    </w:p>
    <w:p w14:paraId="347FBEAD">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3.同级政府采购监督管理部门</w:t>
      </w:r>
    </w:p>
    <w:p w14:paraId="07E01F58">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名称：宁波高新区政府采购管理办公室</w:t>
      </w:r>
    </w:p>
    <w:p w14:paraId="279AC454">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59B13756">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09015E8F">
      <w:pPr>
        <w:wordWrap w:val="0"/>
        <w:spacing w:line="360" w:lineRule="auto"/>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val="en-US" w:eastAsia="zh-CN"/>
        </w:rPr>
        <w:t>王老师</w:t>
      </w:r>
    </w:p>
    <w:p w14:paraId="1A7C06E1">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监督投诉电话：0574-89288727</w:t>
      </w:r>
    </w:p>
    <w:p w14:paraId="3EFAE5D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1"/>
          <w:szCs w:val="21"/>
          <w:highlight w:val="none"/>
          <w:lang w:val="en-US" w:eastAsia="zh-CN"/>
        </w:rPr>
        <w:t>95763</w:t>
      </w:r>
      <w:r>
        <w:rPr>
          <w:rFonts w:hint="eastAsia" w:ascii="宋体" w:hAnsi="宋体" w:cs="宋体"/>
          <w:color w:val="auto"/>
          <w:sz w:val="21"/>
          <w:szCs w:val="21"/>
          <w:highlight w:val="none"/>
        </w:rPr>
        <w:t>获取热线服务帮助。</w:t>
      </w:r>
    </w:p>
    <w:p w14:paraId="3B384AF0">
      <w:pPr>
        <w:pStyle w:val="3"/>
        <w:snapToGrid w:val="0"/>
        <w:spacing w:before="0" w:after="0" w:line="360" w:lineRule="auto"/>
        <w:textAlignment w:val="auto"/>
        <w:rPr>
          <w:rFonts w:ascii="宋体" w:hAnsi="宋体" w:eastAsia="宋体" w:cs="宋体"/>
          <w:bCs w:val="0"/>
          <w:color w:val="auto"/>
          <w:sz w:val="21"/>
          <w:szCs w:val="21"/>
          <w:highlight w:val="none"/>
        </w:rPr>
      </w:pPr>
      <w:bookmarkStart w:id="5" w:name="_Toc10895"/>
      <w:bookmarkStart w:id="6" w:name="_Toc30006"/>
      <w:r>
        <w:rPr>
          <w:rFonts w:hint="eastAsia" w:ascii="宋体" w:hAnsi="宋体" w:eastAsia="宋体" w:cs="宋体"/>
          <w:color w:val="auto"/>
          <w:sz w:val="21"/>
          <w:szCs w:val="21"/>
          <w:highlight w:val="none"/>
        </w:rPr>
        <w:t>CA问题联系电话（人工）：汇信CA 400-888-4636；天谷CA 400-087-8198。</w:t>
      </w:r>
      <w:bookmarkEnd w:id="5"/>
      <w:bookmarkEnd w:id="6"/>
    </w:p>
    <w:bookmarkEnd w:id="4"/>
    <w:p w14:paraId="024C6ADE">
      <w:pPr>
        <w:spacing w:line="360" w:lineRule="auto"/>
        <w:ind w:firstLine="630" w:firstLineChars="300"/>
        <w:rPr>
          <w:rFonts w:ascii="宋体" w:hAnsi="宋体" w:cs="仿宋"/>
          <w:color w:val="auto"/>
          <w:sz w:val="21"/>
          <w:szCs w:val="21"/>
          <w:highlight w:val="none"/>
          <w:u w:val="single"/>
        </w:rPr>
      </w:pPr>
    </w:p>
    <w:p w14:paraId="7CD2AF65">
      <w:pPr>
        <w:rPr>
          <w:rFonts w:hint="eastAsia"/>
          <w:color w:val="auto"/>
          <w:highlight w:val="none"/>
        </w:rPr>
      </w:pPr>
      <w:bookmarkStart w:id="7" w:name="_Toc13272"/>
      <w:r>
        <w:rPr>
          <w:rFonts w:hint="eastAsia"/>
          <w:color w:val="auto"/>
          <w:highlight w:val="none"/>
        </w:rPr>
        <w:br w:type="page"/>
      </w:r>
    </w:p>
    <w:p w14:paraId="3FFD0488">
      <w:pPr>
        <w:pStyle w:val="3"/>
        <w:jc w:val="center"/>
        <w:rPr>
          <w:color w:val="auto"/>
          <w:highlight w:val="none"/>
        </w:rPr>
      </w:pPr>
      <w:r>
        <w:rPr>
          <w:rFonts w:hint="eastAsia"/>
          <w:color w:val="auto"/>
          <w:highlight w:val="none"/>
        </w:rPr>
        <w:t>第二章  投标人须知</w:t>
      </w:r>
      <w:bookmarkEnd w:id="7"/>
    </w:p>
    <w:p w14:paraId="0DDD7658">
      <w:pPr>
        <w:spacing w:line="276" w:lineRule="auto"/>
        <w:jc w:val="center"/>
        <w:rPr>
          <w:b/>
          <w:color w:val="auto"/>
          <w:sz w:val="28"/>
          <w:szCs w:val="28"/>
          <w:highlight w:val="none"/>
        </w:rPr>
      </w:pPr>
      <w:r>
        <w:rPr>
          <w:rFonts w:hint="eastAsia"/>
          <w:b/>
          <w:color w:val="auto"/>
          <w:sz w:val="28"/>
          <w:szCs w:val="28"/>
          <w:highlight w:val="none"/>
        </w:rPr>
        <w:t>投标人须知前附表</w:t>
      </w:r>
    </w:p>
    <w:p w14:paraId="1B3DD1F3">
      <w:pPr>
        <w:spacing w:line="360" w:lineRule="auto"/>
        <w:rPr>
          <w:rFonts w:ascii="宋体"/>
          <w:color w:val="auto"/>
          <w:sz w:val="21"/>
          <w:szCs w:val="21"/>
          <w:highlight w:val="none"/>
        </w:rPr>
      </w:pPr>
      <w:r>
        <w:rPr>
          <w:rFonts w:hint="eastAsia" w:ascii="宋体"/>
          <w:color w:val="auto"/>
          <w:sz w:val="21"/>
          <w:szCs w:val="21"/>
          <w:highlight w:val="none"/>
        </w:rPr>
        <w:t>注：1、本须知前附表是对投标人须知的修改和补充，如有矛盾，均以本表为准。</w:t>
      </w:r>
    </w:p>
    <w:p w14:paraId="226FB12C">
      <w:pPr>
        <w:spacing w:line="360" w:lineRule="auto"/>
        <w:rPr>
          <w:rFonts w:hint="eastAsia"/>
          <w:color w:val="auto"/>
          <w:sz w:val="21"/>
          <w:szCs w:val="21"/>
          <w:highlight w:val="none"/>
        </w:rPr>
      </w:pPr>
      <w:r>
        <w:rPr>
          <w:rFonts w:hint="eastAsia" w:ascii="宋体"/>
          <w:color w:val="auto"/>
          <w:sz w:val="21"/>
          <w:szCs w:val="21"/>
          <w:highlight w:val="none"/>
        </w:rPr>
        <w:t xml:space="preserve">    2、本附表中</w:t>
      </w:r>
      <w:r>
        <w:rPr>
          <w:rFonts w:hint="eastAsia"/>
          <w:color w:val="auto"/>
          <w:sz w:val="21"/>
          <w:szCs w:val="21"/>
          <w:highlight w:val="none"/>
        </w:rPr>
        <w:t>“</w:t>
      </w:r>
      <w:r>
        <w:rPr>
          <w:rFonts w:hint="eastAsia" w:ascii="宋体" w:hAnsi="宋体" w:eastAsia="宋体" w:cs="宋体"/>
          <w:color w:val="auto"/>
          <w:sz w:val="21"/>
          <w:szCs w:val="21"/>
          <w:highlight w:val="none"/>
        </w:rPr>
        <w:t>★</w:t>
      </w:r>
      <w:r>
        <w:rPr>
          <w:rFonts w:hint="eastAsia"/>
          <w:color w:val="auto"/>
          <w:sz w:val="21"/>
          <w:szCs w:val="21"/>
          <w:highlight w:val="none"/>
        </w:rPr>
        <w:t>”标志的为实质性条款，如有其中一项不符合即按无效投标处理。</w:t>
      </w:r>
    </w:p>
    <w:tbl>
      <w:tblPr>
        <w:tblStyle w:val="41"/>
        <w:tblW w:w="4997" w:type="pct"/>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744"/>
        <w:gridCol w:w="8198"/>
      </w:tblGrid>
      <w:tr w14:paraId="30AE3C7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bottom w:val="single" w:color="000000" w:sz="6" w:space="0"/>
            </w:tcBorders>
            <w:noWrap w:val="0"/>
            <w:vAlign w:val="center"/>
          </w:tcPr>
          <w:p w14:paraId="5F0E9077">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4583" w:type="pct"/>
            <w:tcBorders>
              <w:bottom w:val="single" w:color="000000" w:sz="6" w:space="0"/>
            </w:tcBorders>
            <w:noWrap w:val="0"/>
            <w:vAlign w:val="center"/>
          </w:tcPr>
          <w:p w14:paraId="14F3DE7D">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内容及具体要求</w:t>
            </w:r>
          </w:p>
        </w:tc>
      </w:tr>
      <w:tr w14:paraId="21B192D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nil"/>
              <w:bottom w:val="single" w:color="auto" w:sz="4" w:space="0"/>
            </w:tcBorders>
            <w:noWrap w:val="0"/>
            <w:vAlign w:val="center"/>
          </w:tcPr>
          <w:p w14:paraId="6F7F3172">
            <w:pPr>
              <w:spacing w:line="400" w:lineRule="exact"/>
              <w:jc w:val="center"/>
              <w:outlineLvl w:val="1"/>
              <w:rPr>
                <w:rFonts w:hint="eastAsia" w:ascii="宋体" w:hAnsi="宋体" w:cs="宋体"/>
                <w:b/>
                <w:color w:val="auto"/>
                <w:sz w:val="21"/>
                <w:szCs w:val="21"/>
                <w:highlight w:val="none"/>
              </w:rPr>
            </w:pPr>
            <w:bookmarkStart w:id="8" w:name="_Toc479861545"/>
            <w:bookmarkStart w:id="9" w:name="_Toc297"/>
            <w:bookmarkStart w:id="10" w:name="_Toc137008676"/>
            <w:bookmarkStart w:id="11" w:name="_Toc105900515"/>
            <w:bookmarkStart w:id="12" w:name="_Toc12257"/>
            <w:r>
              <w:rPr>
                <w:rFonts w:hint="eastAsia" w:ascii="宋体" w:hAnsi="宋体" w:cs="宋体"/>
                <w:b/>
                <w:color w:val="auto"/>
                <w:sz w:val="21"/>
                <w:szCs w:val="21"/>
                <w:highlight w:val="none"/>
              </w:rPr>
              <w:t>说明</w:t>
            </w:r>
            <w:bookmarkEnd w:id="8"/>
            <w:bookmarkEnd w:id="9"/>
            <w:bookmarkEnd w:id="10"/>
            <w:bookmarkEnd w:id="11"/>
            <w:bookmarkEnd w:id="12"/>
          </w:p>
        </w:tc>
      </w:tr>
      <w:tr w14:paraId="5FBF6AA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7A40A356">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583" w:type="pct"/>
            <w:tcBorders>
              <w:top w:val="single" w:color="auto" w:sz="4" w:space="0"/>
              <w:bottom w:val="single" w:color="auto" w:sz="4" w:space="0"/>
            </w:tcBorders>
            <w:noWrap w:val="0"/>
            <w:vAlign w:val="center"/>
          </w:tcPr>
          <w:p w14:paraId="28F29BD4">
            <w:pPr>
              <w:spacing w:line="4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招标人：</w:t>
            </w:r>
            <w:r>
              <w:rPr>
                <w:rFonts w:hint="eastAsia" w:ascii="宋体"/>
                <w:bCs/>
                <w:color w:val="auto"/>
                <w:sz w:val="21"/>
                <w:szCs w:val="21"/>
                <w:highlight w:val="none"/>
                <w:lang w:eastAsia="zh-CN"/>
              </w:rPr>
              <w:t>宁波高新区求精书院</w:t>
            </w:r>
            <w:r>
              <w:rPr>
                <w:rFonts w:hint="eastAsia" w:ascii="宋体" w:hAnsi="宋体" w:cs="宋体"/>
                <w:color w:val="auto"/>
                <w:sz w:val="21"/>
                <w:szCs w:val="21"/>
                <w:highlight w:val="none"/>
              </w:rPr>
              <w:t> </w:t>
            </w:r>
          </w:p>
        </w:tc>
      </w:tr>
      <w:tr w14:paraId="2303645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62662635">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583" w:type="pct"/>
            <w:tcBorders>
              <w:top w:val="single" w:color="auto" w:sz="4" w:space="0"/>
              <w:bottom w:val="single" w:color="auto" w:sz="4" w:space="0"/>
            </w:tcBorders>
            <w:noWrap w:val="0"/>
            <w:vAlign w:val="center"/>
          </w:tcPr>
          <w:p w14:paraId="35B6DCD6">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招标人项目联系人（询问）：</w:t>
            </w:r>
            <w:r>
              <w:rPr>
                <w:rFonts w:hint="eastAsia" w:ascii="宋体" w:hAnsi="宋体" w:cs="宋体"/>
                <w:color w:val="auto"/>
                <w:sz w:val="21"/>
                <w:szCs w:val="21"/>
                <w:highlight w:val="none"/>
                <w:lang w:val="en-US" w:eastAsia="zh-CN"/>
              </w:rPr>
              <w:t>卢</w:t>
            </w:r>
            <w:r>
              <w:rPr>
                <w:rFonts w:hint="eastAsia" w:ascii="宋体" w:hAnsi="宋体" w:cs="宋体"/>
                <w:color w:val="auto"/>
                <w:sz w:val="21"/>
                <w:szCs w:val="21"/>
                <w:highlight w:val="none"/>
              </w:rPr>
              <w:t>老师</w:t>
            </w:r>
          </w:p>
          <w:p w14:paraId="470A1A30">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招标人项目联系方式（询问）：0574-87345034   </w:t>
            </w:r>
          </w:p>
        </w:tc>
      </w:tr>
      <w:tr w14:paraId="609D86A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04D7DA62">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4583" w:type="pct"/>
            <w:tcBorders>
              <w:top w:val="single" w:color="auto" w:sz="4" w:space="0"/>
              <w:bottom w:val="single" w:color="auto" w:sz="4" w:space="0"/>
            </w:tcBorders>
            <w:noWrap w:val="0"/>
            <w:vAlign w:val="center"/>
          </w:tcPr>
          <w:p w14:paraId="673FED63">
            <w:pPr>
              <w:spacing w:line="4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合同名称：</w:t>
            </w:r>
            <w:r>
              <w:rPr>
                <w:rFonts w:hint="eastAsia" w:ascii="宋体" w:hAnsi="宋体" w:cs="宋体"/>
                <w:color w:val="auto"/>
                <w:sz w:val="21"/>
                <w:szCs w:val="21"/>
                <w:highlight w:val="none"/>
                <w:lang w:eastAsia="zh-CN"/>
              </w:rPr>
              <w:t>宁波高新区求精书院智慧图书阅读空间采购项目</w:t>
            </w:r>
            <w:r>
              <w:rPr>
                <w:rFonts w:hint="eastAsia" w:ascii="宋体" w:hAnsi="宋体" w:cs="宋体"/>
                <w:color w:val="auto"/>
                <w:sz w:val="21"/>
                <w:szCs w:val="21"/>
                <w:highlight w:val="none"/>
              </w:rPr>
              <w:t>的合同</w:t>
            </w:r>
          </w:p>
        </w:tc>
      </w:tr>
      <w:tr w14:paraId="7EB818D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41FC527B">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4583" w:type="pct"/>
            <w:tcBorders>
              <w:top w:val="single" w:color="auto" w:sz="4" w:space="0"/>
              <w:bottom w:val="single" w:color="auto" w:sz="4" w:space="0"/>
            </w:tcBorders>
            <w:noWrap w:val="0"/>
            <w:vAlign w:val="center"/>
          </w:tcPr>
          <w:p w14:paraId="4539EFCD">
            <w:pPr>
              <w:spacing w:line="4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招标代理公司：宁波市国际招标有限公司 </w:t>
            </w:r>
          </w:p>
        </w:tc>
      </w:tr>
      <w:tr w14:paraId="345E321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5000" w:type="pct"/>
            <w:gridSpan w:val="2"/>
            <w:tcBorders>
              <w:top w:val="single" w:color="auto" w:sz="4" w:space="0"/>
              <w:bottom w:val="single" w:color="auto" w:sz="4" w:space="0"/>
            </w:tcBorders>
            <w:noWrap w:val="0"/>
            <w:vAlign w:val="center"/>
          </w:tcPr>
          <w:p w14:paraId="061E927D">
            <w:pPr>
              <w:spacing w:line="400" w:lineRule="exact"/>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投标人</w:t>
            </w:r>
          </w:p>
        </w:tc>
      </w:tr>
      <w:tr w14:paraId="72DF502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61B28FFB">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5</w:t>
            </w:r>
          </w:p>
        </w:tc>
        <w:tc>
          <w:tcPr>
            <w:tcW w:w="4583" w:type="pct"/>
            <w:tcBorders>
              <w:top w:val="single" w:color="auto" w:sz="4" w:space="0"/>
              <w:bottom w:val="single" w:color="auto" w:sz="4" w:space="0"/>
            </w:tcBorders>
            <w:noWrap w:val="0"/>
            <w:vAlign w:val="center"/>
          </w:tcPr>
          <w:p w14:paraId="7E1D1E29">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合格的货物来源：中国境内生产的货物</w:t>
            </w:r>
            <w:r>
              <w:rPr>
                <w:rFonts w:hint="eastAsia" w:ascii="宋体" w:hAnsi="宋体" w:cs="宋体"/>
                <w:color w:val="auto"/>
                <w:sz w:val="21"/>
                <w:szCs w:val="21"/>
                <w:highlight w:val="none"/>
                <w:lang w:val="en-US" w:eastAsia="zh-CN"/>
              </w:rPr>
              <w:t>，不接受进口产品</w:t>
            </w:r>
            <w:r>
              <w:rPr>
                <w:rFonts w:hint="eastAsia" w:ascii="宋体" w:hAnsi="宋体" w:cs="宋体"/>
                <w:color w:val="auto"/>
                <w:sz w:val="21"/>
                <w:szCs w:val="21"/>
                <w:highlight w:val="none"/>
              </w:rPr>
              <w:t>。</w:t>
            </w:r>
          </w:p>
        </w:tc>
      </w:tr>
      <w:tr w14:paraId="0C9DC3F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09DC640F">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6</w:t>
            </w:r>
          </w:p>
        </w:tc>
        <w:tc>
          <w:tcPr>
            <w:tcW w:w="4583" w:type="pct"/>
            <w:tcBorders>
              <w:top w:val="single" w:color="auto" w:sz="4" w:space="0"/>
              <w:bottom w:val="single" w:color="auto" w:sz="4" w:space="0"/>
            </w:tcBorders>
            <w:noWrap w:val="0"/>
            <w:vAlign w:val="center"/>
          </w:tcPr>
          <w:p w14:paraId="6A98D6F0">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资格要求：详见招标公告。</w:t>
            </w:r>
          </w:p>
        </w:tc>
      </w:tr>
      <w:tr w14:paraId="4B80D9F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31FC13DB">
            <w:pPr>
              <w:spacing w:line="400" w:lineRule="exact"/>
              <w:jc w:val="center"/>
              <w:outlineLvl w:val="1"/>
              <w:rPr>
                <w:rFonts w:hint="eastAsia" w:ascii="宋体" w:hAnsi="宋体" w:cs="宋体"/>
                <w:b/>
                <w:color w:val="auto"/>
                <w:sz w:val="21"/>
                <w:szCs w:val="21"/>
                <w:highlight w:val="none"/>
              </w:rPr>
            </w:pPr>
            <w:bookmarkStart w:id="13" w:name="_Toc105900516"/>
            <w:bookmarkStart w:id="14" w:name="_Toc32655"/>
            <w:bookmarkStart w:id="15" w:name="_Toc137008677"/>
            <w:bookmarkStart w:id="16" w:name="_Toc479861546"/>
            <w:bookmarkStart w:id="17" w:name="_Toc14204"/>
            <w:r>
              <w:rPr>
                <w:rFonts w:hint="eastAsia" w:ascii="宋体" w:hAnsi="宋体" w:cs="宋体"/>
                <w:b/>
                <w:color w:val="auto"/>
                <w:sz w:val="21"/>
                <w:szCs w:val="21"/>
                <w:highlight w:val="none"/>
              </w:rPr>
              <w:t>投标报价和货币</w:t>
            </w:r>
            <w:bookmarkEnd w:id="13"/>
            <w:bookmarkEnd w:id="14"/>
            <w:bookmarkEnd w:id="15"/>
            <w:bookmarkEnd w:id="16"/>
            <w:bookmarkEnd w:id="17"/>
          </w:p>
        </w:tc>
      </w:tr>
      <w:tr w14:paraId="3FCB31D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4C062B9E">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4583" w:type="pct"/>
            <w:tcBorders>
              <w:top w:val="single" w:color="auto" w:sz="4" w:space="0"/>
              <w:bottom w:val="single" w:color="auto" w:sz="4" w:space="0"/>
            </w:tcBorders>
            <w:noWrap w:val="0"/>
            <w:vAlign w:val="center"/>
          </w:tcPr>
          <w:p w14:paraId="1E8C3936">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投标报价：包括但不限于设备材料价格、运杂费、利润、税金、装卸费及质保期内的售后服务、</w:t>
            </w:r>
            <w:r>
              <w:rPr>
                <w:rFonts w:hint="eastAsia" w:ascii="宋体" w:hAnsi="宋体" w:cs="宋体"/>
                <w:color w:val="auto"/>
                <w:sz w:val="21"/>
                <w:szCs w:val="21"/>
                <w:highlight w:val="none"/>
                <w:lang w:eastAsia="zh-CN"/>
              </w:rPr>
              <w:t>备品备件、</w:t>
            </w:r>
            <w:r>
              <w:rPr>
                <w:rFonts w:hint="eastAsia" w:ascii="宋体" w:hAnsi="宋体" w:cs="宋体"/>
                <w:color w:val="auto"/>
                <w:sz w:val="21"/>
                <w:szCs w:val="21"/>
                <w:highlight w:val="none"/>
              </w:rPr>
              <w:t>利润、税金，及政策性文件规定的各项应有的所有费用。</w:t>
            </w:r>
          </w:p>
        </w:tc>
      </w:tr>
      <w:tr w14:paraId="53BBA81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5E0C3495">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8</w:t>
            </w:r>
          </w:p>
        </w:tc>
        <w:tc>
          <w:tcPr>
            <w:tcW w:w="4583" w:type="pct"/>
            <w:tcBorders>
              <w:top w:val="single" w:color="auto" w:sz="4" w:space="0"/>
              <w:bottom w:val="single" w:color="auto" w:sz="4" w:space="0"/>
            </w:tcBorders>
            <w:noWrap w:val="0"/>
            <w:vAlign w:val="center"/>
          </w:tcPr>
          <w:p w14:paraId="66D080C3">
            <w:pPr>
              <w:spacing w:line="40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投标货币：人民币。</w:t>
            </w:r>
          </w:p>
          <w:p w14:paraId="4F8241F4">
            <w:pPr>
              <w:spacing w:line="40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本项目最高限价：人民币</w:t>
            </w:r>
            <w:r>
              <w:rPr>
                <w:rFonts w:hint="eastAsia" w:ascii="宋体" w:hAnsi="宋体" w:cs="宋体"/>
                <w:color w:val="auto"/>
                <w:sz w:val="21"/>
                <w:szCs w:val="21"/>
                <w:highlight w:val="none"/>
                <w:lang w:val="en-US" w:eastAsia="zh-CN"/>
              </w:rPr>
              <w:t>468320</w:t>
            </w:r>
            <w:r>
              <w:rPr>
                <w:rFonts w:hint="eastAsia" w:ascii="宋体" w:hAnsi="宋体" w:cs="宋体"/>
                <w:bCs/>
                <w:color w:val="auto"/>
                <w:sz w:val="21"/>
                <w:szCs w:val="21"/>
                <w:highlight w:val="none"/>
                <w:lang w:eastAsia="zh-CN"/>
              </w:rPr>
              <w:t>.00</w:t>
            </w:r>
            <w:r>
              <w:rPr>
                <w:rFonts w:hint="eastAsia" w:ascii="宋体" w:hAnsi="宋体" w:cs="宋体"/>
                <w:bCs/>
                <w:color w:val="auto"/>
                <w:sz w:val="21"/>
                <w:szCs w:val="21"/>
                <w:highlight w:val="none"/>
              </w:rPr>
              <w:t>元</w:t>
            </w:r>
          </w:p>
          <w:p w14:paraId="13CB7F48">
            <w:pPr>
              <w:spacing w:line="400" w:lineRule="exact"/>
              <w:rPr>
                <w:rFonts w:hint="eastAsia" w:ascii="宋体" w:hAnsi="宋体" w:cs="宋体"/>
                <w:color w:val="auto"/>
                <w:sz w:val="21"/>
                <w:szCs w:val="21"/>
                <w:highlight w:val="none"/>
              </w:rPr>
            </w:pPr>
            <w:r>
              <w:rPr>
                <w:rFonts w:hint="eastAsia" w:ascii="宋体" w:hAnsi="宋体" w:cs="宋体"/>
                <w:bCs/>
                <w:color w:val="auto"/>
                <w:sz w:val="21"/>
                <w:szCs w:val="21"/>
                <w:highlight w:val="none"/>
              </w:rPr>
              <w:t>超过最高限价的报价将被视为无效投标。</w:t>
            </w:r>
          </w:p>
        </w:tc>
      </w:tr>
      <w:tr w14:paraId="5E7888C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51300282">
            <w:pPr>
              <w:spacing w:line="400" w:lineRule="exact"/>
              <w:jc w:val="center"/>
              <w:outlineLvl w:val="1"/>
              <w:rPr>
                <w:rFonts w:hint="eastAsia" w:ascii="宋体" w:hAnsi="宋体" w:cs="宋体"/>
                <w:b/>
                <w:color w:val="auto"/>
                <w:sz w:val="21"/>
                <w:szCs w:val="21"/>
                <w:highlight w:val="none"/>
              </w:rPr>
            </w:pPr>
            <w:bookmarkStart w:id="18" w:name="_Toc479861547"/>
            <w:bookmarkStart w:id="19" w:name="_Toc2872"/>
            <w:bookmarkStart w:id="20" w:name="_Toc20779"/>
            <w:bookmarkStart w:id="21" w:name="_Toc105900517"/>
            <w:bookmarkStart w:id="22" w:name="_Toc137008678"/>
            <w:r>
              <w:rPr>
                <w:rFonts w:hint="eastAsia" w:ascii="宋体" w:hAnsi="宋体" w:cs="宋体"/>
                <w:b/>
                <w:color w:val="auto"/>
                <w:sz w:val="21"/>
                <w:szCs w:val="21"/>
                <w:highlight w:val="none"/>
              </w:rPr>
              <w:t>投标文件的编制和递交</w:t>
            </w:r>
            <w:bookmarkEnd w:id="18"/>
            <w:bookmarkEnd w:id="19"/>
            <w:bookmarkEnd w:id="20"/>
            <w:bookmarkEnd w:id="21"/>
            <w:bookmarkEnd w:id="22"/>
          </w:p>
        </w:tc>
      </w:tr>
      <w:tr w14:paraId="170206A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1605AD73">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9</w:t>
            </w:r>
          </w:p>
        </w:tc>
        <w:tc>
          <w:tcPr>
            <w:tcW w:w="4583" w:type="pct"/>
            <w:tcBorders>
              <w:top w:val="single" w:color="auto" w:sz="4" w:space="0"/>
              <w:bottom w:val="single" w:color="auto" w:sz="4" w:space="0"/>
            </w:tcBorders>
            <w:noWrap w:val="0"/>
            <w:vAlign w:val="center"/>
          </w:tcPr>
          <w:p w14:paraId="5F5BF996">
            <w:pPr>
              <w:spacing w:line="400" w:lineRule="exact"/>
              <w:ind w:left="29" w:hanging="25" w:hangingChars="12"/>
              <w:rPr>
                <w:rFonts w:hint="eastAsia" w:ascii="宋体" w:hAnsi="宋体" w:cs="宋体"/>
                <w:color w:val="auto"/>
                <w:sz w:val="21"/>
                <w:szCs w:val="21"/>
                <w:highlight w:val="none"/>
              </w:rPr>
            </w:pPr>
            <w:r>
              <w:rPr>
                <w:rFonts w:hint="eastAsia" w:ascii="宋体" w:hAnsi="宋体" w:cs="宋体"/>
                <w:color w:val="auto"/>
                <w:sz w:val="21"/>
                <w:szCs w:val="21"/>
                <w:highlight w:val="none"/>
              </w:rPr>
              <w:t>投标文件组成：符合招标文件第二章“投标须知”第八条规定的“投标文件的组成和</w:t>
            </w:r>
            <w:r>
              <w:rPr>
                <w:rFonts w:hint="eastAsia" w:ascii="宋体" w:hAnsi="宋体" w:cs="宋体"/>
                <w:color w:val="auto"/>
                <w:sz w:val="21"/>
                <w:szCs w:val="21"/>
                <w:highlight w:val="none"/>
                <w:lang w:val="en-US" w:eastAsia="zh-CN"/>
              </w:rPr>
              <w:t>份数</w:t>
            </w:r>
            <w:r>
              <w:rPr>
                <w:rFonts w:hint="eastAsia" w:ascii="宋体" w:hAnsi="宋体" w:cs="宋体"/>
                <w:color w:val="auto"/>
                <w:sz w:val="21"/>
                <w:szCs w:val="21"/>
                <w:highlight w:val="none"/>
              </w:rPr>
              <w:t>”。</w:t>
            </w:r>
          </w:p>
        </w:tc>
      </w:tr>
      <w:tr w14:paraId="297E1EB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000000" w:sz="6" w:space="0"/>
            </w:tcBorders>
            <w:noWrap w:val="0"/>
            <w:vAlign w:val="center"/>
          </w:tcPr>
          <w:p w14:paraId="519BE32F">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4583" w:type="pct"/>
            <w:tcBorders>
              <w:top w:val="single" w:color="auto" w:sz="4" w:space="0"/>
              <w:bottom w:val="single" w:color="000000" w:sz="6" w:space="0"/>
            </w:tcBorders>
            <w:noWrap w:val="0"/>
            <w:vAlign w:val="center"/>
          </w:tcPr>
          <w:p w14:paraId="1263F2B5">
            <w:pPr>
              <w:spacing w:line="400" w:lineRule="exact"/>
              <w:ind w:left="29" w:hanging="25" w:hangingChars="12"/>
              <w:rPr>
                <w:rFonts w:hint="eastAsia" w:ascii="宋体" w:hAnsi="宋体" w:cs="宋体"/>
                <w:color w:val="auto"/>
                <w:sz w:val="21"/>
                <w:szCs w:val="21"/>
                <w:highlight w:val="none"/>
              </w:rPr>
            </w:pPr>
            <w:r>
              <w:rPr>
                <w:rFonts w:hint="eastAsia" w:ascii="宋体" w:hAnsi="宋体" w:cs="宋体"/>
                <w:color w:val="auto"/>
                <w:sz w:val="21"/>
                <w:szCs w:val="21"/>
                <w:highlight w:val="none"/>
              </w:rPr>
              <w:t>投标保证金：无</w:t>
            </w:r>
          </w:p>
        </w:tc>
      </w:tr>
      <w:tr w14:paraId="62FB4C2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5FFC5A4E">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11</w:t>
            </w:r>
          </w:p>
        </w:tc>
        <w:tc>
          <w:tcPr>
            <w:tcW w:w="4583" w:type="pct"/>
            <w:tcBorders>
              <w:top w:val="single" w:color="auto" w:sz="4" w:space="0"/>
              <w:left w:val="single" w:color="auto" w:sz="4" w:space="0"/>
              <w:bottom w:val="single" w:color="auto" w:sz="4" w:space="0"/>
            </w:tcBorders>
            <w:noWrap w:val="0"/>
            <w:vAlign w:val="center"/>
          </w:tcPr>
          <w:p w14:paraId="740C3E21">
            <w:pPr>
              <w:spacing w:line="400" w:lineRule="exact"/>
              <w:rPr>
                <w:rFonts w:hint="eastAsia" w:ascii="宋体" w:hAnsi="宋体" w:cs="宋体"/>
                <w:i/>
                <w:color w:val="auto"/>
                <w:sz w:val="21"/>
                <w:szCs w:val="21"/>
                <w:highlight w:val="none"/>
              </w:rPr>
            </w:pPr>
            <w:r>
              <w:rPr>
                <w:rFonts w:hint="eastAsia" w:ascii="宋体" w:hAnsi="宋体" w:cs="宋体"/>
                <w:color w:val="auto"/>
                <w:sz w:val="21"/>
                <w:szCs w:val="21"/>
                <w:highlight w:val="none"/>
              </w:rPr>
              <w:t>投标有效期：</w:t>
            </w:r>
            <w:r>
              <w:rPr>
                <w:rFonts w:hint="eastAsia" w:ascii="宋体" w:hAnsi="宋体" w:cs="宋体"/>
                <w:color w:val="auto"/>
                <w:sz w:val="21"/>
                <w:szCs w:val="21"/>
                <w:highlight w:val="none"/>
                <w:u w:val="single"/>
              </w:rPr>
              <w:t xml:space="preserve"> 90 </w:t>
            </w:r>
            <w:r>
              <w:rPr>
                <w:rFonts w:hint="eastAsia" w:ascii="宋体" w:hAnsi="宋体" w:cs="宋体"/>
                <w:color w:val="auto"/>
                <w:sz w:val="21"/>
                <w:szCs w:val="21"/>
                <w:highlight w:val="none"/>
              </w:rPr>
              <w:t>天</w:t>
            </w:r>
          </w:p>
        </w:tc>
      </w:tr>
      <w:tr w14:paraId="1F8B7D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1EABA064">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4583" w:type="pct"/>
            <w:tcBorders>
              <w:top w:val="single" w:color="auto" w:sz="4" w:space="0"/>
              <w:bottom w:val="single" w:color="auto" w:sz="4" w:space="0"/>
            </w:tcBorders>
            <w:noWrap w:val="0"/>
            <w:vAlign w:val="center"/>
          </w:tcPr>
          <w:p w14:paraId="7B099607">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投标文件：</w:t>
            </w:r>
          </w:p>
          <w:p w14:paraId="6BDF53C8">
            <w:pPr>
              <w:spacing w:line="400" w:lineRule="exact"/>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1、上传到政府采购云平台的电子投标文件（含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、商务技术文件、报价文件）1份。</w:t>
            </w:r>
          </w:p>
          <w:p w14:paraId="1FEDCA1F">
            <w:pPr>
              <w:spacing w:line="400" w:lineRule="exact"/>
              <w:rPr>
                <w:rFonts w:hint="eastAsia" w:ascii="宋体" w:hAnsi="宋体" w:cs="宋体"/>
                <w:i/>
                <w:color w:val="auto"/>
                <w:sz w:val="21"/>
                <w:szCs w:val="21"/>
                <w:highlight w:val="none"/>
              </w:rPr>
            </w:pPr>
            <w:r>
              <w:rPr>
                <w:rFonts w:hint="eastAsia" w:ascii="宋体" w:hAnsi="宋体" w:cs="宋体"/>
                <w:color w:val="auto"/>
                <w:sz w:val="21"/>
                <w:szCs w:val="21"/>
                <w:highlight w:val="none"/>
              </w:rPr>
              <w:t>2、以U盘存储的电子备份投标文件（含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、商务技术文件、报价文件）1份（自愿提供，用于异常情况处理）。</w:t>
            </w:r>
          </w:p>
        </w:tc>
      </w:tr>
      <w:tr w14:paraId="6FD6CF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600868AE">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4583" w:type="pct"/>
            <w:tcBorders>
              <w:top w:val="single" w:color="auto" w:sz="4" w:space="0"/>
              <w:bottom w:val="single" w:color="auto" w:sz="4" w:space="0"/>
            </w:tcBorders>
            <w:noWrap w:val="0"/>
            <w:vAlign w:val="center"/>
          </w:tcPr>
          <w:p w14:paraId="6E14C4CB">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投标截止时间及地点：详见第一章 招标公告。</w:t>
            </w:r>
          </w:p>
        </w:tc>
      </w:tr>
      <w:tr w14:paraId="2D98FFA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01DF0EA5">
            <w:pPr>
              <w:spacing w:line="400" w:lineRule="exact"/>
              <w:jc w:val="center"/>
              <w:rPr>
                <w:rFonts w:hint="eastAsia" w:ascii="宋体" w:hAnsi="宋体" w:cs="宋体"/>
                <w:color w:val="auto"/>
                <w:sz w:val="21"/>
                <w:szCs w:val="21"/>
                <w:highlight w:val="none"/>
              </w:rPr>
            </w:pPr>
            <w:bookmarkStart w:id="23" w:name="_Toc137008679"/>
            <w:bookmarkStart w:id="24" w:name="_Toc479861548"/>
            <w:r>
              <w:rPr>
                <w:rFonts w:hint="eastAsia" w:ascii="宋体" w:hAnsi="宋体" w:cs="宋体"/>
                <w:color w:val="auto"/>
                <w:sz w:val="21"/>
                <w:szCs w:val="21"/>
                <w:highlight w:val="none"/>
              </w:rPr>
              <w:t>14</w:t>
            </w:r>
          </w:p>
        </w:tc>
        <w:tc>
          <w:tcPr>
            <w:tcW w:w="4583" w:type="pct"/>
            <w:tcBorders>
              <w:top w:val="single" w:color="auto" w:sz="4" w:space="0"/>
              <w:bottom w:val="single" w:color="auto" w:sz="4" w:space="0"/>
            </w:tcBorders>
            <w:noWrap w:val="0"/>
            <w:vAlign w:val="center"/>
          </w:tcPr>
          <w:p w14:paraId="3502B960">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开标时间及地点：详见第一章 招标公告。</w:t>
            </w:r>
          </w:p>
        </w:tc>
      </w:tr>
      <w:tr w14:paraId="2BDAEE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263A649D">
            <w:pPr>
              <w:spacing w:line="400" w:lineRule="exact"/>
              <w:jc w:val="center"/>
              <w:outlineLvl w:val="1"/>
              <w:rPr>
                <w:rFonts w:hint="eastAsia" w:ascii="宋体" w:hAnsi="宋体" w:cs="宋体"/>
                <w:b/>
                <w:color w:val="auto"/>
                <w:sz w:val="21"/>
                <w:szCs w:val="21"/>
                <w:highlight w:val="none"/>
              </w:rPr>
            </w:pPr>
            <w:bookmarkStart w:id="25" w:name="_Toc14428"/>
            <w:bookmarkStart w:id="26" w:name="_Toc6796"/>
            <w:bookmarkStart w:id="27" w:name="_Toc105900518"/>
            <w:r>
              <w:rPr>
                <w:rFonts w:hint="eastAsia" w:ascii="宋体" w:hAnsi="宋体" w:cs="宋体"/>
                <w:b/>
                <w:color w:val="auto"/>
                <w:sz w:val="21"/>
                <w:szCs w:val="21"/>
                <w:highlight w:val="none"/>
              </w:rPr>
              <w:t>商务要求条款</w:t>
            </w:r>
            <w:bookmarkEnd w:id="23"/>
            <w:bookmarkEnd w:id="24"/>
            <w:bookmarkEnd w:id="25"/>
            <w:bookmarkEnd w:id="26"/>
            <w:bookmarkEnd w:id="27"/>
          </w:p>
        </w:tc>
      </w:tr>
      <w:tr w14:paraId="675B390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59D3F2F4">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4583" w:type="pct"/>
            <w:tcBorders>
              <w:top w:val="single" w:color="auto" w:sz="4" w:space="0"/>
              <w:left w:val="single" w:color="auto" w:sz="4" w:space="0"/>
              <w:bottom w:val="single" w:color="auto" w:sz="4" w:space="0"/>
            </w:tcBorders>
            <w:noWrap w:val="0"/>
            <w:vAlign w:val="center"/>
          </w:tcPr>
          <w:p w14:paraId="63FA9993">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交货期：</w:t>
            </w:r>
            <w:r>
              <w:rPr>
                <w:rFonts w:hint="eastAsia" w:ascii="宋体" w:hAnsi="宋体" w:cs="宋体"/>
                <w:color w:val="auto"/>
                <w:sz w:val="21"/>
                <w:szCs w:val="21"/>
                <w:highlight w:val="none"/>
                <w:lang w:eastAsia="zh-CN"/>
              </w:rPr>
              <w:t>合同签订之日后</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eastAsia="zh-CN"/>
              </w:rPr>
              <w:t>日历天内交货并安装完毕。</w:t>
            </w:r>
          </w:p>
        </w:tc>
      </w:tr>
      <w:tr w14:paraId="33D7F7E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408C43D2">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4583" w:type="pct"/>
            <w:tcBorders>
              <w:top w:val="single" w:color="auto" w:sz="4" w:space="0"/>
              <w:left w:val="single" w:color="auto" w:sz="4" w:space="0"/>
              <w:bottom w:val="single" w:color="auto" w:sz="4" w:space="0"/>
            </w:tcBorders>
            <w:noWrap w:val="0"/>
            <w:vAlign w:val="center"/>
          </w:tcPr>
          <w:p w14:paraId="149ED95A">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交货地点：</w:t>
            </w:r>
            <w:r>
              <w:rPr>
                <w:rFonts w:hint="eastAsia" w:ascii="宋体" w:hAnsi="宋体" w:cs="宋体"/>
                <w:color w:val="auto"/>
                <w:kern w:val="0"/>
                <w:sz w:val="21"/>
                <w:szCs w:val="21"/>
                <w:highlight w:val="none"/>
                <w:lang w:eastAsia="zh-CN" w:bidi="ar"/>
              </w:rPr>
              <w:t>宁波高新区求精书院</w:t>
            </w:r>
            <w:r>
              <w:rPr>
                <w:rFonts w:hint="eastAsia" w:ascii="宋体" w:hAnsi="宋体" w:cs="宋体"/>
                <w:color w:val="auto"/>
                <w:kern w:val="0"/>
                <w:sz w:val="21"/>
                <w:szCs w:val="21"/>
                <w:highlight w:val="none"/>
                <w:lang w:bidi="ar"/>
              </w:rPr>
              <w:t>（具体由招标人指定）。</w:t>
            </w:r>
          </w:p>
        </w:tc>
      </w:tr>
      <w:tr w14:paraId="649FFEF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1DFB06A5">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4583" w:type="pct"/>
            <w:tcBorders>
              <w:top w:val="single" w:color="auto" w:sz="4" w:space="0"/>
              <w:bottom w:val="single" w:color="auto" w:sz="4" w:space="0"/>
            </w:tcBorders>
            <w:noWrap w:val="0"/>
            <w:vAlign w:val="center"/>
          </w:tcPr>
          <w:p w14:paraId="7D5F2F20">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质量标准：达到国家相关质量验收标准。</w:t>
            </w:r>
          </w:p>
        </w:tc>
      </w:tr>
      <w:tr w14:paraId="4C2887B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27DE0CC9">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18</w:t>
            </w:r>
          </w:p>
        </w:tc>
        <w:tc>
          <w:tcPr>
            <w:tcW w:w="4583" w:type="pct"/>
            <w:tcBorders>
              <w:top w:val="single" w:color="auto" w:sz="4" w:space="0"/>
              <w:left w:val="single" w:color="auto" w:sz="4" w:space="0"/>
              <w:bottom w:val="single" w:color="auto" w:sz="4" w:space="0"/>
            </w:tcBorders>
            <w:noWrap w:val="0"/>
            <w:vAlign w:val="center"/>
          </w:tcPr>
          <w:p w14:paraId="70540977">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质量保证期（或保修期）：从货物验收合格之日起</w:t>
            </w:r>
            <w:r>
              <w:rPr>
                <w:rFonts w:hint="eastAsia" w:ascii="宋体" w:hAnsi="宋体" w:cs="宋体"/>
                <w:color w:val="auto"/>
                <w:kern w:val="0"/>
                <w:sz w:val="21"/>
                <w:szCs w:val="21"/>
                <w:highlight w:val="none"/>
                <w:lang w:val="en-US" w:eastAsia="zh-CN" w:bidi="ar"/>
              </w:rPr>
              <w:t>24</w:t>
            </w:r>
            <w:r>
              <w:rPr>
                <w:rFonts w:hint="eastAsia" w:ascii="宋体" w:hAnsi="宋体" w:cs="宋体"/>
                <w:color w:val="auto"/>
                <w:kern w:val="0"/>
                <w:sz w:val="21"/>
                <w:szCs w:val="21"/>
                <w:highlight w:val="none"/>
                <w:lang w:bidi="ar"/>
              </w:rPr>
              <w:t>个月；</w:t>
            </w:r>
          </w:p>
          <w:p w14:paraId="15DE00D3">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质保期内被免费更换的零部件质量保证：自更换之日起计</w:t>
            </w:r>
            <w:r>
              <w:rPr>
                <w:rFonts w:hint="eastAsia" w:ascii="宋体" w:hAnsi="宋体" w:cs="宋体"/>
                <w:color w:val="auto"/>
                <w:kern w:val="0"/>
                <w:sz w:val="21"/>
                <w:szCs w:val="21"/>
                <w:highlight w:val="none"/>
                <w:lang w:val="en-US" w:eastAsia="zh-CN" w:bidi="ar"/>
              </w:rPr>
              <w:t>24</w:t>
            </w:r>
            <w:r>
              <w:rPr>
                <w:rFonts w:hint="eastAsia" w:ascii="宋体" w:hAnsi="宋体" w:cs="宋体"/>
                <w:color w:val="auto"/>
                <w:kern w:val="0"/>
                <w:sz w:val="21"/>
                <w:szCs w:val="21"/>
                <w:highlight w:val="none"/>
                <w:lang w:bidi="ar"/>
              </w:rPr>
              <w:t>个月；</w:t>
            </w:r>
          </w:p>
          <w:p w14:paraId="5D6816B1">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中标供应商应保证合同项下所发产品完全是崭新的未曾使用过的且所有部件的生产日期为近一年内。在质量保证期内，中标供应商应负责修理和替换不合格的部件并承担一切费用，包括部件调换的内陆运输费用，急用部件应免费空运。</w:t>
            </w:r>
          </w:p>
        </w:tc>
      </w:tr>
      <w:tr w14:paraId="73FA622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2361DFD7">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19</w:t>
            </w:r>
          </w:p>
        </w:tc>
        <w:tc>
          <w:tcPr>
            <w:tcW w:w="4583" w:type="pct"/>
            <w:tcBorders>
              <w:top w:val="single" w:color="auto" w:sz="4" w:space="0"/>
              <w:left w:val="single" w:color="auto" w:sz="4" w:space="0"/>
              <w:bottom w:val="single" w:color="auto" w:sz="4" w:space="0"/>
            </w:tcBorders>
            <w:noWrap w:val="0"/>
            <w:vAlign w:val="center"/>
          </w:tcPr>
          <w:p w14:paraId="57096D56">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bidi="ar"/>
              </w:rPr>
              <w:t>履约保证金：</w:t>
            </w:r>
            <w:r>
              <w:rPr>
                <w:rFonts w:hint="eastAsia" w:ascii="宋体" w:hAnsi="宋体" w:cs="宋体"/>
                <w:color w:val="auto"/>
                <w:kern w:val="0"/>
                <w:sz w:val="21"/>
                <w:szCs w:val="21"/>
                <w:highlight w:val="none"/>
                <w:lang w:val="en-US" w:eastAsia="zh-CN" w:bidi="ar"/>
              </w:rPr>
              <w:t>/</w:t>
            </w:r>
          </w:p>
        </w:tc>
      </w:tr>
      <w:tr w14:paraId="336DC30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6C3D370C">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w:t>
            </w:r>
          </w:p>
        </w:tc>
        <w:tc>
          <w:tcPr>
            <w:tcW w:w="4583" w:type="pct"/>
            <w:tcBorders>
              <w:top w:val="single" w:color="auto" w:sz="4" w:space="0"/>
              <w:left w:val="single" w:color="auto" w:sz="4" w:space="0"/>
              <w:bottom w:val="single" w:color="auto" w:sz="4" w:space="0"/>
            </w:tcBorders>
            <w:noWrap w:val="0"/>
            <w:vAlign w:val="center"/>
          </w:tcPr>
          <w:p w14:paraId="5F96D9AC">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付款方法和条件：</w:t>
            </w:r>
          </w:p>
          <w:p w14:paraId="3E2C7657">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（1）合同签订生效并具备实施条件后7个工作日内，招标人预付合同总价的40%；</w:t>
            </w:r>
          </w:p>
          <w:p w14:paraId="58E5D1A9">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（2）项目调试安装完毕经招标人验收合格后，招标人自收到发票后7个工作日内支付中标供应商合同总价的60%。</w:t>
            </w:r>
          </w:p>
          <w:p w14:paraId="12D9DF38">
            <w:pPr>
              <w:widowControl/>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bidi="ar"/>
              </w:rPr>
              <w:t>如</w:t>
            </w:r>
            <w:r>
              <w:rPr>
                <w:rFonts w:hint="eastAsia" w:ascii="宋体" w:hAnsi="宋体" w:cs="宋体"/>
                <w:color w:val="auto"/>
                <w:kern w:val="0"/>
                <w:sz w:val="21"/>
                <w:szCs w:val="21"/>
                <w:highlight w:val="none"/>
                <w:lang w:bidi="ar"/>
              </w:rPr>
              <w:t>中标供应商</w:t>
            </w:r>
            <w:r>
              <w:rPr>
                <w:rFonts w:hint="eastAsia" w:ascii="宋体" w:hAnsi="宋体" w:cs="宋体"/>
                <w:color w:val="auto"/>
                <w:kern w:val="0"/>
                <w:sz w:val="21"/>
                <w:szCs w:val="21"/>
                <w:highlight w:val="none"/>
                <w:lang w:val="en-US" w:bidi="ar"/>
              </w:rPr>
              <w:t>为中小微企业，验收合格后7个工作日内付清余款；如</w:t>
            </w:r>
            <w:r>
              <w:rPr>
                <w:rFonts w:hint="eastAsia" w:ascii="宋体" w:hAnsi="宋体" w:cs="宋体"/>
                <w:color w:val="auto"/>
                <w:kern w:val="0"/>
                <w:sz w:val="21"/>
                <w:szCs w:val="21"/>
                <w:highlight w:val="none"/>
                <w:lang w:bidi="ar"/>
              </w:rPr>
              <w:t>中标供应商</w:t>
            </w:r>
            <w:r>
              <w:rPr>
                <w:rFonts w:hint="eastAsia" w:ascii="宋体" w:hAnsi="宋体" w:cs="宋体"/>
                <w:color w:val="auto"/>
                <w:kern w:val="0"/>
                <w:sz w:val="21"/>
                <w:szCs w:val="21"/>
                <w:highlight w:val="none"/>
                <w:lang w:val="en-US" w:bidi="ar"/>
              </w:rPr>
              <w:t>为大型企业，验收合格后15日内付清余款。</w:t>
            </w:r>
          </w:p>
        </w:tc>
      </w:tr>
      <w:tr w14:paraId="6158225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4260CACC">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w:t>
            </w:r>
          </w:p>
        </w:tc>
        <w:tc>
          <w:tcPr>
            <w:tcW w:w="4583" w:type="pct"/>
            <w:tcBorders>
              <w:top w:val="single" w:color="auto" w:sz="4" w:space="0"/>
              <w:left w:val="single" w:color="auto" w:sz="4" w:space="0"/>
              <w:bottom w:val="single" w:color="auto" w:sz="4" w:space="0"/>
            </w:tcBorders>
            <w:noWrap w:val="0"/>
            <w:vAlign w:val="center"/>
          </w:tcPr>
          <w:p w14:paraId="32C47EC4">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授予合同：按照招标文件的规定、中标供应商的投标响应及中标通知书确定的金额签订合同。</w:t>
            </w:r>
          </w:p>
        </w:tc>
      </w:tr>
      <w:tr w14:paraId="29C80F7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423F4808">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w:t>
            </w:r>
          </w:p>
        </w:tc>
        <w:tc>
          <w:tcPr>
            <w:tcW w:w="4583" w:type="pct"/>
            <w:tcBorders>
              <w:top w:val="single" w:color="auto" w:sz="4" w:space="0"/>
              <w:left w:val="single" w:color="auto" w:sz="4" w:space="0"/>
              <w:bottom w:val="single" w:color="auto" w:sz="4" w:space="0"/>
            </w:tcBorders>
            <w:noWrap w:val="0"/>
            <w:vAlign w:val="center"/>
          </w:tcPr>
          <w:p w14:paraId="34AF6856">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合同签订时间要求：中标通知书发出后30日内签订。</w:t>
            </w:r>
          </w:p>
        </w:tc>
      </w:tr>
      <w:tr w14:paraId="5D469D9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0BE482FA">
            <w:pPr>
              <w:spacing w:line="400" w:lineRule="exact"/>
              <w:jc w:val="center"/>
              <w:rPr>
                <w:rFonts w:hint="default" w:ascii="宋体" w:hAnsi="宋体" w:eastAsia="宋体" w:cs="宋体"/>
                <w:color w:val="auto"/>
                <w:sz w:val="21"/>
                <w:szCs w:val="21"/>
                <w:highlight w:val="none"/>
                <w:lang w:val="en-US" w:eastAsia="zh-CN"/>
              </w:rPr>
            </w:pPr>
            <w:bookmarkStart w:id="28" w:name="_Toc137008681"/>
            <w:bookmarkStart w:id="29" w:name="_Toc11875"/>
            <w:bookmarkStart w:id="30" w:name="_Toc105900519"/>
            <w:bookmarkStart w:id="31" w:name="_Toc26471"/>
            <w:bookmarkStart w:id="32" w:name="_Toc479861549"/>
            <w:r>
              <w:rPr>
                <w:rFonts w:hint="eastAsia" w:ascii="宋体" w:hAnsi="宋体" w:eastAsia="宋体" w:cs="宋体"/>
                <w:color w:val="auto"/>
                <w:sz w:val="21"/>
                <w:szCs w:val="21"/>
                <w:highlight w:val="none"/>
                <w:lang w:val="en-US" w:eastAsia="zh-CN"/>
              </w:rPr>
              <w:t>23</w:t>
            </w:r>
          </w:p>
        </w:tc>
        <w:tc>
          <w:tcPr>
            <w:tcW w:w="4583" w:type="pct"/>
            <w:tcBorders>
              <w:top w:val="single" w:color="auto" w:sz="4" w:space="0"/>
              <w:left w:val="single" w:color="auto" w:sz="4" w:space="0"/>
              <w:bottom w:val="single" w:color="auto" w:sz="4" w:space="0"/>
            </w:tcBorders>
            <w:noWrap w:val="0"/>
            <w:vAlign w:val="center"/>
          </w:tcPr>
          <w:p w14:paraId="031AEEAD">
            <w:pPr>
              <w:widowControl/>
              <w:jc w:val="left"/>
              <w:textAlignment w:val="center"/>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21"/>
                <w:szCs w:val="21"/>
                <w:highlight w:val="none"/>
                <w:lang w:val="en-US" w:eastAsia="zh-CN"/>
              </w:rPr>
              <w:t>搬运安装过程中造成原建筑设施、室外道路、绿化、墙体、门窗、锁具等损坏及下水道堵塞的，由中标供应商进行修复或按实赔偿，或由采购人委托第三方修复，所产生费用由中标供应商支付。</w:t>
            </w:r>
          </w:p>
        </w:tc>
      </w:tr>
      <w:tr w14:paraId="343FCF6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3B787E0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其他注意事项</w:t>
            </w:r>
          </w:p>
        </w:tc>
      </w:tr>
      <w:tr w14:paraId="748CB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shd w:val="clear" w:color="auto" w:fill="auto"/>
            <w:noWrap w:val="0"/>
            <w:vAlign w:val="center"/>
          </w:tcPr>
          <w:p w14:paraId="20D25AF2">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4583" w:type="pct"/>
            <w:tcBorders>
              <w:top w:val="single" w:color="auto" w:sz="4" w:space="0"/>
              <w:left w:val="single" w:color="auto" w:sz="4" w:space="0"/>
              <w:bottom w:val="single" w:color="auto" w:sz="4" w:space="0"/>
            </w:tcBorders>
            <w:shd w:val="clear" w:color="auto" w:fill="auto"/>
            <w:noWrap w:val="0"/>
            <w:vAlign w:val="center"/>
          </w:tcPr>
          <w:p w14:paraId="24763541">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①投标人应遵循诚实信用原则在投标（响应）文件中提供真实材料。投标人应事先在公开官网查询、核对相关证书和报告内容，确保投标（响应）文件资料准确无误。</w:t>
            </w:r>
          </w:p>
          <w:p w14:paraId="2021697E">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②在评审结束后、合同签订前，采购人、采购代理机构将通过网站查询、原件核对等方式对中标（成交）供应商在投标（响应）文件中涉及客观分评审内容的检测报告、认证证书等资料的真实性进行复核。发现投标人提供虚假材料的，将及时书面报告本级财政部门，由财政部门依法进行处理。</w:t>
            </w:r>
          </w:p>
        </w:tc>
      </w:tr>
      <w:tr w14:paraId="1F658BF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322A4230">
            <w:pPr>
              <w:spacing w:line="400" w:lineRule="exact"/>
              <w:jc w:val="center"/>
              <w:outlineLvl w:val="1"/>
              <w:rPr>
                <w:rFonts w:hint="eastAsia" w:ascii="宋体" w:hAnsi="宋体" w:cs="宋体"/>
                <w:color w:val="auto"/>
                <w:sz w:val="21"/>
                <w:szCs w:val="21"/>
                <w:highlight w:val="none"/>
              </w:rPr>
            </w:pPr>
            <w:r>
              <w:rPr>
                <w:rFonts w:hint="eastAsia" w:ascii="宋体" w:hAnsi="宋体" w:cs="宋体"/>
                <w:b/>
                <w:color w:val="auto"/>
                <w:sz w:val="21"/>
                <w:szCs w:val="21"/>
                <w:highlight w:val="none"/>
              </w:rPr>
              <w:t>招标服务费</w:t>
            </w:r>
            <w:bookmarkEnd w:id="28"/>
            <w:bookmarkEnd w:id="29"/>
            <w:bookmarkEnd w:id="30"/>
            <w:bookmarkEnd w:id="31"/>
            <w:bookmarkEnd w:id="32"/>
          </w:p>
        </w:tc>
      </w:tr>
      <w:tr w14:paraId="76366D2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63D2E4A8">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本项目</w:t>
            </w:r>
            <w:r>
              <w:rPr>
                <w:rFonts w:hint="eastAsia" w:ascii="宋体" w:hAnsi="宋体" w:cs="宋体"/>
                <w:color w:val="auto"/>
                <w:sz w:val="21"/>
                <w:szCs w:val="21"/>
                <w:highlight w:val="none"/>
              </w:rPr>
              <w:t>向中标供应商收取招标服务费：</w:t>
            </w:r>
            <w:r>
              <w:rPr>
                <w:rFonts w:hint="eastAsia" w:ascii="宋体" w:hAnsi="宋体" w:cs="宋体"/>
                <w:color w:val="auto"/>
                <w:sz w:val="21"/>
                <w:szCs w:val="21"/>
                <w:highlight w:val="none"/>
                <w:lang w:val="en-US" w:eastAsia="zh-CN"/>
              </w:rPr>
              <w:t>6360</w:t>
            </w:r>
            <w:r>
              <w:rPr>
                <w:rFonts w:hint="eastAsia" w:ascii="宋体" w:hAnsi="宋体" w:cs="宋体"/>
                <w:color w:val="auto"/>
                <w:sz w:val="21"/>
                <w:szCs w:val="21"/>
                <w:highlight w:val="none"/>
              </w:rPr>
              <w:t>.00</w:t>
            </w:r>
            <w:r>
              <w:rPr>
                <w:rFonts w:hint="eastAsia" w:ascii="宋体" w:hAnsi="宋体" w:cs="宋体"/>
                <w:color w:val="auto"/>
                <w:sz w:val="21"/>
                <w:szCs w:val="21"/>
                <w:highlight w:val="none"/>
                <w:lang w:val="en-US" w:eastAsia="zh-CN"/>
              </w:rPr>
              <w:t>元</w:t>
            </w:r>
          </w:p>
          <w:p w14:paraId="3D9098CE">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2、中标供应商应在代理机构发出中标通知书5个工作日内向本代理机构支付招标代理服务费。</w:t>
            </w:r>
          </w:p>
          <w:p w14:paraId="6BBBE08F">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3、招标代理服务费收取银行票汇款、电汇款。</w:t>
            </w:r>
          </w:p>
          <w:p w14:paraId="6AD71C00">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账户名称：宁波市国际招标有限公司</w:t>
            </w:r>
          </w:p>
          <w:p w14:paraId="0677A7D3">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开户银行：上海浦东发展银行江北支行</w:t>
            </w:r>
          </w:p>
          <w:p w14:paraId="6261158B">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银行账号：94090154800000191</w:t>
            </w:r>
          </w:p>
        </w:tc>
      </w:tr>
    </w:tbl>
    <w:p w14:paraId="6962CEE6">
      <w:pPr>
        <w:pStyle w:val="12"/>
        <w:ind w:left="0" w:leftChars="0" w:firstLine="0" w:firstLineChars="0"/>
        <w:rPr>
          <w:color w:val="auto"/>
          <w:highlight w:val="none"/>
        </w:rPr>
      </w:pPr>
    </w:p>
    <w:p w14:paraId="49D26E1E">
      <w:pPr>
        <w:rPr>
          <w:color w:val="auto"/>
          <w:highlight w:val="none"/>
        </w:rPr>
      </w:pPr>
    </w:p>
    <w:p w14:paraId="12389CB1">
      <w:pPr>
        <w:spacing w:line="276" w:lineRule="auto"/>
        <w:jc w:val="center"/>
        <w:rPr>
          <w:rFonts w:ascii="宋体"/>
          <w:b/>
          <w:color w:val="auto"/>
          <w:sz w:val="32"/>
          <w:szCs w:val="32"/>
          <w:highlight w:val="none"/>
        </w:rPr>
      </w:pPr>
      <w:bookmarkStart w:id="33" w:name="_Toc86202581"/>
      <w:r>
        <w:rPr>
          <w:rFonts w:hint="eastAsia" w:ascii="宋体"/>
          <w:color w:val="auto"/>
          <w:szCs w:val="24"/>
          <w:highlight w:val="none"/>
        </w:rPr>
        <w:br w:type="page"/>
      </w:r>
      <w:bookmarkStart w:id="34" w:name="_Toc241827236"/>
      <w:bookmarkStart w:id="35" w:name="_Toc86202582"/>
      <w:r>
        <w:rPr>
          <w:rFonts w:hint="eastAsia" w:ascii="宋体"/>
          <w:b/>
          <w:color w:val="auto"/>
          <w:szCs w:val="24"/>
          <w:highlight w:val="none"/>
        </w:rPr>
        <w:t>投标人须知</w:t>
      </w:r>
    </w:p>
    <w:p w14:paraId="6A12CDC8">
      <w:pPr>
        <w:wordWrap w:val="0"/>
        <w:spacing w:line="360" w:lineRule="auto"/>
        <w:ind w:firstLine="422" w:firstLineChars="200"/>
        <w:rPr>
          <w:rFonts w:ascii="宋体" w:hAnsi="宋体" w:cs="宋体"/>
          <w:b/>
          <w:color w:val="auto"/>
          <w:sz w:val="21"/>
          <w:szCs w:val="21"/>
          <w:highlight w:val="none"/>
        </w:rPr>
      </w:pPr>
      <w:bookmarkStart w:id="36" w:name="_Hlt14560612"/>
      <w:bookmarkEnd w:id="36"/>
      <w:bookmarkStart w:id="37" w:name="_Toc177817337"/>
      <w:bookmarkStart w:id="38" w:name="_Toc385992335"/>
      <w:bookmarkStart w:id="39" w:name="_Toc496324582"/>
      <w:bookmarkStart w:id="40" w:name="_Toc239740354"/>
      <w:bookmarkStart w:id="41" w:name="_Toc500747192"/>
      <w:bookmarkStart w:id="42" w:name="_Toc492955418"/>
      <w:bookmarkStart w:id="43" w:name="_Toc230099800"/>
      <w:bookmarkStart w:id="44" w:name="_Toc265738863"/>
      <w:bookmarkStart w:id="45" w:name="_Toc184043022"/>
      <w:bookmarkStart w:id="46" w:name="_Toc500747065"/>
      <w:bookmarkStart w:id="47" w:name="_Toc53722843"/>
      <w:bookmarkStart w:id="48" w:name="_Toc177995476"/>
      <w:bookmarkStart w:id="49" w:name="_Toc232395215"/>
      <w:bookmarkStart w:id="50" w:name="_Toc177189238"/>
      <w:bookmarkStart w:id="51" w:name="_Toc500746969"/>
      <w:bookmarkStart w:id="52" w:name="_Toc176882545"/>
      <w:bookmarkStart w:id="53" w:name="_Toc70687149"/>
      <w:bookmarkStart w:id="54" w:name="_Toc503063425"/>
      <w:bookmarkStart w:id="55" w:name="_Toc235518469"/>
      <w:bookmarkStart w:id="56" w:name="_Toc232176275"/>
      <w:bookmarkStart w:id="57" w:name="_Toc499711887"/>
      <w:bookmarkStart w:id="58" w:name="_Toc389620174"/>
      <w:bookmarkStart w:id="59" w:name="_Toc230013635"/>
      <w:bookmarkStart w:id="60" w:name="_Toc230583544"/>
      <w:bookmarkStart w:id="61" w:name="_Toc499711046"/>
      <w:r>
        <w:rPr>
          <w:rFonts w:hint="eastAsia" w:ascii="宋体" w:hAnsi="宋体" w:cs="宋体"/>
          <w:b/>
          <w:color w:val="auto"/>
          <w:sz w:val="21"/>
          <w:szCs w:val="21"/>
          <w:highlight w:val="none"/>
        </w:rPr>
        <w:t>一、适用范围</w:t>
      </w:r>
    </w:p>
    <w:p w14:paraId="5069204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本采购文件仅适用于本采购项目所叙述的货物和服务的招标、评标、定标、验收、合同履约、付款等（法律、法规另有规定的，从其规定）。</w:t>
      </w:r>
    </w:p>
    <w:p w14:paraId="6449FD57">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二、定义</w:t>
      </w:r>
    </w:p>
    <w:p w14:paraId="6A8449B6">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1、“采购人”系指</w:t>
      </w:r>
      <w:r>
        <w:rPr>
          <w:rFonts w:hint="eastAsia" w:ascii="宋体" w:hAnsi="宋体" w:cs="宋体"/>
          <w:color w:val="auto"/>
          <w:sz w:val="21"/>
          <w:szCs w:val="21"/>
          <w:highlight w:val="none"/>
          <w:lang w:eastAsia="zh-CN"/>
        </w:rPr>
        <w:t>宁波高新区求精书院</w:t>
      </w:r>
      <w:r>
        <w:rPr>
          <w:rFonts w:hint="eastAsia" w:ascii="宋体" w:hAnsi="宋体" w:cs="宋体"/>
          <w:color w:val="auto"/>
          <w:sz w:val="21"/>
          <w:szCs w:val="21"/>
          <w:highlight w:val="none"/>
        </w:rPr>
        <w:t>。</w:t>
      </w:r>
    </w:p>
    <w:p w14:paraId="1532ED3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2、“代理机构”系指宁波市国际招标有限公司。</w:t>
      </w:r>
    </w:p>
    <w:p w14:paraId="3308B03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3、“投标人”系指向采购人提交投标文件的投标人。</w:t>
      </w:r>
    </w:p>
    <w:p w14:paraId="3D92D99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4、“货物”系指供方按采购文件规定承担的设备、备品备件供货等。</w:t>
      </w:r>
    </w:p>
    <w:p w14:paraId="43B75BD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5、“项目”系指投标人按采购文件规定向采购人提供的产品和服务。</w:t>
      </w:r>
    </w:p>
    <w:p w14:paraId="02E76E7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6、“同级政府采购监管部门”系指宁波高新区政府采购管理办公室</w:t>
      </w:r>
      <w:r>
        <w:rPr>
          <w:rFonts w:hint="eastAsia" w:ascii="宋体" w:hAnsi="宋体" w:cs="宋体"/>
          <w:color w:val="auto"/>
          <w:kern w:val="10"/>
          <w:sz w:val="21"/>
          <w:szCs w:val="21"/>
          <w:highlight w:val="none"/>
          <w:lang w:val="zh-CN"/>
        </w:rPr>
        <w:t>。</w:t>
      </w:r>
    </w:p>
    <w:p w14:paraId="6EA0421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”系指实质性响应条款。</w:t>
      </w:r>
    </w:p>
    <w:p w14:paraId="16356EE2">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b/>
          <w:color w:val="auto"/>
          <w:sz w:val="21"/>
          <w:szCs w:val="21"/>
          <w:highlight w:val="none"/>
        </w:rPr>
        <w:t>三、合格的投标人和合格的投标货物或服务</w:t>
      </w:r>
    </w:p>
    <w:p w14:paraId="217C25D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  合格的投标人：详见采购公告.</w:t>
      </w:r>
    </w:p>
    <w:p w14:paraId="2DBE8D0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  合格的投标货物或服务：</w:t>
      </w:r>
    </w:p>
    <w:p w14:paraId="3CD5A59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1.2.1应该是中国境内生产的货物或提供的服务。</w:t>
      </w:r>
    </w:p>
    <w:p w14:paraId="3407264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若投标货物或服务是国家实行许可证制度或生产注册证制度的产品或服务，则应具备相应有效的证书。</w:t>
      </w:r>
    </w:p>
    <w:p w14:paraId="01038DC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招标文件允许采购进口产品的，若投标货物是进口产品，投标人应保证所投产品为可履行合法报通关手续进入中国关境内、在中国海关完税的可合法销售的货物。</w:t>
      </w:r>
    </w:p>
    <w:p w14:paraId="21CB5D5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1.2.2国家规定有标准及规范的，投标货物或服务应按有效的标准及规范执行，应符合国家及招标文件提出的有关技术、质量、安全标准。</w:t>
      </w:r>
    </w:p>
    <w:p w14:paraId="0975CD7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1.2.3投标人应保证所提供的产品或服务免受第三方提出侵犯其知识产权（专利权、商标权、工业设计权及使用权等）的索赔或起诉，否则，由此可能产生的一切法律责任和经济责任均由投标人承担。</w:t>
      </w:r>
    </w:p>
    <w:p w14:paraId="25B80B05">
      <w:pPr>
        <w:wordWrap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1.2.4本项目不允许采购进口产品。</w:t>
      </w:r>
    </w:p>
    <w:p w14:paraId="3804DDFA">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四、其他说明</w:t>
      </w:r>
    </w:p>
    <w:p w14:paraId="27CCD585">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（一）投标费用</w:t>
      </w:r>
    </w:p>
    <w:p w14:paraId="777D38B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无论投标过程和结果如何，投标人自行承担与投标有关的全部费用。</w:t>
      </w:r>
    </w:p>
    <w:p w14:paraId="766571A4">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（二）关于分公司投标</w:t>
      </w:r>
    </w:p>
    <w:p w14:paraId="63F211E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仅允许银行、保险、石油石化、电力、电信、移动、联通等行业分公司投标，但需提供具有法人资格的总公司的营业执照原件扫描件及授权书，授权书须加盖总公司公章。</w:t>
      </w:r>
    </w:p>
    <w:p w14:paraId="49D73FCF">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（三）关于知识产权</w:t>
      </w:r>
    </w:p>
    <w:p w14:paraId="7B70EDA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175BA04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2、投标报价应包含所有应向所有权人支付的专利权、商标权或其它知识产权的一切相关费用。</w:t>
      </w:r>
    </w:p>
    <w:p w14:paraId="19B47BE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14:paraId="7E1783EE">
      <w:pPr>
        <w:wordWrap w:val="0"/>
        <w:spacing w:line="360" w:lineRule="auto"/>
        <w:ind w:firstLine="422" w:firstLineChars="200"/>
        <w:rPr>
          <w:rFonts w:ascii="宋体" w:hAnsi="宋体" w:cs="宋体"/>
          <w:b/>
          <w:color w:val="auto"/>
          <w:sz w:val="21"/>
          <w:szCs w:val="21"/>
          <w:highlight w:val="none"/>
        </w:rPr>
      </w:pPr>
      <w:bookmarkStart w:id="62" w:name="_Toc460857903"/>
      <w:bookmarkStart w:id="63" w:name="_Toc17707916"/>
      <w:bookmarkStart w:id="64" w:name="_Toc23497307"/>
      <w:r>
        <w:rPr>
          <w:rFonts w:hint="eastAsia" w:ascii="宋体" w:hAnsi="宋体" w:cs="宋体"/>
          <w:b/>
          <w:color w:val="auto"/>
          <w:sz w:val="21"/>
          <w:szCs w:val="21"/>
          <w:highlight w:val="none"/>
        </w:rPr>
        <w:t>（四）联合体投标</w:t>
      </w:r>
      <w:bookmarkEnd w:id="62"/>
      <w:bookmarkEnd w:id="63"/>
      <w:bookmarkEnd w:id="64"/>
    </w:p>
    <w:p w14:paraId="122EEDD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本项目不接受联合体投标。</w:t>
      </w:r>
    </w:p>
    <w:p w14:paraId="76C05711">
      <w:pPr>
        <w:wordWrap w:val="0"/>
        <w:spacing w:line="360" w:lineRule="auto"/>
        <w:ind w:firstLine="422" w:firstLineChars="200"/>
        <w:rPr>
          <w:rFonts w:ascii="宋体" w:hAnsi="宋体" w:cs="宋体"/>
          <w:b/>
          <w:color w:val="auto"/>
          <w:sz w:val="21"/>
          <w:szCs w:val="21"/>
          <w:highlight w:val="none"/>
        </w:rPr>
      </w:pPr>
      <w:bookmarkStart w:id="65" w:name="_Toc23497308"/>
      <w:bookmarkStart w:id="66" w:name="_Toc460857904"/>
      <w:bookmarkStart w:id="67" w:name="_Toc17707917"/>
      <w:r>
        <w:rPr>
          <w:rFonts w:hint="eastAsia" w:ascii="宋体" w:hAnsi="宋体" w:cs="宋体"/>
          <w:b/>
          <w:color w:val="auto"/>
          <w:sz w:val="21"/>
          <w:szCs w:val="21"/>
          <w:highlight w:val="none"/>
        </w:rPr>
        <w:t>（五）转包与分包</w:t>
      </w:r>
      <w:bookmarkEnd w:id="65"/>
      <w:bookmarkEnd w:id="66"/>
      <w:bookmarkEnd w:id="67"/>
    </w:p>
    <w:p w14:paraId="219EA14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1.本项目不允许转包、分包。</w:t>
      </w:r>
    </w:p>
    <w:p w14:paraId="7839261D">
      <w:pPr>
        <w:wordWrap w:val="0"/>
        <w:spacing w:line="360" w:lineRule="auto"/>
        <w:ind w:firstLine="422" w:firstLineChars="200"/>
        <w:rPr>
          <w:rFonts w:ascii="宋体" w:hAnsi="宋体" w:cs="宋体"/>
          <w:b/>
          <w:color w:val="auto"/>
          <w:sz w:val="21"/>
          <w:szCs w:val="21"/>
          <w:highlight w:val="none"/>
        </w:rPr>
      </w:pPr>
      <w:bookmarkStart w:id="68" w:name="_Toc23497309"/>
      <w:bookmarkStart w:id="69" w:name="_Toc460857905"/>
      <w:bookmarkStart w:id="70" w:name="_Toc460416345"/>
      <w:bookmarkStart w:id="71" w:name="_Toc460416601"/>
      <w:bookmarkStart w:id="72" w:name="_Toc460416650"/>
      <w:bookmarkStart w:id="73" w:name="_Toc17707918"/>
      <w:r>
        <w:rPr>
          <w:rFonts w:hint="eastAsia" w:ascii="宋体" w:hAnsi="宋体" w:cs="宋体"/>
          <w:b/>
          <w:color w:val="auto"/>
          <w:sz w:val="21"/>
          <w:szCs w:val="21"/>
          <w:highlight w:val="none"/>
        </w:rPr>
        <w:t>（六）特别说明</w:t>
      </w:r>
      <w:bookmarkEnd w:id="68"/>
      <w:bookmarkEnd w:id="69"/>
      <w:bookmarkEnd w:id="70"/>
      <w:bookmarkEnd w:id="71"/>
      <w:bookmarkEnd w:id="72"/>
      <w:bookmarkEnd w:id="73"/>
    </w:p>
    <w:p w14:paraId="203C40D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1.投标人应仔细阅读采购文件的所有内容，按照采购文件的要求提交投标文件，并对所提供的全部资料的真实性承担法律责任。</w:t>
      </w:r>
    </w:p>
    <w:p w14:paraId="172513C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在投标活动中提供任何虚假材料，其投标无效，并报监管部门查处；中标后发现的,中标人须依照《中华人民共和国政府采购法》第77条规定赔偿采购人，且民事赔偿并不免除违法投标人的行政与刑事责任。</w:t>
      </w:r>
    </w:p>
    <w:p w14:paraId="7630CE14">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五、投标报价</w:t>
      </w:r>
    </w:p>
    <w:p w14:paraId="237F6F71">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5.1投标报价为投标人为完成本项目，包括但不限于所有设备采购、运输及装卸、安装调试、验收、质保期内的售后服务、利润、税金，及政策性文件规定的各项应有的所有费用。</w:t>
      </w:r>
    </w:p>
    <w:p w14:paraId="66579E0F">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5.2本次公开招标设有最高限价详见投标人须知前附表。</w:t>
      </w:r>
    </w:p>
    <w:p w14:paraId="6704B700">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5.3投标人应详细列明各分项工作相关报价及依据，未列明的相关报价应视为已包含在已列明费用的报价中，采购人将不予单独支付。</w:t>
      </w:r>
    </w:p>
    <w:p w14:paraId="2996F03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5.4结算的货币单位为人民币元。</w:t>
      </w:r>
    </w:p>
    <w:p w14:paraId="52B82F74">
      <w:pPr>
        <w:tabs>
          <w:tab w:val="left" w:pos="525"/>
        </w:tabs>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5.5</w:t>
      </w:r>
      <w:r>
        <w:rPr>
          <w:rFonts w:hint="eastAsia" w:ascii="宋体" w:hAnsi="宋体" w:cs="宋体"/>
          <w:b/>
          <w:color w:val="auto"/>
          <w:sz w:val="21"/>
          <w:szCs w:val="21"/>
          <w:highlight w:val="none"/>
        </w:rPr>
        <w:t>投标文件只允许有一个报价，有选择的或有条件的报价将不予接受。</w:t>
      </w:r>
    </w:p>
    <w:p w14:paraId="577F71EC">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六、投标有效期</w:t>
      </w:r>
    </w:p>
    <w:p w14:paraId="359F6C8F">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1、投标文件从开标之日起，投标有效期为90个日历日。投标有效期不能小于采购文件的要求。</w:t>
      </w:r>
    </w:p>
    <w:p w14:paraId="13789A3F">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2、特殊情况下，采购人可与投标人协商延长投标文件的有效期，这种要求和答复均以书面形式进行。</w:t>
      </w:r>
    </w:p>
    <w:p w14:paraId="72EE188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3、投标人可拒绝接受延期要求。同意延长有效期的投标人不能修改投标文件。</w:t>
      </w:r>
    </w:p>
    <w:p w14:paraId="639B5DF9">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七、投标文件的形式和效力</w:t>
      </w:r>
    </w:p>
    <w:p w14:paraId="6373F88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1、投标文件分为电子投标文件以及备份投标文件，备份投标文件分为以U盘或光盘存储的电子备份投标文件。</w:t>
      </w:r>
    </w:p>
    <w:p w14:paraId="3B4B0856">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2、电子投标文件，按“项目采购-电子招投标操作指南”及本采购文件要求制作，并加密。</w:t>
      </w:r>
    </w:p>
    <w:p w14:paraId="18063A9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3、以U盘或光盘存储的电子备份投标文件，按“项目采购-电子招投标操作指南”制作的电子备份文件。</w:t>
      </w:r>
    </w:p>
    <w:p w14:paraId="27A5812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4、投标文件按本章第八条投标文件的组成编制。</w:t>
      </w:r>
    </w:p>
    <w:p w14:paraId="6279FF8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5、投标文件填写字迹必须清楚、工整，对不同文字文本投标文件的解释发生异议的，以中文文本为准。</w:t>
      </w:r>
    </w:p>
    <w:p w14:paraId="6272FDC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6、投标文件的效力</w:t>
      </w:r>
    </w:p>
    <w:p w14:paraId="5AAB844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投标文件的启用，按先后顺位分别为电子投标文件、以U盘或光盘存储的电子备份投标文件。在下一顺位的投标文件启用时，前一顺位的投标文件自动失效。</w:t>
      </w:r>
    </w:p>
    <w:p w14:paraId="4082141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电子投标文件未能按时解密，投标人提供了电子备份投标文件，以电子备份投标文件作为依据，否则视为投标文件撤回。电子投标文件已按时解密的，电子备份投标文件自动失效。</w:t>
      </w:r>
    </w:p>
    <w:p w14:paraId="20BF22C2">
      <w:pPr>
        <w:wordWrap w:val="0"/>
        <w:spacing w:line="360" w:lineRule="auto"/>
        <w:ind w:firstLine="422" w:firstLineChars="200"/>
        <w:rPr>
          <w:rFonts w:ascii="宋体" w:hAnsi="宋体" w:cs="宋体"/>
          <w:b/>
          <w:bCs/>
          <w:color w:val="auto"/>
          <w:sz w:val="21"/>
          <w:szCs w:val="21"/>
          <w:highlight w:val="none"/>
        </w:rPr>
      </w:pPr>
      <w:bookmarkStart w:id="74" w:name="_Hlk23147633"/>
      <w:bookmarkStart w:id="75" w:name="_Hlk23150950"/>
      <w:r>
        <w:rPr>
          <w:rFonts w:hint="eastAsia" w:ascii="宋体" w:hAnsi="宋体" w:cs="宋体"/>
          <w:b/>
          <w:bCs/>
          <w:color w:val="auto"/>
          <w:sz w:val="21"/>
          <w:szCs w:val="21"/>
          <w:highlight w:val="none"/>
        </w:rPr>
        <w:t>八、投标文件的组成和份数</w:t>
      </w:r>
    </w:p>
    <w:p w14:paraId="3CB3846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1、投标文件的组成：</w:t>
      </w:r>
    </w:p>
    <w:p w14:paraId="397713AE">
      <w:pPr>
        <w:wordWrap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A、第一册：</w:t>
      </w:r>
      <w:r>
        <w:rPr>
          <w:rFonts w:hint="eastAsia" w:ascii="宋体" w:hAnsi="宋体" w:cs="宋体"/>
          <w:b/>
          <w:bCs/>
          <w:color w:val="auto"/>
          <w:sz w:val="21"/>
          <w:szCs w:val="21"/>
          <w:highlight w:val="none"/>
          <w:lang w:eastAsia="zh-CN"/>
        </w:rPr>
        <w:t>资格文件</w:t>
      </w:r>
    </w:p>
    <w:p w14:paraId="7D8C5EE3">
      <w:pPr>
        <w:spacing w:line="360" w:lineRule="auto"/>
        <w:ind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A1、关于资格的承诺函（格式见附件）；</w:t>
      </w:r>
    </w:p>
    <w:p w14:paraId="32A05FE5">
      <w:pPr>
        <w:spacing w:line="360" w:lineRule="auto"/>
        <w:ind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A2、营业执照副本（或事业法人登记证副本或其他登记证明材料）扫描件加盖投标人公章（投标人如果有名称变更的，应提供由行政主管部门出具的变更证明文件扫描件加盖投标人公章）；</w:t>
      </w:r>
    </w:p>
    <w:p w14:paraId="45BA301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A</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、投标人认为需要的其他资料（如有需提供）。</w:t>
      </w:r>
    </w:p>
    <w:p w14:paraId="6DD6F0A3">
      <w:pPr>
        <w:wordWrap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B、第二册：商务和技术文件</w:t>
      </w:r>
    </w:p>
    <w:p w14:paraId="1D7110A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自评分表</w:t>
      </w:r>
    </w:p>
    <w:p w14:paraId="38A2EE9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B1、投标书；</w:t>
      </w:r>
    </w:p>
    <w:p w14:paraId="1CBC0A2E">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B2、法定代表人身份证明；</w:t>
      </w:r>
    </w:p>
    <w:p w14:paraId="30B67D9E">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B3、法定代表人授权书；</w:t>
      </w:r>
    </w:p>
    <w:p w14:paraId="1CFA33AE">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B4、投标人一般情况表；</w:t>
      </w:r>
    </w:p>
    <w:p w14:paraId="068CAF5A">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B5、技术条款</w:t>
      </w:r>
      <w:r>
        <w:rPr>
          <w:rFonts w:hint="eastAsia" w:ascii="宋体"/>
          <w:color w:val="auto"/>
          <w:sz w:val="21"/>
          <w:szCs w:val="21"/>
          <w:highlight w:val="none"/>
          <w:lang w:val="en-US" w:eastAsia="zh-CN"/>
        </w:rPr>
        <w:t>偏离</w:t>
      </w:r>
      <w:r>
        <w:rPr>
          <w:rFonts w:hint="eastAsia" w:ascii="宋体"/>
          <w:color w:val="auto"/>
          <w:sz w:val="21"/>
          <w:szCs w:val="21"/>
          <w:highlight w:val="none"/>
        </w:rPr>
        <w:t>表；</w:t>
      </w:r>
    </w:p>
    <w:p w14:paraId="6A81085C">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B6、商务条款</w:t>
      </w:r>
      <w:r>
        <w:rPr>
          <w:rFonts w:hint="eastAsia" w:ascii="宋体"/>
          <w:color w:val="auto"/>
          <w:sz w:val="21"/>
          <w:szCs w:val="21"/>
          <w:highlight w:val="none"/>
          <w:lang w:val="en-US" w:eastAsia="zh-CN"/>
        </w:rPr>
        <w:t>偏离</w:t>
      </w:r>
      <w:r>
        <w:rPr>
          <w:rFonts w:hint="eastAsia" w:ascii="宋体"/>
          <w:color w:val="auto"/>
          <w:sz w:val="21"/>
          <w:szCs w:val="21"/>
          <w:highlight w:val="none"/>
        </w:rPr>
        <w:t>表；</w:t>
      </w:r>
    </w:p>
    <w:p w14:paraId="6638E601">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B7、采购清单及技术要求</w:t>
      </w:r>
      <w:r>
        <w:rPr>
          <w:rFonts w:hint="eastAsia" w:ascii="宋体"/>
          <w:color w:val="auto"/>
          <w:sz w:val="21"/>
          <w:szCs w:val="21"/>
          <w:highlight w:val="none"/>
          <w:lang w:val="en-US" w:eastAsia="zh-CN"/>
        </w:rPr>
        <w:t>响应表</w:t>
      </w:r>
      <w:r>
        <w:rPr>
          <w:rFonts w:hint="eastAsia" w:ascii="宋体"/>
          <w:color w:val="auto"/>
          <w:sz w:val="21"/>
          <w:szCs w:val="21"/>
          <w:highlight w:val="none"/>
        </w:rPr>
        <w:t>；</w:t>
      </w:r>
    </w:p>
    <w:p w14:paraId="00B67CC6">
      <w:pPr>
        <w:wordWrap w:val="0"/>
        <w:spacing w:line="360" w:lineRule="auto"/>
        <w:ind w:firstLine="420" w:firstLineChars="200"/>
        <w:rPr>
          <w:rFonts w:hint="eastAsia" w:ascii="宋体"/>
          <w:color w:val="auto"/>
          <w:sz w:val="21"/>
          <w:szCs w:val="21"/>
          <w:highlight w:val="none"/>
        </w:rPr>
      </w:pPr>
      <w:r>
        <w:rPr>
          <w:rFonts w:hint="eastAsia" w:ascii="宋体"/>
          <w:color w:val="auto"/>
          <w:sz w:val="21"/>
          <w:szCs w:val="21"/>
          <w:highlight w:val="none"/>
        </w:rPr>
        <w:t>B</w:t>
      </w:r>
      <w:r>
        <w:rPr>
          <w:rFonts w:hint="eastAsia" w:ascii="宋体"/>
          <w:color w:val="auto"/>
          <w:sz w:val="21"/>
          <w:szCs w:val="21"/>
          <w:highlight w:val="none"/>
          <w:lang w:val="en-US" w:eastAsia="zh-CN"/>
        </w:rPr>
        <w:t>8</w:t>
      </w:r>
      <w:r>
        <w:rPr>
          <w:rFonts w:hint="eastAsia" w:ascii="宋体"/>
          <w:color w:val="auto"/>
          <w:sz w:val="21"/>
          <w:szCs w:val="21"/>
          <w:highlight w:val="none"/>
        </w:rPr>
        <w:t>、</w:t>
      </w:r>
      <w:r>
        <w:rPr>
          <w:rFonts w:hint="eastAsia" w:ascii="宋体" w:hAnsi="宋体" w:cs="宋体"/>
          <w:color w:val="auto"/>
          <w:sz w:val="21"/>
          <w:szCs w:val="21"/>
          <w:highlight w:val="none"/>
        </w:rPr>
        <w:t>第五章“评标办法及标准”中评分标准（兼评委打分表）要求提供的资料（如有需提供）</w:t>
      </w:r>
      <w:r>
        <w:rPr>
          <w:rFonts w:hint="eastAsia" w:ascii="宋体"/>
          <w:color w:val="auto"/>
          <w:sz w:val="21"/>
          <w:szCs w:val="21"/>
          <w:highlight w:val="none"/>
        </w:rPr>
        <w:t>；</w:t>
      </w:r>
    </w:p>
    <w:p w14:paraId="79018C3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、投标人认为需要的其他资料（如有需提供）。</w:t>
      </w:r>
    </w:p>
    <w:bookmarkEnd w:id="74"/>
    <w:p w14:paraId="0DB0111E">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C、第三册：报价文件</w:t>
      </w:r>
    </w:p>
    <w:p w14:paraId="1E00C8F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C1、开标一览表；</w:t>
      </w:r>
    </w:p>
    <w:p w14:paraId="1591256B">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C2、投标分项报价表；</w:t>
      </w:r>
    </w:p>
    <w:p w14:paraId="07E8D840">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C</w:t>
      </w:r>
      <w:r>
        <w:rPr>
          <w:rFonts w:hint="eastAsia" w:ascii="宋体" w:hAnsi="宋体" w:cs="宋体"/>
          <w:color w:val="auto"/>
          <w:sz w:val="21"/>
          <w:szCs w:val="21"/>
          <w:highlight w:val="none"/>
        </w:rPr>
        <w:t>3、中小企业声明函；</w:t>
      </w:r>
    </w:p>
    <w:p w14:paraId="009FD59E">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C</w:t>
      </w:r>
      <w:r>
        <w:rPr>
          <w:rFonts w:hint="eastAsia" w:ascii="宋体" w:hAnsi="宋体" w:cs="宋体"/>
          <w:color w:val="auto"/>
          <w:sz w:val="21"/>
          <w:szCs w:val="21"/>
          <w:highlight w:val="none"/>
        </w:rPr>
        <w:t>4、残疾人福利性单位声明函（如有需提供）；</w:t>
      </w:r>
    </w:p>
    <w:p w14:paraId="64D6A441">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C</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、投标人认为需要的其他资料（如有需提供）。</w:t>
      </w:r>
    </w:p>
    <w:bookmarkEnd w:id="75"/>
    <w:p w14:paraId="41BF3C2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2、投标文件的份数：</w:t>
      </w:r>
    </w:p>
    <w:p w14:paraId="0A73A95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本项目实行网上投标，投标人应准备以下投标文件：</w:t>
      </w:r>
    </w:p>
    <w:p w14:paraId="6CAB90C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（1）上传到政府采购云平台的电子投标文件（含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、商务和技术文件、报价文件）1份。</w:t>
      </w:r>
    </w:p>
    <w:p w14:paraId="398AFA8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（2）以U盘或光盘存储的电子备份投标文件（含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、商务和技术文件、报价文件）1份。</w:t>
      </w:r>
    </w:p>
    <w:p w14:paraId="6AF6673F">
      <w:pPr>
        <w:pStyle w:val="17"/>
        <w:spacing w:line="360" w:lineRule="auto"/>
        <w:ind w:firstLine="422" w:firstLineChars="200"/>
        <w:rPr>
          <w:color w:val="auto"/>
          <w:highlight w:val="none"/>
        </w:rPr>
      </w:pPr>
      <w:r>
        <w:rPr>
          <w:rFonts w:hint="eastAsia" w:ascii="宋体"/>
          <w:b/>
          <w:color w:val="auto"/>
          <w:sz w:val="21"/>
          <w:szCs w:val="21"/>
          <w:highlight w:val="none"/>
        </w:rPr>
        <w:t>投标人提供的以上材料必须真实有效，任何一项的虚假将导致其投标被拒绝。</w:t>
      </w:r>
    </w:p>
    <w:p w14:paraId="01DD69D7">
      <w:pPr>
        <w:wordWrap w:val="0"/>
        <w:spacing w:line="360"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rPr>
        <w:t>九、投标文件的签署盖章</w:t>
      </w:r>
    </w:p>
    <w:p w14:paraId="18C45DB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1、采购文件第七章“附件”中标明加盖公章或签字的，加盖公章部分采用CA签章，签字部分由法定代表人或授权代表签字后扫描上传。授权代表签字的，还应附法定代表人签署的法定代表人授权书。</w:t>
      </w:r>
    </w:p>
    <w:p w14:paraId="410A6AD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2、投标文件应尽量避免涂改、行间插字或删除。如果出现上述情况，改动之处应加盖投标人公章或由其法定代表人（或授权代表）签字确认。</w:t>
      </w:r>
    </w:p>
    <w:p w14:paraId="51A37F31">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十、投标文件的密封和标记</w:t>
      </w:r>
    </w:p>
    <w:p w14:paraId="2CF34CD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1、电子投标文件：投标人应根据“项目采购-电子招投标操作指南”及本采购文件规定的格式和顺序编制电子投标文件并进行关联定位。</w:t>
      </w:r>
    </w:p>
    <w:p w14:paraId="68C0487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2、以U盘或光盘存储的电子备份投标文件</w:t>
      </w:r>
      <w:r>
        <w:rPr>
          <w:rFonts w:hint="eastAsia" w:ascii="宋体" w:hAnsi="宋体" w:cs="宋体"/>
          <w:b/>
          <w:color w:val="auto"/>
          <w:sz w:val="21"/>
          <w:szCs w:val="21"/>
          <w:highlight w:val="none"/>
        </w:rPr>
        <w:t>用封袋密封后递交。</w:t>
      </w:r>
    </w:p>
    <w:p w14:paraId="4705965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3、电子备份投标文件须在封袋上分别注明：</w:t>
      </w:r>
    </w:p>
    <w:p w14:paraId="1FD6A377">
      <w:pPr>
        <w:tabs>
          <w:tab w:val="left" w:pos="900"/>
        </w:tabs>
        <w:wordWrap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（1）注    明：</w:t>
      </w:r>
      <w:r>
        <w:rPr>
          <w:rFonts w:hint="eastAsia" w:ascii="宋体" w:hAnsi="宋体" w:cs="宋体"/>
          <w:color w:val="auto"/>
          <w:sz w:val="21"/>
          <w:szCs w:val="21"/>
          <w:highlight w:val="none"/>
          <w:u w:val="single"/>
        </w:rPr>
        <w:t xml:space="preserve">“电子备份投标文件”    </w:t>
      </w:r>
      <w:r>
        <w:rPr>
          <w:rFonts w:hint="eastAsia" w:ascii="宋体" w:hAnsi="宋体" w:cs="宋体"/>
          <w:color w:val="auto"/>
          <w:sz w:val="21"/>
          <w:szCs w:val="21"/>
          <w:highlight w:val="none"/>
        </w:rPr>
        <w:t>；</w:t>
      </w:r>
    </w:p>
    <w:p w14:paraId="77D99065">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招标编号</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eastAsia="zh-CN"/>
        </w:rPr>
        <w:t>NBITC-202530768G</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9CF5D58">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（3）项目名称：</w:t>
      </w:r>
      <w:r>
        <w:rPr>
          <w:rFonts w:hint="eastAsia" w:ascii="宋体" w:hAnsi="宋体" w:cs="宋体"/>
          <w:color w:val="auto"/>
          <w:sz w:val="21"/>
          <w:szCs w:val="21"/>
          <w:highlight w:val="none"/>
          <w:u w:val="single"/>
          <w:lang w:eastAsia="zh-CN"/>
        </w:rPr>
        <w:t>宁波高新区求精书院智慧图书阅读空间采购项目</w:t>
      </w:r>
      <w:r>
        <w:rPr>
          <w:rFonts w:hint="eastAsia" w:ascii="宋体" w:hAnsi="宋体" w:cs="宋体"/>
          <w:color w:val="auto"/>
          <w:sz w:val="21"/>
          <w:szCs w:val="21"/>
          <w:highlight w:val="none"/>
        </w:rPr>
        <w:t>；</w:t>
      </w:r>
    </w:p>
    <w:p w14:paraId="68CC9F60">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（4）所投标项（如有多个标项须填写）：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37E6713">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日（规定的开标日期和时间）前不准启封；</w:t>
      </w:r>
    </w:p>
    <w:p w14:paraId="537CD4AA">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（6）投标人的名称：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285340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投标人须在包封上加盖投标人公章或由其法定代表人（或授权代表）签字。</w:t>
      </w:r>
    </w:p>
    <w:p w14:paraId="69C2790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投标人未按上述要求标记的，采购人（代理机构）不承担错放或提前开封的责任。</w:t>
      </w:r>
    </w:p>
    <w:p w14:paraId="3ECFB7E0">
      <w:pPr>
        <w:wordWrap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十一、投标文件的递交</w:t>
      </w:r>
    </w:p>
    <w:p w14:paraId="37F3956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1、电子投标文件：投标人应于提交投标文件截止时间前将电子投标文件（含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、商务和技术文件、报价文件）上传到政府采购云平台（www.zcygov.cn）。</w:t>
      </w:r>
    </w:p>
    <w:p w14:paraId="02956835">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2、电子备份投标文件：</w:t>
      </w:r>
      <w:r>
        <w:rPr>
          <w:rFonts w:hint="eastAsia" w:ascii="宋体" w:hAnsi="宋体" w:cs="宋体"/>
          <w:color w:val="auto"/>
          <w:sz w:val="21"/>
          <w:szCs w:val="21"/>
          <w:highlight w:val="none"/>
          <w:lang w:val="en-US" w:eastAsia="zh-CN"/>
        </w:rPr>
        <w:t>投标人采用现场递交方式的，须</w:t>
      </w:r>
      <w:r>
        <w:rPr>
          <w:rFonts w:hint="eastAsia" w:ascii="宋体" w:hAnsi="宋体" w:cs="宋体"/>
          <w:color w:val="auto"/>
          <w:sz w:val="21"/>
          <w:szCs w:val="21"/>
          <w:highlight w:val="none"/>
        </w:rPr>
        <w:t>于提交投标文件截止时间前，将以U盘或光盘存储的电子备份投标文件（1份，含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、商务和技术文件、报价文件）密封后现场递交方式送达，送达地址：高新区广贤路997号南楼三楼307室（高新区公共资源交易中心），联系方式：李蒙，0574-</w:t>
      </w:r>
      <w:r>
        <w:rPr>
          <w:rFonts w:hint="eastAsia" w:ascii="宋体" w:hAnsi="宋体" w:cs="宋体"/>
          <w:color w:val="auto"/>
          <w:sz w:val="21"/>
          <w:szCs w:val="21"/>
          <w:highlight w:val="none"/>
          <w:lang w:val="en-US" w:eastAsia="zh-CN"/>
        </w:rPr>
        <w:t>87629230</w:t>
      </w:r>
      <w:r>
        <w:rPr>
          <w:rFonts w:hint="eastAsia" w:ascii="宋体" w:hAnsi="宋体" w:cs="宋体"/>
          <w:color w:val="auto"/>
          <w:sz w:val="21"/>
          <w:szCs w:val="21"/>
          <w:highlight w:val="none"/>
        </w:rPr>
        <w:t>。</w:t>
      </w:r>
    </w:p>
    <w:p w14:paraId="39BA0D3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投标人采用邮寄方式的，则须在提交投标文件截止时间前一天的17时前邮寄至宁波市国际招标有限公司（宁波市江北区环城北路西段207弄19号世茂茂悦商业中心1号楼八楼，联系方式：李蒙，</w:t>
      </w:r>
      <w:r>
        <w:rPr>
          <w:rFonts w:hint="eastAsia" w:ascii="宋体" w:hAnsi="宋体" w:cs="宋体"/>
          <w:color w:val="auto"/>
          <w:sz w:val="21"/>
          <w:szCs w:val="21"/>
          <w:highlight w:val="none"/>
        </w:rPr>
        <w:t>0574-</w:t>
      </w:r>
      <w:r>
        <w:rPr>
          <w:rFonts w:hint="eastAsia" w:ascii="宋体" w:hAnsi="宋体" w:cs="宋体"/>
          <w:color w:val="auto"/>
          <w:sz w:val="21"/>
          <w:szCs w:val="21"/>
          <w:highlight w:val="none"/>
          <w:lang w:val="en-US" w:eastAsia="zh-CN"/>
        </w:rPr>
        <w:t>87629230）。</w:t>
      </w:r>
      <w:r>
        <w:rPr>
          <w:rFonts w:hint="eastAsia" w:ascii="宋体" w:hAnsi="宋体" w:cs="宋体"/>
          <w:color w:val="auto"/>
          <w:sz w:val="21"/>
          <w:szCs w:val="21"/>
          <w:highlight w:val="none"/>
        </w:rPr>
        <w:t>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p>
    <w:p w14:paraId="12274FE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14:paraId="3E67BB5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电子备份投标文件不强制要求提交，但因电子投标文件未能按时解密或解密失败，投标人又未提交电子备份投标文件的，将被视为投标文件撤回，投标无效。</w:t>
      </w:r>
    </w:p>
    <w:p w14:paraId="171ACD0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3、逾期送达的或者未送达指定地点的电子备份投标文件，代理机构不予受理。</w:t>
      </w:r>
    </w:p>
    <w:p w14:paraId="25FC32C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4、投标文件的补充、修改</w:t>
      </w:r>
    </w:p>
    <w:p w14:paraId="4066322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17F5EBF1">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十二、开标</w:t>
      </w:r>
    </w:p>
    <w:p w14:paraId="1B1B50F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代理机构在采购文件规定的时间和地点公开开标，并邀请所有投标人的法定代表人（或授权代表）准时在线参加。投标人的法定代表人（或授权代表）不参加开标的或迟到参加开标的，视同该投标人默认开标记录，不得事后对开标过程提出任何异议。</w:t>
      </w:r>
    </w:p>
    <w:p w14:paraId="3333A8A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2、电子投标开标及评审程序：一阶段开标，同时开启“</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”、“商务和技术文件”和“报价文件”。</w:t>
      </w:r>
    </w:p>
    <w:p w14:paraId="5ACCDBA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（1）宣布开标；</w:t>
      </w:r>
    </w:p>
    <w:p w14:paraId="7730C9D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（2）投标截止时间后，投标人登录政府采购云平台，用“项目采购-开标评标”功能对电子投标文件进行在线解密，在线解密电子投标文件时间为开标时间后</w:t>
      </w:r>
      <w:r>
        <w:rPr>
          <w:rFonts w:hint="eastAsia" w:ascii="宋体" w:hAnsi="宋体" w:cs="宋体"/>
          <w:color w:val="auto"/>
          <w:sz w:val="21"/>
          <w:szCs w:val="21"/>
          <w:highlight w:val="none"/>
          <w:lang w:val="en-US" w:eastAsia="zh-CN"/>
        </w:rPr>
        <w:t>30分钟</w:t>
      </w:r>
      <w:r>
        <w:rPr>
          <w:rFonts w:hint="eastAsia" w:ascii="宋体" w:hAnsi="宋体" w:cs="宋体"/>
          <w:color w:val="auto"/>
          <w:sz w:val="21"/>
          <w:szCs w:val="21"/>
          <w:highlight w:val="none"/>
        </w:rPr>
        <w:t>内。</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按时在线解密投标文件的，以在线解密的投标文件作为评审依据，若</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。若</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在规定时间内无法解密或解密失败且未提供备份电子投标文件或所提供的备份电子投标文件无法读取的，视为投标文件撤回。</w:t>
      </w:r>
    </w:p>
    <w:p w14:paraId="37800C6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（3）介绍开标现场的人员情况；</w:t>
      </w:r>
    </w:p>
    <w:p w14:paraId="1DB889F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（4）宣读递交投标文件的投标人名单、开标纪律、应当回避的情形等注意事项；</w:t>
      </w:r>
    </w:p>
    <w:p w14:paraId="02815B6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（5）投标人签署不存在影响公平竞争的《政府采购活动现场确认声明书》；</w:t>
      </w:r>
    </w:p>
    <w:p w14:paraId="64D8047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（6）在政府采购云平台开启供应商解密后的“</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”、“商务技术文件”、“报价文件”，宣读供应商名称、报价文件中“开标一览表”内容，以及采购人认为必要的其他内容与记录，并做开标记录；</w:t>
      </w:r>
    </w:p>
    <w:p w14:paraId="19BBBEF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（7）开标记录签字确认；</w:t>
      </w:r>
    </w:p>
    <w:p w14:paraId="4FAB927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（8）开标结束。</w:t>
      </w:r>
    </w:p>
    <w:p w14:paraId="4A9E87F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（9）在政府采购云平台公布中标候选人名单及采购人最终确定</w:t>
      </w:r>
      <w:r>
        <w:rPr>
          <w:rFonts w:hint="eastAsia" w:ascii="宋体" w:hAnsi="宋体" w:cs="宋体"/>
          <w:color w:val="auto"/>
          <w:sz w:val="21"/>
          <w:szCs w:val="21"/>
          <w:highlight w:val="none"/>
          <w:lang w:eastAsia="zh-CN"/>
        </w:rPr>
        <w:t>中标供应商</w:t>
      </w:r>
      <w:r>
        <w:rPr>
          <w:rFonts w:hint="eastAsia" w:ascii="宋体" w:hAnsi="宋体" w:cs="宋体"/>
          <w:color w:val="auto"/>
          <w:sz w:val="21"/>
          <w:szCs w:val="21"/>
          <w:highlight w:val="none"/>
        </w:rPr>
        <w:t>名单的时间和公告方式等；</w:t>
      </w:r>
    </w:p>
    <w:p w14:paraId="110F862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3、特别说明：政府采购云平台如对电子化开标及评审程序有调整的，按调整后的程序操作。</w:t>
      </w:r>
    </w:p>
    <w:p w14:paraId="04FA2C7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本项目原则上采用政采云电子投标开标及评审程序，但有下情形之一的，按以下情况处理：</w:t>
      </w:r>
    </w:p>
    <w:p w14:paraId="15B372B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（1）若投标人在规定时间内无法解密或解密失败，代理机构将开启上述投标人递交的以U盘或光盘存储的电子备份投标文件，上传至政采云平台项目采购模块，以完成开标，电子投标文件自动失效。</w:t>
      </w:r>
    </w:p>
    <w:p w14:paraId="2068A27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（2）采购过程中出现以下情形，导致电子交易平台无法正常运行，或者无法保证电子交易的公平、公正和安全时，采购人（或代理机构）可中止电子交易活动：</w:t>
      </w:r>
    </w:p>
    <w:p w14:paraId="020DA9E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2.1电子交易平台发生故障而无法登录访问的；</w:t>
      </w:r>
    </w:p>
    <w:p w14:paraId="08F94C5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2.2电子交易平台应用或数据库出现错误，不能进行正常操作的；</w:t>
      </w:r>
    </w:p>
    <w:p w14:paraId="1992B0C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2.3电子交易平台发现严重安全漏洞，有潜在泄密危险的；</w:t>
      </w:r>
    </w:p>
    <w:p w14:paraId="1F7A43B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2.4病毒发作导致不能进行正常操作的； </w:t>
      </w:r>
    </w:p>
    <w:p w14:paraId="1959723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2.5其他无法保证电子交易的公平、公正和安全的情况。</w:t>
      </w:r>
    </w:p>
    <w:p w14:paraId="110D7A9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出现前款规定情形，不影响采购公平、公正性的，采购人（或代理机构）可以待上述情形消除后继续组织电子交易活动。</w:t>
      </w:r>
    </w:p>
    <w:p w14:paraId="731434D8">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十三、评标</w:t>
      </w:r>
    </w:p>
    <w:p w14:paraId="43FE8F2B">
      <w:pPr>
        <w:wordWrap w:val="0"/>
        <w:spacing w:line="360" w:lineRule="auto"/>
        <w:ind w:firstLine="422" w:firstLineChars="200"/>
        <w:rPr>
          <w:rFonts w:ascii="宋体" w:hAnsi="宋体" w:cs="宋体"/>
          <w:b/>
          <w:color w:val="auto"/>
          <w:sz w:val="21"/>
          <w:szCs w:val="21"/>
          <w:highlight w:val="none"/>
        </w:rPr>
      </w:pPr>
      <w:bookmarkStart w:id="76" w:name="_Toc17884841"/>
      <w:bookmarkStart w:id="77" w:name="_Toc460857925"/>
      <w:r>
        <w:rPr>
          <w:rFonts w:hint="eastAsia" w:ascii="宋体" w:hAnsi="宋体" w:cs="宋体"/>
          <w:b/>
          <w:color w:val="auto"/>
          <w:sz w:val="21"/>
          <w:szCs w:val="21"/>
          <w:highlight w:val="none"/>
        </w:rPr>
        <w:t>（一）组建评标委员会</w:t>
      </w:r>
      <w:bookmarkEnd w:id="76"/>
      <w:bookmarkEnd w:id="77"/>
    </w:p>
    <w:p w14:paraId="1B67EB32">
      <w:pPr>
        <w:pStyle w:val="24"/>
        <w:snapToGrid w:val="0"/>
        <w:spacing w:line="360" w:lineRule="auto"/>
        <w:ind w:firstLine="420" w:firstLineChars="200"/>
        <w:rPr>
          <w:rFonts w:hAnsi="宋体" w:cs="宋体"/>
          <w:color w:val="auto"/>
          <w:highlight w:val="none"/>
        </w:rPr>
      </w:pPr>
      <w:r>
        <w:rPr>
          <w:rFonts w:hint="eastAsia" w:hAnsi="宋体" w:cs="宋体"/>
          <w:color w:val="auto"/>
          <w:highlight w:val="none"/>
        </w:rPr>
        <w:t>本项目评标委员会依法组建。</w:t>
      </w:r>
    </w:p>
    <w:p w14:paraId="4796B2EF">
      <w:pPr>
        <w:wordWrap w:val="0"/>
        <w:spacing w:line="360" w:lineRule="auto"/>
        <w:ind w:firstLine="422" w:firstLineChars="200"/>
        <w:rPr>
          <w:rFonts w:ascii="宋体" w:hAnsi="宋体" w:cs="宋体"/>
          <w:b/>
          <w:color w:val="auto"/>
          <w:sz w:val="21"/>
          <w:szCs w:val="21"/>
          <w:highlight w:val="none"/>
        </w:rPr>
      </w:pPr>
      <w:bookmarkStart w:id="78" w:name="_Toc17884842"/>
      <w:bookmarkStart w:id="79" w:name="_Toc460857926"/>
      <w:r>
        <w:rPr>
          <w:rFonts w:hint="eastAsia" w:ascii="宋体" w:hAnsi="宋体" w:cs="宋体"/>
          <w:b/>
          <w:color w:val="auto"/>
          <w:sz w:val="21"/>
          <w:szCs w:val="21"/>
          <w:highlight w:val="none"/>
        </w:rPr>
        <w:t>（二）评标的方式</w:t>
      </w:r>
      <w:bookmarkEnd w:id="78"/>
      <w:bookmarkEnd w:id="79"/>
    </w:p>
    <w:p w14:paraId="17F26721">
      <w:pPr>
        <w:pStyle w:val="24"/>
        <w:snapToGrid w:val="0"/>
        <w:spacing w:line="360" w:lineRule="auto"/>
        <w:ind w:left="757" w:leftChars="228" w:hanging="210" w:hangingChars="100"/>
        <w:rPr>
          <w:rFonts w:hAnsi="宋体" w:cs="宋体"/>
          <w:color w:val="auto"/>
          <w:highlight w:val="none"/>
        </w:rPr>
      </w:pPr>
      <w:r>
        <w:rPr>
          <w:rFonts w:hint="eastAsia" w:hAnsi="宋体" w:cs="宋体"/>
          <w:color w:val="auto"/>
          <w:highlight w:val="none"/>
        </w:rPr>
        <w:t>本项目采用不公开方式评标，评标的依据为采购文件和投标文件。</w:t>
      </w:r>
    </w:p>
    <w:p w14:paraId="7C95DA70">
      <w:pPr>
        <w:wordWrap w:val="0"/>
        <w:spacing w:line="360" w:lineRule="auto"/>
        <w:ind w:firstLine="422" w:firstLineChars="200"/>
        <w:rPr>
          <w:rFonts w:ascii="宋体" w:hAnsi="宋体" w:cs="宋体"/>
          <w:b/>
          <w:color w:val="auto"/>
          <w:sz w:val="21"/>
          <w:szCs w:val="21"/>
          <w:highlight w:val="none"/>
        </w:rPr>
      </w:pPr>
      <w:bookmarkStart w:id="80" w:name="_Toc460857927"/>
      <w:bookmarkStart w:id="81" w:name="_Toc17884843"/>
      <w:r>
        <w:rPr>
          <w:rFonts w:hint="eastAsia" w:ascii="宋体" w:hAnsi="宋体" w:cs="宋体"/>
          <w:b/>
          <w:color w:val="auto"/>
          <w:sz w:val="21"/>
          <w:szCs w:val="21"/>
          <w:highlight w:val="none"/>
        </w:rPr>
        <w:t>（三）评标程序</w:t>
      </w:r>
      <w:bookmarkEnd w:id="80"/>
      <w:bookmarkEnd w:id="81"/>
    </w:p>
    <w:p w14:paraId="286EFE2C">
      <w:pPr>
        <w:snapToGrid w:val="0"/>
        <w:spacing w:line="360" w:lineRule="auto"/>
        <w:ind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1、资格审查</w:t>
      </w:r>
    </w:p>
    <w:p w14:paraId="44D4E6C3">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招标代理机构工作人员对投标人的资格进行审查。</w:t>
      </w:r>
    </w:p>
    <w:p w14:paraId="0DF34CBB">
      <w:pPr>
        <w:snapToGrid w:val="0"/>
        <w:spacing w:line="360" w:lineRule="auto"/>
        <w:ind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2、符合性审查与比较</w:t>
      </w:r>
    </w:p>
    <w:p w14:paraId="391D654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（1）评标委员会审查投标文件的实质性内容是否符合采购文件的实质性要求。</w:t>
      </w:r>
    </w:p>
    <w:p w14:paraId="241DA72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3C13830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0F96D8C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（3）各投标人的技术商务报价得分为所有评委的有效评分的算术平均数，由指定专人进行计算复核。</w:t>
      </w:r>
    </w:p>
    <w:p w14:paraId="70FC17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（4）采购代理机构工作人员协助评标委员会根据本项目的评分标准计算各投标人的报价得分。</w:t>
      </w:r>
    </w:p>
    <w:p w14:paraId="58DE072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（5）评标委员会完成评标后,评委对各部分得分汇总,计算出本项目最终得分。评标委员会按评标原则推荐中标候选人同时起草评标报告。</w:t>
      </w:r>
    </w:p>
    <w:p w14:paraId="4A8FB47D">
      <w:pPr>
        <w:wordWrap w:val="0"/>
        <w:spacing w:line="360" w:lineRule="auto"/>
        <w:ind w:firstLine="422" w:firstLineChars="200"/>
        <w:rPr>
          <w:rFonts w:ascii="宋体" w:hAnsi="宋体" w:cs="宋体"/>
          <w:b/>
          <w:color w:val="auto"/>
          <w:sz w:val="21"/>
          <w:szCs w:val="21"/>
          <w:highlight w:val="none"/>
        </w:rPr>
      </w:pPr>
      <w:bookmarkStart w:id="82" w:name="_Toc17884844"/>
      <w:bookmarkStart w:id="83" w:name="_Toc460857928"/>
      <w:r>
        <w:rPr>
          <w:rFonts w:hint="eastAsia" w:ascii="宋体" w:hAnsi="宋体" w:cs="宋体"/>
          <w:b/>
          <w:color w:val="auto"/>
          <w:sz w:val="21"/>
          <w:szCs w:val="21"/>
          <w:highlight w:val="none"/>
        </w:rPr>
        <w:t>（四）澄清问题的形式</w:t>
      </w:r>
      <w:bookmarkEnd w:id="82"/>
      <w:bookmarkEnd w:id="83"/>
    </w:p>
    <w:p w14:paraId="7C7F6272">
      <w:pPr>
        <w:widowControl/>
        <w:spacing w:line="360" w:lineRule="auto"/>
        <w:ind w:firstLine="420" w:firstLineChars="200"/>
        <w:outlineLvl w:val="1"/>
        <w:rPr>
          <w:rFonts w:ascii="宋体" w:hAnsi="宋体" w:cs="宋体"/>
          <w:color w:val="auto"/>
          <w:sz w:val="21"/>
          <w:szCs w:val="21"/>
          <w:highlight w:val="none"/>
        </w:rPr>
      </w:pPr>
      <w:bookmarkStart w:id="84" w:name="_Toc26905"/>
      <w:bookmarkStart w:id="85" w:name="_Toc1843"/>
      <w:bookmarkStart w:id="86" w:name="_Toc497898868"/>
      <w:bookmarkStart w:id="87" w:name="_Toc460857930"/>
      <w:bookmarkStart w:id="88" w:name="_Toc17884845"/>
      <w:r>
        <w:rPr>
          <w:rFonts w:hint="eastAsia" w:ascii="宋体" w:hAnsi="宋体" w:cs="宋体"/>
          <w:color w:val="auto"/>
          <w:sz w:val="21"/>
          <w:szCs w:val="21"/>
          <w:highlight w:val="none"/>
        </w:rPr>
        <w:t>对于投标文件中含义不明确、同类问题表述不一致或者有明显文字和计算错误的内容，评标委员会可要求投标人以书面形式作出必要的澄清、说明或者补正。</w:t>
      </w:r>
      <w:bookmarkEnd w:id="84"/>
      <w:bookmarkEnd w:id="85"/>
      <w:bookmarkEnd w:id="86"/>
    </w:p>
    <w:p w14:paraId="3373536B">
      <w:pPr>
        <w:widowControl/>
        <w:spacing w:line="360" w:lineRule="auto"/>
        <w:ind w:firstLine="420" w:firstLineChars="200"/>
        <w:outlineLvl w:val="1"/>
        <w:rPr>
          <w:rFonts w:ascii="宋体" w:hAnsi="宋体" w:cs="宋体"/>
          <w:color w:val="auto"/>
          <w:sz w:val="21"/>
          <w:szCs w:val="21"/>
          <w:highlight w:val="none"/>
        </w:rPr>
      </w:pPr>
      <w:bookmarkStart w:id="89" w:name="_Toc6678"/>
      <w:bookmarkStart w:id="90" w:name="_Toc497898869"/>
      <w:bookmarkStart w:id="91" w:name="_Toc32628"/>
      <w:r>
        <w:rPr>
          <w:rFonts w:hint="eastAsia" w:ascii="宋体" w:hAnsi="宋体" w:cs="宋体"/>
          <w:color w:val="auto"/>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89"/>
      <w:bookmarkEnd w:id="90"/>
      <w:bookmarkEnd w:id="91"/>
    </w:p>
    <w:p w14:paraId="43819C89">
      <w:pPr>
        <w:wordWrap w:val="0"/>
        <w:spacing w:line="360" w:lineRule="auto"/>
        <w:ind w:firstLine="422" w:firstLineChars="200"/>
        <w:rPr>
          <w:rFonts w:ascii="宋体" w:hAnsi="宋体" w:cs="宋体"/>
          <w:b/>
          <w:color w:val="auto"/>
          <w:sz w:val="21"/>
          <w:szCs w:val="21"/>
          <w:highlight w:val="none"/>
        </w:rPr>
      </w:pPr>
      <w:bookmarkStart w:id="92" w:name="_Toc497898870"/>
      <w:r>
        <w:rPr>
          <w:rFonts w:hint="eastAsia" w:ascii="宋体" w:hAnsi="宋体" w:cs="宋体"/>
          <w:b/>
          <w:color w:val="auto"/>
          <w:sz w:val="21"/>
          <w:szCs w:val="21"/>
          <w:highlight w:val="none"/>
        </w:rPr>
        <w:t>（五）错误修正</w:t>
      </w:r>
      <w:bookmarkEnd w:id="92"/>
    </w:p>
    <w:p w14:paraId="683C2D0B">
      <w:pPr>
        <w:pStyle w:val="132"/>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投标文件报价出现前后不一致的，除采购文件另有规定外，按照下列规定修正：</w:t>
      </w:r>
    </w:p>
    <w:p w14:paraId="24443594">
      <w:pPr>
        <w:pStyle w:val="132"/>
        <w:widowControl/>
        <w:spacing w:line="360" w:lineRule="auto"/>
        <w:ind w:left="17" w:leftChars="7" w:firstLine="529" w:firstLineChars="252"/>
        <w:rPr>
          <w:rFonts w:hAnsi="宋体" w:cs="宋体"/>
          <w:color w:val="auto"/>
          <w:sz w:val="21"/>
          <w:szCs w:val="21"/>
          <w:highlight w:val="none"/>
        </w:rPr>
      </w:pPr>
      <w:r>
        <w:rPr>
          <w:rFonts w:hint="eastAsia" w:hAnsi="宋体" w:cs="宋体"/>
          <w:color w:val="auto"/>
          <w:sz w:val="21"/>
          <w:szCs w:val="21"/>
          <w:highlight w:val="none"/>
        </w:rPr>
        <w:t>（1）投标文件中开标一览表内容与投标文件中分项报价表内容不一致的，以开标一览表为准；</w:t>
      </w:r>
    </w:p>
    <w:p w14:paraId="0AE83893">
      <w:pPr>
        <w:pStyle w:val="132"/>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（2）大写金额和小写金额不一致的，以大写金额为准；</w:t>
      </w:r>
    </w:p>
    <w:p w14:paraId="4B3D36FA">
      <w:pPr>
        <w:pStyle w:val="132"/>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（3）单价金额小数点或者百分比有明显错位的，以开标一览表的总价为准，并修改单价；</w:t>
      </w:r>
    </w:p>
    <w:p w14:paraId="46B300F9">
      <w:pPr>
        <w:pStyle w:val="132"/>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（4）总价金额与按单价汇总金额不一致的，以单价金额计算结果为准；</w:t>
      </w:r>
    </w:p>
    <w:p w14:paraId="41466C36">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bCs/>
          <w:color w:val="auto"/>
          <w:sz w:val="21"/>
          <w:szCs w:val="21"/>
          <w:highlight w:val="none"/>
        </w:rPr>
        <w:t>同时出现两种以上不一致的，按照前款规定的顺序修正。修正后的报价经投标人确认后具有约束</w:t>
      </w:r>
      <w:r>
        <w:rPr>
          <w:rFonts w:hint="eastAsia" w:ascii="宋体" w:hAnsi="宋体" w:cs="宋体"/>
          <w:b/>
          <w:color w:val="auto"/>
          <w:sz w:val="21"/>
          <w:szCs w:val="21"/>
          <w:highlight w:val="none"/>
        </w:rPr>
        <w:t>力，若投标人不确认的，则其投标无效。</w:t>
      </w:r>
    </w:p>
    <w:p w14:paraId="7F25AB86">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（六）评标原则和评标办法</w:t>
      </w:r>
      <w:bookmarkEnd w:id="87"/>
      <w:bookmarkEnd w:id="88"/>
    </w:p>
    <w:p w14:paraId="5E532E86">
      <w:pPr>
        <w:pStyle w:val="24"/>
        <w:snapToGrid w:val="0"/>
        <w:spacing w:line="360" w:lineRule="auto"/>
        <w:ind w:firstLine="420" w:firstLineChars="200"/>
        <w:rPr>
          <w:rFonts w:hAnsi="宋体" w:cs="宋体"/>
          <w:color w:val="auto"/>
          <w:highlight w:val="none"/>
        </w:rPr>
      </w:pPr>
      <w:r>
        <w:rPr>
          <w:rFonts w:hint="eastAsia"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F7D5B55">
      <w:pPr>
        <w:pStyle w:val="24"/>
        <w:snapToGrid w:val="0"/>
        <w:spacing w:line="360" w:lineRule="auto"/>
        <w:ind w:firstLine="422" w:firstLineChars="200"/>
        <w:rPr>
          <w:rFonts w:hAnsi="宋体" w:cs="宋体"/>
          <w:b/>
          <w:color w:val="auto"/>
          <w:highlight w:val="none"/>
        </w:rPr>
      </w:pPr>
      <w:r>
        <w:rPr>
          <w:rFonts w:hint="eastAsia" w:hAnsi="宋体" w:cs="宋体"/>
          <w:b/>
          <w:color w:val="auto"/>
          <w:highlight w:val="none"/>
        </w:rPr>
        <w:t>2、评标办法。本项目评标办法是</w:t>
      </w:r>
      <w:r>
        <w:rPr>
          <w:rFonts w:hint="eastAsia" w:hAnsi="宋体" w:cs="宋体"/>
          <w:b/>
          <w:color w:val="auto"/>
          <w:highlight w:val="none"/>
          <w:u w:val="single"/>
        </w:rPr>
        <w:t xml:space="preserve"> 综合评分法 </w:t>
      </w:r>
      <w:r>
        <w:rPr>
          <w:rFonts w:hint="eastAsia" w:hAnsi="宋体" w:cs="宋体"/>
          <w:b/>
          <w:color w:val="auto"/>
          <w:highlight w:val="none"/>
        </w:rPr>
        <w:t>，具体评标内容及评分标准等详见《第五章 评标办法及标准》。</w:t>
      </w:r>
    </w:p>
    <w:p w14:paraId="0C8B0C0C">
      <w:pPr>
        <w:spacing w:line="360" w:lineRule="auto"/>
        <w:ind w:firstLine="422" w:firstLineChars="200"/>
        <w:rPr>
          <w:rFonts w:ascii="宋体" w:hAnsi="宋体" w:cs="宋体"/>
          <w:b/>
          <w:color w:val="auto"/>
          <w:sz w:val="21"/>
          <w:szCs w:val="21"/>
          <w:highlight w:val="none"/>
        </w:rPr>
      </w:pPr>
      <w:bookmarkStart w:id="93" w:name="_Toc460857931"/>
      <w:bookmarkStart w:id="94" w:name="_Toc17884846"/>
      <w:r>
        <w:rPr>
          <w:rFonts w:hint="eastAsia" w:ascii="宋体" w:hAnsi="宋体" w:cs="宋体"/>
          <w:b/>
          <w:color w:val="auto"/>
          <w:sz w:val="21"/>
          <w:szCs w:val="21"/>
          <w:highlight w:val="none"/>
        </w:rPr>
        <w:t>十四、</w:t>
      </w:r>
      <w:bookmarkEnd w:id="93"/>
      <w:bookmarkEnd w:id="94"/>
      <w:r>
        <w:rPr>
          <w:rFonts w:hint="eastAsia" w:ascii="宋体" w:hAnsi="宋体" w:cs="宋体"/>
          <w:b/>
          <w:color w:val="auto"/>
          <w:sz w:val="21"/>
          <w:szCs w:val="21"/>
          <w:highlight w:val="none"/>
        </w:rPr>
        <w:t>项目终止</w:t>
      </w:r>
    </w:p>
    <w:p w14:paraId="59721E08">
      <w:pPr>
        <w:snapToGrid w:val="0"/>
        <w:spacing w:line="360" w:lineRule="auto"/>
        <w:ind w:firstLine="420" w:firstLineChars="200"/>
        <w:rPr>
          <w:rFonts w:ascii="宋体" w:hAnsi="宋体" w:cs="宋体"/>
          <w:color w:val="auto"/>
          <w:sz w:val="21"/>
          <w:szCs w:val="21"/>
          <w:highlight w:val="none"/>
        </w:rPr>
      </w:pPr>
      <w:bookmarkStart w:id="95" w:name="_Toc460857932"/>
      <w:r>
        <w:rPr>
          <w:rFonts w:hint="eastAsia" w:ascii="宋体" w:hAnsi="宋体" w:cs="宋体"/>
          <w:color w:val="auto"/>
          <w:sz w:val="21"/>
          <w:szCs w:val="21"/>
          <w:highlight w:val="none"/>
        </w:rPr>
        <w:t>政府采购的国内公开招标，采购响应截止时间或评审期间，出现参与采购响应或者对采购文件作出实质性响应的投标人不足3家的情况，本项目终止招标。</w:t>
      </w:r>
    </w:p>
    <w:p w14:paraId="347C9D28">
      <w:pPr>
        <w:spacing w:line="360" w:lineRule="auto"/>
        <w:ind w:firstLine="422" w:firstLineChars="200"/>
        <w:rPr>
          <w:rFonts w:ascii="宋体" w:hAnsi="宋体" w:cs="宋体"/>
          <w:b/>
          <w:color w:val="auto"/>
          <w:sz w:val="21"/>
          <w:szCs w:val="21"/>
          <w:highlight w:val="none"/>
        </w:rPr>
      </w:pPr>
      <w:bookmarkStart w:id="96" w:name="_Toc17884847"/>
      <w:r>
        <w:rPr>
          <w:rFonts w:hint="eastAsia" w:ascii="宋体" w:hAnsi="宋体" w:cs="宋体"/>
          <w:b/>
          <w:color w:val="auto"/>
          <w:sz w:val="21"/>
          <w:szCs w:val="21"/>
          <w:highlight w:val="none"/>
        </w:rPr>
        <w:t>十五、定标</w:t>
      </w:r>
      <w:bookmarkEnd w:id="95"/>
      <w:bookmarkEnd w:id="96"/>
    </w:p>
    <w:p w14:paraId="44C9AB20">
      <w:pPr>
        <w:spacing w:line="360" w:lineRule="auto"/>
        <w:ind w:firstLine="422" w:firstLineChars="200"/>
        <w:rPr>
          <w:rFonts w:ascii="宋体" w:hAnsi="宋体" w:cs="宋体"/>
          <w:b/>
          <w:color w:val="auto"/>
          <w:sz w:val="21"/>
          <w:szCs w:val="21"/>
          <w:highlight w:val="none"/>
        </w:rPr>
      </w:pPr>
      <w:bookmarkStart w:id="97" w:name="_Toc17884848"/>
      <w:bookmarkStart w:id="98" w:name="_Toc460857933"/>
      <w:r>
        <w:rPr>
          <w:rFonts w:hint="eastAsia" w:ascii="宋体" w:hAnsi="宋体" w:cs="宋体"/>
          <w:b/>
          <w:color w:val="auto"/>
          <w:sz w:val="21"/>
          <w:szCs w:val="21"/>
          <w:highlight w:val="none"/>
        </w:rPr>
        <w:t>（一）确定中标人</w:t>
      </w:r>
      <w:bookmarkEnd w:id="97"/>
      <w:bookmarkEnd w:id="98"/>
    </w:p>
    <w:p w14:paraId="05C279BE">
      <w:pPr>
        <w:pStyle w:val="24"/>
        <w:spacing w:line="360" w:lineRule="auto"/>
        <w:ind w:firstLine="420" w:firstLineChars="200"/>
        <w:rPr>
          <w:rFonts w:hAnsi="宋体" w:cs="宋体"/>
          <w:color w:val="auto"/>
          <w:highlight w:val="none"/>
        </w:rPr>
      </w:pPr>
      <w:bookmarkStart w:id="99" w:name="_Toc460857934"/>
      <w:bookmarkStart w:id="100" w:name="_Toc460416664"/>
      <w:bookmarkStart w:id="101" w:name="_Toc17884849"/>
      <w:bookmarkStart w:id="102" w:name="_Toc460416359"/>
      <w:r>
        <w:rPr>
          <w:rFonts w:hint="eastAsia" w:hAnsi="宋体" w:cs="宋体"/>
          <w:color w:val="auto"/>
          <w:highlight w:val="none"/>
        </w:rPr>
        <w:t>1、确定中标人。本项目由评标委员会推荐中标候选人，采购人不得在评标委员会推荐的中标候选人以外确定中标人。</w:t>
      </w:r>
    </w:p>
    <w:p w14:paraId="488DE5FD">
      <w:pPr>
        <w:pStyle w:val="24"/>
        <w:spacing w:line="360" w:lineRule="auto"/>
        <w:ind w:firstLine="420" w:firstLineChars="200"/>
        <w:rPr>
          <w:rFonts w:hAnsi="宋体" w:cs="宋体"/>
          <w:color w:val="auto"/>
          <w:highlight w:val="none"/>
        </w:rPr>
      </w:pPr>
      <w:r>
        <w:rPr>
          <w:rFonts w:hint="eastAsia" w:hAnsi="宋体" w:cs="宋体"/>
          <w:color w:val="auto"/>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04CD432">
      <w:pPr>
        <w:pStyle w:val="24"/>
        <w:spacing w:line="360" w:lineRule="auto"/>
        <w:ind w:firstLine="420" w:firstLineChars="200"/>
        <w:rPr>
          <w:rFonts w:hAnsi="宋体" w:cs="宋体"/>
          <w:color w:val="auto"/>
          <w:highlight w:val="none"/>
        </w:rPr>
      </w:pPr>
      <w:r>
        <w:rPr>
          <w:rFonts w:hint="eastAsia" w:hAnsi="宋体" w:cs="宋体"/>
          <w:color w:val="auto"/>
          <w:highlight w:val="none"/>
        </w:rPr>
        <w:t>3、采购代理机构自中标人确定之日起2个工作日内，在发布招标公告的网站上对中标结果进行公示，中标结果公告期限为1个工作日，发出结果公示的同时发出中标通知书。</w:t>
      </w:r>
    </w:p>
    <w:p w14:paraId="2B4FA77F">
      <w:pPr>
        <w:pStyle w:val="24"/>
        <w:spacing w:line="360" w:lineRule="auto"/>
        <w:ind w:firstLine="420" w:firstLineChars="200"/>
        <w:rPr>
          <w:rFonts w:hAnsi="宋体" w:cs="宋体"/>
          <w:color w:val="auto"/>
          <w:highlight w:val="none"/>
        </w:rPr>
      </w:pPr>
      <w:r>
        <w:rPr>
          <w:rFonts w:hint="eastAsia" w:hAnsi="宋体" w:cs="宋体"/>
          <w:color w:val="auto"/>
          <w:highlight w:val="none"/>
        </w:rPr>
        <w:t>4、凡发现中标人有下列行为之一的，将移交政府采购监督管理部门依法处理：</w:t>
      </w:r>
    </w:p>
    <w:p w14:paraId="16925589">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提供虚假材料谋取中标的；</w:t>
      </w:r>
    </w:p>
    <w:p w14:paraId="386193D6">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采取不正当手段诋毁、排挤其他投标人的；</w:t>
      </w:r>
    </w:p>
    <w:p w14:paraId="74F71B43">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与采购人、其他投标人或者采购代理机构工作人员恶意串通的；</w:t>
      </w:r>
    </w:p>
    <w:p w14:paraId="4A57366E">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向采购人或采购代理机构人员行贿或者提供其他不正当利益的；</w:t>
      </w:r>
    </w:p>
    <w:p w14:paraId="1518AA9D">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拒绝有关部门监督检查或者提供虚假情况的；</w:t>
      </w:r>
    </w:p>
    <w:p w14:paraId="693EE48A">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有法律、法规规定的其他损害采购人利益和社会公共利益情形的。</w:t>
      </w:r>
    </w:p>
    <w:p w14:paraId="5118FE73">
      <w:pPr>
        <w:widowControl/>
        <w:spacing w:line="360" w:lineRule="auto"/>
        <w:ind w:firstLine="422" w:firstLineChars="200"/>
        <w:outlineLvl w:val="1"/>
        <w:rPr>
          <w:rFonts w:ascii="宋体" w:hAnsi="宋体" w:cs="宋体"/>
          <w:b/>
          <w:color w:val="auto"/>
          <w:sz w:val="21"/>
          <w:szCs w:val="21"/>
          <w:highlight w:val="none"/>
        </w:rPr>
      </w:pPr>
      <w:bookmarkStart w:id="103" w:name="_Toc23995"/>
      <w:bookmarkStart w:id="104" w:name="_Toc19049"/>
      <w:bookmarkStart w:id="105" w:name="_Toc497898872"/>
      <w:r>
        <w:rPr>
          <w:rFonts w:hint="eastAsia" w:ascii="宋体" w:hAnsi="宋体" w:cs="宋体"/>
          <w:b/>
          <w:color w:val="auto"/>
          <w:sz w:val="21"/>
          <w:szCs w:val="21"/>
          <w:highlight w:val="none"/>
        </w:rPr>
        <w:t>十六、评标过程的监控</w:t>
      </w:r>
      <w:bookmarkEnd w:id="103"/>
      <w:bookmarkEnd w:id="104"/>
      <w:bookmarkEnd w:id="105"/>
    </w:p>
    <w:p w14:paraId="42B2C6B5">
      <w:pPr>
        <w:snapToGrid w:val="0"/>
        <w:spacing w:line="360" w:lineRule="auto"/>
        <w:ind w:firstLine="420" w:firstLineChars="200"/>
        <w:rPr>
          <w:rFonts w:ascii="宋体" w:hAnsi="宋体" w:cs="宋体"/>
          <w:bCs/>
          <w:color w:val="auto"/>
          <w:sz w:val="21"/>
          <w:szCs w:val="21"/>
          <w:highlight w:val="none"/>
        </w:rPr>
      </w:pPr>
      <w:bookmarkStart w:id="106" w:name="_Toc497898873"/>
      <w:r>
        <w:rPr>
          <w:rFonts w:hint="eastAsia" w:ascii="宋体" w:hAnsi="宋体" w:cs="宋体"/>
          <w:color w:val="auto"/>
          <w:sz w:val="21"/>
          <w:szCs w:val="21"/>
          <w:highlight w:val="none"/>
        </w:rPr>
        <w:t>本项目评标过程实行全程录音</w:t>
      </w:r>
      <w:r>
        <w:rPr>
          <w:rFonts w:hint="eastAsia" w:ascii="宋体" w:hAnsi="宋体" w:cs="宋体"/>
          <w:bCs/>
          <w:color w:val="auto"/>
          <w:sz w:val="21"/>
          <w:szCs w:val="21"/>
          <w:highlight w:val="none"/>
        </w:rPr>
        <w:t>、录像监控，投标人在评标过程中所进行的试图影响评标结果的不公正活动，可能导致其投标被拒绝。</w:t>
      </w:r>
      <w:bookmarkEnd w:id="106"/>
    </w:p>
    <w:bookmarkEnd w:id="99"/>
    <w:bookmarkEnd w:id="100"/>
    <w:bookmarkEnd w:id="101"/>
    <w:bookmarkEnd w:id="102"/>
    <w:p w14:paraId="54DB629C">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十七、采购文件的澄清和修改</w:t>
      </w:r>
    </w:p>
    <w:p w14:paraId="736069A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b/>
          <w:color w:val="auto"/>
          <w:sz w:val="21"/>
          <w:szCs w:val="21"/>
          <w:highlight w:val="none"/>
        </w:rPr>
        <w:t>采购人可以对已发出的采购文件进行必要的澄清或者修改，将以“更正公告”的形式发布在政采云平台，投标人应及时登录政采云平台，进行浏览并下载，未及时浏览下载的责任自负。</w:t>
      </w:r>
      <w:r>
        <w:rPr>
          <w:rFonts w:hint="eastAsia" w:ascii="宋体" w:hAnsi="宋体" w:cs="宋体"/>
          <w:color w:val="auto"/>
          <w:sz w:val="21"/>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投标人具有约束力。</w:t>
      </w:r>
    </w:p>
    <w:p w14:paraId="6336B2D2">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十八、质疑与投诉</w:t>
      </w:r>
    </w:p>
    <w:p w14:paraId="7C6D079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认为采购文件、采购过程、中标或者成交结果使自己的权益受到损害的，可以在知道或者应知其权益受到损害之日起7个工作日内，以书面形式向采购人、代理机构提出质疑。投标人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344AE49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14:paraId="14855EE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提出质疑应当提交质疑函和必要的证明材料，质疑函应当以书面形式提出，质疑函格式和内容须符合财政部《质疑函范本》、《投诉书范本》要求，投标人可到中国政府采购网自行下载财政部《质疑函范本》、《投诉书范本》。</w:t>
      </w:r>
    </w:p>
    <w:p w14:paraId="5AFBAC6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人质疑实行实名制，质疑函应当署名，投标人为自然人的，应当由本人签字；投标人为法人或者其他组织的，应当由法定代表人、主要负责人，或者其授权代表（指代理人）签字或者盖章，并加盖投标人公章；代理人提出质疑的，应当提交投标人签署的授权委托书；以联合体形式参加政府采购活动的，其质疑应当由组成联合体的所有投标人共同提出。</w:t>
      </w:r>
    </w:p>
    <w:p w14:paraId="417C490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5、采购人、代理机构接收质疑函的方式：只接收投标人以当面递交、邮寄、传真或电子邮件方式提出的质疑函，以其他方式提出的质疑不予接收。</w:t>
      </w:r>
    </w:p>
    <w:p w14:paraId="570ECB56">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采取邮寄方式的，提出质疑的时间为质疑函原件交邮的时间（以邮戳时间或快递收件时间为准）。</w:t>
      </w:r>
    </w:p>
    <w:p w14:paraId="731F48B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采取传真、电子邮件方式的，投标人应当在传真、电子邮件发出后将质疑函原件邮寄给被质疑人，提出质疑的时间为质疑函原件交邮的时间（以邮戳时间或快递收件时间为准）。</w:t>
      </w:r>
    </w:p>
    <w:p w14:paraId="6C73725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6、采购人、代理机构以实际收到质疑函原件之日作为收到质疑函的日期，将在收到质疑函后7个工作日内作出答复。</w:t>
      </w:r>
    </w:p>
    <w:p w14:paraId="47E8E31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7、采购人、代理机构接收质疑函的联系人、联系电话和通讯地址等信息详见采购公告。</w:t>
      </w:r>
    </w:p>
    <w:p w14:paraId="3E4302CB">
      <w:pPr>
        <w:wordWrap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十九、最高限价</w:t>
      </w:r>
    </w:p>
    <w:p w14:paraId="72938F7A">
      <w:pPr>
        <w:wordWrap w:val="0"/>
        <w:spacing w:line="360" w:lineRule="auto"/>
        <w:ind w:firstLine="420" w:firstLineChars="200"/>
        <w:rPr>
          <w:rFonts w:ascii="宋体" w:hAnsi="宋体" w:cs="宋体"/>
          <w:bCs/>
          <w:color w:val="auto"/>
          <w:sz w:val="21"/>
          <w:szCs w:val="21"/>
          <w:highlight w:val="none"/>
        </w:rPr>
      </w:pPr>
      <w:bookmarkStart w:id="107" w:name="_Hlk37142004"/>
      <w:r>
        <w:rPr>
          <w:rFonts w:hint="eastAsia" w:ascii="宋体" w:hAnsi="宋体" w:cs="宋体"/>
          <w:color w:val="auto"/>
          <w:sz w:val="21"/>
          <w:szCs w:val="21"/>
          <w:highlight w:val="none"/>
        </w:rPr>
        <w:t>1、</w:t>
      </w:r>
      <w:r>
        <w:rPr>
          <w:rFonts w:hint="eastAsia" w:ascii="宋体" w:hAnsi="宋体"/>
          <w:bCs/>
          <w:color w:val="auto"/>
          <w:sz w:val="21"/>
          <w:szCs w:val="21"/>
          <w:highlight w:val="none"/>
        </w:rPr>
        <w:t>投标</w:t>
      </w:r>
      <w:r>
        <w:rPr>
          <w:rFonts w:hint="eastAsia" w:ascii="宋体" w:hAnsi="宋体"/>
          <w:bCs/>
          <w:color w:val="auto"/>
          <w:sz w:val="21"/>
          <w:szCs w:val="21"/>
          <w:highlight w:val="none"/>
          <w:lang w:val="en-US" w:eastAsia="zh-CN"/>
        </w:rPr>
        <w:t>报价</w:t>
      </w:r>
      <w:r>
        <w:rPr>
          <w:rFonts w:hint="eastAsia" w:ascii="宋体" w:hAnsi="宋体"/>
          <w:bCs/>
          <w:color w:val="auto"/>
          <w:sz w:val="21"/>
          <w:szCs w:val="21"/>
          <w:highlight w:val="none"/>
        </w:rPr>
        <w:t>不得超过</w:t>
      </w:r>
      <w:r>
        <w:rPr>
          <w:rFonts w:hint="eastAsia" w:ascii="宋体" w:hAnsi="宋体"/>
          <w:bCs/>
          <w:color w:val="auto"/>
          <w:sz w:val="21"/>
          <w:szCs w:val="21"/>
          <w:highlight w:val="none"/>
          <w:lang w:val="en-US" w:eastAsia="zh-CN"/>
        </w:rPr>
        <w:t>最高限价</w:t>
      </w:r>
      <w:r>
        <w:rPr>
          <w:rFonts w:hint="eastAsia" w:ascii="宋体" w:hAnsi="宋体"/>
          <w:bCs/>
          <w:color w:val="auto"/>
          <w:sz w:val="21"/>
          <w:szCs w:val="21"/>
          <w:highlight w:val="none"/>
        </w:rPr>
        <w:t>，否则作无效处理</w:t>
      </w:r>
      <w:r>
        <w:rPr>
          <w:rFonts w:hint="eastAsia" w:ascii="宋体" w:hAnsi="宋体" w:cs="宋体"/>
          <w:bCs/>
          <w:color w:val="auto"/>
          <w:sz w:val="21"/>
          <w:szCs w:val="21"/>
          <w:highlight w:val="none"/>
        </w:rPr>
        <w:t>。</w:t>
      </w:r>
    </w:p>
    <w:p w14:paraId="2E93FD86">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二十、招标代理服务费</w:t>
      </w:r>
    </w:p>
    <w:p w14:paraId="25DEAC5E">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1、本项目招标代理费按</w:t>
      </w:r>
      <w:r>
        <w:rPr>
          <w:rFonts w:hint="eastAsia" w:ascii="宋体" w:hAnsi="宋体" w:cs="宋体"/>
          <w:color w:val="auto"/>
          <w:sz w:val="21"/>
          <w:szCs w:val="21"/>
          <w:highlight w:val="none"/>
          <w:lang w:val="en-US" w:eastAsia="zh-CN"/>
        </w:rPr>
        <w:t>6360</w:t>
      </w:r>
      <w:r>
        <w:rPr>
          <w:rFonts w:hint="eastAsia" w:ascii="宋体" w:hAnsi="宋体" w:cs="宋体"/>
          <w:color w:val="auto"/>
          <w:sz w:val="21"/>
          <w:szCs w:val="21"/>
          <w:highlight w:val="none"/>
        </w:rPr>
        <w:t>.00元向中标人收取。</w:t>
      </w:r>
    </w:p>
    <w:p w14:paraId="11BB45B0">
      <w:pPr>
        <w:wordWrap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中标供应商</w:t>
      </w:r>
      <w:r>
        <w:rPr>
          <w:rFonts w:hint="eastAsia" w:ascii="宋体" w:hAnsi="宋体" w:cs="宋体"/>
          <w:color w:val="auto"/>
          <w:sz w:val="21"/>
          <w:szCs w:val="21"/>
          <w:highlight w:val="none"/>
        </w:rPr>
        <w:t>应在代理机构发出中标通知书5个工作日内向本代理机构支付招标代理服务费。</w:t>
      </w:r>
    </w:p>
    <w:p w14:paraId="4A3CF4F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3、招标代理服务费收取银行票汇款、电汇款。</w:t>
      </w:r>
    </w:p>
    <w:p w14:paraId="6C9E9C8C">
      <w:pPr>
        <w:wordWrap w:val="0"/>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账户名称：宁波市国际招标有限公司</w:t>
      </w:r>
    </w:p>
    <w:p w14:paraId="70327C0D">
      <w:pPr>
        <w:wordWrap w:val="0"/>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开户银行：上海浦东发展银行江北支行</w:t>
      </w:r>
    </w:p>
    <w:p w14:paraId="3115828E">
      <w:pPr>
        <w:wordWrap w:val="0"/>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银行账号：94090154800000191</w:t>
      </w:r>
    </w:p>
    <w:p w14:paraId="06132D6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4、邮箱：nbitc@126.com</w:t>
      </w:r>
    </w:p>
    <w:bookmarkEnd w:id="107"/>
    <w:p w14:paraId="62D99D89">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二十一、合同授予</w:t>
      </w:r>
    </w:p>
    <w:p w14:paraId="1B86B390">
      <w:pPr>
        <w:spacing w:line="360" w:lineRule="auto"/>
        <w:ind w:firstLine="422" w:firstLineChars="200"/>
        <w:rPr>
          <w:rFonts w:ascii="宋体" w:hAnsi="宋体" w:cs="宋体"/>
          <w:b/>
          <w:color w:val="auto"/>
          <w:sz w:val="21"/>
          <w:szCs w:val="21"/>
          <w:highlight w:val="none"/>
        </w:rPr>
      </w:pPr>
      <w:bookmarkStart w:id="108" w:name="_Toc460857935"/>
      <w:bookmarkStart w:id="109" w:name="_Toc17884850"/>
      <w:r>
        <w:rPr>
          <w:rFonts w:hint="eastAsia" w:ascii="宋体" w:hAnsi="宋体" w:cs="宋体"/>
          <w:b/>
          <w:color w:val="auto"/>
          <w:sz w:val="21"/>
          <w:szCs w:val="21"/>
          <w:highlight w:val="none"/>
        </w:rPr>
        <w:t>（一）签订合同</w:t>
      </w:r>
      <w:bookmarkEnd w:id="108"/>
      <w:bookmarkEnd w:id="109"/>
    </w:p>
    <w:p w14:paraId="0FB0128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1、采购人与中标人应当在中标通知书发出之日起</w:t>
      </w:r>
      <w:r>
        <w:rPr>
          <w:rFonts w:hint="eastAsia" w:ascii="宋体" w:hAnsi="宋体" w:cs="宋体"/>
          <w:b/>
          <w:color w:val="auto"/>
          <w:sz w:val="21"/>
          <w:szCs w:val="21"/>
          <w:highlight w:val="none"/>
          <w:u w:val="single"/>
        </w:rPr>
        <w:t>30</w:t>
      </w:r>
      <w:r>
        <w:rPr>
          <w:rFonts w:hint="eastAsia" w:ascii="宋体" w:hAnsi="宋体" w:cs="宋体"/>
          <w:color w:val="auto"/>
          <w:sz w:val="21"/>
          <w:szCs w:val="21"/>
          <w:highlight w:val="none"/>
        </w:rPr>
        <w:t>日内签订政府采购合同。</w:t>
      </w:r>
    </w:p>
    <w:p w14:paraId="6110F1F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2、中标人拖延、拒签合同的,将取消中标资格。</w:t>
      </w:r>
    </w:p>
    <w:p w14:paraId="7654E29F">
      <w:pPr>
        <w:spacing w:line="360" w:lineRule="auto"/>
        <w:ind w:firstLine="422" w:firstLineChars="200"/>
        <w:rPr>
          <w:rFonts w:ascii="宋体" w:hAnsi="宋体" w:cs="宋体"/>
          <w:b/>
          <w:color w:val="auto"/>
          <w:sz w:val="21"/>
          <w:szCs w:val="21"/>
          <w:highlight w:val="none"/>
        </w:rPr>
      </w:pPr>
      <w:bookmarkStart w:id="110" w:name="_Toc460857936"/>
      <w:bookmarkStart w:id="111" w:name="_Toc17884851"/>
      <w:r>
        <w:rPr>
          <w:rFonts w:hint="eastAsia" w:ascii="宋体" w:hAnsi="宋体" w:cs="宋体"/>
          <w:b/>
          <w:color w:val="auto"/>
          <w:sz w:val="21"/>
          <w:szCs w:val="21"/>
          <w:highlight w:val="none"/>
        </w:rPr>
        <w:t>（二）履约保证金</w:t>
      </w:r>
      <w:bookmarkEnd w:id="110"/>
      <w:bookmarkEnd w:id="111"/>
      <w:r>
        <w:rPr>
          <w:rFonts w:hint="eastAsia" w:ascii="宋体" w:hAnsi="宋体" w:cs="宋体"/>
          <w:b/>
          <w:color w:val="auto"/>
          <w:sz w:val="21"/>
          <w:szCs w:val="21"/>
          <w:highlight w:val="none"/>
        </w:rPr>
        <w:t>（详见投标人须知前附表）</w:t>
      </w:r>
    </w:p>
    <w:p w14:paraId="73458EFD">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二十二、特别说明</w:t>
      </w:r>
    </w:p>
    <w:p w14:paraId="204E018E">
      <w:pPr>
        <w:wordWrap w:val="0"/>
        <w:spacing w:line="360" w:lineRule="auto"/>
        <w:ind w:firstLine="424" w:firstLineChars="202"/>
        <w:rPr>
          <w:rFonts w:ascii="宋体" w:hAnsi="宋体" w:cs="宋体"/>
          <w:color w:val="auto"/>
          <w:sz w:val="21"/>
          <w:szCs w:val="21"/>
          <w:highlight w:val="none"/>
        </w:rPr>
      </w:pPr>
      <w:bookmarkStart w:id="112" w:name="_Toc21541015"/>
      <w:bookmarkStart w:id="113" w:name="_Toc495244277"/>
      <w:r>
        <w:rPr>
          <w:rFonts w:hint="eastAsia" w:ascii="宋体" w:hAnsi="宋体" w:cs="宋体"/>
          <w:color w:val="auto"/>
          <w:sz w:val="21"/>
          <w:szCs w:val="21"/>
          <w:highlight w:val="none"/>
        </w:rPr>
        <w:t>1、执行财政部、工业和信息化部《政府采购促进中小企业发展管理办法》（财库〔2020〕46号）。政府采购活动中有关中小企业的相关规定如下：</w:t>
      </w:r>
    </w:p>
    <w:p w14:paraId="2E53CA07">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AB2B8BB">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1.2在政府采购活动中，投标人提供的货物、工程或者服务符合下列情形的，享受《政府采购促进中小企业发展管理办法》规定的中小企业扶持政策：</w:t>
      </w:r>
    </w:p>
    <w:p w14:paraId="1834B147">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（1）、在货物采购项目中，货物由中小企业制造，即货物由中小企业生产且使用该中小企业商号或者注册商标；</w:t>
      </w:r>
    </w:p>
    <w:p w14:paraId="708B9E61">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（2）、在工程采购项目中，工程由中小企业承建，即工程施工单位为中小企业；</w:t>
      </w:r>
    </w:p>
    <w:p w14:paraId="70B65B46">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（3）、在服务采购项目中，服务由中小企业承接，即提供服务的人员为中小企业依照《中华人民共和国劳动合同法》订立劳动合同的从业人员。</w:t>
      </w:r>
    </w:p>
    <w:p w14:paraId="4BEC13BA">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在货物采购项目中，投标人提供的货物既有中小企业制造货物，也有大型企业制造货物的，不享受《政府采购促进中小企业发展管理办法》规定的中小企业扶持政策。</w:t>
      </w:r>
    </w:p>
    <w:p w14:paraId="09640F24">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以联合体形式参加政府采购活动，联合体各方均为中小企业的，联合体视同中小企业。其中，联合体各方均为小微企业的，联合体视同小微企业。</w:t>
      </w:r>
    </w:p>
    <w:p w14:paraId="7385450E">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1.3中小企业参加政府采购活动，应当出具《政府采购促进中小企业发展管理办法》规定的《中小企业声明函》（格式见本采购文件附件），否则不得享受相关中小企业扶持政策。</w:t>
      </w:r>
    </w:p>
    <w:p w14:paraId="6CC19281">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1.4采购活动过程中，对投标人的“中小企业”资格认定，以投标人提交的《中小企业声明函》为准，投标人必须实事求是地提交声明函，如有虚假，将依法承担法律责任。如果在采购活动过程中相关采购当事人对投标人“中小企业”资格有异议的，由货物制造商或者工程、服务投标人注册登记所在地的县级以上人民政府中小企业主管部门负责认定。</w:t>
      </w:r>
    </w:p>
    <w:p w14:paraId="03E70D5B">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投标人提供声明函内容不实的，属于提供虚假材料谋取中标、成交，依照《中华人民共和国政府采购法》等国家有关规定追究相应责任。</w:t>
      </w:r>
    </w:p>
    <w:p w14:paraId="21571CEC">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适用招标投标法的政府采购工程建设项目，投标人提供声明函内容不实的，属于弄虚作假骗取中标，依照《中华人民共和国招标投标法》等国家有关规定追究相应责任。</w:t>
      </w:r>
    </w:p>
    <w:p w14:paraId="61D759F8">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1.5《中小企业声明函》由参加投标的投标人提交，如投标人为代理商，须自行采集制造商的中小企业划分类型信息填入相应栏目并对其真实性负责。</w:t>
      </w:r>
    </w:p>
    <w:p w14:paraId="44AA6C1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2"/>
      <w:bookmarkEnd w:id="113"/>
    </w:p>
    <w:p w14:paraId="66A10529">
      <w:pPr>
        <w:wordWrap w:val="0"/>
        <w:spacing w:line="360" w:lineRule="auto"/>
        <w:ind w:firstLine="420" w:firstLineChars="200"/>
        <w:rPr>
          <w:rFonts w:ascii="宋体" w:hAnsi="宋体" w:cs="宋体"/>
          <w:color w:val="auto"/>
          <w:sz w:val="21"/>
          <w:szCs w:val="21"/>
          <w:highlight w:val="none"/>
        </w:rPr>
      </w:pPr>
      <w:bookmarkStart w:id="114" w:name="_Toc21541016"/>
      <w:r>
        <w:rPr>
          <w:rFonts w:hint="eastAsia" w:ascii="宋体" w:hAnsi="宋体" w:cs="宋体"/>
          <w:color w:val="auto"/>
          <w:sz w:val="21"/>
          <w:szCs w:val="21"/>
          <w:highlight w:val="none"/>
        </w:rPr>
        <w:t>3、执行《三部门联合发布关于促进残疾人就业政府采购政策的通知》，在政府采购活动中，残疾人福利性单位视同小型、微型企业，残疾人福利性单位参加政府采购活动时，应当提供《残疾人福利性单位声明函》（格式见第六章投标文件格式），并对声明的真实性负责，未能提供的不予认可。</w:t>
      </w:r>
      <w:bookmarkEnd w:id="114"/>
    </w:p>
    <w:p w14:paraId="5FEBFA74">
      <w:pPr>
        <w:wordWrap w:val="0"/>
        <w:spacing w:line="360" w:lineRule="auto"/>
        <w:ind w:firstLine="420" w:firstLineChars="200"/>
        <w:rPr>
          <w:rFonts w:ascii="宋体" w:hAnsi="宋体" w:cs="宋体"/>
          <w:color w:val="auto"/>
          <w:sz w:val="21"/>
          <w:szCs w:val="21"/>
          <w:highlight w:val="none"/>
        </w:rPr>
      </w:pPr>
      <w:bookmarkStart w:id="115" w:name="_Toc21541017"/>
      <w:bookmarkStart w:id="116" w:name="_Toc419729158"/>
      <w:r>
        <w:rPr>
          <w:rFonts w:hint="eastAsia" w:ascii="宋体" w:hAnsi="宋体" w:cs="宋体"/>
          <w:color w:val="auto"/>
          <w:sz w:val="21"/>
          <w:szCs w:val="21"/>
          <w:highlight w:val="none"/>
        </w:rPr>
        <w:t>4、本项目不组织潜在投标人现场考察或者召开开标前答疑。</w:t>
      </w:r>
      <w:bookmarkEnd w:id="115"/>
    </w:p>
    <w:p w14:paraId="090714BE">
      <w:pPr>
        <w:wordWrap w:val="0"/>
        <w:spacing w:line="360" w:lineRule="auto"/>
        <w:ind w:firstLine="420" w:firstLineChars="200"/>
        <w:rPr>
          <w:rFonts w:ascii="宋体" w:hAnsi="宋体" w:cs="宋体"/>
          <w:color w:val="auto"/>
          <w:sz w:val="21"/>
          <w:szCs w:val="21"/>
          <w:highlight w:val="none"/>
        </w:rPr>
      </w:pPr>
      <w:bookmarkStart w:id="117" w:name="_Toc21541018"/>
      <w:r>
        <w:rPr>
          <w:rFonts w:hint="eastAsia" w:ascii="宋体" w:hAnsi="宋体" w:cs="宋体"/>
          <w:color w:val="auto"/>
          <w:sz w:val="21"/>
          <w:szCs w:val="21"/>
          <w:highlight w:val="none"/>
        </w:rPr>
        <w:t>5、本文件未及事项，在签订合同时供需及使用方友好商定。</w:t>
      </w:r>
      <w:bookmarkEnd w:id="116"/>
      <w:bookmarkEnd w:id="117"/>
    </w:p>
    <w:p w14:paraId="6503776A">
      <w:pPr>
        <w:wordWrap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color w:val="auto"/>
          <w:sz w:val="21"/>
          <w:szCs w:val="21"/>
          <w:highlight w:val="none"/>
        </w:rPr>
        <w:t>6、不同投标人的投标文件出自同一终端设备或在相同Internet主机分配地址（相同IP地址）网上报名投标的作无效标处理。</w:t>
      </w:r>
    </w:p>
    <w:p w14:paraId="7690B741">
      <w:pPr>
        <w:spacing w:line="360" w:lineRule="auto"/>
        <w:ind w:firstLine="420" w:firstLineChars="200"/>
        <w:rPr>
          <w:rFonts w:ascii="宋体"/>
          <w:b/>
          <w:color w:val="auto"/>
          <w:sz w:val="32"/>
          <w:szCs w:val="32"/>
          <w:highlight w:val="none"/>
        </w:rPr>
      </w:pPr>
      <w:bookmarkStart w:id="118" w:name="_Toc419729159"/>
      <w:r>
        <w:rPr>
          <w:rFonts w:hint="eastAsia" w:ascii="宋体" w:hAnsi="宋体" w:cs="宋体"/>
          <w:color w:val="auto"/>
          <w:sz w:val="21"/>
          <w:szCs w:val="21"/>
          <w:highlight w:val="none"/>
        </w:rPr>
        <w:t>7、本采购文件解释权归采购人。</w:t>
      </w:r>
      <w:bookmarkEnd w:id="118"/>
    </w:p>
    <w:bookmarkEnd w:id="33"/>
    <w:bookmarkEnd w:id="34"/>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4772C29C">
      <w:pPr>
        <w:rPr>
          <w:color w:val="auto"/>
          <w:highlight w:val="none"/>
        </w:rPr>
      </w:pPr>
      <w:bookmarkStart w:id="119" w:name="_Toc201632872"/>
      <w:bookmarkStart w:id="120" w:name="_Toc241827247"/>
      <w:r>
        <w:rPr>
          <w:rFonts w:hint="eastAsia"/>
          <w:color w:val="auto"/>
          <w:highlight w:val="none"/>
        </w:rPr>
        <w:br w:type="page"/>
      </w:r>
    </w:p>
    <w:p w14:paraId="54C25D1E">
      <w:pPr>
        <w:pStyle w:val="3"/>
        <w:spacing w:before="0" w:after="0" w:line="240" w:lineRule="auto"/>
        <w:jc w:val="center"/>
        <w:rPr>
          <w:color w:val="auto"/>
          <w:highlight w:val="none"/>
        </w:rPr>
      </w:pPr>
      <w:bookmarkStart w:id="121" w:name="_Toc21453"/>
      <w:r>
        <w:rPr>
          <w:rFonts w:hint="eastAsia"/>
          <w:color w:val="auto"/>
          <w:highlight w:val="none"/>
        </w:rPr>
        <w:t xml:space="preserve">第三章 </w:t>
      </w:r>
      <w:bookmarkEnd w:id="119"/>
      <w:bookmarkEnd w:id="120"/>
      <w:bookmarkStart w:id="122" w:name="_Toc241827248"/>
      <w:r>
        <w:rPr>
          <w:rFonts w:hint="eastAsia"/>
          <w:color w:val="auto"/>
          <w:highlight w:val="none"/>
        </w:rPr>
        <w:t xml:space="preserve"> 合同主要条款</w:t>
      </w:r>
      <w:bookmarkEnd w:id="121"/>
    </w:p>
    <w:p w14:paraId="06086DB3">
      <w:pPr>
        <w:jc w:val="center"/>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（本合同条款为参考格式，具体由甲乙双方协商签订，与前款冲突之处以前款约定为准）</w:t>
      </w:r>
    </w:p>
    <w:p w14:paraId="0444A4CC">
      <w:pPr>
        <w:jc w:val="both"/>
        <w:rPr>
          <w:rFonts w:ascii="宋体" w:hAnsi="宋体" w:cs="宋体"/>
          <w:color w:val="auto"/>
          <w:kern w:val="2"/>
          <w:sz w:val="21"/>
          <w:szCs w:val="21"/>
          <w:highlight w:val="none"/>
        </w:rPr>
      </w:pPr>
    </w:p>
    <w:p w14:paraId="21297C35">
      <w:pPr>
        <w:pStyle w:val="17"/>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28058D72">
      <w:pPr>
        <w:pStyle w:val="17"/>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1A9AC294">
      <w:pPr>
        <w:rPr>
          <w:rFonts w:ascii="宋体" w:hAnsi="宋体" w:cs="宋体"/>
          <w:b/>
          <w:bCs/>
          <w:color w:val="auto"/>
          <w:spacing w:val="-20"/>
          <w:kern w:val="44"/>
          <w:sz w:val="40"/>
          <w:szCs w:val="40"/>
          <w:highlight w:val="none"/>
        </w:rPr>
      </w:pPr>
    </w:p>
    <w:p w14:paraId="1767BEF7">
      <w:pPr>
        <w:rPr>
          <w:rFonts w:ascii="宋体" w:hAnsi="宋体" w:cs="宋体"/>
          <w:b/>
          <w:bCs/>
          <w:color w:val="auto"/>
          <w:spacing w:val="-20"/>
          <w:kern w:val="44"/>
          <w:sz w:val="40"/>
          <w:szCs w:val="40"/>
          <w:highlight w:val="none"/>
        </w:rPr>
      </w:pPr>
    </w:p>
    <w:p w14:paraId="2044CD29">
      <w:pPr>
        <w:rPr>
          <w:rFonts w:ascii="宋体" w:hAnsi="宋体" w:cs="宋体"/>
          <w:b/>
          <w:bCs/>
          <w:color w:val="auto"/>
          <w:spacing w:val="-20"/>
          <w:kern w:val="44"/>
          <w:sz w:val="40"/>
          <w:szCs w:val="40"/>
          <w:highlight w:val="none"/>
        </w:rPr>
      </w:pPr>
    </w:p>
    <w:p w14:paraId="4C91F2EE">
      <w:pPr>
        <w:spacing w:line="360" w:lineRule="auto"/>
        <w:ind w:left="48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0535A2E">
      <w:pPr>
        <w:spacing w:line="360" w:lineRule="auto"/>
        <w:ind w:left="48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C6E7E2D">
      <w:pPr>
        <w:spacing w:line="360" w:lineRule="auto"/>
        <w:ind w:left="48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507A0896">
      <w:pPr>
        <w:spacing w:line="360" w:lineRule="auto"/>
        <w:ind w:left="48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35E260AB">
      <w:pPr>
        <w:spacing w:line="360" w:lineRule="auto"/>
        <w:ind w:left="48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0981A19B">
      <w:pPr>
        <w:rPr>
          <w:color w:val="auto"/>
          <w:highlight w:val="none"/>
        </w:rPr>
      </w:pPr>
    </w:p>
    <w:p w14:paraId="1971F09E">
      <w:pPr>
        <w:rPr>
          <w:rFonts w:eastAsia="黑体"/>
          <w:color w:val="auto"/>
          <w:sz w:val="44"/>
          <w:szCs w:val="44"/>
          <w:highlight w:val="none"/>
        </w:rPr>
      </w:pPr>
      <w:r>
        <w:rPr>
          <w:rFonts w:eastAsia="黑体"/>
          <w:color w:val="auto"/>
          <w:sz w:val="44"/>
          <w:szCs w:val="44"/>
          <w:highlight w:val="none"/>
        </w:rPr>
        <w:br w:type="page"/>
      </w:r>
    </w:p>
    <w:p w14:paraId="4EFE066C">
      <w:pPr>
        <w:rPr>
          <w:rFonts w:eastAsia="黑体"/>
          <w:color w:val="auto"/>
          <w:sz w:val="44"/>
          <w:szCs w:val="44"/>
          <w:highlight w:val="none"/>
        </w:rPr>
      </w:pPr>
    </w:p>
    <w:p w14:paraId="05F90C7D">
      <w:pPr>
        <w:rPr>
          <w:rFonts w:eastAsia="黑体"/>
          <w:color w:val="auto"/>
          <w:sz w:val="44"/>
          <w:szCs w:val="44"/>
          <w:highlight w:val="none"/>
        </w:rPr>
      </w:pPr>
    </w:p>
    <w:p w14:paraId="013531E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使</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明</w:t>
      </w:r>
    </w:p>
    <w:p w14:paraId="318D5721">
      <w:pPr>
        <w:ind w:firstLine="420" w:firstLineChars="200"/>
        <w:rPr>
          <w:rFonts w:hint="eastAsia" w:ascii="宋体" w:hAnsi="宋体" w:eastAsia="宋体" w:cs="宋体"/>
          <w:color w:val="auto"/>
          <w:sz w:val="21"/>
          <w:szCs w:val="21"/>
          <w:highlight w:val="none"/>
          <w:lang w:val="en-US" w:eastAsia="zh-CN"/>
        </w:rPr>
      </w:pPr>
    </w:p>
    <w:p w14:paraId="60901205">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1.本合同标准文本适用于购买现成货物的采购项目，不包括需要供应商定制开发、创新研发的货物采购项目。</w:t>
      </w:r>
    </w:p>
    <w:p w14:paraId="2DB3D6D4">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2.本合同标准文本为政府采购货物买卖合同编制提供参考，可以结合采购项目具体情况，对文本作必要的调整修订后使用。</w:t>
      </w:r>
    </w:p>
    <w:p w14:paraId="46C2550E">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3.本合同标准文本各条款中，如涉及填写多家供应商、制造商，多种采购标的、分包主要内容等信息的，可根据采购项目具体情况添加信息项。</w:t>
      </w:r>
    </w:p>
    <w:p w14:paraId="1B41094E">
      <w:pPr>
        <w:ind w:firstLine="420" w:firstLineChars="200"/>
        <w:jc w:val="both"/>
        <w:rPr>
          <w:rFonts w:hint="eastAsia" w:ascii="宋体" w:hAnsi="宋体" w:eastAsia="宋体" w:cs="宋体"/>
          <w:color w:val="auto"/>
          <w:sz w:val="21"/>
          <w:szCs w:val="21"/>
          <w:highlight w:val="none"/>
        </w:rPr>
        <w:sectPr>
          <w:footerReference r:id="rId8" w:type="default"/>
          <w:pgSz w:w="11905" w:h="16838"/>
          <w:pgMar w:top="1417" w:right="1587" w:bottom="1417" w:left="1587" w:header="850"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6A5002A1">
      <w:pPr>
        <w:pStyle w:val="3"/>
        <w:adjustRightInd w:val="0"/>
        <w:snapToGrid w:val="0"/>
        <w:spacing w:beforeLines="0" w:line="400" w:lineRule="exact"/>
        <w:jc w:val="center"/>
        <w:rPr>
          <w:rFonts w:hint="eastAsia" w:ascii="宋体" w:hAnsi="宋体" w:eastAsia="宋体" w:cs="宋体"/>
          <w:b w:val="0"/>
          <w:bCs w:val="0"/>
          <w:color w:val="auto"/>
          <w:sz w:val="21"/>
          <w:szCs w:val="21"/>
          <w:highlight w:val="none"/>
        </w:rPr>
      </w:pPr>
      <w:bookmarkStart w:id="123" w:name="_Toc3369"/>
      <w:bookmarkStart w:id="124" w:name="_Toc22209"/>
      <w:r>
        <w:rPr>
          <w:rFonts w:hint="eastAsia" w:ascii="宋体" w:hAnsi="宋体" w:eastAsia="宋体" w:cs="宋体"/>
          <w:b w:val="0"/>
          <w:bCs w:val="0"/>
          <w:color w:val="auto"/>
          <w:sz w:val="21"/>
          <w:szCs w:val="21"/>
          <w:highlight w:val="none"/>
        </w:rPr>
        <w:t>第一节 政府采购合同协议书</w:t>
      </w:r>
      <w:bookmarkEnd w:id="123"/>
      <w:bookmarkEnd w:id="124"/>
    </w:p>
    <w:p w14:paraId="21434DD1">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p>
    <w:p w14:paraId="6AE629A3">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533E6C9C">
      <w:pPr>
        <w:spacing w:beforeLines="0" w:line="400" w:lineRule="exact"/>
        <w:rPr>
          <w:rFonts w:hint="eastAsia" w:ascii="宋体" w:hAnsi="宋体" w:eastAsia="宋体" w:cs="宋体"/>
          <w:color w:val="auto"/>
          <w:sz w:val="21"/>
          <w:szCs w:val="21"/>
          <w:highlight w:val="none"/>
          <w:lang w:val="en-US" w:eastAsia="zh-CN"/>
        </w:rPr>
      </w:pPr>
    </w:p>
    <w:p w14:paraId="2DD4EBCF">
      <w:pPr>
        <w:pStyle w:val="20"/>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239873E3">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5690FEB7">
      <w:pPr>
        <w:pStyle w:val="20"/>
        <w:numPr>
          <w:ilvl w:val="0"/>
          <w:numId w:val="6"/>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76E3A041">
      <w:pPr>
        <w:pStyle w:val="20"/>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6632C094">
      <w:pPr>
        <w:pStyle w:val="20"/>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EB7B9F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4FE61DB9">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B192D92">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7D1D7D14">
      <w:pPr>
        <w:adjustRightInd w:val="0"/>
        <w:snapToGrid w:val="0"/>
        <w:spacing w:before="0" w:beforeLines="0" w:line="400" w:lineRule="exact"/>
        <w:ind w:firstLine="945" w:firstLineChars="4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64AA4517">
      <w:pPr>
        <w:pStyle w:val="48"/>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val="en-US" w:eastAsia="zh-CN"/>
        </w:rPr>
        <w:t>分散采购</w:t>
      </w:r>
    </w:p>
    <w:p w14:paraId="49DD2DD3">
      <w:pPr>
        <w:pStyle w:val="48"/>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582D5702">
      <w:pPr>
        <w:pStyle w:val="48"/>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2DD757E5">
      <w:pPr>
        <w:pStyle w:val="48"/>
        <w:numPr>
          <w:ilvl w:val="-1"/>
          <w:numId w:val="0"/>
        </w:numPr>
        <w:adjustRightInd w:val="0"/>
        <w:snapToGrid w:val="0"/>
        <w:spacing w:before="0" w:beforeLines="0" w:line="400" w:lineRule="exact"/>
        <w:ind w:firstLine="21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FE"/>
      </w:r>
      <w:r>
        <w:rPr>
          <w:rFonts w:hint="eastAsia" w:ascii="宋体" w:hAnsi="宋体" w:eastAsia="宋体" w:cs="宋体"/>
          <w:color w:val="auto"/>
          <w:w w:val="100"/>
          <w:kern w:val="2"/>
          <w:sz w:val="21"/>
          <w:szCs w:val="21"/>
          <w:highlight w:val="none"/>
          <w:lang w:val="en-US" w:eastAsia="zh-CN" w:bidi="ar-SA"/>
        </w:rPr>
        <w:t>否</w:t>
      </w:r>
    </w:p>
    <w:p w14:paraId="6474BD1E">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lang w:eastAsia="zh-CN"/>
        </w:rPr>
        <w:t>购</w:t>
      </w:r>
      <w:r>
        <w:rPr>
          <w:rFonts w:hint="eastAsia" w:ascii="宋体" w:hAnsi="宋体" w:eastAsia="宋体" w:cs="宋体"/>
          <w:color w:val="auto"/>
          <w:w w:val="100"/>
          <w:sz w:val="21"/>
          <w:szCs w:val="21"/>
          <w:highlight w:val="none"/>
          <w:shd w:val="clear"/>
        </w:rPr>
        <w:t>合同</w:t>
      </w:r>
      <w:r>
        <w:rPr>
          <w:rFonts w:hint="eastAsia" w:ascii="宋体" w:hAnsi="宋体" w:eastAsia="宋体" w:cs="宋体"/>
          <w:color w:val="auto"/>
          <w:w w:val="100"/>
          <w:sz w:val="21"/>
          <w:szCs w:val="21"/>
          <w:highlight w:val="none"/>
          <w:shd w:val="clear"/>
          <w:lang w:eastAsia="zh-CN"/>
        </w:rPr>
        <w:t>（中小企业预留合同）</w:t>
      </w:r>
      <w:r>
        <w:rPr>
          <w:rFonts w:hint="eastAsia" w:ascii="宋体" w:hAnsi="宋体" w:eastAsia="宋体" w:cs="宋体"/>
          <w:color w:val="auto"/>
          <w:sz w:val="21"/>
          <w:szCs w:val="21"/>
          <w:highlight w:val="none"/>
          <w:shd w:val="clear"/>
        </w:rPr>
        <w:t>：</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51A2618E">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BCFDAF8">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171C5D6C">
      <w:pPr>
        <w:numPr>
          <w:ilvl w:val="0"/>
          <w:numId w:val="0"/>
        </w:numPr>
        <w:snapToGrid w:val="0"/>
        <w:spacing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1C83E2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FE"/>
      </w:r>
      <w:r>
        <w:rPr>
          <w:rFonts w:hint="eastAsia" w:ascii="宋体" w:hAnsi="宋体" w:eastAsia="宋体" w:cs="宋体"/>
          <w:iCs/>
          <w:color w:val="auto"/>
          <w:sz w:val="21"/>
          <w:szCs w:val="21"/>
          <w:highlight w:val="none"/>
        </w:rPr>
        <w:t>否</w:t>
      </w:r>
    </w:p>
    <w:p w14:paraId="6AA35E7D">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71481AD">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208A737D">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691477F5">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4CD0F656">
      <w:pPr>
        <w:adjustRightInd w:val="0"/>
        <w:snapToGrid w:val="0"/>
        <w:spacing w:beforeLines="0" w:line="400" w:lineRule="exact"/>
        <w:ind w:firstLine="840" w:firstLineChars="40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1006844B">
      <w:pPr>
        <w:adjustRightInd w:val="0"/>
        <w:snapToGrid w:val="0"/>
        <w:spacing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54B350D4">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FE"/>
      </w:r>
      <w:r>
        <w:rPr>
          <w:rFonts w:hint="eastAsia" w:ascii="宋体" w:hAnsi="宋体" w:eastAsia="宋体" w:cs="宋体"/>
          <w:iCs/>
          <w:color w:val="auto"/>
          <w:sz w:val="21"/>
          <w:szCs w:val="21"/>
          <w:highlight w:val="none"/>
        </w:rPr>
        <w:t>否</w:t>
      </w:r>
    </w:p>
    <w:p w14:paraId="63665BB7">
      <w:pPr>
        <w:pStyle w:val="48"/>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E9C25C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19E8EA36">
      <w:pPr>
        <w:numPr>
          <w:ilvl w:val="-1"/>
          <w:numId w:val="0"/>
        </w:num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2D4EED96">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0709535B">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否</w:t>
      </w:r>
    </w:p>
    <w:p w14:paraId="4E75C54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10F97DB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3BB3B60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0C2CB95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522FCBE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7C81F8F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542111A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46B23B4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2968F0CD">
      <w:pPr>
        <w:pStyle w:val="48"/>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56DE5D44">
      <w:pPr>
        <w:pStyle w:val="48"/>
        <w:spacing w:beforeLines="0"/>
        <w:ind w:firstLine="42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21A670F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6C9A50F9">
      <w:pPr>
        <w:pStyle w:val="48"/>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38A0DF0C">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0D387325">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不涉及</w:t>
      </w:r>
    </w:p>
    <w:p w14:paraId="0B2A1F5B">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04C10C89">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0C94094">
      <w:pPr>
        <w:adjustRightInd w:val="0"/>
        <w:snapToGrid w:val="0"/>
        <w:spacing w:before="0" w:beforeLines="0" w:line="400" w:lineRule="exact"/>
        <w:ind w:left="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E65952A">
      <w:p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3C5F8C64">
      <w:pPr>
        <w:adjustRightInd w:val="0"/>
        <w:snapToGrid w:val="0"/>
        <w:spacing w:before="0" w:beforeLines="0" w:line="40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CCF96F4">
      <w:p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0149B225">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005DB4F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0A82564D">
      <w:pPr>
        <w:pStyle w:val="77"/>
        <w:spacing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49D0EB3E">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w:t>
      </w:r>
      <w:r>
        <w:rPr>
          <w:rFonts w:hint="eastAsia" w:ascii="宋体" w:hAnsi="宋体" w:eastAsia="宋体" w:cs="宋体"/>
          <w:color w:val="auto"/>
          <w:sz w:val="21"/>
          <w:szCs w:val="21"/>
          <w:highlight w:val="none"/>
          <w:u w:val="single"/>
          <w:lang w:eastAsia="zh-CN"/>
        </w:rPr>
        <w:t>明确</w:t>
      </w:r>
      <w:r>
        <w:rPr>
          <w:rFonts w:hint="eastAsia" w:ascii="宋体" w:hAnsi="宋体" w:eastAsia="宋体" w:cs="宋体"/>
          <w:color w:val="auto"/>
          <w:sz w:val="21"/>
          <w:szCs w:val="21"/>
          <w:highlight w:val="none"/>
          <w:u w:val="single"/>
        </w:rPr>
        <w:t>一次性支付合同款项</w:t>
      </w:r>
      <w:r>
        <w:rPr>
          <w:rFonts w:hint="eastAsia" w:ascii="宋体" w:hAnsi="宋体" w:eastAsia="宋体" w:cs="宋体"/>
          <w:color w:val="auto"/>
          <w:sz w:val="21"/>
          <w:szCs w:val="21"/>
          <w:highlight w:val="none"/>
          <w:u w:val="single"/>
          <w:lang w:eastAsia="zh-CN"/>
        </w:rPr>
        <w:t>的条件</w:t>
      </w:r>
      <w:r>
        <w:rPr>
          <w:rFonts w:hint="eastAsia" w:ascii="宋体" w:hAnsi="宋体" w:eastAsia="宋体" w:cs="宋体"/>
          <w:color w:val="auto"/>
          <w:sz w:val="21"/>
          <w:szCs w:val="21"/>
          <w:highlight w:val="none"/>
          <w:u w:val="single"/>
        </w:rPr>
        <w:t xml:space="preserve">）                    </w:t>
      </w:r>
    </w:p>
    <w:p w14:paraId="58573AFF">
      <w:pPr>
        <w:snapToGrid w:val="0"/>
        <w:spacing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4DB601DE">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0979C957">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1D5E4380">
      <w:pPr>
        <w:numPr>
          <w:ilvl w:val="0"/>
          <w:numId w:val="5"/>
        </w:numPr>
        <w:adjustRightInd w:val="0"/>
        <w:snapToGrid w:val="0"/>
        <w:spacing w:before="0" w:beforeLines="0" w:line="400" w:lineRule="exact"/>
        <w:ind w:firstLine="422"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rPr>
        <w:t>合同履行</w:t>
      </w:r>
    </w:p>
    <w:p w14:paraId="66E0FE3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785092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4EAF21C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0A5F4996">
      <w:pPr>
        <w:pStyle w:val="48"/>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7C12D3CF">
      <w:pPr>
        <w:pStyle w:val="48"/>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6A7A2333">
      <w:pPr>
        <w:snapToGrid w:val="0"/>
        <w:spacing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6EDA5F1">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C92F9A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40015CF2">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合同验收</w:t>
      </w:r>
    </w:p>
    <w:p w14:paraId="74317814">
      <w:pPr>
        <w:numPr>
          <w:ilvl w:val="0"/>
          <w:numId w:val="7"/>
        </w:num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3F41DA96">
      <w:pPr>
        <w:numPr>
          <w:ilvl w:val="0"/>
          <w:numId w:val="0"/>
        </w:numPr>
        <w:adjustRightInd w:val="0"/>
        <w:snapToGrid w:val="0"/>
        <w:spacing w:before="0" w:before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p>
    <w:p w14:paraId="1077D0A8">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667E167">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10D9348">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2F1D2CE7">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1749F3F">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64B42F3">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54D07FA3">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69FCD7A7">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p>
    <w:p w14:paraId="475B8C10">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   日内组织验收）</w:t>
      </w:r>
      <w:r>
        <w:rPr>
          <w:rFonts w:hint="eastAsia" w:ascii="宋体" w:hAnsi="宋体" w:eastAsia="宋体" w:cs="宋体"/>
          <w:bCs/>
          <w:color w:val="auto"/>
          <w:sz w:val="21"/>
          <w:szCs w:val="21"/>
          <w:highlight w:val="none"/>
          <w:u w:val="single"/>
          <w:lang w:val="en-US" w:eastAsia="zh-CN"/>
        </w:rPr>
        <w:t xml:space="preserve"> </w:t>
      </w:r>
    </w:p>
    <w:p w14:paraId="0A918CC5">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54F23EBD">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08877971">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p>
    <w:p w14:paraId="1508FA3C">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1"/>
          <w:szCs w:val="21"/>
          <w:highlight w:val="none"/>
          <w:u w:val="single"/>
        </w:rPr>
        <w:t xml:space="preserve">                                      </w:t>
      </w:r>
    </w:p>
    <w:p w14:paraId="6F82EBD7">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42C8C802">
      <w:pPr>
        <w:pStyle w:val="48"/>
        <w:spacing w:beforeLines="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151791A">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14:paraId="42A6E13B">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组成合同的文件</w:t>
      </w:r>
    </w:p>
    <w:p w14:paraId="565C9F5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3BD2E05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57EB0C1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37533578">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2870167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11D0742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7705518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0E3A804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73D0F928">
      <w:pPr>
        <w:pStyle w:val="48"/>
        <w:spacing w:beforeLine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D91C0A4">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w:t>
      </w:r>
    </w:p>
    <w:p w14:paraId="76F5567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2DC192CF">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合同份数</w:t>
      </w:r>
    </w:p>
    <w:p w14:paraId="74C5543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5A3D211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FAD57E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6DCCA50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协议等。</w:t>
      </w:r>
    </w:p>
    <w:p w14:paraId="782E9F1C">
      <w:pPr>
        <w:pStyle w:val="77"/>
        <w:spacing w:beforeLines="0" w:line="400" w:lineRule="exact"/>
        <w:rPr>
          <w:rFonts w:hint="eastAsia" w:ascii="宋体" w:hAnsi="宋体" w:eastAsia="宋体" w:cs="宋体"/>
          <w:color w:val="auto"/>
          <w:sz w:val="21"/>
          <w:szCs w:val="21"/>
          <w:highlight w:val="none"/>
        </w:rPr>
      </w:pPr>
    </w:p>
    <w:p w14:paraId="4CF6A95A">
      <w:pPr>
        <w:pStyle w:val="3"/>
        <w:spacing w:beforeLines="0"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
        </w:rPr>
        <w:t xml:space="preserve">   </w:t>
      </w:r>
    </w:p>
    <w:p w14:paraId="3C1D46F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8CDD642">
      <w:pPr>
        <w:pStyle w:val="77"/>
        <w:rPr>
          <w:rFonts w:hint="eastAsia" w:ascii="宋体" w:hAnsi="宋体" w:eastAsia="宋体" w:cs="宋体"/>
          <w:color w:val="auto"/>
          <w:sz w:val="21"/>
          <w:szCs w:val="21"/>
          <w:highlight w:val="none"/>
        </w:rPr>
      </w:pPr>
    </w:p>
    <w:tbl>
      <w:tblPr>
        <w:tblStyle w:val="4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85"/>
        <w:gridCol w:w="2532"/>
        <w:gridCol w:w="2077"/>
        <w:gridCol w:w="2222"/>
      </w:tblGrid>
      <w:tr w14:paraId="3844FE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E6170A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4C1A64B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04C64E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71C132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86F998B">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D81B28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59" w:type="pct"/>
            <w:tcBorders>
              <w:top w:val="single" w:color="auto" w:sz="2" w:space="0"/>
              <w:left w:val="single" w:color="auto" w:sz="2" w:space="0"/>
              <w:bottom w:val="single" w:color="auto" w:sz="2" w:space="0"/>
            </w:tcBorders>
            <w:vAlign w:val="center"/>
          </w:tcPr>
          <w:p w14:paraId="0ACA3EC7">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37FE3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52E37C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608A6355">
            <w:pPr>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A4618F8">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4270B56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0391B20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33BA4BF2">
            <w:pPr>
              <w:adjustRightInd w:val="0"/>
              <w:snapToGrid w:val="0"/>
              <w:spacing w:line="300" w:lineRule="exact"/>
              <w:jc w:val="center"/>
              <w:rPr>
                <w:rFonts w:hint="eastAsia" w:ascii="宋体" w:hAnsi="宋体" w:eastAsia="宋体" w:cs="宋体"/>
                <w:color w:val="auto"/>
                <w:sz w:val="21"/>
                <w:szCs w:val="21"/>
                <w:highlight w:val="none"/>
              </w:rPr>
            </w:pPr>
          </w:p>
        </w:tc>
      </w:tr>
      <w:tr w14:paraId="1D397A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77DFD88">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56B9B8B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FC9B85">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38CE9EF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9073D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4D78FC">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746B4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6AB606">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750F77B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87B8E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9CAEF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E0A2B3A">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F123A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042DA07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46414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2D260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680593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688BE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58485BC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4C41A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29303A">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722012C">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68647BB">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277EF2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0224B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CCA73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9569767">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F7201B">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2C2D9C3">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519F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7006F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EC9D36F">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A1E1C3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D591307">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FCDF4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872E0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7D983B5">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52751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40984D80">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B4450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E81C1A">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E71C10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644A8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EAF0015">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6726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E150FF">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61610BF">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3F7B1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76F8E25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579BE7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3514B4">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7052B2C">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E4E2FF">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21A41F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C7E59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58BB26F">
            <w:pPr>
              <w:pStyle w:val="20"/>
              <w:adjustRightInd w:val="0"/>
              <w:snapToGrid w:val="0"/>
              <w:spacing w:before="156" w:beforeLines="50" w:after="0" w:line="360" w:lineRule="auto"/>
              <w:ind w:left="0" w:leftChars="0"/>
              <w:jc w:val="left"/>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04CBB5D2">
      <w:pPr>
        <w:pStyle w:val="3"/>
        <w:adjustRightInd w:val="0"/>
        <w:snapToGrid w:val="0"/>
        <w:spacing w:before="156" w:beforeLines="50"/>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u w:val="single"/>
        </w:rPr>
        <w:br w:type="page"/>
      </w:r>
      <w:bookmarkStart w:id="125" w:name="_Toc7885"/>
      <w:bookmarkStart w:id="126" w:name="_Toc27624"/>
      <w:r>
        <w:rPr>
          <w:rFonts w:hint="eastAsia" w:ascii="宋体" w:hAnsi="宋体" w:eastAsia="宋体" w:cs="宋体"/>
          <w:b/>
          <w:bCs/>
          <w:color w:val="auto"/>
          <w:sz w:val="21"/>
          <w:szCs w:val="21"/>
          <w:highlight w:val="none"/>
        </w:rPr>
        <w:t>第二节 政府采购合同通用条款</w:t>
      </w:r>
      <w:bookmarkEnd w:id="125"/>
      <w:bookmarkEnd w:id="126"/>
    </w:p>
    <w:p w14:paraId="5BB9ABFC">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44EA196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744A96F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10FB534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3A04D65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323EC97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1C0AEABA">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1787A8F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332F773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3E4E2CD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650806E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供应商按采购文件、投标（响应）文件的规定，根据分包意向协议，将中标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0E1B17E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3EF62DC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5BB0FB17">
      <w:pPr>
        <w:numPr>
          <w:ilvl w:val="0"/>
          <w:numId w:val="8"/>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00094876">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29A1A0EC">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23025A2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1F829734">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486ED22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3A697B3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1ACFB1B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76373C01">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3CFD745C">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0633E1B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5604FD7F">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50AC2F9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61903EF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76F1D0C6">
      <w:pPr>
        <w:pStyle w:val="17"/>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098FBE65">
      <w:pPr>
        <w:pStyle w:val="17"/>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105B1A16">
      <w:pPr>
        <w:numPr>
          <w:ilvl w:val="0"/>
          <w:numId w:val="9"/>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220BA5F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1171D3F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17A3A1F3">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4C35243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3F79564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3AFEFD37">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533367F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531D570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77CB45F1">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03DBDCA3">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6A0EAF4B">
      <w:pPr>
        <w:pStyle w:val="24"/>
        <w:adjustRightInd w:val="0"/>
        <w:snapToGrid w:val="0"/>
        <w:spacing w:before="0" w:line="40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38BC1ED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5A39B99F">
      <w:pPr>
        <w:pStyle w:val="24"/>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02E7C62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0FDD6B5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23AB5C3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4387B4F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69E0480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19D7778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446E8BD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5FC0CC7B">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5EA59DE8">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252EA41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6219482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4B558BD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303D732D">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5EDD3CA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127"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127"/>
      <w:r>
        <w:rPr>
          <w:rFonts w:hint="eastAsia" w:ascii="宋体" w:hAnsi="宋体" w:eastAsia="宋体" w:cs="宋体"/>
          <w:color w:val="auto"/>
          <w:sz w:val="21"/>
          <w:szCs w:val="21"/>
          <w:highlight w:val="none"/>
        </w:rPr>
        <w:t>。</w:t>
      </w:r>
    </w:p>
    <w:p w14:paraId="5E1B25C5">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6A92935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6A31DB9D">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15129627">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30D7B7BD">
      <w:pPr>
        <w:pStyle w:val="3"/>
        <w:spacing w:line="400" w:lineRule="exact"/>
        <w:ind w:firstLine="420" w:firstLineChars="200"/>
        <w:rPr>
          <w:rFonts w:hint="eastAsia" w:ascii="宋体" w:hAnsi="宋体" w:eastAsia="宋体" w:cs="宋体"/>
          <w:color w:val="auto"/>
          <w:sz w:val="21"/>
          <w:szCs w:val="21"/>
          <w:highlight w:val="none"/>
          <w:lang w:eastAsia="zh-CN"/>
        </w:rPr>
      </w:pPr>
      <w:bookmarkStart w:id="128" w:name="_Toc4616"/>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bookmarkEnd w:id="128"/>
    </w:p>
    <w:p w14:paraId="5CCDC3BA">
      <w:pPr>
        <w:pStyle w:val="17"/>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4C983DA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0738B458">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28C90611">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08DDB901">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256E1FA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13F09D7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4F97148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699A995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0D0A9E5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2FE75D05">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49DCD53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620939C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22ECF393">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1255274C">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6A7CC90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64E5C58B">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66BE5CE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44D5304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401E4B3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5941325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1B8F7471">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24DA5F9A">
      <w:pPr>
        <w:numPr>
          <w:ilvl w:val="0"/>
          <w:numId w:val="1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2C30923E">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4CFF86C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570DBF8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37FC857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079BF54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707EE9FE">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w:t>
      </w:r>
      <w:r>
        <w:rPr>
          <w:rFonts w:hint="eastAsia" w:ascii="宋体" w:hAnsi="宋体" w:eastAsia="宋体" w:cs="宋体"/>
          <w:color w:val="auto"/>
          <w:sz w:val="21"/>
          <w:szCs w:val="21"/>
          <w:highlight w:val="none"/>
          <w:lang w:eastAsia="zh-CN"/>
        </w:rPr>
        <w:t>及时告知</w:t>
      </w:r>
      <w:r>
        <w:rPr>
          <w:rFonts w:hint="eastAsia" w:ascii="宋体" w:hAnsi="宋体" w:eastAsia="宋体" w:cs="宋体"/>
          <w:color w:val="auto"/>
          <w:sz w:val="21"/>
          <w:szCs w:val="21"/>
          <w:highlight w:val="none"/>
        </w:rPr>
        <w:t>甲方，致使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履行发生困难的，甲方可以中止合同履行并要求乙方承担由此给甲方造成的损失。</w:t>
      </w:r>
    </w:p>
    <w:p w14:paraId="474FF6CD">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13D9BB39">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1F3E9F0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5D836935">
      <w:pPr>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73037103">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55C841CC">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w:t>
      </w:r>
      <w:r>
        <w:rPr>
          <w:rFonts w:hint="eastAsia" w:ascii="宋体" w:hAnsi="宋体" w:eastAsia="宋体" w:cs="宋体"/>
          <w:color w:val="auto"/>
          <w:sz w:val="21"/>
          <w:szCs w:val="21"/>
          <w:highlight w:val="none"/>
          <w:lang w:val="en-US" w:eastAsia="zh-CN"/>
        </w:rPr>
        <w:t>应当变更、</w:t>
      </w:r>
      <w:r>
        <w:rPr>
          <w:rFonts w:hint="eastAsia" w:ascii="宋体" w:hAnsi="宋体" w:eastAsia="宋体" w:cs="宋体"/>
          <w:color w:val="auto"/>
          <w:sz w:val="21"/>
          <w:szCs w:val="21"/>
          <w:highlight w:val="none"/>
        </w:rPr>
        <w:t>中止</w:t>
      </w:r>
      <w:r>
        <w:rPr>
          <w:rFonts w:hint="eastAsia" w:ascii="宋体" w:hAnsi="宋体" w:eastAsia="宋体" w:cs="宋体"/>
          <w:color w:val="auto"/>
          <w:sz w:val="21"/>
          <w:szCs w:val="21"/>
          <w:highlight w:val="none"/>
          <w:lang w:eastAsia="zh-CN"/>
        </w:rPr>
        <w:t>或者终止</w:t>
      </w:r>
      <w:r>
        <w:rPr>
          <w:rFonts w:hint="eastAsia" w:ascii="宋体" w:hAnsi="宋体" w:eastAsia="宋体" w:cs="宋体"/>
          <w:color w:val="auto"/>
          <w:sz w:val="21"/>
          <w:szCs w:val="21"/>
          <w:highlight w:val="none"/>
        </w:rPr>
        <w:t>合同。有过错的一方应当承担赔偿责任，双方都有过错的，各自承担相应的责任。</w:t>
      </w:r>
    </w:p>
    <w:p w14:paraId="7F69CC09">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360089F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2EBE99C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2B6C1CF3">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70F5040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75EC2B6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35D883C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1E0637A1">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257C0F3A">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因本合同及合同有关事项发生的争议，由</w:t>
      </w:r>
      <w:r>
        <w:rPr>
          <w:rFonts w:hint="eastAsia" w:ascii="宋体" w:hAnsi="宋体" w:eastAsia="宋体" w:cs="宋体"/>
          <w:color w:val="auto"/>
          <w:sz w:val="21"/>
          <w:szCs w:val="21"/>
          <w:highlight w:val="none"/>
          <w:lang w:eastAsia="zh-CN"/>
        </w:rPr>
        <w:t>甲乙双</w:t>
      </w:r>
      <w:r>
        <w:rPr>
          <w:rFonts w:hint="eastAsia" w:ascii="宋体" w:hAnsi="宋体" w:eastAsia="宋体" w:cs="宋体"/>
          <w:color w:val="auto"/>
          <w:sz w:val="21"/>
          <w:szCs w:val="21"/>
          <w:highlight w:val="none"/>
        </w:rPr>
        <w:t>方友好协商解决。协商不成时，可以</w:t>
      </w:r>
      <w:r>
        <w:rPr>
          <w:rFonts w:hint="eastAsia" w:ascii="宋体" w:hAnsi="宋体" w:eastAsia="宋体" w:cs="宋体"/>
          <w:color w:val="auto"/>
          <w:sz w:val="21"/>
          <w:szCs w:val="21"/>
          <w:highlight w:val="none"/>
          <w:lang w:eastAsia="zh-CN"/>
        </w:rPr>
        <w:t>向有关组织申请</w:t>
      </w:r>
      <w:r>
        <w:rPr>
          <w:rFonts w:hint="eastAsia" w:ascii="宋体" w:hAnsi="宋体" w:eastAsia="宋体" w:cs="宋体"/>
          <w:color w:val="auto"/>
          <w:sz w:val="21"/>
          <w:szCs w:val="21"/>
          <w:highlight w:val="none"/>
        </w:rPr>
        <w:t>调解。合同一方或</w:t>
      </w:r>
      <w:r>
        <w:rPr>
          <w:rFonts w:hint="eastAsia" w:ascii="宋体" w:hAnsi="宋体" w:eastAsia="宋体" w:cs="宋体"/>
          <w:color w:val="auto"/>
          <w:sz w:val="21"/>
          <w:szCs w:val="21"/>
          <w:highlight w:val="none"/>
          <w:lang w:eastAsia="zh-CN"/>
        </w:rPr>
        <w:t>双</w:t>
      </w:r>
      <w:r>
        <w:rPr>
          <w:rFonts w:hint="eastAsia" w:ascii="宋体" w:hAnsi="宋体" w:eastAsia="宋体" w:cs="宋体"/>
          <w:color w:val="auto"/>
          <w:sz w:val="21"/>
          <w:szCs w:val="21"/>
          <w:highlight w:val="none"/>
        </w:rPr>
        <w:t>方不愿调解或调解不成的，可以通过仲裁或诉讼的方式解决争议。</w:t>
      </w:r>
    </w:p>
    <w:p w14:paraId="0EECFB14">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435FAFCA">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.3 如</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有争议的事项不影响合同其他部分的履行，在争议解决期间，合同其他部分应</w:t>
      </w:r>
      <w:r>
        <w:rPr>
          <w:rFonts w:hint="eastAsia" w:ascii="宋体" w:hAnsi="宋体" w:eastAsia="宋体" w:cs="宋体"/>
          <w:color w:val="auto"/>
          <w:sz w:val="21"/>
          <w:szCs w:val="21"/>
          <w:highlight w:val="none"/>
          <w:lang w:eastAsia="zh-CN"/>
        </w:rPr>
        <w:t>当</w:t>
      </w:r>
      <w:r>
        <w:rPr>
          <w:rFonts w:hint="eastAsia" w:ascii="宋体" w:hAnsi="宋体" w:eastAsia="宋体" w:cs="宋体"/>
          <w:color w:val="auto"/>
          <w:sz w:val="21"/>
          <w:szCs w:val="21"/>
          <w:highlight w:val="none"/>
        </w:rPr>
        <w:t>继续履行。</w:t>
      </w:r>
    </w:p>
    <w:p w14:paraId="747036E5">
      <w:pPr>
        <w:autoSpaceDE w:val="0"/>
        <w:autoSpaceDN w:val="0"/>
        <w:adjustRightInd w:val="0"/>
        <w:snapToGrid w:val="0"/>
        <w:spacing w:before="0" w:line="40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37FBC87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2EBBD19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53A7E632">
      <w:pPr>
        <w:pStyle w:val="17"/>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7D0E9A7">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6D73C3EA">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本合同的订立、生效、解释、履行及与本合同有关的争议解决，均适用法律、行政法规。</w:t>
      </w:r>
    </w:p>
    <w:p w14:paraId="66C27FC6">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本合同条款与法律、行政法规的强制性规定不一致的，双方当事人应按照法律、行政法规的强制性规定修改本合同的相关条款。</w:t>
      </w:r>
    </w:p>
    <w:p w14:paraId="77C28FB7">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35E5FB6F">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本合同任何一方向对方发出的通知、信件、数据电文等，应当发送至本合同第一部分《政府采购合同协议书》所约定的通讯地址、联系人、联系电话或电子邮箱。</w:t>
      </w:r>
    </w:p>
    <w:p w14:paraId="61C853F1">
      <w:pPr>
        <w:pStyle w:val="48"/>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一方当事人变更名称、</w:t>
      </w:r>
      <w:r>
        <w:rPr>
          <w:rFonts w:hint="eastAsia" w:ascii="宋体" w:hAnsi="宋体" w:eastAsia="宋体" w:cs="宋体"/>
          <w:color w:val="auto"/>
          <w:sz w:val="21"/>
          <w:szCs w:val="21"/>
          <w:highlight w:val="none"/>
          <w:lang w:eastAsia="zh-CN"/>
        </w:rPr>
        <w:t>住所</w:t>
      </w:r>
      <w:r>
        <w:rPr>
          <w:rFonts w:hint="eastAsia" w:ascii="宋体" w:hAnsi="宋体" w:eastAsia="宋体" w:cs="宋体"/>
          <w:color w:val="auto"/>
          <w:sz w:val="21"/>
          <w:szCs w:val="21"/>
          <w:highlight w:val="none"/>
        </w:rPr>
        <w:t>、联系人、联系电话或电子邮箱</w:t>
      </w:r>
      <w:r>
        <w:rPr>
          <w:rFonts w:hint="eastAsia" w:ascii="宋体" w:hAnsi="宋体" w:eastAsia="宋体" w:cs="宋体"/>
          <w:color w:val="auto"/>
          <w:sz w:val="21"/>
          <w:szCs w:val="21"/>
          <w:highlight w:val="none"/>
          <w:lang w:eastAsia="zh-CN"/>
        </w:rPr>
        <w:t>等信息</w:t>
      </w:r>
      <w:r>
        <w:rPr>
          <w:rFonts w:hint="eastAsia" w:ascii="宋体" w:hAnsi="宋体" w:eastAsia="宋体" w:cs="宋体"/>
          <w:color w:val="auto"/>
          <w:sz w:val="21"/>
          <w:szCs w:val="21"/>
          <w:highlight w:val="none"/>
        </w:rPr>
        <w:t>的，应当在变更后3日内及时书面通知对方，对方实际收到变更通知前的送达仍为有效送达。</w:t>
      </w:r>
    </w:p>
    <w:p w14:paraId="701AA3A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08B8481A">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6136747A">
      <w:pPr>
        <w:numPr>
          <w:ilvl w:val="0"/>
          <w:numId w:val="11"/>
        </w:num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45818F93">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29922A06">
      <w:pPr>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129" w:name="_Toc20313"/>
    </w:p>
    <w:p w14:paraId="2036FA80">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1D47745C">
      <w:pPr>
        <w:pStyle w:val="3"/>
        <w:adjustRightInd w:val="0"/>
        <w:snapToGrid w:val="0"/>
        <w:jc w:val="center"/>
        <w:rPr>
          <w:rFonts w:hint="eastAsia" w:ascii="宋体" w:hAnsi="宋体" w:eastAsia="宋体" w:cs="宋体"/>
          <w:b w:val="0"/>
          <w:bCs w:val="0"/>
          <w:color w:val="auto"/>
          <w:sz w:val="21"/>
          <w:szCs w:val="21"/>
          <w:highlight w:val="none"/>
        </w:rPr>
      </w:pPr>
      <w:bookmarkStart w:id="130" w:name="_Toc8467"/>
      <w:r>
        <w:rPr>
          <w:rFonts w:hint="eastAsia" w:ascii="宋体" w:hAnsi="宋体" w:eastAsia="宋体" w:cs="宋体"/>
          <w:b w:val="0"/>
          <w:bCs w:val="0"/>
          <w:color w:val="auto"/>
          <w:sz w:val="21"/>
          <w:szCs w:val="21"/>
          <w:highlight w:val="none"/>
        </w:rPr>
        <w:t>第三节 政府采购合同专用条款</w:t>
      </w:r>
      <w:bookmarkEnd w:id="129"/>
      <w:bookmarkEnd w:id="130"/>
    </w:p>
    <w:tbl>
      <w:tblPr>
        <w:tblStyle w:val="41"/>
        <w:tblW w:w="86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7"/>
        <w:gridCol w:w="1774"/>
        <w:gridCol w:w="5267"/>
      </w:tblGrid>
      <w:tr w14:paraId="3D81B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637" w:type="dxa"/>
            <w:vAlign w:val="center"/>
          </w:tcPr>
          <w:p w14:paraId="7367E92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2A0BAD0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w:t>
            </w:r>
          </w:p>
        </w:tc>
        <w:tc>
          <w:tcPr>
            <w:tcW w:w="1774" w:type="dxa"/>
            <w:vAlign w:val="center"/>
          </w:tcPr>
          <w:p w14:paraId="6BAF65B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联合体具体要求</w:t>
            </w:r>
          </w:p>
        </w:tc>
        <w:tc>
          <w:tcPr>
            <w:tcW w:w="5267" w:type="dxa"/>
            <w:vAlign w:val="center"/>
          </w:tcPr>
          <w:p w14:paraId="2FA6CF9C">
            <w:pPr>
              <w:adjustRightInd w:val="0"/>
              <w:snapToGrid w:val="0"/>
              <w:jc w:val="left"/>
              <w:rPr>
                <w:rFonts w:hint="eastAsia" w:ascii="宋体" w:hAnsi="宋体" w:eastAsia="宋体" w:cs="宋体"/>
                <w:color w:val="auto"/>
                <w:sz w:val="21"/>
                <w:szCs w:val="21"/>
                <w:highlight w:val="none"/>
              </w:rPr>
            </w:pPr>
          </w:p>
        </w:tc>
      </w:tr>
      <w:tr w14:paraId="3AA79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637" w:type="dxa"/>
            <w:vAlign w:val="center"/>
          </w:tcPr>
          <w:p w14:paraId="1F608BE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751A9A61">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第1.2（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）项</w:t>
            </w:r>
          </w:p>
        </w:tc>
        <w:tc>
          <w:tcPr>
            <w:tcW w:w="1774" w:type="dxa"/>
            <w:vAlign w:val="center"/>
          </w:tcPr>
          <w:p w14:paraId="2AC5468A">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其他术语解释</w:t>
            </w:r>
          </w:p>
        </w:tc>
        <w:tc>
          <w:tcPr>
            <w:tcW w:w="5267" w:type="dxa"/>
            <w:vAlign w:val="center"/>
          </w:tcPr>
          <w:p w14:paraId="560E0EAC">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8077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637" w:type="dxa"/>
            <w:vAlign w:val="center"/>
          </w:tcPr>
          <w:p w14:paraId="5FE8597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4AC32A43">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4.4款</w:t>
            </w:r>
          </w:p>
        </w:tc>
        <w:tc>
          <w:tcPr>
            <w:tcW w:w="1774" w:type="dxa"/>
            <w:vAlign w:val="center"/>
          </w:tcPr>
          <w:p w14:paraId="1C532ACB">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履约验收中甲方提出异议或作出说明的期限</w:t>
            </w:r>
          </w:p>
        </w:tc>
        <w:tc>
          <w:tcPr>
            <w:tcW w:w="5267" w:type="dxa"/>
            <w:vAlign w:val="center"/>
          </w:tcPr>
          <w:p w14:paraId="25B2EDE0">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8BA6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4D3D3D9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306D377C">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4.6款</w:t>
            </w:r>
          </w:p>
        </w:tc>
        <w:tc>
          <w:tcPr>
            <w:tcW w:w="1774" w:type="dxa"/>
            <w:vAlign w:val="center"/>
          </w:tcPr>
          <w:p w14:paraId="373C303F">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约定甲方承担的其他义务和责任</w:t>
            </w:r>
          </w:p>
        </w:tc>
        <w:tc>
          <w:tcPr>
            <w:tcW w:w="5267" w:type="dxa"/>
            <w:vAlign w:val="center"/>
          </w:tcPr>
          <w:p w14:paraId="68362A8D">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E0257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1531A86A">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第二节</w:t>
            </w:r>
          </w:p>
          <w:p w14:paraId="09ACF8CB">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5.4款</w:t>
            </w:r>
          </w:p>
        </w:tc>
        <w:tc>
          <w:tcPr>
            <w:tcW w:w="1774" w:type="dxa"/>
            <w:vAlign w:val="center"/>
          </w:tcPr>
          <w:p w14:paraId="3463B941">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约定乙方承担的其他义务和责任</w:t>
            </w:r>
          </w:p>
        </w:tc>
        <w:tc>
          <w:tcPr>
            <w:tcW w:w="5267" w:type="dxa"/>
            <w:vAlign w:val="center"/>
          </w:tcPr>
          <w:p w14:paraId="37A0D3E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33B3A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2CCF957E">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第二节</w:t>
            </w:r>
          </w:p>
          <w:p w14:paraId="3A8B6F7F">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6.1款</w:t>
            </w:r>
          </w:p>
        </w:tc>
        <w:tc>
          <w:tcPr>
            <w:tcW w:w="1774" w:type="dxa"/>
            <w:vAlign w:val="center"/>
          </w:tcPr>
          <w:p w14:paraId="1C5CB7ED">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履行合同义务的顺序</w:t>
            </w:r>
          </w:p>
        </w:tc>
        <w:tc>
          <w:tcPr>
            <w:tcW w:w="5267" w:type="dxa"/>
            <w:vAlign w:val="center"/>
          </w:tcPr>
          <w:p w14:paraId="31357C2C">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422A6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1637" w:type="dxa"/>
            <w:vMerge w:val="restart"/>
            <w:vAlign w:val="center"/>
          </w:tcPr>
          <w:p w14:paraId="5195CF13">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70A2D9F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款</w:t>
            </w:r>
          </w:p>
        </w:tc>
        <w:tc>
          <w:tcPr>
            <w:tcW w:w="1774" w:type="dxa"/>
            <w:vAlign w:val="center"/>
          </w:tcPr>
          <w:p w14:paraId="7A59EF7C">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r>
              <w:rPr>
                <w:rFonts w:hint="eastAsia" w:ascii="宋体" w:hAnsi="宋体" w:eastAsia="宋体" w:cs="宋体"/>
                <w:color w:val="auto"/>
                <w:sz w:val="21"/>
                <w:szCs w:val="21"/>
                <w:highlight w:val="none"/>
                <w:lang w:eastAsia="zh-CN"/>
              </w:rPr>
              <w:t>特殊要求</w:t>
            </w:r>
          </w:p>
        </w:tc>
        <w:tc>
          <w:tcPr>
            <w:tcW w:w="5267" w:type="dxa"/>
            <w:vAlign w:val="center"/>
          </w:tcPr>
          <w:p w14:paraId="29CBFE35">
            <w:pPr>
              <w:rPr>
                <w:rFonts w:hint="eastAsia" w:ascii="宋体" w:hAnsi="宋体" w:eastAsia="宋体" w:cs="宋体"/>
                <w:color w:val="auto"/>
                <w:sz w:val="21"/>
                <w:szCs w:val="21"/>
                <w:highlight w:val="none"/>
              </w:rPr>
            </w:pPr>
          </w:p>
        </w:tc>
      </w:tr>
      <w:tr w14:paraId="0A7E1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1637" w:type="dxa"/>
            <w:vMerge w:val="continue"/>
            <w:vAlign w:val="center"/>
          </w:tcPr>
          <w:p w14:paraId="5ED8BB11">
            <w:pPr>
              <w:adjustRightInd w:val="0"/>
              <w:snapToGrid w:val="0"/>
              <w:jc w:val="center"/>
              <w:rPr>
                <w:rFonts w:hint="eastAsia" w:ascii="宋体" w:hAnsi="宋体" w:eastAsia="宋体" w:cs="宋体"/>
                <w:color w:val="auto"/>
                <w:sz w:val="21"/>
                <w:szCs w:val="21"/>
                <w:highlight w:val="none"/>
              </w:rPr>
            </w:pPr>
          </w:p>
        </w:tc>
        <w:tc>
          <w:tcPr>
            <w:tcW w:w="1774" w:type="dxa"/>
            <w:vAlign w:val="center"/>
          </w:tcPr>
          <w:p w14:paraId="5E514280">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指定现场</w:t>
            </w:r>
          </w:p>
        </w:tc>
        <w:tc>
          <w:tcPr>
            <w:tcW w:w="5267" w:type="dxa"/>
            <w:vAlign w:val="center"/>
          </w:tcPr>
          <w:p w14:paraId="0B1CAA71">
            <w:pPr>
              <w:rPr>
                <w:rFonts w:hint="eastAsia" w:ascii="宋体" w:hAnsi="宋体" w:eastAsia="宋体" w:cs="宋体"/>
                <w:color w:val="auto"/>
                <w:sz w:val="21"/>
                <w:szCs w:val="21"/>
                <w:highlight w:val="none"/>
              </w:rPr>
            </w:pPr>
          </w:p>
        </w:tc>
      </w:tr>
      <w:tr w14:paraId="4116A7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37" w:type="dxa"/>
            <w:vAlign w:val="center"/>
          </w:tcPr>
          <w:p w14:paraId="7CAF723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5BD246C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款</w:t>
            </w:r>
          </w:p>
        </w:tc>
        <w:tc>
          <w:tcPr>
            <w:tcW w:w="1774" w:type="dxa"/>
            <w:vAlign w:val="center"/>
          </w:tcPr>
          <w:p w14:paraId="4BD0D555">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运输特殊要求</w:t>
            </w:r>
          </w:p>
        </w:tc>
        <w:tc>
          <w:tcPr>
            <w:tcW w:w="5267" w:type="dxa"/>
            <w:vAlign w:val="center"/>
          </w:tcPr>
          <w:p w14:paraId="12DAF933">
            <w:pPr>
              <w:rPr>
                <w:rFonts w:hint="eastAsia" w:ascii="宋体" w:hAnsi="宋体" w:eastAsia="宋体" w:cs="宋体"/>
                <w:color w:val="auto"/>
                <w:sz w:val="21"/>
                <w:szCs w:val="21"/>
                <w:highlight w:val="none"/>
              </w:rPr>
            </w:pPr>
          </w:p>
        </w:tc>
      </w:tr>
      <w:tr w14:paraId="366210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637" w:type="dxa"/>
            <w:vAlign w:val="center"/>
          </w:tcPr>
          <w:p w14:paraId="22EF551C">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77A64B8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款</w:t>
            </w:r>
          </w:p>
        </w:tc>
        <w:tc>
          <w:tcPr>
            <w:tcW w:w="1774" w:type="dxa"/>
            <w:vAlign w:val="center"/>
          </w:tcPr>
          <w:p w14:paraId="18766EB3">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保险要求</w:t>
            </w:r>
          </w:p>
        </w:tc>
        <w:tc>
          <w:tcPr>
            <w:tcW w:w="5267" w:type="dxa"/>
            <w:vAlign w:val="center"/>
          </w:tcPr>
          <w:p w14:paraId="1AEA06B0">
            <w:pPr>
              <w:rPr>
                <w:rFonts w:hint="eastAsia" w:ascii="宋体" w:hAnsi="宋体" w:eastAsia="宋体" w:cs="宋体"/>
                <w:color w:val="auto"/>
                <w:sz w:val="21"/>
                <w:szCs w:val="21"/>
                <w:highlight w:val="none"/>
              </w:rPr>
            </w:pPr>
          </w:p>
        </w:tc>
      </w:tr>
      <w:tr w14:paraId="5CA90F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62EF8ACF">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5AD906C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.2（1）项</w:t>
            </w:r>
          </w:p>
        </w:tc>
        <w:tc>
          <w:tcPr>
            <w:tcW w:w="1774" w:type="dxa"/>
            <w:vAlign w:val="center"/>
          </w:tcPr>
          <w:p w14:paraId="7136DE6B">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w:t>
            </w:r>
          </w:p>
        </w:tc>
        <w:tc>
          <w:tcPr>
            <w:tcW w:w="5267" w:type="dxa"/>
            <w:vAlign w:val="center"/>
          </w:tcPr>
          <w:p w14:paraId="021C3AC0">
            <w:pPr>
              <w:autoSpaceDE w:val="0"/>
              <w:autoSpaceDN w:val="0"/>
              <w:adjustRightInd w:val="0"/>
              <w:snapToGrid w:val="0"/>
              <w:ind w:firstLine="420" w:firstLineChars="200"/>
              <w:jc w:val="left"/>
              <w:rPr>
                <w:rFonts w:hint="eastAsia" w:ascii="宋体" w:hAnsi="宋体" w:eastAsia="宋体" w:cs="宋体"/>
                <w:color w:val="auto"/>
                <w:sz w:val="21"/>
                <w:szCs w:val="21"/>
                <w:highlight w:val="none"/>
              </w:rPr>
            </w:pPr>
          </w:p>
        </w:tc>
      </w:tr>
      <w:tr w14:paraId="042D8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3086682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77ECC8A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.2（3）项</w:t>
            </w:r>
          </w:p>
        </w:tc>
        <w:tc>
          <w:tcPr>
            <w:tcW w:w="1774" w:type="dxa"/>
            <w:vAlign w:val="center"/>
          </w:tcPr>
          <w:p w14:paraId="53409C02">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货物质量缺陷</w:t>
            </w:r>
          </w:p>
          <w:p w14:paraId="775FFD46">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c>
        <w:tc>
          <w:tcPr>
            <w:tcW w:w="5267" w:type="dxa"/>
            <w:vAlign w:val="center"/>
          </w:tcPr>
          <w:p w14:paraId="36871C32">
            <w:pPr>
              <w:adjustRightInd w:val="0"/>
              <w:snapToGrid w:val="0"/>
              <w:jc w:val="left"/>
              <w:rPr>
                <w:rFonts w:hint="eastAsia" w:ascii="宋体" w:hAnsi="宋体" w:eastAsia="宋体" w:cs="宋体"/>
                <w:color w:val="auto"/>
                <w:sz w:val="21"/>
                <w:szCs w:val="21"/>
                <w:highlight w:val="none"/>
              </w:rPr>
            </w:pPr>
          </w:p>
        </w:tc>
      </w:tr>
      <w:tr w14:paraId="0342A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637" w:type="dxa"/>
            <w:vAlign w:val="center"/>
          </w:tcPr>
          <w:p w14:paraId="09EF36F2">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第二节</w:t>
            </w:r>
          </w:p>
          <w:p w14:paraId="0AD99FEF">
            <w:pPr>
              <w:pStyle w:val="48"/>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第11.1款</w:t>
            </w:r>
          </w:p>
        </w:tc>
        <w:tc>
          <w:tcPr>
            <w:tcW w:w="1774" w:type="dxa"/>
            <w:vAlign w:val="center"/>
          </w:tcPr>
          <w:p w14:paraId="7A642E9C">
            <w:pPr>
              <w:adjustRightInd w:val="0"/>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其他应当保密的信息</w:t>
            </w:r>
          </w:p>
        </w:tc>
        <w:tc>
          <w:tcPr>
            <w:tcW w:w="5267" w:type="dxa"/>
            <w:vAlign w:val="center"/>
          </w:tcPr>
          <w:p w14:paraId="583A0B2B">
            <w:pPr>
              <w:adjustRightInd w:val="0"/>
              <w:snapToGrid w:val="0"/>
              <w:jc w:val="left"/>
              <w:rPr>
                <w:rFonts w:hint="eastAsia" w:ascii="宋体" w:hAnsi="宋体" w:eastAsia="宋体" w:cs="宋体"/>
                <w:color w:val="auto"/>
                <w:sz w:val="21"/>
                <w:szCs w:val="21"/>
                <w:highlight w:val="none"/>
              </w:rPr>
            </w:pPr>
          </w:p>
        </w:tc>
      </w:tr>
      <w:tr w14:paraId="76CC6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637" w:type="dxa"/>
            <w:vAlign w:val="center"/>
          </w:tcPr>
          <w:p w14:paraId="4B4F0F6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4473651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.2款</w:t>
            </w:r>
          </w:p>
        </w:tc>
        <w:tc>
          <w:tcPr>
            <w:tcW w:w="1774" w:type="dxa"/>
            <w:vAlign w:val="center"/>
          </w:tcPr>
          <w:p w14:paraId="72DB5CD2">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合同价款支付</w:t>
            </w:r>
            <w:r>
              <w:rPr>
                <w:rFonts w:hint="eastAsia" w:ascii="宋体" w:hAnsi="宋体" w:eastAsia="宋体" w:cs="宋体"/>
                <w:color w:val="auto"/>
                <w:sz w:val="21"/>
                <w:szCs w:val="21"/>
                <w:highlight w:val="none"/>
                <w:lang w:eastAsia="zh-CN"/>
              </w:rPr>
              <w:t>时间</w:t>
            </w:r>
          </w:p>
        </w:tc>
        <w:tc>
          <w:tcPr>
            <w:tcW w:w="5267" w:type="dxa"/>
            <w:vAlign w:val="center"/>
          </w:tcPr>
          <w:p w14:paraId="059C0350">
            <w:pPr>
              <w:adjustRightInd w:val="0"/>
              <w:snapToGrid w:val="0"/>
              <w:jc w:val="left"/>
              <w:rPr>
                <w:rFonts w:hint="eastAsia" w:ascii="宋体" w:hAnsi="宋体" w:eastAsia="宋体" w:cs="宋体"/>
                <w:color w:val="auto"/>
                <w:sz w:val="21"/>
                <w:szCs w:val="21"/>
                <w:highlight w:val="none"/>
              </w:rPr>
            </w:pPr>
          </w:p>
        </w:tc>
      </w:tr>
      <w:tr w14:paraId="43C08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637" w:type="dxa"/>
            <w:vAlign w:val="center"/>
          </w:tcPr>
          <w:p w14:paraId="2A70FA18">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1EB342E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款</w:t>
            </w:r>
          </w:p>
        </w:tc>
        <w:tc>
          <w:tcPr>
            <w:tcW w:w="1774" w:type="dxa"/>
            <w:vAlign w:val="center"/>
          </w:tcPr>
          <w:p w14:paraId="2F0E3D83">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履约保证金不予退还的情形</w:t>
            </w:r>
          </w:p>
        </w:tc>
        <w:tc>
          <w:tcPr>
            <w:tcW w:w="5267" w:type="dxa"/>
            <w:vAlign w:val="center"/>
          </w:tcPr>
          <w:p w14:paraId="4F416FE5">
            <w:pPr>
              <w:adjustRightInd w:val="0"/>
              <w:snapToGrid w:val="0"/>
              <w:jc w:val="left"/>
              <w:rPr>
                <w:rFonts w:hint="eastAsia" w:ascii="宋体" w:hAnsi="宋体" w:eastAsia="宋体" w:cs="宋体"/>
                <w:color w:val="auto"/>
                <w:sz w:val="21"/>
                <w:szCs w:val="21"/>
                <w:highlight w:val="none"/>
              </w:rPr>
            </w:pPr>
          </w:p>
        </w:tc>
      </w:tr>
      <w:tr w14:paraId="4F2850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637" w:type="dxa"/>
            <w:vAlign w:val="center"/>
          </w:tcPr>
          <w:p w14:paraId="1F95012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22D5002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13.3</w:t>
            </w:r>
            <w:r>
              <w:rPr>
                <w:rFonts w:hint="eastAsia" w:ascii="宋体" w:hAnsi="宋体" w:eastAsia="宋体" w:cs="宋体"/>
                <w:color w:val="auto"/>
                <w:sz w:val="21"/>
                <w:szCs w:val="21"/>
                <w:highlight w:val="none"/>
              </w:rPr>
              <w:t>款</w:t>
            </w:r>
          </w:p>
        </w:tc>
        <w:tc>
          <w:tcPr>
            <w:tcW w:w="1774" w:type="dxa"/>
            <w:vAlign w:val="center"/>
          </w:tcPr>
          <w:p w14:paraId="3402B58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履约保证金退还时间及</w:t>
            </w:r>
            <w:r>
              <w:rPr>
                <w:rFonts w:hint="eastAsia" w:ascii="宋体" w:hAnsi="宋体" w:eastAsia="宋体" w:cs="宋体"/>
                <w:color w:val="auto"/>
                <w:sz w:val="21"/>
                <w:szCs w:val="21"/>
                <w:highlight w:val="none"/>
                <w:lang w:eastAsia="zh-CN"/>
              </w:rPr>
              <w:t>逾期退还的</w:t>
            </w:r>
            <w:r>
              <w:rPr>
                <w:rFonts w:hint="eastAsia" w:ascii="宋体" w:hAnsi="宋体" w:eastAsia="宋体" w:cs="宋体"/>
                <w:color w:val="auto"/>
                <w:sz w:val="21"/>
                <w:szCs w:val="21"/>
                <w:highlight w:val="none"/>
              </w:rPr>
              <w:t>违约金</w:t>
            </w:r>
          </w:p>
        </w:tc>
        <w:tc>
          <w:tcPr>
            <w:tcW w:w="5267" w:type="dxa"/>
            <w:vAlign w:val="center"/>
          </w:tcPr>
          <w:p w14:paraId="6852F0F7">
            <w:pPr>
              <w:adjustRightInd w:val="0"/>
              <w:snapToGrid w:val="0"/>
              <w:jc w:val="left"/>
              <w:rPr>
                <w:rFonts w:hint="eastAsia" w:ascii="宋体" w:hAnsi="宋体" w:eastAsia="宋体" w:cs="宋体"/>
                <w:color w:val="auto"/>
                <w:sz w:val="21"/>
                <w:szCs w:val="21"/>
                <w:highlight w:val="none"/>
              </w:rPr>
            </w:pPr>
          </w:p>
        </w:tc>
      </w:tr>
      <w:tr w14:paraId="389CEE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1637" w:type="dxa"/>
            <w:vAlign w:val="center"/>
          </w:tcPr>
          <w:p w14:paraId="6847A23D">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280AE54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w:t>
            </w:r>
          </w:p>
        </w:tc>
        <w:tc>
          <w:tcPr>
            <w:tcW w:w="1774" w:type="dxa"/>
            <w:vAlign w:val="center"/>
          </w:tcPr>
          <w:p w14:paraId="42A25DC8">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运行监督、维修期限</w:t>
            </w:r>
          </w:p>
        </w:tc>
        <w:tc>
          <w:tcPr>
            <w:tcW w:w="5267" w:type="dxa"/>
            <w:vAlign w:val="center"/>
          </w:tcPr>
          <w:p w14:paraId="3F0BFAE2">
            <w:pPr>
              <w:adjustRightInd w:val="0"/>
              <w:snapToGrid w:val="0"/>
              <w:jc w:val="left"/>
              <w:rPr>
                <w:rFonts w:hint="eastAsia" w:ascii="宋体" w:hAnsi="宋体" w:eastAsia="宋体" w:cs="宋体"/>
                <w:color w:val="auto"/>
                <w:sz w:val="21"/>
                <w:szCs w:val="21"/>
                <w:highlight w:val="none"/>
              </w:rPr>
            </w:pPr>
          </w:p>
        </w:tc>
      </w:tr>
    </w:tbl>
    <w:p w14:paraId="0D74465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BA4E28F">
      <w:pPr>
        <w:pStyle w:val="2"/>
        <w:spacing w:before="0" w:after="0" w:line="360" w:lineRule="auto"/>
        <w:jc w:val="center"/>
        <w:rPr>
          <w:rFonts w:ascii="宋体"/>
          <w:color w:val="auto"/>
          <w:sz w:val="21"/>
          <w:szCs w:val="21"/>
          <w:highlight w:val="none"/>
        </w:rPr>
        <w:sectPr>
          <w:headerReference r:id="rId9" w:type="default"/>
          <w:footerReference r:id="rId10" w:type="default"/>
          <w:pgSz w:w="11905" w:h="16838"/>
          <w:pgMar w:top="1417" w:right="1587" w:bottom="1417" w:left="1587" w:header="850" w:footer="850" w:gutter="0"/>
          <w:pgBorders>
            <w:top w:val="none" w:sz="0" w:space="0"/>
            <w:left w:val="none" w:sz="0" w:space="0"/>
            <w:bottom w:val="none" w:sz="0" w:space="0"/>
            <w:right w:val="none" w:sz="0" w:space="0"/>
          </w:pgBorders>
          <w:pgNumType w:start="1"/>
          <w:cols w:space="0" w:num="1"/>
          <w:rtlGutter w:val="0"/>
          <w:docGrid w:linePitch="312" w:charSpace="0"/>
        </w:sectPr>
      </w:pPr>
    </w:p>
    <w:bookmarkEnd w:id="122"/>
    <w:p w14:paraId="302E5B7B">
      <w:pPr>
        <w:pStyle w:val="3"/>
        <w:jc w:val="center"/>
        <w:rPr>
          <w:rFonts w:hint="eastAsia" w:ascii="宋体" w:hAnsi="宋体"/>
          <w:b/>
          <w:color w:val="auto"/>
          <w:sz w:val="21"/>
          <w:szCs w:val="21"/>
          <w:highlight w:val="none"/>
        </w:rPr>
      </w:pPr>
      <w:bookmarkStart w:id="131" w:name="_Toc8213"/>
      <w:bookmarkStart w:id="132" w:name="_Toc241827249"/>
      <w:r>
        <w:rPr>
          <w:rFonts w:hint="eastAsia"/>
          <w:color w:val="auto"/>
          <w:highlight w:val="none"/>
        </w:rPr>
        <w:t xml:space="preserve">第四章  </w:t>
      </w:r>
      <w:r>
        <w:rPr>
          <w:rFonts w:hint="eastAsia"/>
          <w:color w:val="auto"/>
          <w:highlight w:val="none"/>
          <w:lang w:val="en-US" w:eastAsia="zh-CN"/>
        </w:rPr>
        <w:t>招标内容及</w:t>
      </w:r>
      <w:bookmarkEnd w:id="131"/>
      <w:r>
        <w:rPr>
          <w:rFonts w:hint="eastAsia"/>
          <w:color w:val="auto"/>
          <w:highlight w:val="none"/>
          <w:lang w:val="en-US" w:eastAsia="zh-CN"/>
        </w:rPr>
        <w:t>技术需求</w:t>
      </w:r>
    </w:p>
    <w:p w14:paraId="45C423CB">
      <w:pPr>
        <w:rPr>
          <w:rFonts w:hint="eastAsia" w:eastAsiaTheme="minorEastAsia"/>
          <w:b/>
          <w:bCs/>
          <w:color w:val="auto"/>
          <w:highlight w:val="none"/>
          <w:lang w:val="en-US" w:eastAsia="zh-CN"/>
        </w:rPr>
      </w:pPr>
      <w:r>
        <w:rPr>
          <w:rFonts w:hint="eastAsia"/>
          <w:b/>
          <w:bCs/>
          <w:color w:val="auto"/>
          <w:highlight w:val="none"/>
          <w:lang w:val="en-US" w:eastAsia="zh-CN"/>
        </w:rPr>
        <w:t>一、招标货物清单及技术要求</w:t>
      </w:r>
      <w:r>
        <w:rPr>
          <w:rFonts w:hint="eastAsia" w:eastAsiaTheme="minorEastAsia"/>
          <w:b/>
          <w:bCs/>
          <w:color w:val="auto"/>
          <w:highlight w:val="none"/>
          <w:lang w:val="en-US" w:eastAsia="zh-CN"/>
        </w:rPr>
        <w:t>表</w:t>
      </w:r>
    </w:p>
    <w:tbl>
      <w:tblPr>
        <w:tblStyle w:val="42"/>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5509"/>
        <w:gridCol w:w="1652"/>
        <w:gridCol w:w="1129"/>
      </w:tblGrid>
      <w:tr w14:paraId="4E72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518" w:type="pct"/>
            <w:vAlign w:val="center"/>
          </w:tcPr>
          <w:p w14:paraId="1CC98920">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序号</w:t>
            </w:r>
          </w:p>
        </w:tc>
        <w:tc>
          <w:tcPr>
            <w:tcW w:w="2977" w:type="pct"/>
            <w:vAlign w:val="center"/>
          </w:tcPr>
          <w:p w14:paraId="07EDCB7A">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招标技术参数要求</w:t>
            </w:r>
          </w:p>
        </w:tc>
        <w:tc>
          <w:tcPr>
            <w:tcW w:w="893" w:type="pct"/>
            <w:vAlign w:val="center"/>
          </w:tcPr>
          <w:p w14:paraId="0E4211E7">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数量</w:t>
            </w:r>
          </w:p>
        </w:tc>
        <w:tc>
          <w:tcPr>
            <w:tcW w:w="610" w:type="pct"/>
            <w:vAlign w:val="center"/>
          </w:tcPr>
          <w:p w14:paraId="116D6A2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投标响应</w:t>
            </w:r>
          </w:p>
        </w:tc>
      </w:tr>
      <w:tr w14:paraId="37AD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59A9FF29">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ascii="Times New Roman" w:hAnsi="Times New Roman" w:cs="Times New Roman" w:eastAsiaTheme="minorEastAsia"/>
                <w:b/>
                <w:bCs/>
                <w:color w:val="auto"/>
                <w:sz w:val="21"/>
                <w:szCs w:val="21"/>
                <w:highlight w:val="none"/>
                <w:vertAlign w:val="baseline"/>
                <w:lang w:val="en-US" w:eastAsia="zh-CN"/>
              </w:rPr>
              <w:t>（一）</w:t>
            </w:r>
          </w:p>
        </w:tc>
        <w:tc>
          <w:tcPr>
            <w:tcW w:w="2977" w:type="pct"/>
            <w:vAlign w:val="center"/>
          </w:tcPr>
          <w:p w14:paraId="6E9D20D7">
            <w:pPr>
              <w:keepNext w:val="0"/>
              <w:keepLines w:val="0"/>
              <w:pageBreakBefore w:val="0"/>
              <w:kinsoku/>
              <w:wordWrap/>
              <w:overflowPunct/>
              <w:topLinePunct w:val="0"/>
              <w:autoSpaceDE/>
              <w:autoSpaceDN/>
              <w:bidi w:val="0"/>
              <w:adjustRightInd w:val="0"/>
              <w:snapToGrid/>
              <w:spacing w:line="240" w:lineRule="auto"/>
              <w:jc w:val="both"/>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default" w:ascii="Times New Roman" w:hAnsi="Times New Roman" w:eastAsia="宋体" w:cs="Times New Roman"/>
                <w:b/>
                <w:bCs/>
                <w:i w:val="0"/>
                <w:iCs w:val="0"/>
                <w:color w:val="000000"/>
                <w:kern w:val="0"/>
                <w:sz w:val="21"/>
                <w:szCs w:val="21"/>
                <w:highlight w:val="none"/>
                <w:u w:val="none"/>
                <w:lang w:val="en-US" w:eastAsia="zh-CN" w:bidi="ar"/>
              </w:rPr>
              <w:t>图书管理系统</w:t>
            </w:r>
          </w:p>
        </w:tc>
        <w:tc>
          <w:tcPr>
            <w:tcW w:w="893" w:type="pct"/>
            <w:vAlign w:val="center"/>
          </w:tcPr>
          <w:p w14:paraId="0AD0079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cs="Times New Roman"/>
                <w:i w:val="0"/>
                <w:iCs w:val="0"/>
                <w:color w:val="000000"/>
                <w:kern w:val="0"/>
                <w:sz w:val="21"/>
                <w:szCs w:val="21"/>
                <w:highlight w:val="none"/>
                <w:u w:val="none"/>
                <w:lang w:val="en-US" w:eastAsia="zh-CN" w:bidi="ar"/>
              </w:rPr>
              <w:t>1套</w:t>
            </w:r>
          </w:p>
        </w:tc>
        <w:tc>
          <w:tcPr>
            <w:tcW w:w="610" w:type="pct"/>
            <w:vAlign w:val="center"/>
          </w:tcPr>
          <w:p w14:paraId="2BABB57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2B7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5D1E6CCD">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vAlign w:val="center"/>
          </w:tcPr>
          <w:p w14:paraId="43DECC83">
            <w:pPr>
              <w:keepNext w:val="0"/>
              <w:keepLines w:val="0"/>
              <w:pageBreakBefore w:val="0"/>
              <w:kinsoku/>
              <w:wordWrap/>
              <w:overflowPunct/>
              <w:topLinePunct w:val="0"/>
              <w:autoSpaceDE/>
              <w:autoSpaceDN/>
              <w:bidi w:val="0"/>
              <w:adjustRightInd w:val="0"/>
              <w:snapToGrid/>
              <w:spacing w:line="240" w:lineRule="auto"/>
              <w:jc w:val="both"/>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系统配置 </w:t>
            </w:r>
          </w:p>
        </w:tc>
        <w:tc>
          <w:tcPr>
            <w:tcW w:w="893" w:type="pct"/>
            <w:vAlign w:val="center"/>
          </w:tcPr>
          <w:p w14:paraId="19FC0FF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vAlign w:val="center"/>
          </w:tcPr>
          <w:p w14:paraId="32D03C8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F84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13D36ED">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center"/>
          </w:tcPr>
          <w:p w14:paraId="02612245">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登录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支持绑定微信，扫码登录；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支持密码强度校验，强制修改用户初始密码</w:t>
            </w:r>
            <w:r>
              <w:rPr>
                <w:rFonts w:hint="eastAsia" w:ascii="宋体" w:hAnsi="宋体" w:cs="宋体"/>
                <w:i w:val="0"/>
                <w:iCs w:val="0"/>
                <w:color w:val="000000"/>
                <w:kern w:val="0"/>
                <w:sz w:val="21"/>
                <w:szCs w:val="21"/>
                <w:highlight w:val="none"/>
                <w:u w:val="none"/>
                <w:lang w:val="en-US" w:eastAsia="zh-CN" w:bidi="ar"/>
              </w:rPr>
              <w:t>。</w:t>
            </w:r>
          </w:p>
        </w:tc>
        <w:tc>
          <w:tcPr>
            <w:tcW w:w="893" w:type="pct"/>
            <w:vAlign w:val="center"/>
          </w:tcPr>
          <w:p w14:paraId="359F2EB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vAlign w:val="center"/>
          </w:tcPr>
          <w:p w14:paraId="0365EE6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C22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280CAD07">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w:t>
            </w:r>
          </w:p>
        </w:tc>
        <w:tc>
          <w:tcPr>
            <w:tcW w:w="2977" w:type="pct"/>
            <w:vAlign w:val="center"/>
          </w:tcPr>
          <w:p w14:paraId="0164C8B2">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个性化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支持自定义个性化配置：系统欢迎页、logo</w:t>
            </w:r>
            <w:r>
              <w:rPr>
                <w:rFonts w:hint="eastAsia" w:ascii="宋体" w:hAnsi="宋体" w:cs="宋体"/>
                <w:i w:val="0"/>
                <w:iCs w:val="0"/>
                <w:color w:val="000000"/>
                <w:kern w:val="0"/>
                <w:sz w:val="21"/>
                <w:szCs w:val="21"/>
                <w:highlight w:val="none"/>
                <w:u w:val="none"/>
                <w:lang w:val="en-US" w:eastAsia="zh-CN" w:bidi="ar"/>
              </w:rPr>
              <w:t>。</w:t>
            </w:r>
          </w:p>
        </w:tc>
        <w:tc>
          <w:tcPr>
            <w:tcW w:w="893" w:type="pct"/>
            <w:vAlign w:val="center"/>
          </w:tcPr>
          <w:p w14:paraId="45B74FF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vAlign w:val="center"/>
          </w:tcPr>
          <w:p w14:paraId="72258FE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759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4D542786">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4</w:t>
            </w:r>
          </w:p>
        </w:tc>
        <w:tc>
          <w:tcPr>
            <w:tcW w:w="2977" w:type="pct"/>
            <w:vAlign w:val="center"/>
          </w:tcPr>
          <w:p w14:paraId="73A9B5DF">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参数配置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完善的多级参数管理：机构参数-单馆参数-工作台参数-个人参数，灵活配置共性设置和个性化设置；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完善的用户角色权限管理。权限明确到菜单权限和功能权限，一个用户可拥有多个角色</w:t>
            </w:r>
            <w:r>
              <w:rPr>
                <w:rFonts w:hint="eastAsia" w:ascii="宋体" w:hAnsi="宋体" w:cs="宋体"/>
                <w:i w:val="0"/>
                <w:iCs w:val="0"/>
                <w:color w:val="000000"/>
                <w:kern w:val="0"/>
                <w:sz w:val="21"/>
                <w:szCs w:val="21"/>
                <w:highlight w:val="none"/>
                <w:u w:val="none"/>
                <w:lang w:val="en-US" w:eastAsia="zh-CN" w:bidi="ar"/>
              </w:rPr>
              <w:t>。</w:t>
            </w:r>
          </w:p>
        </w:tc>
        <w:tc>
          <w:tcPr>
            <w:tcW w:w="893" w:type="pct"/>
            <w:vAlign w:val="center"/>
          </w:tcPr>
          <w:p w14:paraId="1E477D5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vAlign w:val="center"/>
          </w:tcPr>
          <w:p w14:paraId="3FD47F0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27D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61B47AA">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5</w:t>
            </w:r>
          </w:p>
        </w:tc>
        <w:tc>
          <w:tcPr>
            <w:tcW w:w="2977" w:type="pct"/>
            <w:shd w:val="clear" w:color="auto" w:fill="auto"/>
            <w:vAlign w:val="center"/>
          </w:tcPr>
          <w:p w14:paraId="77128C9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系统消息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支持即时的消息提醒，在线即可接受消息推送；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支持消息中心，查看任务进度、系统公告；标记已读、未读</w:t>
            </w:r>
            <w:r>
              <w:rPr>
                <w:rFonts w:hint="eastAsia" w:ascii="宋体" w:hAnsi="宋体" w:cs="宋体"/>
                <w:i w:val="0"/>
                <w:iCs w:val="0"/>
                <w:color w:val="000000"/>
                <w:kern w:val="0"/>
                <w:sz w:val="21"/>
                <w:szCs w:val="21"/>
                <w:highlight w:val="none"/>
                <w:u w:val="none"/>
                <w:lang w:val="en-US" w:eastAsia="zh-CN" w:bidi="ar"/>
              </w:rPr>
              <w:t>。</w:t>
            </w:r>
          </w:p>
        </w:tc>
        <w:tc>
          <w:tcPr>
            <w:tcW w:w="893" w:type="pct"/>
            <w:vAlign w:val="center"/>
          </w:tcPr>
          <w:p w14:paraId="3A73A3B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vAlign w:val="center"/>
          </w:tcPr>
          <w:p w14:paraId="11700C9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4F5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78F26760">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6</w:t>
            </w:r>
          </w:p>
        </w:tc>
        <w:tc>
          <w:tcPr>
            <w:tcW w:w="2977" w:type="pct"/>
            <w:shd w:val="clear" w:color="auto" w:fill="auto"/>
            <w:vAlign w:val="center"/>
          </w:tcPr>
          <w:p w14:paraId="1B6BA71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资源采访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数据导入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支持导入征订目录、导入订购记录、导入验收记录、更新订购待编记录、导入批量退订；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支持添加、编辑导入数据模板，按模板导入文件；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支持导入任务管理；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数据导入支持MARC文件和Excel文件，文件格式智能识别；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导入MARC文件支持GBK、UNICODE、UTF-8编码格式。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支持同一批次征订目录、订购记录，多币种、多国别、多语种数据导入。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导入Excel文件时，支持Excel表单-Sheet的切换。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实现xls和xlxs文件的自动互识互转；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自动识别导入Excel文件的表头，提供匹配库，自动匹配映射字段。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导入征订目录，支持导入预购套数。</w:t>
            </w:r>
          </w:p>
        </w:tc>
        <w:tc>
          <w:tcPr>
            <w:tcW w:w="893" w:type="pct"/>
          </w:tcPr>
          <w:p w14:paraId="5EE1FBE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0CA036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A2E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707EA868">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7</w:t>
            </w:r>
          </w:p>
        </w:tc>
        <w:tc>
          <w:tcPr>
            <w:tcW w:w="2977" w:type="pct"/>
            <w:shd w:val="clear" w:color="auto" w:fill="auto"/>
            <w:vAlign w:val="center"/>
          </w:tcPr>
          <w:p w14:paraId="5AFBA9E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批查重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支持批查重：供应商查重、订前查重、订后查重；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支持多种条件自由组合查重：题名、标准号、责任者、出版社、主题词等。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支持多条件间与、或关系查重。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馆藏重复范围可选全机构、指定分馆、指定校区、指定馆藏地。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针对查重结果可查看重复元数据MARC详情及重复元数据下纸质馆藏、电子馆藏、数字馆藏、订购记录；</w:t>
            </w:r>
            <w:r>
              <w:rPr>
                <w:rFonts w:hint="eastAsia" w:ascii="宋体" w:hAnsi="宋体" w:cs="宋体"/>
                <w:i w:val="0"/>
                <w:iCs w:val="0"/>
                <w:color w:val="000000"/>
                <w:kern w:val="0"/>
                <w:sz w:val="21"/>
                <w:szCs w:val="21"/>
                <w:highlight w:val="none"/>
                <w:u w:val="none"/>
                <w:lang w:val="en-US" w:eastAsia="zh-CN" w:bidi="ar"/>
              </w:rPr>
              <w:t>（投标文件中提供功能截图证明材料）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支持数据筛选，元数据重复、馆藏重复、不重复；其中馆藏重复可以筛选纸质馆藏、电子馆藏、数字馆藏、订购记录重复；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查重后可关联重复数据MARC进行订购，减少本馆元数据冗余；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支持在查重结果内二次检索；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增加查重策略的配置，支持一次利用多组条件查重，一次输出全部查重结果</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5C525D3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EA5165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FFC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B7AAC2C">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8</w:t>
            </w:r>
          </w:p>
        </w:tc>
        <w:tc>
          <w:tcPr>
            <w:tcW w:w="2977" w:type="pct"/>
            <w:shd w:val="clear" w:color="auto" w:fill="auto"/>
            <w:vAlign w:val="center"/>
          </w:tcPr>
          <w:p w14:paraId="0C1795B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征订管理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支持征订目录的独有或共享；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支持经费的独有或共享；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支持集团校与分校之间以工作台协作采购，自由组配经费。并且各馆经费的使用额度能得到有效控制；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支持订购批次与订购批次同号，自动生成订购批次号。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同一批次，支持按照经费、订购工作小组分别输出订单；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预订数据生成唯一的采购流水号，保证完整的、可追溯的采购流程；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每一条采购流水的订购方式可追溯，包含征订目录订购、直接订购、读者推荐订购、中央知识库订购等；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支持自定义资料采购类型，并进行相关统计；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支持直接编辑数据的征订信息和MARC；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灵活的黑名单管理，支持编辑及移除黑名单；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支持批次查重及关联订购、批量删除、批量订购、批量加入黑名单等处理工作；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MARC子字段支持多题名、多主题词的检索；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支持按订购号、采购流水号、题名、责任者、出版社、出版年、分类号、价格等多种条件排序；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支持多条件高级检索；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业务操作进行筛选书目时，可快速选用已经设置好的个人采选策略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支持根据出版年、价格、出版社、责任者、分类、币种等条件的复合筛选；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提供标记已阅功能；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支持跳转站外链接，豆瓣、京东、当当；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可通过中央知识库获取作者简介、图书简介、目录、封面等信息</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310CB91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61449A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364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EFFDEC9">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9</w:t>
            </w:r>
          </w:p>
        </w:tc>
        <w:tc>
          <w:tcPr>
            <w:tcW w:w="2977" w:type="pct"/>
            <w:shd w:val="clear" w:color="auto" w:fill="auto"/>
            <w:vAlign w:val="center"/>
          </w:tcPr>
          <w:p w14:paraId="14CCBC9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荐购处理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支持对采购单荐购和读者自由荐购记录的管理；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支持对图书和电子资源库做采购申请处理和回复；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支持跳转站外链接，豆瓣、京东、当当、亚马逊海外；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支持批量查重，针对查重结果可查看重复元数据及重复元数据下纸质馆藏、电子馆藏、数字馆藏、订购记录；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支持关联MRAC订购；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支持关联在订记录；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支持自定义维护荐购回复常用语；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荐购记录被订购及入藏时，系统可自动通过EMAIL或短信自动反馈读者</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020863F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60F6E3C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645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5F51BE9A">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10</w:t>
            </w:r>
          </w:p>
        </w:tc>
        <w:tc>
          <w:tcPr>
            <w:tcW w:w="2977" w:type="pct"/>
            <w:shd w:val="clear" w:color="auto" w:fill="auto"/>
            <w:vAlign w:val="center"/>
          </w:tcPr>
          <w:p w14:paraId="61FAD11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资源订购 </w:t>
            </w:r>
          </w:p>
          <w:p w14:paraId="66175ED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支持按订购包、按全部订购记录查看本馆订单，可在全部订单中检索订购记录；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支持检索本馆元数据、中央知识库及其他联机站点元数据，直接订购的方式；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支持提供MARC或Excel文件，设置订购工作台、经费、套数，直接导入订购记录；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支持邮件发订、导出订单、打印订单；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支持直接编辑数据的订购信息和MARC；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支持单条、批量调整订购信息、规则分配馆藏地；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支持批量更新参数、调整订购、更改订购包、删除订购记录、退订；支持批量导出、打印订购记录；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支持批量查重；弹窗展示重复结果；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支持查看订购元数据的MARC详情、往年订购记录、荐购记录等；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MARC子字段支持多题名、多主题词的检索；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支持按订购号、采购流水号、题名、责任者、出版社、出版年、分类号、价格等多种条件排序；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支持根据出版年、价格、出版社、责任者、分类、币种等条件的复合筛选；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支持催缺退改订；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支持订单行发订审核</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63A09D6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6584FC3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493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CB751D3">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11</w:t>
            </w:r>
          </w:p>
        </w:tc>
        <w:tc>
          <w:tcPr>
            <w:tcW w:w="2977" w:type="pct"/>
            <w:shd w:val="clear" w:color="auto" w:fill="auto"/>
            <w:vAlign w:val="center"/>
          </w:tcPr>
          <w:p w14:paraId="4CEFBBD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供应商预警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支持设置供应商预期交付时间，在机构参数设置预计交付周期后，按周期推算供应商单个批次的供全率、供准率、及时率；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达到预计交付日期当日，若供应商存在未到记录则输出预警文件，并向订购包创建人发送通知</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11C2DC6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89D5B1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2DC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2DB7B179">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12</w:t>
            </w:r>
          </w:p>
        </w:tc>
        <w:tc>
          <w:tcPr>
            <w:tcW w:w="2977" w:type="pct"/>
            <w:shd w:val="clear" w:color="auto" w:fill="auto"/>
            <w:vAlign w:val="center"/>
          </w:tcPr>
          <w:p w14:paraId="5272FA0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一次性接收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图书一次性接收支持订购验收、自采验收、受赠验收。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验收时支持检索查重。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支持总签、分签、不签多种验收方式。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订购验收支持直接追加订购记录；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订购验收、自采验收、受赠验收均支持新增元数据、使用已有元数据验收、检索中央元数据验收；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支持多卷册图书的验收处理；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支持一个订购记录分多批次验收；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支持多验、少验情况的处理；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支持批量取消验收；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支持批量更改数据的验收包；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支持快速验收；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财产号、条码号支持按工作台财产账参数自动分配。支持不自动分配财产账。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支持自动生成索书号；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支持设置馆藏地分配规则，验收时自动根据规则分配馆藏地。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支持编目验收，同时处理验收和编目；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支持对查重结果合并元数据、移除验收等操作；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财产帐管理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可根据工作台设置不同资源类型下的不同的财产账号段；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可为工作人员分配不同的财产号区间，区间可独有可连续；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支持财产号废号及缺号查询、管理；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财产号可配置保存时空号校验提醒</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36C291F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D07966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549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45ED1EF6">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13</w:t>
            </w:r>
          </w:p>
        </w:tc>
        <w:tc>
          <w:tcPr>
            <w:tcW w:w="2977" w:type="pct"/>
            <w:shd w:val="clear" w:color="auto" w:fill="auto"/>
            <w:vAlign w:val="center"/>
          </w:tcPr>
          <w:p w14:paraId="62D4B8C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导入批量验收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支持批量导入验收，导入时支持设置书刊状态及元数据状态；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索书号重复支持导入；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导入验收时支持预览MARC文件；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支持导入文件完成订购数据MARC和订购价格的更新；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批量导入验收支持查重设置</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427EDA9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0495AC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E89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7EA63F76">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14</w:t>
            </w:r>
          </w:p>
        </w:tc>
        <w:tc>
          <w:tcPr>
            <w:tcW w:w="2977" w:type="pct"/>
            <w:shd w:val="clear" w:color="auto" w:fill="auto"/>
            <w:vAlign w:val="center"/>
          </w:tcPr>
          <w:p w14:paraId="1C2EEDC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连续出版物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导入及订购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支持期刊征订数据的导入；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支持规范征订数据的价格和出版频率。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支持批量发订、退订、续订；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支持直接编辑订购分配信息及MARC信息；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支持批查重，显示重复情况，支持关联订购，并自动继承往年的订购、签收和分配参数</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订购时支持期刊总签分签</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0CC9D45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CAA51C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D68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31C6DF80">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15</w:t>
            </w:r>
          </w:p>
        </w:tc>
        <w:tc>
          <w:tcPr>
            <w:tcW w:w="2977" w:type="pct"/>
            <w:shd w:val="clear" w:color="auto" w:fill="auto"/>
            <w:vAlign w:val="center"/>
          </w:tcPr>
          <w:p w14:paraId="1D68D9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续订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支持复制订购批次续订，续订时，可选择复制的期刊类型以及是否保留原订购分配信息</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6BC8836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224F21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CEC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76B79C14">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16</w:t>
            </w:r>
          </w:p>
        </w:tc>
        <w:tc>
          <w:tcPr>
            <w:tcW w:w="2977" w:type="pct"/>
            <w:shd w:val="clear" w:color="auto" w:fill="auto"/>
            <w:vAlign w:val="center"/>
          </w:tcPr>
          <w:p w14:paraId="5598A66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签收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支持直接编辑MARC信息以及签收信息；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支持继承去年签收参数生成签到卡片；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支持期刊卷期批量签收以及退签功能；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支持进入签收页面时自动定位到未签收单刊上；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可针对固定频率期刊，非固定频率期刊，特殊卷期期刊分别通过参数生成准确的卷期信息；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支持现刊分配条码自动单刊典藏；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支持预到日期和催缺日期的设置；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支持合订本装订参数的设定</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65CE286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247998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486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228C8A48">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17</w:t>
            </w:r>
          </w:p>
        </w:tc>
        <w:tc>
          <w:tcPr>
            <w:tcW w:w="2977" w:type="pct"/>
            <w:shd w:val="clear" w:color="auto" w:fill="auto"/>
            <w:vAlign w:val="center"/>
          </w:tcPr>
          <w:p w14:paraId="5C37145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现刊催缺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可按照缺刊、所有缺刊、未签刊、断刊类型进行邮件催缺；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提供按照供应商、订购年度筛选检索功能；</w:t>
            </w:r>
          </w:p>
        </w:tc>
        <w:tc>
          <w:tcPr>
            <w:tcW w:w="893" w:type="pct"/>
          </w:tcPr>
          <w:p w14:paraId="419705C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9E1EE4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5B6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3CB11F16">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18</w:t>
            </w:r>
          </w:p>
        </w:tc>
        <w:tc>
          <w:tcPr>
            <w:tcW w:w="2977" w:type="pct"/>
            <w:shd w:val="clear" w:color="auto" w:fill="auto"/>
            <w:vAlign w:val="center"/>
          </w:tcPr>
          <w:p w14:paraId="522F365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排架号管理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可根据订购年度，分配地以及不同选项检索期刊；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可根据分类号，往年排架号，文件导入方式生成新一年排架号；</w:t>
            </w:r>
          </w:p>
        </w:tc>
        <w:tc>
          <w:tcPr>
            <w:tcW w:w="893" w:type="pct"/>
          </w:tcPr>
          <w:p w14:paraId="03FE0FE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6540BE3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3C82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55F74628">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19</w:t>
            </w:r>
          </w:p>
        </w:tc>
        <w:tc>
          <w:tcPr>
            <w:tcW w:w="2977" w:type="pct"/>
            <w:shd w:val="clear" w:color="auto" w:fill="auto"/>
            <w:vAlign w:val="center"/>
          </w:tcPr>
          <w:p w14:paraId="5F85AFD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资源管理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元数据支持范围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国际国内编目标准：支持CNMARC、USMARC、RDA、DC、DCTERMS等规范；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支持GBK、UNICODE、UTF-8字符集，实现多语种编目；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MARC模式和行列模式切换；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USMARC的关联数据展现，并且根据系统生成的链接可以跳转id.loc.gov网站查看对应的LinkedData；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BIBFRAME数据展示；</w:t>
            </w:r>
          </w:p>
        </w:tc>
        <w:tc>
          <w:tcPr>
            <w:tcW w:w="893" w:type="pct"/>
          </w:tcPr>
          <w:p w14:paraId="2C9ADD3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EBC3AE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44E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D8E085F">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20</w:t>
            </w:r>
          </w:p>
        </w:tc>
        <w:tc>
          <w:tcPr>
            <w:tcW w:w="2977" w:type="pct"/>
            <w:shd w:val="clear" w:color="auto" w:fill="auto"/>
            <w:vAlign w:val="center"/>
          </w:tcPr>
          <w:p w14:paraId="3F5DD3D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元数据基本编辑功能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提供字段基本的增加，修改和删除功能；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支持简单编目模式编辑，可以配置简单编目模板；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支持MARC审校功能，根据MARC规则自动提示错误；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支持元数据规范检测，支持查看帮助提示；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元数据规范检测不仅支持字段、子字段是否重复是否必备的校验，同时支持校验指示符和嵌套字段规则；</w:t>
            </w:r>
          </w:p>
        </w:tc>
        <w:tc>
          <w:tcPr>
            <w:tcW w:w="893" w:type="pct"/>
          </w:tcPr>
          <w:p w14:paraId="41B394C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81E228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F52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3A1C3F9">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21</w:t>
            </w:r>
          </w:p>
        </w:tc>
        <w:tc>
          <w:tcPr>
            <w:tcW w:w="2977" w:type="pct"/>
            <w:shd w:val="clear" w:color="auto" w:fill="auto"/>
            <w:vAlign w:val="center"/>
          </w:tcPr>
          <w:p w14:paraId="0E5420D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元数据扩展编辑功能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支持字段排序，字段复制、粘贴功能；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支持快捷键一键复制子字段并粘贴；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提供系统模板，同时支持自定义元数据模板功能，自定义模板可在机构内、机构间共享；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支持用元数据模板覆盖、补缺、添加全部字段到marc中；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支持多种自动生成字段的规则，用户可自由选择配置规则；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基于中央知识库，可实现规则共享区下载、本地应用；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实现cnmarc字段中简繁体互换，生成指定字段拼音；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支持MARC编辑常用快捷键，提高工作效率；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支持锁定元数据，锁定状态下无法编辑，防止老师误操作；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增加中图法分类名称提示，直接根据分类号展示对应的分类名称；</w:t>
            </w:r>
          </w:p>
        </w:tc>
        <w:tc>
          <w:tcPr>
            <w:tcW w:w="893" w:type="pct"/>
          </w:tcPr>
          <w:p w14:paraId="23B2A51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3A024E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F48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5A76086E">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eastAsiaTheme="minorEastAsia"/>
                <w:b/>
                <w:bCs/>
                <w:color w:val="auto"/>
                <w:sz w:val="21"/>
                <w:szCs w:val="21"/>
                <w:highlight w:val="none"/>
                <w:vertAlign w:val="baseline"/>
                <w:lang w:val="en-US" w:eastAsia="zh-CN"/>
              </w:rPr>
              <w:t>22</w:t>
            </w:r>
          </w:p>
        </w:tc>
        <w:tc>
          <w:tcPr>
            <w:tcW w:w="2977" w:type="pct"/>
            <w:shd w:val="clear" w:color="auto" w:fill="auto"/>
            <w:vAlign w:val="center"/>
          </w:tcPr>
          <w:p w14:paraId="7F4B764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元数据上载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支持元数据上载，包括上载原编、上载馆藏和覆盖已有marc；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元数据获取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提供本地检索和联机检索，支持多索引组检索。其中联机检索支持多题名、多主题词的检索，同时可通过Z39.50广播查询下载，包括国图、CALIS等多数据来源检索；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支持转入套录数据，在套录库中按批次查看转入的套录元数据，并在编目页面可以检索套录数据；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支持直接打开外部文件，查看或编辑外部文件中的元数据；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支持复制网页上marc数据，包括美国国会图书馆、中国国家图书馆等多个中外文网站。获取MARC的过程可以设置原MARC保留字段，可以设定来源MARC过滤字段。</w:t>
            </w:r>
          </w:p>
        </w:tc>
        <w:tc>
          <w:tcPr>
            <w:tcW w:w="893" w:type="pct"/>
          </w:tcPr>
          <w:p w14:paraId="2323DB4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DC9BAF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6BD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94D00B6">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23</w:t>
            </w:r>
          </w:p>
        </w:tc>
        <w:tc>
          <w:tcPr>
            <w:tcW w:w="2977" w:type="pct"/>
            <w:shd w:val="clear" w:color="auto" w:fill="auto"/>
            <w:vAlign w:val="center"/>
          </w:tcPr>
          <w:p w14:paraId="1EAEF11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元数据检索与查重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支持查重、关联检索，支持元数据分屏查看、复制字段、合并、覆盖操作；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支持Z39和数据中心的元数据查询，进入下一条数据编辑的同时可自动检索Z39.50的数据；针对外部marc可以直接覆盖本馆marc数据；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支持按CALIS号、国会号等条件检索馆内和联机数据；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支持元数据的查重合并功能，进行元数据统一，形成纸电一体化管理；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支持对元数据进行批量查重、批量合并功能，且批量合并时可自定义保留字段；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支持设置默认查重条件；支持多种条件的查重，包括正题名、题名组、标准号等，并支持多种查重条件的自由组合。更支持多题名、多主题词的检索。查重范围可仅限本馆或全部成员馆；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支持高级检索，可多条件组合（与、或）检索；</w:t>
            </w:r>
          </w:p>
        </w:tc>
        <w:tc>
          <w:tcPr>
            <w:tcW w:w="893" w:type="pct"/>
          </w:tcPr>
          <w:p w14:paraId="12DDDCA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572848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5F1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55770D8A">
            <w:pPr>
              <w:keepNext w:val="0"/>
              <w:keepLines w:val="0"/>
              <w:pageBreakBefore w:val="0"/>
              <w:kinsoku/>
              <w:wordWrap/>
              <w:overflowPunct/>
              <w:topLinePunct w:val="0"/>
              <w:autoSpaceDE/>
              <w:autoSpaceDN/>
              <w:bidi w:val="0"/>
              <w:adjustRightInd w:val="0"/>
              <w:snapToGrid/>
              <w:spacing w:line="240" w:lineRule="auto"/>
              <w:jc w:val="center"/>
              <w:rPr>
                <w:rFonts w:hint="default" w:eastAsiaTheme="minorEastAsia"/>
                <w:b/>
                <w:bCs/>
                <w:color w:val="auto"/>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24</w:t>
            </w:r>
          </w:p>
        </w:tc>
        <w:tc>
          <w:tcPr>
            <w:tcW w:w="2977" w:type="pct"/>
            <w:shd w:val="clear" w:color="auto" w:fill="auto"/>
            <w:vAlign w:val="center"/>
          </w:tcPr>
          <w:p w14:paraId="2C5AC15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索书号处理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通过著者号、卡特号、种次号、四角号码四种方式自动生成索书号，支持复分号的自动生成；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支持种次号、著者号的查询，可使用索书号缺号；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实现种次号库的维护。同时支持已生成种次号的重组；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支持西文卡特号表维护；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支持自定义四角号码生成规则；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支持索书号管理常用快捷键，提供工作效率；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支持用户自定义复分号初始值；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自动生成种次号时，根据用户需求，既支持优先使用缺号，又支持优先使用最大号。</w:t>
            </w:r>
          </w:p>
        </w:tc>
        <w:tc>
          <w:tcPr>
            <w:tcW w:w="893" w:type="pct"/>
          </w:tcPr>
          <w:p w14:paraId="5B98386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8B1B2E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640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A2137D1">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25</w:t>
            </w:r>
          </w:p>
        </w:tc>
        <w:tc>
          <w:tcPr>
            <w:tcW w:w="2977" w:type="pct"/>
            <w:shd w:val="clear" w:color="auto" w:fill="auto"/>
            <w:vAlign w:val="center"/>
          </w:tcPr>
          <w:p w14:paraId="43E210A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复本处理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同时支持纸质、电子、数字多资源的馆藏管理；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完善的馆藏信息，包括物理馆藏、验收记录、附件、现刊记录等模块的展示；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支持图片、文档、音频、视频等多种数字资源管理，支持资源本地或远程存储（数字馆藏）、收割数字资源元数据（OAI-PM）；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数字资源支持资源的预览；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电子复本根据资源类型分数据库的资源清单和独立访问；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支持在编目页面直接将现刊装订成合订本；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支持复本变更marc链接功能；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支持附件的管理，附件与纸本馆藏一一关联，附件馆藏地、年代等信息随纸本馆藏变化而变化；</w:t>
            </w:r>
          </w:p>
        </w:tc>
        <w:tc>
          <w:tcPr>
            <w:tcW w:w="893" w:type="pct"/>
          </w:tcPr>
          <w:p w14:paraId="7EDA9E9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4E9E10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BC6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251FB90">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26</w:t>
            </w:r>
          </w:p>
        </w:tc>
        <w:tc>
          <w:tcPr>
            <w:tcW w:w="2977" w:type="pct"/>
            <w:shd w:val="clear" w:color="auto" w:fill="auto"/>
            <w:vAlign w:val="center"/>
          </w:tcPr>
          <w:p w14:paraId="4152789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参数配置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支持独立分馆和直属分馆，财产账、种次号表可以独立也可以继承；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可根据工作台的分配规则或个人继承参数等规则生成复本，支持直接回溯添加复本；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支持数值比对和定长比对的条码号或财产号的缺号查询；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支持主题词库的维护。</w:t>
            </w:r>
          </w:p>
        </w:tc>
        <w:tc>
          <w:tcPr>
            <w:tcW w:w="893" w:type="pct"/>
          </w:tcPr>
          <w:p w14:paraId="5E743AE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146F035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4F0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38FBABF3">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27</w:t>
            </w:r>
          </w:p>
        </w:tc>
        <w:tc>
          <w:tcPr>
            <w:tcW w:w="2977" w:type="pct"/>
            <w:shd w:val="clear" w:color="auto" w:fill="auto"/>
            <w:vAlign w:val="center"/>
          </w:tcPr>
          <w:p w14:paraId="3C07801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本机构资源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纸质、电子、数字三种资源元数据进行统一管理，同时支持纸质、电子、数字多资源的馆藏管理；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平台拥有中央知识库做支撑，能够实现本馆元数据与中央知识库的挂接；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支持查看期刊对应的篇级数据信息，同时显示该目录下的文章信息，包含篇名、责任者、页码和对应的URL等信息；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支持手动上传目录文件。</w:t>
            </w:r>
          </w:p>
        </w:tc>
        <w:tc>
          <w:tcPr>
            <w:tcW w:w="893" w:type="pct"/>
          </w:tcPr>
          <w:p w14:paraId="753CE45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18FB4A4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C92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18" w:type="pct"/>
            <w:vAlign w:val="center"/>
          </w:tcPr>
          <w:p w14:paraId="6212AC46">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28</w:t>
            </w:r>
          </w:p>
        </w:tc>
        <w:tc>
          <w:tcPr>
            <w:tcW w:w="2977" w:type="pct"/>
            <w:shd w:val="clear" w:color="auto" w:fill="auto"/>
            <w:vAlign w:val="center"/>
          </w:tcPr>
          <w:p w14:paraId="0C2B2E2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资源典藏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书标打印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提供小程序、网页版两种书标打印功能，可补打书标。根据规则限定、单种/册扫描添加及批量添加方式获取提取书标列表。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支持网页版书标打印在线调整书标打印格式、预览打印效果。</w:t>
            </w:r>
          </w:p>
        </w:tc>
        <w:tc>
          <w:tcPr>
            <w:tcW w:w="893" w:type="pct"/>
          </w:tcPr>
          <w:p w14:paraId="683966F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157468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75B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47DBE4C6">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r>
              <w:rPr>
                <w:rFonts w:hint="eastAsia" w:cs="Times New Roman" w:eastAsiaTheme="minorEastAsia"/>
                <w:b/>
                <w:bCs/>
                <w:color w:val="auto"/>
                <w:sz w:val="21"/>
                <w:szCs w:val="21"/>
                <w:highlight w:val="none"/>
                <w:vertAlign w:val="baseline"/>
                <w:lang w:val="en-US" w:eastAsia="zh-CN"/>
              </w:rPr>
              <w:t>29</w:t>
            </w:r>
          </w:p>
        </w:tc>
        <w:tc>
          <w:tcPr>
            <w:tcW w:w="2977" w:type="pct"/>
            <w:shd w:val="clear" w:color="auto" w:fill="auto"/>
            <w:vAlign w:val="center"/>
          </w:tcPr>
          <w:p w14:paraId="0D608DE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馆藏清查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支持导入外部清查文件；</w:t>
            </w:r>
          </w:p>
          <w:p w14:paraId="561FFE7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支持按照黑名单清查；</w:t>
            </w:r>
          </w:p>
          <w:p w14:paraId="05CAA6C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通过清查后对比，得到馆藏列表，可进行批量下架；</w:t>
            </w:r>
          </w:p>
          <w:p w14:paraId="67D3524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支持导出清单；</w:t>
            </w:r>
          </w:p>
          <w:p w14:paraId="22ADD56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投标文件中</w:t>
            </w:r>
            <w:r>
              <w:rPr>
                <w:rFonts w:hint="eastAsia" w:ascii="宋体" w:hAnsi="宋体" w:eastAsia="宋体" w:cs="宋体"/>
                <w:i w:val="0"/>
                <w:iCs w:val="0"/>
                <w:color w:val="000000"/>
                <w:kern w:val="0"/>
                <w:sz w:val="21"/>
                <w:szCs w:val="21"/>
                <w:highlight w:val="none"/>
                <w:u w:val="none"/>
                <w:lang w:val="en-US" w:eastAsia="zh-CN" w:bidi="ar"/>
              </w:rPr>
              <w:t>提供</w:t>
            </w:r>
            <w:r>
              <w:rPr>
                <w:rFonts w:hint="eastAsia" w:ascii="宋体" w:hAnsi="宋体" w:cs="宋体"/>
                <w:i w:val="0"/>
                <w:iCs w:val="0"/>
                <w:color w:val="000000"/>
                <w:kern w:val="0"/>
                <w:sz w:val="21"/>
                <w:szCs w:val="21"/>
                <w:highlight w:val="none"/>
                <w:u w:val="none"/>
                <w:lang w:val="en-US" w:eastAsia="zh-CN" w:bidi="ar"/>
              </w:rPr>
              <w:t>上述功能</w:t>
            </w:r>
            <w:r>
              <w:rPr>
                <w:rFonts w:hint="eastAsia" w:ascii="宋体" w:hAnsi="宋体" w:eastAsia="宋体" w:cs="宋体"/>
                <w:i w:val="0"/>
                <w:iCs w:val="0"/>
                <w:color w:val="000000"/>
                <w:kern w:val="0"/>
                <w:sz w:val="21"/>
                <w:szCs w:val="21"/>
                <w:highlight w:val="none"/>
                <w:u w:val="none"/>
                <w:lang w:val="en-US" w:eastAsia="zh-CN" w:bidi="ar"/>
              </w:rPr>
              <w:t>截图证明材料）</w:t>
            </w:r>
          </w:p>
        </w:tc>
        <w:tc>
          <w:tcPr>
            <w:tcW w:w="893" w:type="pct"/>
          </w:tcPr>
          <w:p w14:paraId="327C329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1F94EE3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307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472419D">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30</w:t>
            </w:r>
          </w:p>
        </w:tc>
        <w:tc>
          <w:tcPr>
            <w:tcW w:w="2977" w:type="pct"/>
            <w:shd w:val="clear" w:color="auto" w:fill="auto"/>
            <w:vAlign w:val="center"/>
          </w:tcPr>
          <w:p w14:paraId="387783C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馆藏调拨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支持按馆藏地、当前地方式批量调拨；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支持导入外部文件批量调拨；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支持扫码单册加入调拨包；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支持调拨时变更财产归属地，变更流通政策及借阅属性；</w:t>
            </w:r>
          </w:p>
        </w:tc>
        <w:tc>
          <w:tcPr>
            <w:tcW w:w="893" w:type="pct"/>
          </w:tcPr>
          <w:p w14:paraId="56636FF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AA79AE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3868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10A21D07">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31</w:t>
            </w:r>
          </w:p>
        </w:tc>
        <w:tc>
          <w:tcPr>
            <w:tcW w:w="2977" w:type="pct"/>
            <w:shd w:val="clear" w:color="auto" w:fill="auto"/>
            <w:vAlign w:val="center"/>
          </w:tcPr>
          <w:p w14:paraId="1DDD364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馆藏管理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支持图书的排架管理。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支持批量分配排架号、修改排架号。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支持对排架号进行统计。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可用导入文件方式批量生成排架号；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可查看排架号处理详情；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可在处理过程中修改馆藏地和借阅属性；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可按照条码顺序号方式管理排架号；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可筛选排架号浏览图书；</w:t>
            </w:r>
          </w:p>
        </w:tc>
        <w:tc>
          <w:tcPr>
            <w:tcW w:w="893" w:type="pct"/>
          </w:tcPr>
          <w:p w14:paraId="2D2613C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D06724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08B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92D9A3F">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32</w:t>
            </w:r>
          </w:p>
        </w:tc>
        <w:tc>
          <w:tcPr>
            <w:tcW w:w="2977" w:type="pct"/>
            <w:shd w:val="clear" w:color="auto" w:fill="auto"/>
            <w:vAlign w:val="center"/>
          </w:tcPr>
          <w:p w14:paraId="7B4A3F9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流通业务参数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可自定义多种读者属性，年级，班级，类型；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可灵活自定义借阅规则，规则组合；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可自定义积分类型，积分项目，积分兑换；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可自定义违章，罚款，赔偿，费用参数；</w:t>
            </w:r>
          </w:p>
        </w:tc>
        <w:tc>
          <w:tcPr>
            <w:tcW w:w="893" w:type="pct"/>
          </w:tcPr>
          <w:p w14:paraId="3EBFE53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6243DF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A8F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59FB0364">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33</w:t>
            </w:r>
          </w:p>
        </w:tc>
        <w:tc>
          <w:tcPr>
            <w:tcW w:w="2977" w:type="pct"/>
            <w:shd w:val="clear" w:color="auto" w:fill="auto"/>
            <w:vAlign w:val="center"/>
          </w:tcPr>
          <w:p w14:paraId="60897BB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统计分析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提供学校的图书馆藏统计、流通借还统计、读者数量统计等；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提供学校包含各馆藏地书刊状态统计、生均借阅册数统计、图书流通率统计、馆藏增长量统计等；</w:t>
            </w:r>
          </w:p>
        </w:tc>
        <w:tc>
          <w:tcPr>
            <w:tcW w:w="893" w:type="pct"/>
          </w:tcPr>
          <w:p w14:paraId="19D5AEA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191303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034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AB28C45">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（二）</w:t>
            </w:r>
          </w:p>
        </w:tc>
        <w:tc>
          <w:tcPr>
            <w:tcW w:w="2977" w:type="pct"/>
            <w:shd w:val="clear" w:color="auto" w:fill="auto"/>
            <w:vAlign w:val="center"/>
          </w:tcPr>
          <w:p w14:paraId="5199B99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RFID电子标签</w:t>
            </w:r>
          </w:p>
        </w:tc>
        <w:tc>
          <w:tcPr>
            <w:tcW w:w="893" w:type="pct"/>
          </w:tcPr>
          <w:p w14:paraId="1007E2B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ascii="宋体" w:hAnsi="宋体" w:cs="宋体"/>
                <w:b/>
                <w:bCs/>
                <w:i w:val="0"/>
                <w:iCs w:val="0"/>
                <w:color w:val="000000"/>
                <w:kern w:val="0"/>
                <w:sz w:val="21"/>
                <w:szCs w:val="21"/>
                <w:highlight w:val="none"/>
                <w:u w:val="none"/>
                <w:lang w:val="en-US" w:eastAsia="zh-CN" w:bidi="ar"/>
              </w:rPr>
              <w:t>30000次</w:t>
            </w:r>
          </w:p>
        </w:tc>
        <w:tc>
          <w:tcPr>
            <w:tcW w:w="610" w:type="pct"/>
          </w:tcPr>
          <w:p w14:paraId="5EBCFB7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EA0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C45D859">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shd w:val="clear" w:color="auto" w:fill="auto"/>
            <w:vAlign w:val="center"/>
          </w:tcPr>
          <w:p w14:paraId="0DD50E8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图书专用RFID标签是一种带有天线、存储器与控制系统的无源低电集成电路产品，可在其中的存储晶片中多次写入及读取图书、媒体资料的基本资料，用于图书和多媒体光盘资料的标签辨识，可以粘贴在一般图书上，用于图书和光盘资料的辨识；</w:t>
            </w:r>
          </w:p>
        </w:tc>
        <w:tc>
          <w:tcPr>
            <w:tcW w:w="893" w:type="pct"/>
          </w:tcPr>
          <w:p w14:paraId="1E8F49F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sz w:val="21"/>
                <w:szCs w:val="21"/>
                <w:highlight w:val="none"/>
              </w:rPr>
              <w:drawing>
                <wp:anchor distT="0" distB="0" distL="114300" distR="114300" simplePos="0" relativeHeight="251659264" behindDoc="0" locked="0" layoutInCell="1" allowOverlap="1">
                  <wp:simplePos x="0" y="0"/>
                  <wp:positionH relativeFrom="column">
                    <wp:posOffset>7620</wp:posOffset>
                  </wp:positionH>
                  <wp:positionV relativeFrom="paragraph">
                    <wp:posOffset>131445</wp:posOffset>
                  </wp:positionV>
                  <wp:extent cx="943610" cy="676910"/>
                  <wp:effectExtent l="0" t="0" r="8890" b="8890"/>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2" r:link="rId23"/>
                          <a:stretch>
                            <a:fillRect/>
                          </a:stretch>
                        </pic:blipFill>
                        <pic:spPr>
                          <a:xfrm>
                            <a:off x="0" y="0"/>
                            <a:ext cx="943610" cy="676910"/>
                          </a:xfrm>
                          <a:prstGeom prst="rect">
                            <a:avLst/>
                          </a:prstGeom>
                          <a:noFill/>
                          <a:ln w="9525">
                            <a:noFill/>
                          </a:ln>
                        </pic:spPr>
                      </pic:pic>
                    </a:graphicData>
                  </a:graphic>
                </wp:anchor>
              </w:drawing>
            </w:r>
          </w:p>
        </w:tc>
        <w:tc>
          <w:tcPr>
            <w:tcW w:w="610" w:type="pct"/>
          </w:tcPr>
          <w:p w14:paraId="31C545D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2B1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1935FD81">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center"/>
          </w:tcPr>
          <w:p w14:paraId="7A2A95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工作频率：≥13.56MHz；</w:t>
            </w:r>
          </w:p>
        </w:tc>
        <w:tc>
          <w:tcPr>
            <w:tcW w:w="893" w:type="pct"/>
          </w:tcPr>
          <w:p w14:paraId="2959951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15C9EA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3CB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2CF044E0">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w:t>
            </w:r>
          </w:p>
        </w:tc>
        <w:tc>
          <w:tcPr>
            <w:tcW w:w="2977" w:type="pct"/>
            <w:shd w:val="clear" w:color="auto" w:fill="auto"/>
            <w:vAlign w:val="center"/>
          </w:tcPr>
          <w:p w14:paraId="3B9511D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支持协议：ISO15693和ISO18000-3标准；</w:t>
            </w:r>
          </w:p>
        </w:tc>
        <w:tc>
          <w:tcPr>
            <w:tcW w:w="893" w:type="pct"/>
          </w:tcPr>
          <w:p w14:paraId="5619609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DAC072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EB4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9AD5272">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4</w:t>
            </w:r>
          </w:p>
        </w:tc>
        <w:tc>
          <w:tcPr>
            <w:tcW w:w="2977" w:type="pct"/>
            <w:shd w:val="clear" w:color="auto" w:fill="auto"/>
            <w:vAlign w:val="center"/>
          </w:tcPr>
          <w:p w14:paraId="3983141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产品规格：</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50mm*50mm；</w:t>
            </w:r>
          </w:p>
        </w:tc>
        <w:tc>
          <w:tcPr>
            <w:tcW w:w="893" w:type="pct"/>
          </w:tcPr>
          <w:p w14:paraId="740DEE3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A53ED2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3AA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114AE0CB">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5</w:t>
            </w:r>
          </w:p>
        </w:tc>
        <w:tc>
          <w:tcPr>
            <w:tcW w:w="2977" w:type="pct"/>
            <w:shd w:val="clear" w:color="auto" w:fill="auto"/>
            <w:vAlign w:val="center"/>
          </w:tcPr>
          <w:p w14:paraId="317B0C0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天线规格：</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45mm*45mm；</w:t>
            </w:r>
          </w:p>
        </w:tc>
        <w:tc>
          <w:tcPr>
            <w:tcW w:w="893" w:type="pct"/>
          </w:tcPr>
          <w:p w14:paraId="792E031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40463D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09B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112C059E">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6</w:t>
            </w:r>
          </w:p>
        </w:tc>
        <w:tc>
          <w:tcPr>
            <w:tcW w:w="2977" w:type="pct"/>
            <w:shd w:val="clear" w:color="auto" w:fill="auto"/>
            <w:vAlign w:val="center"/>
          </w:tcPr>
          <w:p w14:paraId="004D4A2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内存容量：≥1024 bits；</w:t>
            </w:r>
          </w:p>
        </w:tc>
        <w:tc>
          <w:tcPr>
            <w:tcW w:w="893" w:type="pct"/>
          </w:tcPr>
          <w:p w14:paraId="04E36D9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692120E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38A4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D482FF8">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w:t>
            </w:r>
          </w:p>
        </w:tc>
        <w:tc>
          <w:tcPr>
            <w:tcW w:w="2977" w:type="pct"/>
            <w:shd w:val="clear" w:color="auto" w:fill="auto"/>
            <w:vAlign w:val="center"/>
          </w:tcPr>
          <w:p w14:paraId="3606048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有效使用寿命：≥10 年；</w:t>
            </w:r>
          </w:p>
        </w:tc>
        <w:tc>
          <w:tcPr>
            <w:tcW w:w="893" w:type="pct"/>
          </w:tcPr>
          <w:p w14:paraId="1B1FB12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E59C2A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AA9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7C6420C">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ascii="宋体" w:hAnsi="宋体" w:cs="宋体"/>
                <w:b/>
                <w:bCs/>
                <w:i w:val="0"/>
                <w:iCs w:val="0"/>
                <w:color w:val="000000"/>
                <w:kern w:val="0"/>
                <w:sz w:val="21"/>
                <w:szCs w:val="21"/>
                <w:highlight w:val="none"/>
                <w:u w:val="none"/>
                <w:lang w:val="en-US" w:eastAsia="zh-CN" w:bidi="ar"/>
              </w:rPr>
              <w:t>8</w:t>
            </w:r>
          </w:p>
        </w:tc>
        <w:tc>
          <w:tcPr>
            <w:tcW w:w="2977" w:type="pct"/>
            <w:shd w:val="clear" w:color="auto" w:fill="auto"/>
            <w:vAlign w:val="center"/>
          </w:tcPr>
          <w:p w14:paraId="212B3BA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有效使用次数：≥10万次；</w:t>
            </w:r>
          </w:p>
        </w:tc>
        <w:tc>
          <w:tcPr>
            <w:tcW w:w="893" w:type="pct"/>
          </w:tcPr>
          <w:p w14:paraId="7055A10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B63D80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580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583E6FF4">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9</w:t>
            </w:r>
          </w:p>
        </w:tc>
        <w:tc>
          <w:tcPr>
            <w:tcW w:w="2977" w:type="pct"/>
            <w:shd w:val="clear" w:color="auto" w:fill="auto"/>
            <w:vAlign w:val="center"/>
          </w:tcPr>
          <w:p w14:paraId="0D03E2A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标签为无源标签，无需电池；</w:t>
            </w:r>
          </w:p>
        </w:tc>
        <w:tc>
          <w:tcPr>
            <w:tcW w:w="893" w:type="pct"/>
          </w:tcPr>
          <w:p w14:paraId="70D9782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1F3A636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E90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7FEA3B5">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10</w:t>
            </w:r>
          </w:p>
        </w:tc>
        <w:tc>
          <w:tcPr>
            <w:tcW w:w="2977" w:type="pct"/>
            <w:shd w:val="clear" w:color="auto" w:fill="auto"/>
            <w:vAlign w:val="center"/>
          </w:tcPr>
          <w:p w14:paraId="74564FB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标签中有存储器，存储在其中的资料可重复读、写；</w:t>
            </w:r>
          </w:p>
        </w:tc>
        <w:tc>
          <w:tcPr>
            <w:tcW w:w="893" w:type="pct"/>
          </w:tcPr>
          <w:p w14:paraId="690F8AE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6E584C7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578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774D6723">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11</w:t>
            </w:r>
          </w:p>
        </w:tc>
        <w:tc>
          <w:tcPr>
            <w:tcW w:w="2977" w:type="pct"/>
            <w:shd w:val="clear" w:color="auto" w:fill="auto"/>
            <w:vAlign w:val="center"/>
          </w:tcPr>
          <w:p w14:paraId="051970B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标签可以非接触式的读取和写入，加快资源流通的处理手续；</w:t>
            </w:r>
          </w:p>
        </w:tc>
        <w:tc>
          <w:tcPr>
            <w:tcW w:w="893" w:type="pct"/>
          </w:tcPr>
          <w:p w14:paraId="77FC040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54EC72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416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16027070">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12</w:t>
            </w:r>
          </w:p>
        </w:tc>
        <w:tc>
          <w:tcPr>
            <w:tcW w:w="2977" w:type="pct"/>
            <w:shd w:val="clear" w:color="auto" w:fill="auto"/>
            <w:vAlign w:val="center"/>
          </w:tcPr>
          <w:p w14:paraId="2D7B783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标签具有一定的抗冲突性，能保证多个标签的同时可靠识别；</w:t>
            </w:r>
          </w:p>
        </w:tc>
        <w:tc>
          <w:tcPr>
            <w:tcW w:w="893" w:type="pct"/>
          </w:tcPr>
          <w:p w14:paraId="12D043B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577AE6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B74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34F3FBE5">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13</w:t>
            </w:r>
          </w:p>
        </w:tc>
        <w:tc>
          <w:tcPr>
            <w:tcW w:w="2977" w:type="pct"/>
            <w:shd w:val="clear" w:color="auto" w:fill="auto"/>
            <w:vAlign w:val="center"/>
          </w:tcPr>
          <w:p w14:paraId="4CD183C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标签具有较高的安全性，有不可改写的唯一序列号（UID）供识别和加密，防止存储在其中的信息资料被随意读取或改写；</w:t>
            </w:r>
          </w:p>
        </w:tc>
        <w:tc>
          <w:tcPr>
            <w:tcW w:w="893" w:type="pct"/>
          </w:tcPr>
          <w:p w14:paraId="576B39C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BE0E8A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4AD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19DA4228">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14</w:t>
            </w:r>
          </w:p>
        </w:tc>
        <w:tc>
          <w:tcPr>
            <w:tcW w:w="2977" w:type="pct"/>
            <w:shd w:val="clear" w:color="auto" w:fill="auto"/>
            <w:vAlign w:val="center"/>
          </w:tcPr>
          <w:p w14:paraId="11F09F9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用户可自定义数据格式和内容，具有良好的数据扩展性；</w:t>
            </w:r>
          </w:p>
        </w:tc>
        <w:tc>
          <w:tcPr>
            <w:tcW w:w="893" w:type="pct"/>
          </w:tcPr>
          <w:p w14:paraId="148FF29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04AE66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294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7FBACF1D">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15</w:t>
            </w:r>
          </w:p>
        </w:tc>
        <w:tc>
          <w:tcPr>
            <w:tcW w:w="2977" w:type="pct"/>
            <w:shd w:val="clear" w:color="auto" w:fill="auto"/>
            <w:vAlign w:val="center"/>
          </w:tcPr>
          <w:p w14:paraId="33B004E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标签的天线为铝或铜质天线，采用蚀刻法工艺制造；</w:t>
            </w:r>
          </w:p>
        </w:tc>
        <w:tc>
          <w:tcPr>
            <w:tcW w:w="893" w:type="pct"/>
          </w:tcPr>
          <w:p w14:paraId="7DA34FA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23EE31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1A1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26124C0C">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16</w:t>
            </w:r>
          </w:p>
        </w:tc>
        <w:tc>
          <w:tcPr>
            <w:tcW w:w="2977" w:type="pct"/>
            <w:shd w:val="clear" w:color="auto" w:fill="auto"/>
            <w:vAlign w:val="center"/>
          </w:tcPr>
          <w:p w14:paraId="37B328F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标签采用EAS 或AFI位作为防盗的安全标志方法；</w:t>
            </w:r>
          </w:p>
        </w:tc>
        <w:tc>
          <w:tcPr>
            <w:tcW w:w="893" w:type="pct"/>
          </w:tcPr>
          <w:p w14:paraId="662AE0B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40E089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47A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264D1B5">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17</w:t>
            </w:r>
          </w:p>
        </w:tc>
        <w:tc>
          <w:tcPr>
            <w:tcW w:w="2977" w:type="pct"/>
            <w:shd w:val="clear" w:color="auto" w:fill="auto"/>
            <w:vAlign w:val="center"/>
          </w:tcPr>
          <w:p w14:paraId="568166D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标签固有频率误差率小于或等于±300K Hz范围；</w:t>
            </w:r>
          </w:p>
        </w:tc>
        <w:tc>
          <w:tcPr>
            <w:tcW w:w="893" w:type="pct"/>
          </w:tcPr>
          <w:p w14:paraId="0C2F6E7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0C2D49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613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3DA047DA">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ascii="宋体" w:hAnsi="宋体" w:cs="宋体"/>
                <w:b/>
                <w:bCs/>
                <w:i w:val="0"/>
                <w:iCs w:val="0"/>
                <w:color w:val="000000"/>
                <w:kern w:val="0"/>
                <w:sz w:val="21"/>
                <w:szCs w:val="21"/>
                <w:highlight w:val="none"/>
                <w:u w:val="none"/>
                <w:lang w:val="en-US" w:eastAsia="zh-CN" w:bidi="ar"/>
              </w:rPr>
              <w:t>18</w:t>
            </w:r>
          </w:p>
        </w:tc>
        <w:tc>
          <w:tcPr>
            <w:tcW w:w="2977" w:type="pct"/>
            <w:shd w:val="clear" w:color="auto" w:fill="auto"/>
            <w:vAlign w:val="center"/>
          </w:tcPr>
          <w:p w14:paraId="492791E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读取标签单一数据块数据，记录从查询被测标签开始到读取标签单一数据块所需的时间≤0.1s；</w:t>
            </w:r>
          </w:p>
        </w:tc>
        <w:tc>
          <w:tcPr>
            <w:tcW w:w="893" w:type="pct"/>
          </w:tcPr>
          <w:p w14:paraId="55B3C59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D708AD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B0F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2C136614">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19</w:t>
            </w:r>
          </w:p>
        </w:tc>
        <w:tc>
          <w:tcPr>
            <w:tcW w:w="2977" w:type="pct"/>
            <w:shd w:val="clear" w:color="auto" w:fill="auto"/>
            <w:vAlign w:val="center"/>
          </w:tcPr>
          <w:p w14:paraId="180544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标签自带单面粘性，须采用中性粘胶对图书及其它介质黏贴表面无损害，保证在标签质保期内（10年）不开胶脱落；</w:t>
            </w:r>
          </w:p>
        </w:tc>
        <w:tc>
          <w:tcPr>
            <w:tcW w:w="893" w:type="pct"/>
          </w:tcPr>
          <w:p w14:paraId="37E4777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906E44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E93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A03A8CA">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20</w:t>
            </w:r>
          </w:p>
        </w:tc>
        <w:tc>
          <w:tcPr>
            <w:tcW w:w="2977" w:type="pct"/>
            <w:shd w:val="clear" w:color="auto" w:fill="auto"/>
            <w:vAlign w:val="center"/>
          </w:tcPr>
          <w:p w14:paraId="69ACAA9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标签上可印制由图书馆提供的LOGO图案；</w:t>
            </w:r>
          </w:p>
        </w:tc>
        <w:tc>
          <w:tcPr>
            <w:tcW w:w="893" w:type="pct"/>
          </w:tcPr>
          <w:p w14:paraId="52F253B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45EAD1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FD3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26970ADD">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21</w:t>
            </w:r>
          </w:p>
        </w:tc>
        <w:tc>
          <w:tcPr>
            <w:tcW w:w="2977" w:type="pct"/>
            <w:shd w:val="clear" w:color="auto" w:fill="auto"/>
            <w:vAlign w:val="center"/>
          </w:tcPr>
          <w:p w14:paraId="77B1E86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提供加工服务和图书二次上架</w:t>
            </w:r>
          </w:p>
        </w:tc>
        <w:tc>
          <w:tcPr>
            <w:tcW w:w="893" w:type="pct"/>
          </w:tcPr>
          <w:p w14:paraId="26E80A7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19589D6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8BE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06DF209F">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（三）</w:t>
            </w:r>
          </w:p>
        </w:tc>
        <w:tc>
          <w:tcPr>
            <w:tcW w:w="2977" w:type="pct"/>
            <w:shd w:val="clear" w:color="auto" w:fill="auto"/>
            <w:vAlign w:val="center"/>
          </w:tcPr>
          <w:p w14:paraId="196E6D6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分体式馆员工作站</w:t>
            </w:r>
          </w:p>
        </w:tc>
        <w:tc>
          <w:tcPr>
            <w:tcW w:w="893" w:type="pct"/>
          </w:tcPr>
          <w:p w14:paraId="6A20AC1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ascii="宋体" w:hAnsi="宋体" w:cs="宋体"/>
                <w:b/>
                <w:bCs/>
                <w:i w:val="0"/>
                <w:iCs w:val="0"/>
                <w:color w:val="000000"/>
                <w:kern w:val="0"/>
                <w:sz w:val="21"/>
                <w:szCs w:val="21"/>
                <w:highlight w:val="none"/>
                <w:u w:val="none"/>
                <w:lang w:val="en-US" w:eastAsia="zh-CN" w:bidi="ar"/>
              </w:rPr>
              <w:t>1台</w:t>
            </w:r>
          </w:p>
        </w:tc>
        <w:tc>
          <w:tcPr>
            <w:tcW w:w="610" w:type="pct"/>
          </w:tcPr>
          <w:p w14:paraId="1BADAE1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A6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11CAF47">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shd w:val="clear" w:color="auto" w:fill="auto"/>
            <w:vAlign w:val="center"/>
          </w:tcPr>
          <w:p w14:paraId="105FC94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技术参数</w:t>
            </w:r>
          </w:p>
          <w:p w14:paraId="5B99774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val="en-US" w:eastAsia="zh-CN" w:bidi="ar"/>
              </w:rPr>
              <w:t>产品尺寸：长≥450mm，宽≥300mm，高≥28mm；</w:t>
            </w:r>
          </w:p>
          <w:p w14:paraId="1725CE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val="en-US" w:eastAsia="zh-CN" w:bidi="ar"/>
              </w:rPr>
              <w:t>工作频率：</w:t>
            </w:r>
            <w:r>
              <w:rPr>
                <w:rFonts w:hint="eastAsia" w:ascii="宋体" w:hAnsi="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val="en-US" w:eastAsia="zh-CN" w:bidi="ar"/>
              </w:rPr>
              <w:t>13.56MHz；</w:t>
            </w:r>
          </w:p>
          <w:p w14:paraId="5370A24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val="en-US" w:eastAsia="zh-CN" w:bidi="ar"/>
              </w:rPr>
              <w:t>读卡速度：≥50张/秒；</w:t>
            </w:r>
          </w:p>
          <w:p w14:paraId="799C814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val="en-US" w:eastAsia="zh-CN" w:bidi="ar"/>
              </w:rPr>
              <w:t>通信接口：RS232；</w:t>
            </w:r>
          </w:p>
          <w:p w14:paraId="6E70341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val="en-US" w:eastAsia="zh-CN" w:bidi="ar"/>
              </w:rPr>
              <w:t>材质：一体化设计，台面材质：钢化玻璃；本体材质：有机玻璃；底盖材质：氧化拉丝铝板；</w:t>
            </w:r>
          </w:p>
          <w:p w14:paraId="5FE7616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val="en-US" w:eastAsia="zh-CN" w:bidi="ar"/>
              </w:rPr>
              <w:t>可识别图书：可识别多本图书（堆砌高度：≤250mm）；</w:t>
            </w:r>
          </w:p>
          <w:p w14:paraId="50B46CA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val="en-US" w:eastAsia="zh-CN" w:bidi="ar"/>
              </w:rPr>
              <w:t>读者证阅读器：具备RF读者证阅读模块，支持ISO14443A标准( 例如Mifare S50卡 )、ISO15693标准、ID卡（例如EM4100卡）；</w:t>
            </w:r>
          </w:p>
          <w:p w14:paraId="6060551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val="en-US" w:eastAsia="zh-CN" w:bidi="ar"/>
              </w:rPr>
              <w:t>防冲突性：一次至少可有效识读8个RFID标签；</w:t>
            </w:r>
          </w:p>
        </w:tc>
        <w:tc>
          <w:tcPr>
            <w:tcW w:w="893" w:type="pct"/>
          </w:tcPr>
          <w:p w14:paraId="0285FC7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1F108DD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085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5E0D8763">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2</w:t>
            </w:r>
          </w:p>
        </w:tc>
        <w:tc>
          <w:tcPr>
            <w:tcW w:w="2977" w:type="pct"/>
            <w:shd w:val="clear" w:color="auto" w:fill="auto"/>
            <w:vAlign w:val="center"/>
          </w:tcPr>
          <w:p w14:paraId="2DBF7A5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功能参数</w:t>
            </w:r>
          </w:p>
          <w:p w14:paraId="541F05A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支持RFID标签非接触式地进行阅读，有读取、写入、改写RFID标签的能力，允许流通资料的相关信息快速写入标签；</w:t>
            </w:r>
          </w:p>
          <w:p w14:paraId="1597D66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图书管理模块：包含图书绑定、图书列表、借还标志位、标签读取等；</w:t>
            </w:r>
          </w:p>
          <w:p w14:paraId="4B99AFF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图书绑定：具有条形码和标签的绑定，将图书信息上传后台，允许删除或导出的功能；</w:t>
            </w:r>
          </w:p>
          <w:p w14:paraId="0C91789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图书列表：可获取图书列表、删除指定图书、条件检索图书，支持查找和删除已经转换过的标签，可通过“条码”、“标签”、“作者”进行查找；</w:t>
            </w:r>
          </w:p>
          <w:p w14:paraId="4644648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EAS防盗位读写：自动读取借还标志位(EAS)状态支持修改RFID标签安全位的开启和关闭；</w:t>
            </w:r>
          </w:p>
          <w:p w14:paraId="0010A5E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标签读写：自动读取标签信息，支持检测和修改图书标签内相关信息以及核对标签转换是否正常；</w:t>
            </w:r>
          </w:p>
          <w:p w14:paraId="0CE305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设置组织：可随时切换所需操作的组织单位；</w:t>
            </w:r>
          </w:p>
          <w:p w14:paraId="501304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读者激活：系统读取读者证信息，指定馆藏地激活后，即可在设备上进行借还操作；</w:t>
            </w:r>
          </w:p>
          <w:p w14:paraId="3C07229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读者列表：可获取读者列表、查看读者信息与借阅记录,允许删除或导出指定读者信息；</w:t>
            </w:r>
          </w:p>
          <w:p w14:paraId="6E34220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借还操作：支持借书、还书、预约，允许查看读者借阅记录以及读者信息；</w:t>
            </w:r>
          </w:p>
          <w:p w14:paraId="2A28D21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层架标创建：支持层架标创建、上传同步，创建新层架标并加入描述方便管控层架；</w:t>
            </w:r>
          </w:p>
          <w:p w14:paraId="4A6F08A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 层架标列表：可获取层架标列表、编辑指定层架标信息；</w:t>
            </w:r>
          </w:p>
          <w:p w14:paraId="744CE8B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系统设置模块 ：包括检索读卡器、图书管理系统、功能选配、设置组织、语言设置、帮助指南等多个设置；</w:t>
            </w:r>
          </w:p>
          <w:p w14:paraId="1ECBB94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检索读卡器：设备开启时若未连接读卡器，待连接后点击检索读卡器即可连接；</w:t>
            </w:r>
          </w:p>
          <w:p w14:paraId="25E16C9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图书管理系统：设置图书馆管理系统的地址，点击浏览器打开可跳转至图书馆管理系统；</w:t>
            </w:r>
          </w:p>
          <w:p w14:paraId="6954C4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自助借还模式：具有查看读者信息，允许读者自助借还书刊、查询书刊详情馆藏位置、预借书刊、并可查看读者借阅记录的功能；</w:t>
            </w:r>
          </w:p>
          <w:p w14:paraId="519D116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功能选配：控制导航栏功能的显示和隐藏</w:t>
            </w:r>
            <w:r>
              <w:rPr>
                <w:rFonts w:hint="eastAsia" w:ascii="宋体" w:hAnsi="宋体" w:cs="宋体"/>
                <w:i w:val="0"/>
                <w:iCs w:val="0"/>
                <w:color w:val="000000"/>
                <w:kern w:val="0"/>
                <w:sz w:val="21"/>
                <w:szCs w:val="21"/>
                <w:highlight w:val="none"/>
                <w:u w:val="none"/>
                <w:lang w:val="en-US" w:eastAsia="zh-CN" w:bidi="ar"/>
              </w:rPr>
              <w:t>。</w:t>
            </w:r>
          </w:p>
        </w:tc>
        <w:tc>
          <w:tcPr>
            <w:tcW w:w="893" w:type="pct"/>
          </w:tcPr>
          <w:p w14:paraId="53BE642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02B811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CBB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7F8818F5">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（四）</w:t>
            </w:r>
          </w:p>
        </w:tc>
        <w:tc>
          <w:tcPr>
            <w:tcW w:w="2977" w:type="pct"/>
            <w:shd w:val="clear" w:color="auto" w:fill="auto"/>
            <w:vAlign w:val="center"/>
          </w:tcPr>
          <w:p w14:paraId="469EF554">
            <w:pPr>
              <w:keepNext w:val="0"/>
              <w:keepLines w:val="0"/>
              <w:pageBreakBefore w:val="0"/>
              <w:kinsoku/>
              <w:wordWrap/>
              <w:overflowPunct/>
              <w:topLinePunct w:val="0"/>
              <w:autoSpaceDE/>
              <w:autoSpaceDN/>
              <w:bidi w:val="0"/>
              <w:adjustRightInd w:val="0"/>
              <w:snapToGrid/>
              <w:spacing w:line="240" w:lineRule="auto"/>
              <w:jc w:val="both"/>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自助借还书机</w:t>
            </w:r>
          </w:p>
        </w:tc>
        <w:tc>
          <w:tcPr>
            <w:tcW w:w="893" w:type="pct"/>
          </w:tcPr>
          <w:p w14:paraId="21DB857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1台</w:t>
            </w:r>
          </w:p>
        </w:tc>
        <w:tc>
          <w:tcPr>
            <w:tcW w:w="610" w:type="pct"/>
          </w:tcPr>
          <w:p w14:paraId="0FDAF91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AF2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518" w:type="pct"/>
            <w:vAlign w:val="center"/>
          </w:tcPr>
          <w:p w14:paraId="039E9C6C">
            <w:pPr>
              <w:keepNext w:val="0"/>
              <w:keepLines w:val="0"/>
              <w:pageBreakBefore w:val="0"/>
              <w:kinsoku/>
              <w:wordWrap/>
              <w:overflowPunct/>
              <w:topLinePunct w:val="0"/>
              <w:autoSpaceDE/>
              <w:autoSpaceDN/>
              <w:bidi w:val="0"/>
              <w:adjustRightInd w:val="0"/>
              <w:snapToGrid/>
              <w:spacing w:line="240" w:lineRule="auto"/>
              <w:jc w:val="center"/>
              <w:rPr>
                <w:rFonts w:hint="eastAsia"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p w14:paraId="1D645474">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p>
        </w:tc>
        <w:tc>
          <w:tcPr>
            <w:tcW w:w="2977" w:type="pct"/>
            <w:shd w:val="clear" w:color="auto" w:fill="auto"/>
            <w:vAlign w:val="center"/>
          </w:tcPr>
          <w:p w14:paraId="1CAABA0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技术参数</w:t>
            </w:r>
          </w:p>
          <w:p w14:paraId="25F1D91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1）整机外观尺寸：长≥600，宽≥630，高≥150</w:t>
            </w:r>
            <w:r>
              <w:rPr>
                <w:rFonts w:hint="eastAsia" w:ascii="宋体" w:hAnsi="宋体" w:cs="宋体"/>
                <w:i w:val="0"/>
                <w:iCs w:val="0"/>
                <w:color w:val="000000"/>
                <w:sz w:val="21"/>
                <w:szCs w:val="21"/>
                <w:highlight w:val="none"/>
                <w:u w:val="none"/>
                <w:lang w:val="en-US" w:eastAsia="zh-CN" w:bidi="ar-SA"/>
              </w:rPr>
              <w:t>0</w:t>
            </w:r>
            <w:r>
              <w:rPr>
                <w:rFonts w:hint="eastAsia" w:ascii="宋体" w:hAnsi="宋体" w:eastAsia="宋体" w:cs="宋体"/>
                <w:i w:val="0"/>
                <w:iCs w:val="0"/>
                <w:color w:val="000000"/>
                <w:sz w:val="21"/>
                <w:szCs w:val="21"/>
                <w:highlight w:val="none"/>
                <w:u w:val="none"/>
                <w:lang w:val="en-US" w:eastAsia="zh-CN" w:bidi="ar-SA"/>
              </w:rPr>
              <w:t>mm</w:t>
            </w:r>
          </w:p>
          <w:p w14:paraId="7073D5D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2）主机配置：21.5英寸屏幕及以上，支持多点触摸；CPU处理器：CPU: 兆芯 U6780 主频2.7G及以上；</w:t>
            </w:r>
          </w:p>
          <w:p w14:paraId="4C26F5F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操作系统：</w:t>
            </w:r>
            <w:r>
              <w:rPr>
                <w:rFonts w:hint="eastAsia" w:ascii="宋体" w:hAnsi="宋体" w:cs="宋体"/>
                <w:i w:val="0"/>
                <w:iCs w:val="0"/>
                <w:color w:val="000000"/>
                <w:kern w:val="0"/>
                <w:sz w:val="21"/>
                <w:szCs w:val="21"/>
                <w:highlight w:val="none"/>
                <w:u w:val="none"/>
                <w:lang w:val="en-US" w:eastAsia="zh-CN" w:bidi="ar"/>
              </w:rPr>
              <w:t>麒麟系统</w:t>
            </w:r>
          </w:p>
          <w:p w14:paraId="64054EF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运行内存：DDR4：8GB及以上（最高可支持32G）；</w:t>
            </w:r>
          </w:p>
          <w:p w14:paraId="73B1D9B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系统存储：MSATA 256G及以上；；须具有 LAN有线网口， RJ45八芯标准接口，WiFi 2.4GHz，USB*3，HDMI(out)*1接口配置</w:t>
            </w:r>
          </w:p>
          <w:p w14:paraId="12C1EC3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3）刷卡器：具备RF读者证阅读模块，支持ISO14443A标准( 例如Mifare S50卡 )、ISO15693标准、ID卡（例如EM4100卡）；</w:t>
            </w:r>
          </w:p>
          <w:p w14:paraId="74CA905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4）读写器：具有快速防碰撞处理算法，读写距离：16~40CM；（本特性与卡片有关）；工作时自动开启射频，空闲时自动关闭射频；</w:t>
            </w:r>
          </w:p>
          <w:p w14:paraId="508CB0B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5）工作频率：≥13.56MHz；</w:t>
            </w:r>
          </w:p>
          <w:p w14:paraId="035F943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6）摄像头：设备内置</w:t>
            </w:r>
            <w:r>
              <w:rPr>
                <w:rFonts w:hint="eastAsia" w:ascii="宋体" w:hAnsi="宋体" w:cs="宋体"/>
                <w:i w:val="0"/>
                <w:iCs w:val="0"/>
                <w:color w:val="000000"/>
                <w:sz w:val="21"/>
                <w:szCs w:val="21"/>
                <w:highlight w:val="none"/>
                <w:u w:val="none"/>
                <w:lang w:val="en-US" w:eastAsia="zh-CN" w:bidi="ar-SA"/>
              </w:rPr>
              <w:t>不低于</w:t>
            </w:r>
            <w:r>
              <w:rPr>
                <w:rFonts w:hint="eastAsia" w:ascii="宋体" w:hAnsi="宋体" w:eastAsia="宋体" w:cs="宋体"/>
                <w:i w:val="0"/>
                <w:iCs w:val="0"/>
                <w:color w:val="000000"/>
                <w:sz w:val="21"/>
                <w:szCs w:val="21"/>
                <w:highlight w:val="none"/>
                <w:u w:val="none"/>
                <w:lang w:val="en-US" w:eastAsia="zh-CN" w:bidi="ar-SA"/>
              </w:rPr>
              <w:t>720P 160度广角高清网络摄像头，系统具有人脸识别认证，方便读者借阅；</w:t>
            </w:r>
          </w:p>
          <w:p w14:paraId="0008679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7）扫码器：设备内置扫码器，支持二维码扫描；</w:t>
            </w:r>
          </w:p>
          <w:p w14:paraId="0015212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8）打印机：设备内置打印机，支持80mm热敏纸行点式打印，打印分辨率≥203dpi；</w:t>
            </w:r>
          </w:p>
          <w:p w14:paraId="362783E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9）系统安全性：支持 TCP/IP 联网协议、SIPⅡ国际标准协议、NCIP 协议等接口与图书馆端数据库进行数据交换，确保系统安全。</w:t>
            </w:r>
          </w:p>
        </w:tc>
        <w:tc>
          <w:tcPr>
            <w:tcW w:w="893" w:type="pct"/>
          </w:tcPr>
          <w:p w14:paraId="1C321FC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A4191B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C02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518" w:type="pct"/>
            <w:vAlign w:val="center"/>
          </w:tcPr>
          <w:p w14:paraId="68A269A7">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center"/>
          </w:tcPr>
          <w:p w14:paraId="6F8788B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功能参数</w:t>
            </w:r>
          </w:p>
          <w:p w14:paraId="419050B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1）登录方式多样化：支持账号登录、人脸识别、刷卡登录，可选配登录方式。</w:t>
            </w:r>
          </w:p>
          <w:p w14:paraId="2D82EB0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2）自助借阅：具有对图书标签防盗位进行复位或置位，可以一次借还多本书刊；</w:t>
            </w:r>
          </w:p>
          <w:p w14:paraId="705A7AE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3）读者隐私保护：具有选择保护读者隐私功能，可隐藏读者部分信息。</w:t>
            </w:r>
          </w:p>
          <w:p w14:paraId="11A384B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4）登录管理：允许查看读者个人信息，包括：借阅量、在借量、超期量、借阅期限和人脸注册信息；在借详情，包括：在借书刊借阅时间以及到期时间，是否允许续借；预约管理，包括：预借到期时间和取消预借；密码管理等。</w:t>
            </w:r>
          </w:p>
          <w:p w14:paraId="6F4848E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5）图书查询：读者可查询设备中的文献情况，提示文献在设备中的相应位置信息，方便读者借阅；</w:t>
            </w:r>
          </w:p>
          <w:p w14:paraId="0735DA4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6）智能语音：具有图形化、语音化的人机交互友好操作界面，提供简体中文语言的视觉交互提示、搜索和查询功能；</w:t>
            </w:r>
          </w:p>
          <w:p w14:paraId="27D8DE4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7）个性化设置：支持远程更换显示界面LOGO；允许对返回设备首页或进入读者登录界面的语音进行自定义设定；首页长时间无操作自动进入屏保，支持后台推送自定义屏保或使用历史今日图片；</w:t>
            </w:r>
          </w:p>
          <w:p w14:paraId="32CD35B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8）件升级：具有通过后台远程批量控制设备和固件的统一升级；</w:t>
            </w:r>
          </w:p>
        </w:tc>
        <w:tc>
          <w:tcPr>
            <w:tcW w:w="893" w:type="pct"/>
          </w:tcPr>
          <w:p w14:paraId="74B89C7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32381D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936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4ACBAB9D">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（五）</w:t>
            </w:r>
          </w:p>
        </w:tc>
        <w:tc>
          <w:tcPr>
            <w:tcW w:w="2977" w:type="pct"/>
            <w:shd w:val="clear" w:color="auto" w:fill="auto"/>
            <w:vAlign w:val="center"/>
          </w:tcPr>
          <w:p w14:paraId="32A7ADD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自助借还书机</w:t>
            </w:r>
          </w:p>
        </w:tc>
        <w:tc>
          <w:tcPr>
            <w:tcW w:w="893" w:type="pct"/>
          </w:tcPr>
          <w:p w14:paraId="310D874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1台</w:t>
            </w:r>
          </w:p>
        </w:tc>
        <w:tc>
          <w:tcPr>
            <w:tcW w:w="610" w:type="pct"/>
          </w:tcPr>
          <w:p w14:paraId="0929E65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703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518" w:type="pct"/>
            <w:vAlign w:val="center"/>
          </w:tcPr>
          <w:p w14:paraId="46F7FB8B">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shd w:val="clear" w:color="auto" w:fill="auto"/>
            <w:vAlign w:val="center"/>
          </w:tcPr>
          <w:p w14:paraId="5D22D51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技术参数</w:t>
            </w:r>
            <w:r>
              <w:rPr>
                <w:rFonts w:hint="eastAsia" w:ascii="宋体" w:hAnsi="宋体" w:cs="宋体"/>
                <w:i w:val="0"/>
                <w:iCs w:val="0"/>
                <w:color w:val="000000"/>
                <w:sz w:val="21"/>
                <w:szCs w:val="21"/>
                <w:highlight w:val="none"/>
                <w:u w:val="none"/>
                <w:lang w:val="en-US" w:eastAsia="zh-CN" w:bidi="ar-SA"/>
              </w:rPr>
              <w:t>：</w:t>
            </w:r>
          </w:p>
          <w:p w14:paraId="4462AA8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1）整机外观尺寸：长≥560mm，宽≥57</w:t>
            </w:r>
            <w:r>
              <w:rPr>
                <w:rFonts w:hint="eastAsia" w:ascii="宋体" w:hAnsi="宋体" w:cs="宋体"/>
                <w:i w:val="0"/>
                <w:iCs w:val="0"/>
                <w:color w:val="000000"/>
                <w:sz w:val="21"/>
                <w:szCs w:val="21"/>
                <w:highlight w:val="none"/>
                <w:u w:val="none"/>
                <w:lang w:val="en-US" w:eastAsia="zh-CN" w:bidi="ar-SA"/>
              </w:rPr>
              <w:t>0</w:t>
            </w:r>
            <w:r>
              <w:rPr>
                <w:rFonts w:hint="eastAsia" w:ascii="宋体" w:hAnsi="宋体" w:eastAsia="宋体" w:cs="宋体"/>
                <w:i w:val="0"/>
                <w:iCs w:val="0"/>
                <w:color w:val="000000"/>
                <w:sz w:val="21"/>
                <w:szCs w:val="21"/>
                <w:highlight w:val="none"/>
                <w:u w:val="none"/>
                <w:lang w:val="en-US" w:eastAsia="zh-CN" w:bidi="ar-SA"/>
              </w:rPr>
              <w:t>，高≥139</w:t>
            </w:r>
            <w:r>
              <w:rPr>
                <w:rFonts w:hint="eastAsia" w:ascii="宋体" w:hAnsi="宋体" w:cs="宋体"/>
                <w:i w:val="0"/>
                <w:iCs w:val="0"/>
                <w:color w:val="000000"/>
                <w:sz w:val="21"/>
                <w:szCs w:val="21"/>
                <w:highlight w:val="none"/>
                <w:u w:val="none"/>
                <w:lang w:val="en-US" w:eastAsia="zh-CN" w:bidi="ar-SA"/>
              </w:rPr>
              <w:t>5</w:t>
            </w:r>
            <w:r>
              <w:rPr>
                <w:rFonts w:hint="eastAsia" w:ascii="宋体" w:hAnsi="宋体" w:eastAsia="宋体" w:cs="宋体"/>
                <w:i w:val="0"/>
                <w:iCs w:val="0"/>
                <w:color w:val="000000"/>
                <w:sz w:val="21"/>
                <w:szCs w:val="21"/>
                <w:highlight w:val="none"/>
                <w:u w:val="none"/>
                <w:lang w:val="en-US" w:eastAsia="zh-CN" w:bidi="ar-SA"/>
              </w:rPr>
              <w:t>mm；</w:t>
            </w:r>
          </w:p>
          <w:p w14:paraId="7D560B7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2）主机配置：21.5英寸屏幕及以上，支持多点触摸；须具有 LAN有线网口， RJ45八芯标准接口，WiFi 2.4GHz，USB*3，HDMI(out)*1接口配置；</w:t>
            </w:r>
          </w:p>
          <w:p w14:paraId="748460F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CPU处理器：CPU: 兆芯 U6780 主频2.7G</w:t>
            </w:r>
            <w:r>
              <w:rPr>
                <w:rFonts w:hint="eastAsia" w:ascii="宋体" w:hAnsi="宋体" w:cs="宋体"/>
                <w:i w:val="0"/>
                <w:iCs w:val="0"/>
                <w:color w:val="000000"/>
                <w:sz w:val="21"/>
                <w:szCs w:val="21"/>
                <w:highlight w:val="none"/>
                <w:u w:val="none"/>
                <w:lang w:val="en-US" w:eastAsia="zh-CN" w:bidi="ar-SA"/>
              </w:rPr>
              <w:t>及以上</w:t>
            </w:r>
            <w:r>
              <w:rPr>
                <w:rFonts w:hint="eastAsia" w:ascii="宋体" w:hAnsi="宋体" w:eastAsia="宋体" w:cs="宋体"/>
                <w:i w:val="0"/>
                <w:iCs w:val="0"/>
                <w:color w:val="000000"/>
                <w:sz w:val="21"/>
                <w:szCs w:val="21"/>
                <w:highlight w:val="none"/>
                <w:u w:val="none"/>
                <w:lang w:val="en-US" w:eastAsia="zh-CN" w:bidi="ar-SA"/>
              </w:rPr>
              <w:t>；</w:t>
            </w:r>
          </w:p>
          <w:p w14:paraId="76D4FD6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操作系统：</w:t>
            </w:r>
            <w:r>
              <w:rPr>
                <w:rFonts w:hint="eastAsia" w:ascii="宋体" w:hAnsi="宋体" w:cs="宋体"/>
                <w:i w:val="0"/>
                <w:iCs w:val="0"/>
                <w:color w:val="000000"/>
                <w:sz w:val="21"/>
                <w:szCs w:val="21"/>
                <w:highlight w:val="none"/>
                <w:u w:val="none"/>
                <w:lang w:val="en-US" w:eastAsia="zh-CN" w:bidi="ar-SA"/>
              </w:rPr>
              <w:t>国产系统</w:t>
            </w:r>
            <w:r>
              <w:rPr>
                <w:rFonts w:hint="eastAsia" w:ascii="宋体" w:hAnsi="宋体" w:eastAsia="宋体" w:cs="宋体"/>
                <w:i w:val="0"/>
                <w:iCs w:val="0"/>
                <w:color w:val="000000"/>
                <w:sz w:val="21"/>
                <w:szCs w:val="21"/>
                <w:highlight w:val="none"/>
                <w:u w:val="none"/>
                <w:lang w:val="en-US" w:eastAsia="zh-CN" w:bidi="ar-SA"/>
              </w:rPr>
              <w:t>；</w:t>
            </w:r>
          </w:p>
          <w:p w14:paraId="28CF846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运行内存：DDR4：8GB</w:t>
            </w:r>
            <w:r>
              <w:rPr>
                <w:rFonts w:hint="eastAsia" w:ascii="宋体" w:hAnsi="宋体" w:cs="宋体"/>
                <w:i w:val="0"/>
                <w:iCs w:val="0"/>
                <w:color w:val="000000"/>
                <w:sz w:val="21"/>
                <w:szCs w:val="21"/>
                <w:highlight w:val="none"/>
                <w:u w:val="none"/>
                <w:lang w:val="en-US" w:eastAsia="zh-CN" w:bidi="ar-SA"/>
              </w:rPr>
              <w:t>及以上</w:t>
            </w:r>
            <w:r>
              <w:rPr>
                <w:rFonts w:hint="eastAsia" w:ascii="宋体" w:hAnsi="宋体" w:eastAsia="宋体" w:cs="宋体"/>
                <w:i w:val="0"/>
                <w:iCs w:val="0"/>
                <w:color w:val="000000"/>
                <w:sz w:val="21"/>
                <w:szCs w:val="21"/>
                <w:highlight w:val="none"/>
                <w:u w:val="none"/>
                <w:lang w:val="en-US" w:eastAsia="zh-CN" w:bidi="ar-SA"/>
              </w:rPr>
              <w:t>（最高可支持32G）；</w:t>
            </w:r>
          </w:p>
          <w:p w14:paraId="6C45C3A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系统存储：MSATA 256G</w:t>
            </w:r>
            <w:r>
              <w:rPr>
                <w:rFonts w:hint="eastAsia" w:ascii="宋体" w:hAnsi="宋体" w:cs="宋体"/>
                <w:i w:val="0"/>
                <w:iCs w:val="0"/>
                <w:color w:val="000000"/>
                <w:sz w:val="21"/>
                <w:szCs w:val="21"/>
                <w:highlight w:val="none"/>
                <w:u w:val="none"/>
                <w:lang w:val="en-US" w:eastAsia="zh-CN" w:bidi="ar-SA"/>
              </w:rPr>
              <w:t>及以上</w:t>
            </w:r>
            <w:r>
              <w:rPr>
                <w:rFonts w:hint="eastAsia" w:ascii="宋体" w:hAnsi="宋体" w:eastAsia="宋体" w:cs="宋体"/>
                <w:i w:val="0"/>
                <w:iCs w:val="0"/>
                <w:color w:val="000000"/>
                <w:sz w:val="21"/>
                <w:szCs w:val="21"/>
                <w:highlight w:val="none"/>
                <w:u w:val="none"/>
                <w:lang w:val="en-US" w:eastAsia="zh-CN" w:bidi="ar-SA"/>
              </w:rPr>
              <w:t>；</w:t>
            </w:r>
          </w:p>
          <w:p w14:paraId="7314C1D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3）刷卡器：具备RF读者证阅读模块，支持ISO14443A标准、ISO15693标准、ID卡；</w:t>
            </w:r>
          </w:p>
          <w:p w14:paraId="6F50160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4）读写器：具有快速防碰撞处理算法，读写距离：16~40cm；；工作时自动开启射频，空闲时自动关闭射频</w:t>
            </w:r>
          </w:p>
          <w:p w14:paraId="1D0F07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5）工作频率：≥13.56MHz；</w:t>
            </w:r>
          </w:p>
          <w:p w14:paraId="14D0006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6）摄像头：设备内置高清网络摄像头，系统具有人脸识别认证，方便读者借阅；</w:t>
            </w:r>
          </w:p>
          <w:p w14:paraId="6D194B7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7）扫码器：设备内置扫码器，支持二维码扫描；</w:t>
            </w:r>
          </w:p>
          <w:p w14:paraId="6D1D4A9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8）打印机：设备内置打印机，支持80mm热敏纸行点式打印，打印分辨率≥203dpi；</w:t>
            </w:r>
          </w:p>
          <w:p w14:paraId="3F8DCD6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9）安全性：支持 TCP/IP 联网协议、SIPⅡ国际标准协议、NCIP 协议等接口与图书馆端数据库进行数据交换，确保系统安全。</w:t>
            </w:r>
          </w:p>
        </w:tc>
        <w:tc>
          <w:tcPr>
            <w:tcW w:w="893" w:type="pct"/>
          </w:tcPr>
          <w:p w14:paraId="77B4B53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1B7816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0F8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518" w:type="pct"/>
            <w:vAlign w:val="center"/>
          </w:tcPr>
          <w:p w14:paraId="02177C5F">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center"/>
          </w:tcPr>
          <w:p w14:paraId="0A7DC29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功能参数：</w:t>
            </w:r>
          </w:p>
          <w:p w14:paraId="46EBC02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1）登录方式多样化：支持账号登录、人脸识别、刷卡登录、可选择登录方式；</w:t>
            </w:r>
          </w:p>
          <w:p w14:paraId="0358C61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2）自助借阅：具有对图书标签防盗位进行复位或置位，可以一次借还多本书刊；</w:t>
            </w:r>
          </w:p>
          <w:p w14:paraId="3DBBFA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3）读者隐私保护：具有选择保护读者隐私功能，可隐藏读者部分信息；</w:t>
            </w:r>
          </w:p>
          <w:p w14:paraId="56667D5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4）登录管理：允许查看读者个人信息，包括：借阅量、在借量、超期量、借阅期限和人脸注册信息；在借详情，包括：在借书刊借阅时间以及到期时间，是否允许续借；预约管理，包括：预借到期时间和取消预借；密码管理等；</w:t>
            </w:r>
          </w:p>
          <w:p w14:paraId="6422816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5）图书查询：读者可查询设备中的文献情况，提示文献在设备中的相应位置信息，方便读者借阅；</w:t>
            </w:r>
          </w:p>
          <w:p w14:paraId="354678C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6）智能语音：具有图形化、语音化的人机交互友好操作界面，提供简体中文语言的视觉交互提示、搜索和查询功能；</w:t>
            </w:r>
          </w:p>
          <w:p w14:paraId="171DECD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7）个性化设置：支持远程更换显示界面LOGO；允许对返回设备首页或进入读者登录界面的语音进行自定义设定；首页长时间无操作自动进入屏保，支持后台推送自定义屏保或使用历史今日图片；</w:t>
            </w:r>
          </w:p>
          <w:p w14:paraId="33D4C91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 xml:space="preserve">8）固件升级：具有通过后台远程批量控制设备和固件的统一升级； </w:t>
            </w:r>
          </w:p>
          <w:p w14:paraId="0EDE2F6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9）多语言支持：支持中文、英文等多种语言的交互提示；</w:t>
            </w:r>
          </w:p>
        </w:tc>
        <w:tc>
          <w:tcPr>
            <w:tcW w:w="893" w:type="pct"/>
          </w:tcPr>
          <w:p w14:paraId="3C347A8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D38844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538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49A72FDD">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（六）</w:t>
            </w:r>
          </w:p>
        </w:tc>
        <w:tc>
          <w:tcPr>
            <w:tcW w:w="2977" w:type="pct"/>
            <w:shd w:val="clear" w:color="auto" w:fill="auto"/>
            <w:vAlign w:val="center"/>
          </w:tcPr>
          <w:p w14:paraId="4B02A27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升降式移动还书箱</w:t>
            </w:r>
          </w:p>
        </w:tc>
        <w:tc>
          <w:tcPr>
            <w:tcW w:w="893" w:type="pct"/>
          </w:tcPr>
          <w:p w14:paraId="056E39A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ascii="宋体" w:hAnsi="宋体" w:cs="宋体"/>
                <w:b/>
                <w:bCs/>
                <w:i w:val="0"/>
                <w:iCs w:val="0"/>
                <w:color w:val="000000"/>
                <w:kern w:val="0"/>
                <w:sz w:val="21"/>
                <w:szCs w:val="21"/>
                <w:highlight w:val="none"/>
                <w:u w:val="none"/>
                <w:lang w:val="en-US" w:eastAsia="zh-CN" w:bidi="ar"/>
              </w:rPr>
              <w:t>2台</w:t>
            </w:r>
          </w:p>
        </w:tc>
        <w:tc>
          <w:tcPr>
            <w:tcW w:w="610" w:type="pct"/>
          </w:tcPr>
          <w:p w14:paraId="5629401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09D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18" w:type="pct"/>
            <w:vAlign w:val="center"/>
          </w:tcPr>
          <w:p w14:paraId="1238D713">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shd w:val="clear" w:color="auto" w:fill="auto"/>
            <w:vAlign w:val="center"/>
          </w:tcPr>
          <w:p w14:paraId="40638B5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技术参数：</w:t>
            </w:r>
          </w:p>
          <w:p w14:paraId="278CF98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1）外形尺寸：长≥700mm,宽≥600mm,高≥800mm</w:t>
            </w:r>
          </w:p>
          <w:p w14:paraId="0D2BC96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2）设备质量：≥50Kg</w:t>
            </w:r>
          </w:p>
          <w:p w14:paraId="0AB396A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3）容量：≥150册</w:t>
            </w:r>
          </w:p>
          <w:p w14:paraId="757F4CE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4）承重:≥200KG</w:t>
            </w:r>
          </w:p>
        </w:tc>
        <w:tc>
          <w:tcPr>
            <w:tcW w:w="893" w:type="pct"/>
          </w:tcPr>
          <w:p w14:paraId="5D4D7F5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033F0A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251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18" w:type="pct"/>
            <w:vAlign w:val="center"/>
          </w:tcPr>
          <w:p w14:paraId="7B2E4746">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center"/>
          </w:tcPr>
          <w:p w14:paraId="222165B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功能要求：</w:t>
            </w:r>
          </w:p>
          <w:p w14:paraId="1ABA721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1）结构稳定，4个轮子皆为万向轮，方便载重推动和转向。</w:t>
            </w:r>
          </w:p>
          <w:p w14:paraId="2AB3C29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2）层板自带承重进深设计，层板表面采用固制木板或高密度板。</w:t>
            </w:r>
          </w:p>
          <w:p w14:paraId="0ADB509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3）还书箱为自动升降式，自带滑轮，便于移动和更换。</w:t>
            </w:r>
          </w:p>
          <w:p w14:paraId="3F664FA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4）车轮：带刹车</w:t>
            </w:r>
            <w:r>
              <w:rPr>
                <w:rFonts w:hint="eastAsia" w:ascii="宋体" w:hAnsi="宋体" w:cs="宋体"/>
                <w:i w:val="0"/>
                <w:iCs w:val="0"/>
                <w:color w:val="000000"/>
                <w:sz w:val="21"/>
                <w:szCs w:val="21"/>
                <w:highlight w:val="none"/>
                <w:u w:val="none"/>
                <w:lang w:val="en-US" w:eastAsia="zh-CN" w:bidi="ar-SA"/>
              </w:rPr>
              <w:t>的</w:t>
            </w:r>
            <w:r>
              <w:rPr>
                <w:rFonts w:hint="eastAsia" w:ascii="宋体" w:hAnsi="宋体" w:eastAsia="宋体" w:cs="宋体"/>
                <w:i w:val="0"/>
                <w:iCs w:val="0"/>
                <w:color w:val="000000"/>
                <w:sz w:val="21"/>
                <w:szCs w:val="21"/>
                <w:highlight w:val="none"/>
                <w:u w:val="none"/>
                <w:lang w:val="en-US" w:eastAsia="zh-CN" w:bidi="ar-SA"/>
              </w:rPr>
              <w:t>耐磨超静音轮。每个车轮承重</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lang w:val="en-US" w:eastAsia="zh-CN" w:bidi="ar-SA"/>
              </w:rPr>
              <w:t>100kg</w:t>
            </w:r>
            <w:r>
              <w:rPr>
                <w:rFonts w:hint="eastAsia" w:ascii="宋体" w:hAnsi="宋体" w:cs="宋体"/>
                <w:i w:val="0"/>
                <w:iCs w:val="0"/>
                <w:color w:val="000000"/>
                <w:sz w:val="21"/>
                <w:szCs w:val="21"/>
                <w:highlight w:val="none"/>
                <w:u w:val="none"/>
                <w:lang w:val="en-US" w:eastAsia="zh-CN" w:bidi="ar-SA"/>
              </w:rPr>
              <w:t>，</w:t>
            </w:r>
            <w:r>
              <w:rPr>
                <w:rFonts w:hint="eastAsia" w:ascii="宋体" w:hAnsi="宋体" w:eastAsia="宋体" w:cs="宋体"/>
                <w:i w:val="0"/>
                <w:iCs w:val="0"/>
                <w:color w:val="000000"/>
                <w:sz w:val="21"/>
                <w:szCs w:val="21"/>
                <w:highlight w:val="none"/>
                <w:u w:val="none"/>
                <w:lang w:val="en-US" w:eastAsia="zh-CN" w:bidi="ar-SA"/>
              </w:rPr>
              <w:t>滑轮可锁死。</w:t>
            </w:r>
          </w:p>
        </w:tc>
        <w:tc>
          <w:tcPr>
            <w:tcW w:w="893" w:type="pct"/>
          </w:tcPr>
          <w:p w14:paraId="77F83AB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6B6732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14B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54079630">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（七）</w:t>
            </w:r>
          </w:p>
        </w:tc>
        <w:tc>
          <w:tcPr>
            <w:tcW w:w="2977" w:type="pct"/>
            <w:shd w:val="clear" w:color="auto" w:fill="auto"/>
            <w:vAlign w:val="center"/>
          </w:tcPr>
          <w:p w14:paraId="3510311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校园阅读系统</w:t>
            </w:r>
          </w:p>
        </w:tc>
        <w:tc>
          <w:tcPr>
            <w:tcW w:w="893" w:type="pct"/>
          </w:tcPr>
          <w:p w14:paraId="59CB402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ascii="宋体" w:hAnsi="宋体" w:cs="宋体"/>
                <w:i w:val="0"/>
                <w:iCs w:val="0"/>
                <w:color w:val="000000"/>
                <w:sz w:val="21"/>
                <w:szCs w:val="21"/>
                <w:highlight w:val="none"/>
                <w:u w:val="none"/>
                <w:lang w:val="en-US" w:eastAsia="zh-CN" w:bidi="ar-SA"/>
              </w:rPr>
              <w:t>1套</w:t>
            </w:r>
          </w:p>
        </w:tc>
        <w:tc>
          <w:tcPr>
            <w:tcW w:w="610" w:type="pct"/>
          </w:tcPr>
          <w:p w14:paraId="58A010C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BB2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22559F9F">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shd w:val="clear" w:color="auto" w:fill="auto"/>
            <w:vAlign w:val="bottom"/>
          </w:tcPr>
          <w:p w14:paraId="413D02B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智慧门户系统</w:t>
            </w:r>
          </w:p>
        </w:tc>
        <w:tc>
          <w:tcPr>
            <w:tcW w:w="893" w:type="pct"/>
          </w:tcPr>
          <w:p w14:paraId="692ABE8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7A2CD2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3598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518" w:type="pct"/>
            <w:vAlign w:val="center"/>
          </w:tcPr>
          <w:p w14:paraId="33373E3A">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1.1</w:t>
            </w:r>
          </w:p>
        </w:tc>
        <w:tc>
          <w:tcPr>
            <w:tcW w:w="2977" w:type="pct"/>
            <w:shd w:val="clear" w:color="auto" w:fill="auto"/>
            <w:vAlign w:val="bottom"/>
          </w:tcPr>
          <w:p w14:paraId="7A16352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web端门户网站</w:t>
            </w:r>
          </w:p>
          <w:p w14:paraId="140FD99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1）支持各单位创建自定义网站，包括域名、展示内容等。</w:t>
            </w:r>
          </w:p>
          <w:p w14:paraId="2276657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2）支持可视化页面设计后台，拖拽式布局。</w:t>
            </w:r>
          </w:p>
          <w:p w14:paraId="30C0F4F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3）支持自定义门户登录方式（账号密码、手机号验证码）。</w:t>
            </w:r>
          </w:p>
          <w:p w14:paraId="47E48BB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4）提供4个以上校级门户模板，区分小学、中学及师生身份。</w:t>
            </w:r>
          </w:p>
          <w:p w14:paraId="55A315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5）提供场景化门户模板，包括学生端（个人空间、班级共读、活动广场等）和教师端（班级共读、班级报告等）。</w:t>
            </w:r>
          </w:p>
        </w:tc>
        <w:tc>
          <w:tcPr>
            <w:tcW w:w="893" w:type="pct"/>
          </w:tcPr>
          <w:p w14:paraId="28336B6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7A9A42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188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18" w:type="pct"/>
            <w:vAlign w:val="center"/>
          </w:tcPr>
          <w:p w14:paraId="6D3A96BB">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1.2</w:t>
            </w:r>
          </w:p>
        </w:tc>
        <w:tc>
          <w:tcPr>
            <w:tcW w:w="2977" w:type="pct"/>
            <w:shd w:val="clear" w:color="auto" w:fill="auto"/>
            <w:vAlign w:val="bottom"/>
          </w:tcPr>
          <w:p w14:paraId="2B589D7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移动终端配置</w:t>
            </w:r>
          </w:p>
          <w:p w14:paraId="1ACB1E4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1）支持配置和管理首页显示的banner、功能模块、通讯录。</w:t>
            </w:r>
          </w:p>
          <w:p w14:paraId="273608E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2）可根据不同角色配置首页界面。</w:t>
            </w:r>
          </w:p>
          <w:p w14:paraId="05A881B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3）提供场景化分角色移动端模板。</w:t>
            </w:r>
          </w:p>
          <w:p w14:paraId="01AA1D8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4）支持多账号切换，一个APP不少于3个账户。</w:t>
            </w:r>
          </w:p>
        </w:tc>
        <w:tc>
          <w:tcPr>
            <w:tcW w:w="893" w:type="pct"/>
          </w:tcPr>
          <w:p w14:paraId="67D3183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FE1E5C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BA9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18" w:type="pct"/>
            <w:vAlign w:val="center"/>
          </w:tcPr>
          <w:p w14:paraId="7D04B4ED">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1.3</w:t>
            </w:r>
          </w:p>
        </w:tc>
        <w:tc>
          <w:tcPr>
            <w:tcW w:w="2977" w:type="pct"/>
            <w:shd w:val="clear" w:color="auto" w:fill="auto"/>
            <w:vAlign w:val="bottom"/>
          </w:tcPr>
          <w:p w14:paraId="34729C6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个人工作台配置</w:t>
            </w:r>
          </w:p>
          <w:p w14:paraId="72B3C8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1）持配置导航菜单、功能模块展示。</w:t>
            </w:r>
          </w:p>
          <w:p w14:paraId="2DBD7A2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2）可根据不同角色配置界面。</w:t>
            </w:r>
          </w:p>
        </w:tc>
        <w:tc>
          <w:tcPr>
            <w:tcW w:w="893" w:type="pct"/>
          </w:tcPr>
          <w:p w14:paraId="6514FFF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B9E777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B6A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225D3BAA">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bottom"/>
          </w:tcPr>
          <w:p w14:paraId="0F4AA25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用户管理系统</w:t>
            </w:r>
          </w:p>
        </w:tc>
        <w:tc>
          <w:tcPr>
            <w:tcW w:w="893" w:type="pct"/>
          </w:tcPr>
          <w:p w14:paraId="3B3D2E3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5944E9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96B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pct"/>
          </w:tcPr>
          <w:p w14:paraId="47768510">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2.1</w:t>
            </w:r>
          </w:p>
        </w:tc>
        <w:tc>
          <w:tcPr>
            <w:tcW w:w="2977" w:type="pct"/>
            <w:shd w:val="clear" w:color="auto" w:fill="auto"/>
            <w:vAlign w:val="bottom"/>
          </w:tcPr>
          <w:p w14:paraId="559237C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架构管理</w:t>
            </w:r>
          </w:p>
          <w:p w14:paraId="0379B8B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1）支持学校管理员对学校组织架构进行管理（学校、分校、年级、班级、学生等）。</w:t>
            </w:r>
          </w:p>
          <w:p w14:paraId="5230EDA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2）支持按学年学生账号自动升级。</w:t>
            </w:r>
          </w:p>
        </w:tc>
        <w:tc>
          <w:tcPr>
            <w:tcW w:w="893" w:type="pct"/>
          </w:tcPr>
          <w:p w14:paraId="2DA5992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62121B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DBD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18" w:type="pct"/>
            <w:vAlign w:val="center"/>
          </w:tcPr>
          <w:p w14:paraId="44F64D48">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2.2</w:t>
            </w:r>
          </w:p>
        </w:tc>
        <w:tc>
          <w:tcPr>
            <w:tcW w:w="2977" w:type="pct"/>
            <w:shd w:val="clear" w:color="auto" w:fill="auto"/>
            <w:vAlign w:val="bottom"/>
          </w:tcPr>
          <w:p w14:paraId="1FAFB5E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用户管理</w:t>
            </w:r>
          </w:p>
          <w:p w14:paraId="234A1C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支持建立全方位用户体系，管理学生、教师、管理员角色，支持用户信息增删改查、批量导入导出。</w:t>
            </w:r>
          </w:p>
        </w:tc>
        <w:tc>
          <w:tcPr>
            <w:tcW w:w="893" w:type="pct"/>
          </w:tcPr>
          <w:p w14:paraId="182421B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DD8CF7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071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5E9BA707">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w:t>
            </w:r>
          </w:p>
        </w:tc>
        <w:tc>
          <w:tcPr>
            <w:tcW w:w="2977" w:type="pct"/>
            <w:shd w:val="clear" w:color="auto" w:fill="auto"/>
            <w:vAlign w:val="bottom"/>
          </w:tcPr>
          <w:p w14:paraId="0707631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阅读资源系统</w:t>
            </w:r>
          </w:p>
        </w:tc>
        <w:tc>
          <w:tcPr>
            <w:tcW w:w="893" w:type="pct"/>
          </w:tcPr>
          <w:p w14:paraId="47D960D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1243FB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D8E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518" w:type="pct"/>
            <w:vAlign w:val="center"/>
          </w:tcPr>
          <w:p w14:paraId="1E09FB98">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r>
              <w:rPr>
                <w:rFonts w:hint="eastAsia" w:cs="Times New Roman" w:eastAsiaTheme="minorEastAsia"/>
                <w:b/>
                <w:bCs/>
                <w:color w:val="auto"/>
                <w:sz w:val="21"/>
                <w:szCs w:val="21"/>
                <w:highlight w:val="none"/>
                <w:vertAlign w:val="baseline"/>
                <w:lang w:val="en-US" w:eastAsia="zh-CN"/>
              </w:rPr>
              <w:t>3.1</w:t>
            </w:r>
          </w:p>
        </w:tc>
        <w:tc>
          <w:tcPr>
            <w:tcW w:w="2977" w:type="pct"/>
            <w:shd w:val="clear" w:color="auto" w:fill="auto"/>
            <w:vAlign w:val="bottom"/>
          </w:tcPr>
          <w:p w14:paraId="51436A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图书资源</w:t>
            </w:r>
          </w:p>
          <w:p w14:paraId="586F821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1）精选3000册以上中小学学生精品电子图书。</w:t>
            </w:r>
          </w:p>
          <w:p w14:paraId="1AA1E9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2）涵盖70本以上统编教材推荐书目及教育部阅读指导目录图书。</w:t>
            </w:r>
          </w:p>
          <w:p w14:paraId="75B1873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3）提供3个以上权威书单。</w:t>
            </w:r>
          </w:p>
          <w:p w14:paraId="6FFB424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4）精选250册以上家长阅读精品电子图书。</w:t>
            </w:r>
          </w:p>
          <w:p w14:paraId="3168FDC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5）精选400本以上教师阅读书目。</w:t>
            </w:r>
          </w:p>
          <w:p w14:paraId="1A25BF4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6）精选1</w:t>
            </w:r>
            <w:r>
              <w:rPr>
                <w:rFonts w:hint="eastAsia" w:ascii="宋体" w:hAnsi="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本以上中学必读书目，支持多终端自适应。</w:t>
            </w:r>
          </w:p>
          <w:p w14:paraId="0D30F09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（投标文件中提供高清电子图书资源具备合法版权的出版社授权协议，提供不少于3份授权协议复印件加盖投标人公章）</w:t>
            </w:r>
          </w:p>
        </w:tc>
        <w:tc>
          <w:tcPr>
            <w:tcW w:w="893" w:type="pct"/>
          </w:tcPr>
          <w:p w14:paraId="6EE5B3D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1ECABCB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BF9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18" w:type="pct"/>
            <w:vAlign w:val="center"/>
          </w:tcPr>
          <w:p w14:paraId="3C9B6F3A">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r>
              <w:rPr>
                <w:rFonts w:hint="eastAsia" w:cs="Times New Roman" w:eastAsiaTheme="minorEastAsia"/>
                <w:b/>
                <w:bCs/>
                <w:color w:val="auto"/>
                <w:sz w:val="21"/>
                <w:szCs w:val="21"/>
                <w:highlight w:val="none"/>
                <w:vertAlign w:val="baseline"/>
                <w:lang w:val="en-US" w:eastAsia="zh-CN"/>
              </w:rPr>
              <w:t>3.2</w:t>
            </w:r>
          </w:p>
        </w:tc>
        <w:tc>
          <w:tcPr>
            <w:tcW w:w="2977" w:type="pct"/>
            <w:shd w:val="clear" w:color="auto" w:fill="auto"/>
            <w:vAlign w:val="bottom"/>
          </w:tcPr>
          <w:p w14:paraId="23DB8FC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AI阅读</w:t>
            </w:r>
          </w:p>
          <w:p w14:paraId="515C22F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基于3000册以上图书进行AI阅读训练，支持知识库浏览记录、智能推荐问题、自定义交互、来源查看、重新回答与复制、朗读、清除历史记录、模式调整、概述、图谱、词云、导图、图书伴读、摘录等功能。</w:t>
            </w:r>
            <w:r>
              <w:rPr>
                <w:rFonts w:hint="eastAsia" w:ascii="宋体" w:hAnsi="宋体" w:cs="宋体"/>
                <w:i w:val="0"/>
                <w:iCs w:val="0"/>
                <w:color w:val="000000"/>
                <w:kern w:val="0"/>
                <w:sz w:val="21"/>
                <w:szCs w:val="21"/>
                <w:highlight w:val="none"/>
                <w:u w:val="none"/>
                <w:lang w:val="en-US" w:eastAsia="zh-CN" w:bidi="ar"/>
              </w:rPr>
              <w:t>（投标文件中提供功能截图证明材料）</w:t>
            </w:r>
          </w:p>
        </w:tc>
        <w:tc>
          <w:tcPr>
            <w:tcW w:w="893" w:type="pct"/>
          </w:tcPr>
          <w:p w14:paraId="74684C5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F167AE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037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18" w:type="pct"/>
            <w:vAlign w:val="center"/>
          </w:tcPr>
          <w:p w14:paraId="5C812D63">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3.3</w:t>
            </w:r>
          </w:p>
        </w:tc>
        <w:tc>
          <w:tcPr>
            <w:tcW w:w="2977" w:type="pct"/>
            <w:shd w:val="clear" w:color="auto" w:fill="auto"/>
            <w:vAlign w:val="bottom"/>
          </w:tcPr>
          <w:p w14:paraId="4A4093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机器阅读</w:t>
            </w:r>
          </w:p>
          <w:p w14:paraId="0248ED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支持机器问答、词云、摘要、脑图、试题、原文等功能，支持多终端自适应。</w:t>
            </w:r>
          </w:p>
        </w:tc>
        <w:tc>
          <w:tcPr>
            <w:tcW w:w="893" w:type="pct"/>
          </w:tcPr>
          <w:p w14:paraId="7FB9FA5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E05290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89E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18" w:type="pct"/>
            <w:vAlign w:val="center"/>
          </w:tcPr>
          <w:p w14:paraId="393D97FC">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r>
              <w:rPr>
                <w:rFonts w:hint="eastAsia" w:cs="Times New Roman" w:eastAsiaTheme="minorEastAsia"/>
                <w:b/>
                <w:bCs/>
                <w:color w:val="auto"/>
                <w:sz w:val="21"/>
                <w:szCs w:val="21"/>
                <w:highlight w:val="none"/>
                <w:vertAlign w:val="baseline"/>
                <w:lang w:val="en-US" w:eastAsia="zh-CN"/>
              </w:rPr>
              <w:t>3.4</w:t>
            </w:r>
          </w:p>
        </w:tc>
        <w:tc>
          <w:tcPr>
            <w:tcW w:w="2977" w:type="pct"/>
            <w:shd w:val="clear" w:color="auto" w:fill="auto"/>
            <w:vAlign w:val="bottom"/>
          </w:tcPr>
          <w:p w14:paraId="28FE817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富媒体资源</w:t>
            </w:r>
          </w:p>
          <w:p w14:paraId="2BAA0EC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有声书屋：提供6000集以上经典图书有声资源。</w:t>
            </w:r>
          </w:p>
          <w:p w14:paraId="4135215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导读视频：提供2</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0集以上导读视频资源。</w:t>
            </w:r>
          </w:p>
          <w:p w14:paraId="00B9C30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期刊资源：内置400种以上基础教育适读期刊。</w:t>
            </w:r>
          </w:p>
          <w:p w14:paraId="5BAAEA3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经典诵读：提供1000集以上经典诵读资源。</w:t>
            </w:r>
          </w:p>
          <w:p w14:paraId="3C2E933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（投标文件中提供上述功能截图证明材料）</w:t>
            </w:r>
          </w:p>
        </w:tc>
        <w:tc>
          <w:tcPr>
            <w:tcW w:w="893" w:type="pct"/>
          </w:tcPr>
          <w:p w14:paraId="54279D2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D6AB7B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969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18" w:type="pct"/>
            <w:vAlign w:val="center"/>
          </w:tcPr>
          <w:p w14:paraId="6EC97701">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3.5</w:t>
            </w:r>
          </w:p>
        </w:tc>
        <w:tc>
          <w:tcPr>
            <w:tcW w:w="2977" w:type="pct"/>
            <w:shd w:val="clear" w:color="auto" w:fill="auto"/>
            <w:vAlign w:val="bottom"/>
          </w:tcPr>
          <w:p w14:paraId="12DDAAA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课程资源</w:t>
            </w:r>
          </w:p>
          <w:p w14:paraId="1C5FDF2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为学生提供800门以上优秀阅读课程，为教师提供120门以上阅读教学研修课程。</w:t>
            </w:r>
          </w:p>
          <w:p w14:paraId="096F324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每学期提供6门以上分年级闯关项目式学习阅读课程。</w:t>
            </w:r>
          </w:p>
          <w:p w14:paraId="54E35B3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提供50门以上教师共读和校长共读课程。</w:t>
            </w:r>
          </w:p>
        </w:tc>
        <w:tc>
          <w:tcPr>
            <w:tcW w:w="893" w:type="pct"/>
          </w:tcPr>
          <w:p w14:paraId="602CD86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AB03AA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31F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3EA6D4E1">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4</w:t>
            </w:r>
          </w:p>
        </w:tc>
        <w:tc>
          <w:tcPr>
            <w:tcW w:w="2977" w:type="pct"/>
            <w:shd w:val="clear" w:color="auto" w:fill="auto"/>
            <w:vAlign w:val="bottom"/>
          </w:tcPr>
          <w:p w14:paraId="34B3DFF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阅读评价系统</w:t>
            </w:r>
          </w:p>
        </w:tc>
        <w:tc>
          <w:tcPr>
            <w:tcW w:w="893" w:type="pct"/>
          </w:tcPr>
          <w:p w14:paraId="5E77B72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3B2B87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20F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18" w:type="pct"/>
            <w:vAlign w:val="center"/>
          </w:tcPr>
          <w:p w14:paraId="00BF123B">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4.1</w:t>
            </w:r>
          </w:p>
        </w:tc>
        <w:tc>
          <w:tcPr>
            <w:tcW w:w="2977" w:type="pct"/>
            <w:shd w:val="clear" w:color="auto" w:fill="auto"/>
            <w:vAlign w:val="bottom"/>
          </w:tcPr>
          <w:p w14:paraId="574A07D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阶段性阅读能力评估</w:t>
            </w:r>
          </w:p>
          <w:p w14:paraId="065858B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支持分年级、分学期在线评估学生阅读能力，提供500道以上题库。</w:t>
            </w:r>
          </w:p>
          <w:p w14:paraId="6D49043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支持生成评估报告，分析学生阅读水平、速度、正确率和能力维度。</w:t>
            </w:r>
          </w:p>
        </w:tc>
        <w:tc>
          <w:tcPr>
            <w:tcW w:w="893" w:type="pct"/>
          </w:tcPr>
          <w:p w14:paraId="7504085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78496C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FC2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18" w:type="pct"/>
            <w:vAlign w:val="center"/>
          </w:tcPr>
          <w:p w14:paraId="6E1BDB84">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cs="Times New Roman" w:eastAsiaTheme="minorEastAsia"/>
                <w:b/>
                <w:bCs/>
                <w:color w:val="auto"/>
                <w:sz w:val="21"/>
                <w:szCs w:val="21"/>
                <w:highlight w:val="none"/>
                <w:vertAlign w:val="baseline"/>
                <w:lang w:val="en-US" w:eastAsia="zh-CN"/>
              </w:rPr>
              <w:t>4.2</w:t>
            </w:r>
          </w:p>
        </w:tc>
        <w:tc>
          <w:tcPr>
            <w:tcW w:w="2977" w:type="pct"/>
            <w:shd w:val="clear" w:color="auto" w:fill="auto"/>
            <w:vAlign w:val="bottom"/>
          </w:tcPr>
          <w:p w14:paraId="4E5710F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整本书分级测评体系</w:t>
            </w:r>
          </w:p>
          <w:p w14:paraId="74E270A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支持阅读计划发布、监控与阅读测评，提供1</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000道以上题库</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支持阅读记录、写作功能，生成个人和班级阅读数据报告。</w:t>
            </w:r>
          </w:p>
        </w:tc>
        <w:tc>
          <w:tcPr>
            <w:tcW w:w="893" w:type="pct"/>
          </w:tcPr>
          <w:p w14:paraId="4C0856D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75E2C4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256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18" w:type="pct"/>
            <w:vAlign w:val="center"/>
          </w:tcPr>
          <w:p w14:paraId="79D9AA2E">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cs="Times New Roman" w:eastAsiaTheme="minorEastAsia"/>
                <w:b/>
                <w:bCs/>
                <w:color w:val="auto"/>
                <w:sz w:val="21"/>
                <w:szCs w:val="21"/>
                <w:highlight w:val="none"/>
                <w:vertAlign w:val="baseline"/>
                <w:lang w:val="en-US" w:eastAsia="zh-CN"/>
              </w:rPr>
              <w:t>4.3</w:t>
            </w:r>
          </w:p>
        </w:tc>
        <w:tc>
          <w:tcPr>
            <w:tcW w:w="2977" w:type="pct"/>
            <w:shd w:val="clear" w:color="auto" w:fill="auto"/>
            <w:vAlign w:val="bottom"/>
          </w:tcPr>
          <w:p w14:paraId="17E570F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学校阅读发展现状评价</w:t>
            </w:r>
          </w:p>
          <w:p w14:paraId="02586C3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围绕学生阅读认知、教师阅读情感等15个一级因素建设评价模型。</w:t>
            </w:r>
          </w:p>
          <w:p w14:paraId="6C807FA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设计学校阅读发展现状调查题目，生成评价报告。</w:t>
            </w:r>
          </w:p>
          <w:p w14:paraId="2B74BD6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（投标文件中提供上述功能截图证明材料）</w:t>
            </w:r>
          </w:p>
        </w:tc>
        <w:tc>
          <w:tcPr>
            <w:tcW w:w="893" w:type="pct"/>
          </w:tcPr>
          <w:p w14:paraId="14E6262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100E6C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EF0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18" w:type="pct"/>
            <w:shd w:val="clear" w:color="auto" w:fill="auto"/>
            <w:vAlign w:val="center"/>
          </w:tcPr>
          <w:p w14:paraId="286EE957">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eastAsiaTheme="minorEastAsia"/>
                <w:b/>
                <w:bCs/>
                <w:color w:val="auto"/>
                <w:sz w:val="21"/>
                <w:szCs w:val="21"/>
                <w:highlight w:val="none"/>
                <w:vertAlign w:val="baseline"/>
                <w:lang w:val="en-US" w:eastAsia="zh-CN" w:bidi="ar-SA"/>
              </w:rPr>
            </w:pPr>
            <w:r>
              <w:rPr>
                <w:rFonts w:hint="eastAsia" w:cs="Times New Roman" w:eastAsiaTheme="minorEastAsia"/>
                <w:b/>
                <w:bCs/>
                <w:color w:val="auto"/>
                <w:sz w:val="21"/>
                <w:szCs w:val="21"/>
                <w:highlight w:val="none"/>
                <w:vertAlign w:val="baseline"/>
                <w:lang w:val="en-US" w:eastAsia="zh-CN"/>
              </w:rPr>
              <w:t>4.4</w:t>
            </w:r>
          </w:p>
        </w:tc>
        <w:tc>
          <w:tcPr>
            <w:tcW w:w="2977" w:type="pct"/>
            <w:shd w:val="clear" w:color="auto" w:fill="auto"/>
            <w:vAlign w:val="bottom"/>
          </w:tcPr>
          <w:p w14:paraId="316C2C3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激励机制</w:t>
            </w:r>
          </w:p>
          <w:p w14:paraId="4868F5A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阅读排行榜、阅读积分等激励机制。</w:t>
            </w:r>
          </w:p>
        </w:tc>
        <w:tc>
          <w:tcPr>
            <w:tcW w:w="893" w:type="pct"/>
          </w:tcPr>
          <w:p w14:paraId="1450D03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A9325A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9C7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51AAE406">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5</w:t>
            </w:r>
          </w:p>
        </w:tc>
        <w:tc>
          <w:tcPr>
            <w:tcW w:w="2977" w:type="pct"/>
            <w:shd w:val="clear" w:color="auto" w:fill="auto"/>
            <w:vAlign w:val="bottom"/>
          </w:tcPr>
          <w:p w14:paraId="5F5875E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阅读活动</w:t>
            </w:r>
          </w:p>
        </w:tc>
        <w:tc>
          <w:tcPr>
            <w:tcW w:w="893" w:type="pct"/>
          </w:tcPr>
          <w:p w14:paraId="3B2B03D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16102BD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D89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18" w:type="pct"/>
            <w:vAlign w:val="center"/>
          </w:tcPr>
          <w:p w14:paraId="19A78A1E">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cs="Times New Roman" w:eastAsiaTheme="minorEastAsia"/>
                <w:b/>
                <w:bCs/>
                <w:color w:val="auto"/>
                <w:sz w:val="21"/>
                <w:szCs w:val="21"/>
                <w:highlight w:val="none"/>
                <w:vertAlign w:val="baseline"/>
                <w:lang w:val="en-US" w:eastAsia="zh-CN"/>
              </w:rPr>
              <w:t>5.1</w:t>
            </w:r>
          </w:p>
        </w:tc>
        <w:tc>
          <w:tcPr>
            <w:tcW w:w="2977" w:type="pct"/>
            <w:shd w:val="clear" w:color="auto" w:fill="auto"/>
            <w:vAlign w:val="bottom"/>
          </w:tcPr>
          <w:p w14:paraId="084B33A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活动参与</w:t>
            </w:r>
          </w:p>
          <w:p w14:paraId="37A02A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支持多终端参与阅读活动，包括主题阅读闯关、知识挑战等。</w:t>
            </w:r>
          </w:p>
          <w:p w14:paraId="7925469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支持上传多种形式作品，进行互动评论、点赞、投票。</w:t>
            </w:r>
          </w:p>
        </w:tc>
        <w:tc>
          <w:tcPr>
            <w:tcW w:w="893" w:type="pct"/>
          </w:tcPr>
          <w:p w14:paraId="763D23A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623F928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3A67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36CA10ED">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6</w:t>
            </w:r>
          </w:p>
        </w:tc>
        <w:tc>
          <w:tcPr>
            <w:tcW w:w="2977" w:type="pct"/>
            <w:shd w:val="clear" w:color="auto" w:fill="auto"/>
            <w:vAlign w:val="bottom"/>
          </w:tcPr>
          <w:p w14:paraId="59CBD10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六、阅读教学与研修系统</w:t>
            </w:r>
          </w:p>
        </w:tc>
        <w:tc>
          <w:tcPr>
            <w:tcW w:w="893" w:type="pct"/>
          </w:tcPr>
          <w:p w14:paraId="50C32A8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629E86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C30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18" w:type="pct"/>
            <w:vAlign w:val="center"/>
          </w:tcPr>
          <w:p w14:paraId="16F7932D">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6.1</w:t>
            </w:r>
          </w:p>
        </w:tc>
        <w:tc>
          <w:tcPr>
            <w:tcW w:w="2977" w:type="pct"/>
            <w:shd w:val="clear" w:color="auto" w:fill="auto"/>
            <w:vAlign w:val="bottom"/>
          </w:tcPr>
          <w:p w14:paraId="105FD53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教学互动</w:t>
            </w:r>
          </w:p>
          <w:p w14:paraId="7FAC074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支持课堂教学情景的移动端和PC端投屏互动，支持抢答、投票等课堂环节。</w:t>
            </w:r>
          </w:p>
          <w:p w14:paraId="59B7155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支持学情数据监测与管理，生成学习报告。</w:t>
            </w:r>
          </w:p>
        </w:tc>
        <w:tc>
          <w:tcPr>
            <w:tcW w:w="893" w:type="pct"/>
          </w:tcPr>
          <w:p w14:paraId="1E6E141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539C45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E0F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28E3BA21">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w:t>
            </w:r>
          </w:p>
        </w:tc>
        <w:tc>
          <w:tcPr>
            <w:tcW w:w="2977" w:type="pct"/>
            <w:shd w:val="clear" w:color="auto" w:fill="auto"/>
            <w:vAlign w:val="bottom"/>
          </w:tcPr>
          <w:p w14:paraId="510548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阅读行业智能体系统</w:t>
            </w:r>
          </w:p>
        </w:tc>
        <w:tc>
          <w:tcPr>
            <w:tcW w:w="893" w:type="pct"/>
          </w:tcPr>
          <w:p w14:paraId="20E583E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E0FF36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FAC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18" w:type="pct"/>
            <w:vAlign w:val="center"/>
          </w:tcPr>
          <w:p w14:paraId="53F46040">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7.1</w:t>
            </w:r>
          </w:p>
        </w:tc>
        <w:tc>
          <w:tcPr>
            <w:tcW w:w="2977" w:type="pct"/>
            <w:shd w:val="clear" w:color="auto" w:fill="auto"/>
            <w:vAlign w:val="bottom"/>
          </w:tcPr>
          <w:p w14:paraId="24A5193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智能问答</w:t>
            </w:r>
          </w:p>
          <w:p w14:paraId="622723A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支持自定义添加、编辑问答分类和问答对，支持多种问答匹配模式。</w:t>
            </w:r>
          </w:p>
          <w:p w14:paraId="6FCB552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内置大模型，支持知识问答、行业问答。</w:t>
            </w:r>
          </w:p>
        </w:tc>
        <w:tc>
          <w:tcPr>
            <w:tcW w:w="893" w:type="pct"/>
          </w:tcPr>
          <w:p w14:paraId="2A91EEC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2307A4E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A1C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18" w:type="pct"/>
            <w:vAlign w:val="center"/>
          </w:tcPr>
          <w:p w14:paraId="195F59B7">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7.2</w:t>
            </w:r>
          </w:p>
        </w:tc>
        <w:tc>
          <w:tcPr>
            <w:tcW w:w="2977" w:type="pct"/>
            <w:shd w:val="clear" w:color="auto" w:fill="auto"/>
            <w:vAlign w:val="bottom"/>
          </w:tcPr>
          <w:p w14:paraId="2960B55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应用库</w:t>
            </w:r>
          </w:p>
          <w:p w14:paraId="726AAFB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支持指令调取图书资源、活动、地图闯关进度等。</w:t>
            </w:r>
          </w:p>
        </w:tc>
        <w:tc>
          <w:tcPr>
            <w:tcW w:w="893" w:type="pct"/>
          </w:tcPr>
          <w:p w14:paraId="47EEF36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F0DA78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82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18" w:type="pct"/>
            <w:vAlign w:val="center"/>
          </w:tcPr>
          <w:p w14:paraId="36DA1229">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7.3</w:t>
            </w:r>
          </w:p>
        </w:tc>
        <w:tc>
          <w:tcPr>
            <w:tcW w:w="2977" w:type="pct"/>
            <w:shd w:val="clear" w:color="auto" w:fill="auto"/>
            <w:vAlign w:val="bottom"/>
          </w:tcPr>
          <w:p w14:paraId="4041E8A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后台留言</w:t>
            </w:r>
          </w:p>
          <w:p w14:paraId="04C9477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支持设置未知问题转留言，支持留言工单批量导出、删除。</w:t>
            </w:r>
          </w:p>
        </w:tc>
        <w:tc>
          <w:tcPr>
            <w:tcW w:w="893" w:type="pct"/>
          </w:tcPr>
          <w:p w14:paraId="33449CE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7E16404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9A4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18" w:type="pct"/>
            <w:vAlign w:val="center"/>
          </w:tcPr>
          <w:p w14:paraId="46F62FD9">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7.4</w:t>
            </w:r>
          </w:p>
        </w:tc>
        <w:tc>
          <w:tcPr>
            <w:tcW w:w="2977" w:type="pct"/>
            <w:shd w:val="clear" w:color="auto" w:fill="auto"/>
            <w:vAlign w:val="bottom"/>
          </w:tcPr>
          <w:p w14:paraId="27115E4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智能学习</w:t>
            </w:r>
          </w:p>
          <w:p w14:paraId="36E5C6C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自动对未知问题、不满意问题进行统计聚类，支持一键学习或一键通过。</w:t>
            </w:r>
          </w:p>
        </w:tc>
        <w:tc>
          <w:tcPr>
            <w:tcW w:w="893" w:type="pct"/>
          </w:tcPr>
          <w:p w14:paraId="69ADDBD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D7B99A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653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18" w:type="pct"/>
            <w:vAlign w:val="center"/>
          </w:tcPr>
          <w:p w14:paraId="0F732FE9">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7.5</w:t>
            </w:r>
          </w:p>
        </w:tc>
        <w:tc>
          <w:tcPr>
            <w:tcW w:w="2977" w:type="pct"/>
            <w:shd w:val="clear" w:color="auto" w:fill="auto"/>
            <w:vAlign w:val="bottom"/>
          </w:tcPr>
          <w:p w14:paraId="6518748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基础设置</w:t>
            </w:r>
          </w:p>
          <w:p w14:paraId="4B12B56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支持智能体机器人自定义，支持自定义单位logo、名称等。</w:t>
            </w:r>
          </w:p>
        </w:tc>
        <w:tc>
          <w:tcPr>
            <w:tcW w:w="893" w:type="pct"/>
          </w:tcPr>
          <w:p w14:paraId="03554B9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64A7958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861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18" w:type="pct"/>
            <w:vAlign w:val="center"/>
          </w:tcPr>
          <w:p w14:paraId="4C41F3CE">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7.6</w:t>
            </w:r>
          </w:p>
        </w:tc>
        <w:tc>
          <w:tcPr>
            <w:tcW w:w="2977" w:type="pct"/>
            <w:shd w:val="clear" w:color="auto" w:fill="auto"/>
            <w:vAlign w:val="bottom"/>
          </w:tcPr>
          <w:p w14:paraId="294BA06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平台对接</w:t>
            </w:r>
          </w:p>
          <w:p w14:paraId="446349D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支持门户、移动端、微信公众号等多终端对接。</w:t>
            </w:r>
          </w:p>
        </w:tc>
        <w:tc>
          <w:tcPr>
            <w:tcW w:w="893" w:type="pct"/>
          </w:tcPr>
          <w:p w14:paraId="4B697B0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8B46A6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0CC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18" w:type="pct"/>
            <w:vAlign w:val="center"/>
          </w:tcPr>
          <w:p w14:paraId="1E17A813">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7.7</w:t>
            </w:r>
          </w:p>
        </w:tc>
        <w:tc>
          <w:tcPr>
            <w:tcW w:w="2977" w:type="pct"/>
            <w:shd w:val="clear" w:color="auto" w:fill="auto"/>
            <w:vAlign w:val="bottom"/>
          </w:tcPr>
          <w:p w14:paraId="3C55E55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账号管理</w:t>
            </w:r>
          </w:p>
          <w:p w14:paraId="2200EF8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支持添加、编辑管理员，设置权限，分配问答库。</w:t>
            </w:r>
          </w:p>
        </w:tc>
        <w:tc>
          <w:tcPr>
            <w:tcW w:w="893" w:type="pct"/>
          </w:tcPr>
          <w:p w14:paraId="1FA85D4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73D89F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8FA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18" w:type="pct"/>
            <w:vAlign w:val="center"/>
          </w:tcPr>
          <w:p w14:paraId="19C75CE9">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7.8</w:t>
            </w:r>
          </w:p>
        </w:tc>
        <w:tc>
          <w:tcPr>
            <w:tcW w:w="2977" w:type="pct"/>
            <w:shd w:val="clear" w:color="auto" w:fill="auto"/>
            <w:vAlign w:val="bottom"/>
          </w:tcPr>
          <w:p w14:paraId="20DA27C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问答统计分析</w:t>
            </w:r>
          </w:p>
          <w:p w14:paraId="5F2C402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支持问答历史纪录、内容统计、热门问题统计等。</w:t>
            </w:r>
          </w:p>
        </w:tc>
        <w:tc>
          <w:tcPr>
            <w:tcW w:w="893" w:type="pct"/>
          </w:tcPr>
          <w:p w14:paraId="64D632E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2355AD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552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18" w:type="pct"/>
            <w:vAlign w:val="center"/>
          </w:tcPr>
          <w:p w14:paraId="66F5E45E">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7.9</w:t>
            </w:r>
          </w:p>
        </w:tc>
        <w:tc>
          <w:tcPr>
            <w:tcW w:w="2977" w:type="pct"/>
            <w:shd w:val="clear" w:color="auto" w:fill="auto"/>
            <w:vAlign w:val="bottom"/>
          </w:tcPr>
          <w:p w14:paraId="7FC687E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专业服务</w:t>
            </w:r>
          </w:p>
          <w:p w14:paraId="20085FC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提供阅读智能体全周期指导服务，独家阅读行业库问答模板。</w:t>
            </w:r>
          </w:p>
        </w:tc>
        <w:tc>
          <w:tcPr>
            <w:tcW w:w="893" w:type="pct"/>
          </w:tcPr>
          <w:p w14:paraId="602182A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4B60D81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05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76886E57">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8</w:t>
            </w:r>
          </w:p>
        </w:tc>
        <w:tc>
          <w:tcPr>
            <w:tcW w:w="2977" w:type="pct"/>
            <w:shd w:val="clear" w:color="auto" w:fill="auto"/>
            <w:vAlign w:val="bottom"/>
          </w:tcPr>
          <w:p w14:paraId="12E65D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数据报告系统</w:t>
            </w:r>
          </w:p>
        </w:tc>
        <w:tc>
          <w:tcPr>
            <w:tcW w:w="893" w:type="pct"/>
          </w:tcPr>
          <w:p w14:paraId="0408126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D895A4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730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18" w:type="pct"/>
            <w:vAlign w:val="center"/>
          </w:tcPr>
          <w:p w14:paraId="2FE3B918">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cs="Times New Roman" w:eastAsiaTheme="minorEastAsia"/>
                <w:b/>
                <w:bCs/>
                <w:color w:val="auto"/>
                <w:sz w:val="21"/>
                <w:szCs w:val="21"/>
                <w:highlight w:val="none"/>
                <w:vertAlign w:val="baseline"/>
                <w:lang w:val="en-US" w:eastAsia="zh-CN"/>
              </w:rPr>
              <w:t>8.1</w:t>
            </w:r>
          </w:p>
        </w:tc>
        <w:tc>
          <w:tcPr>
            <w:tcW w:w="2977" w:type="pct"/>
            <w:shd w:val="clear" w:color="auto" w:fill="auto"/>
            <w:vAlign w:val="bottom"/>
          </w:tcPr>
          <w:p w14:paraId="5876793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阅读统计数据</w:t>
            </w:r>
          </w:p>
          <w:p w14:paraId="13C98F9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支持管理员查看学生、教师阅读行为数据，导出数据报告。</w:t>
            </w:r>
          </w:p>
          <w:p w14:paraId="04A127D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（投标文件中提供阅读数据相关软件著作权复印件）</w:t>
            </w:r>
          </w:p>
        </w:tc>
        <w:tc>
          <w:tcPr>
            <w:tcW w:w="893" w:type="pct"/>
          </w:tcPr>
          <w:p w14:paraId="466B370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3FD630C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768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6B935934">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9</w:t>
            </w:r>
          </w:p>
        </w:tc>
        <w:tc>
          <w:tcPr>
            <w:tcW w:w="2977" w:type="pct"/>
            <w:shd w:val="clear" w:color="auto" w:fill="auto"/>
            <w:vAlign w:val="bottom"/>
          </w:tcPr>
          <w:p w14:paraId="79ED43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运维服务</w:t>
            </w:r>
          </w:p>
        </w:tc>
        <w:tc>
          <w:tcPr>
            <w:tcW w:w="893" w:type="pct"/>
          </w:tcPr>
          <w:p w14:paraId="6F99F92D">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96278BC">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048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18" w:type="pct"/>
            <w:vAlign w:val="center"/>
          </w:tcPr>
          <w:p w14:paraId="0F82AB98">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9.1</w:t>
            </w:r>
          </w:p>
        </w:tc>
        <w:tc>
          <w:tcPr>
            <w:tcW w:w="2977" w:type="pct"/>
            <w:shd w:val="clear" w:color="auto" w:fill="auto"/>
            <w:vAlign w:val="bottom"/>
          </w:tcPr>
          <w:p w14:paraId="69CCDB1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基础服务</w:t>
            </w:r>
          </w:p>
          <w:p w14:paraId="0A93BF8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使用培训、信息回访、故障处理、数据分析、操作指引等服务。</w:t>
            </w:r>
          </w:p>
        </w:tc>
        <w:tc>
          <w:tcPr>
            <w:tcW w:w="893" w:type="pct"/>
          </w:tcPr>
          <w:p w14:paraId="33C4E411">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17D9B32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3A55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18" w:type="pct"/>
            <w:vAlign w:val="center"/>
          </w:tcPr>
          <w:p w14:paraId="6658F70F">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9.2</w:t>
            </w:r>
          </w:p>
        </w:tc>
        <w:tc>
          <w:tcPr>
            <w:tcW w:w="2977" w:type="pct"/>
            <w:shd w:val="clear" w:color="auto" w:fill="auto"/>
            <w:vAlign w:val="bottom"/>
          </w:tcPr>
          <w:p w14:paraId="51AD4C0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专业服务</w:t>
            </w:r>
          </w:p>
          <w:p w14:paraId="183121A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优质资源推荐、策划专业活动、阅读教学教研、专业评估服务、专家名师入驻、成果宣传推广。</w:t>
            </w:r>
          </w:p>
        </w:tc>
        <w:tc>
          <w:tcPr>
            <w:tcW w:w="893" w:type="pct"/>
          </w:tcPr>
          <w:p w14:paraId="4278B93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9D2606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37F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Pr>
          <w:p w14:paraId="3A32FFAA">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（八）</w:t>
            </w:r>
          </w:p>
        </w:tc>
        <w:tc>
          <w:tcPr>
            <w:tcW w:w="2977" w:type="pct"/>
            <w:shd w:val="clear" w:color="auto" w:fill="auto"/>
            <w:vAlign w:val="center"/>
          </w:tcPr>
          <w:p w14:paraId="2F564E3F">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default"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墨水屏阅读器</w:t>
            </w:r>
          </w:p>
        </w:tc>
        <w:tc>
          <w:tcPr>
            <w:tcW w:w="893" w:type="pct"/>
          </w:tcPr>
          <w:p w14:paraId="2DF2AC2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ascii="宋体" w:hAnsi="宋体" w:cs="宋体"/>
                <w:b/>
                <w:bCs/>
                <w:i w:val="0"/>
                <w:iCs w:val="0"/>
                <w:color w:val="000000"/>
                <w:kern w:val="0"/>
                <w:sz w:val="21"/>
                <w:szCs w:val="21"/>
                <w:highlight w:val="none"/>
                <w:u w:val="none"/>
                <w:lang w:val="en-US" w:eastAsia="zh-CN" w:bidi="ar"/>
              </w:rPr>
              <w:t>50台</w:t>
            </w:r>
          </w:p>
        </w:tc>
        <w:tc>
          <w:tcPr>
            <w:tcW w:w="610" w:type="pct"/>
          </w:tcPr>
          <w:p w14:paraId="0C9E371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F21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6" w:hRule="atLeast"/>
          <w:jc w:val="center"/>
        </w:trPr>
        <w:tc>
          <w:tcPr>
            <w:tcW w:w="518" w:type="pct"/>
            <w:vAlign w:val="center"/>
          </w:tcPr>
          <w:p w14:paraId="29D90664">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shd w:val="clear" w:color="auto" w:fill="auto"/>
            <w:vAlign w:val="center"/>
          </w:tcPr>
          <w:p w14:paraId="799EF3F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硬件参数：</w:t>
            </w:r>
          </w:p>
          <w:p w14:paraId="3EDB6B2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1）显示触控屏参数：</w:t>
            </w:r>
          </w:p>
          <w:p w14:paraId="5651906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屏幕：10.3" E ink；</w:t>
            </w:r>
          </w:p>
          <w:p w14:paraId="250CFA3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屏体分辨率：1440 x 1872 (227ppi)；</w:t>
            </w:r>
          </w:p>
          <w:p w14:paraId="68AD2EA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材质：电子墨水屏，纯平盖板；</w:t>
            </w:r>
          </w:p>
          <w:p w14:paraId="5B7B0FB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屏幕强度：4H</w:t>
            </w:r>
          </w:p>
          <w:p w14:paraId="6C5FB3F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屏幕颜色：黑，白，16度灰显示屏</w:t>
            </w:r>
          </w:p>
          <w:p w14:paraId="12D904C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多点触摸：支持2点触控；</w:t>
            </w:r>
          </w:p>
          <w:p w14:paraId="12BDDD9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背光：冷暖双色温背光</w:t>
            </w:r>
          </w:p>
          <w:p w14:paraId="0054837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触摸方式：电容触控。</w:t>
            </w:r>
          </w:p>
          <w:p w14:paraId="01FDEE5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2）硬件配置参数：</w:t>
            </w:r>
          </w:p>
          <w:p w14:paraId="4A976E4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CPU: 四核 主频1.5G Hz以上</w:t>
            </w:r>
          </w:p>
          <w:p w14:paraId="4475397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运行内存：不低于2G；</w:t>
            </w:r>
          </w:p>
          <w:p w14:paraId="3F2954C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内置存储：不低于32G；</w:t>
            </w:r>
          </w:p>
          <w:p w14:paraId="6D70354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操作系统：不低于Android 8.1；</w:t>
            </w:r>
          </w:p>
          <w:p w14:paraId="7ABF289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电池类型：不低于3800mAh Polymer Li-on</w:t>
            </w:r>
          </w:p>
          <w:p w14:paraId="4A03AD4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网络：WiFi (802.11b/g/n/ac/ax) ；</w:t>
            </w:r>
          </w:p>
          <w:p w14:paraId="0FB3485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数据传输：USB Type-C；</w:t>
            </w:r>
          </w:p>
          <w:p w14:paraId="4D304C3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重量：≤ 400克</w:t>
            </w:r>
          </w:p>
          <w:p w14:paraId="11F07C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3）其它：</w:t>
            </w:r>
          </w:p>
          <w:p w14:paraId="06FD34A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尺寸：</w:t>
            </w:r>
            <w:r>
              <w:rPr>
                <w:rFonts w:hint="eastAsia" w:ascii="宋体" w:hAnsi="宋体" w:eastAsia="宋体" w:cs="宋体"/>
                <w:i w:val="0"/>
                <w:iCs w:val="0"/>
                <w:color w:val="000000"/>
                <w:sz w:val="21"/>
                <w:szCs w:val="21"/>
                <w:highlight w:val="none"/>
                <w:u w:val="none"/>
                <w:lang w:val="en-US" w:eastAsia="zh-CN" w:bidi="ar-SA"/>
              </w:rPr>
              <w:t>≥</w:t>
            </w:r>
            <w:r>
              <w:rPr>
                <w:rFonts w:hint="eastAsia" w:ascii="宋体" w:hAnsi="宋体" w:eastAsia="宋体" w:cs="宋体"/>
                <w:i w:val="0"/>
                <w:iCs w:val="0"/>
                <w:color w:val="000000"/>
                <w:kern w:val="0"/>
                <w:sz w:val="21"/>
                <w:szCs w:val="21"/>
                <w:highlight w:val="none"/>
                <w:u w:val="none"/>
                <w:lang w:val="en-US" w:eastAsia="zh-CN" w:bidi="ar"/>
              </w:rPr>
              <w:t>191.1x</w:t>
            </w:r>
            <w:r>
              <w:rPr>
                <w:rFonts w:hint="eastAsia" w:ascii="宋体" w:hAnsi="宋体" w:eastAsia="宋体" w:cs="宋体"/>
                <w:i w:val="0"/>
                <w:iCs w:val="0"/>
                <w:color w:val="000000"/>
                <w:sz w:val="21"/>
                <w:szCs w:val="21"/>
                <w:highlight w:val="none"/>
                <w:u w:val="none"/>
                <w:lang w:val="en-US" w:eastAsia="zh-CN" w:bidi="ar-SA"/>
              </w:rPr>
              <w:t>≥</w:t>
            </w:r>
            <w:r>
              <w:rPr>
                <w:rFonts w:hint="eastAsia" w:ascii="宋体" w:hAnsi="宋体" w:eastAsia="宋体" w:cs="宋体"/>
                <w:i w:val="0"/>
                <w:iCs w:val="0"/>
                <w:color w:val="000000"/>
                <w:kern w:val="0"/>
                <w:sz w:val="21"/>
                <w:szCs w:val="21"/>
                <w:highlight w:val="none"/>
                <w:u w:val="none"/>
                <w:lang w:val="en-US" w:eastAsia="zh-CN" w:bidi="ar"/>
              </w:rPr>
              <w:t>232.5x</w:t>
            </w:r>
            <w:r>
              <w:rPr>
                <w:rFonts w:hint="eastAsia" w:ascii="宋体" w:hAnsi="宋体" w:eastAsia="宋体" w:cs="宋体"/>
                <w:i w:val="0"/>
                <w:iCs w:val="0"/>
                <w:color w:val="000000"/>
                <w:sz w:val="21"/>
                <w:szCs w:val="21"/>
                <w:highlight w:val="none"/>
                <w:u w:val="none"/>
                <w:lang w:val="en-US" w:eastAsia="zh-CN" w:bidi="ar-SA"/>
              </w:rPr>
              <w:t>≥</w:t>
            </w:r>
            <w:r>
              <w:rPr>
                <w:rFonts w:hint="eastAsia" w:ascii="宋体" w:hAnsi="宋体" w:eastAsia="宋体" w:cs="宋体"/>
                <w:i w:val="0"/>
                <w:iCs w:val="0"/>
                <w:color w:val="000000"/>
                <w:kern w:val="0"/>
                <w:sz w:val="21"/>
                <w:szCs w:val="21"/>
                <w:highlight w:val="none"/>
                <w:u w:val="none"/>
                <w:lang w:val="en-US" w:eastAsia="zh-CN" w:bidi="ar"/>
              </w:rPr>
              <w:t>8.23mm 机身最薄处：≤5.01mm</w:t>
            </w:r>
          </w:p>
          <w:p w14:paraId="4827514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4）音频配置参数：</w:t>
            </w:r>
          </w:p>
          <w:p w14:paraId="205A633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扬声器：有</w:t>
            </w:r>
          </w:p>
          <w:p w14:paraId="3A0573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耳机接口：支持USB Type-C转3.5m音频口</w:t>
            </w:r>
          </w:p>
        </w:tc>
        <w:tc>
          <w:tcPr>
            <w:tcW w:w="893" w:type="pct"/>
          </w:tcPr>
          <w:p w14:paraId="022FCBE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581BBA6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190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18" w:type="pct"/>
            <w:vAlign w:val="center"/>
          </w:tcPr>
          <w:p w14:paraId="15FE01D8">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center"/>
          </w:tcPr>
          <w:p w14:paraId="0D60DF2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软件部分：</w:t>
            </w:r>
          </w:p>
          <w:p w14:paraId="75F8FA6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提供不少于20000本适合中小学教师与学生使用的高清电子图书，图书资源针对学生、老师身份登录展示不同的资源。</w:t>
            </w:r>
          </w:p>
          <w:p w14:paraId="01C4D65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提供面向学生统编教材推荐书单、中小学阅读指导目录、学校共读书单、心智地图书单等书目推荐，推荐图书按照分类、年级等方式进行筛选，能够按照默认、最新、热门进行排序；提供学生电子书屋，支持按照学科分类、年级进行筛选。</w:t>
            </w:r>
            <w:r>
              <w:rPr>
                <w:rFonts w:hint="eastAsia" w:ascii="宋体" w:hAnsi="宋体" w:eastAsia="宋体" w:cs="宋体"/>
                <w:i w:val="0"/>
                <w:iCs w:val="0"/>
                <w:color w:val="000000"/>
                <w:sz w:val="21"/>
                <w:szCs w:val="21"/>
                <w:highlight w:val="none"/>
                <w:u w:val="none"/>
                <w:lang w:val="en-US" w:eastAsia="zh-CN" w:bidi="ar-SA"/>
              </w:rPr>
              <w:t>（</w:t>
            </w:r>
            <w:r>
              <w:rPr>
                <w:rFonts w:hint="eastAsia" w:ascii="宋体" w:hAnsi="宋体" w:cs="宋体"/>
                <w:i w:val="0"/>
                <w:iCs w:val="0"/>
                <w:color w:val="000000"/>
                <w:sz w:val="21"/>
                <w:szCs w:val="21"/>
                <w:highlight w:val="none"/>
                <w:u w:val="none"/>
                <w:lang w:val="en-US" w:eastAsia="zh-CN" w:bidi="ar-SA"/>
              </w:rPr>
              <w:t>投标文件中</w:t>
            </w:r>
            <w:r>
              <w:rPr>
                <w:rFonts w:hint="eastAsia" w:ascii="宋体" w:hAnsi="宋体" w:eastAsia="宋体" w:cs="宋体"/>
                <w:i w:val="0"/>
                <w:iCs w:val="0"/>
                <w:color w:val="000000"/>
                <w:sz w:val="21"/>
                <w:szCs w:val="21"/>
                <w:highlight w:val="none"/>
                <w:u w:val="none"/>
                <w:lang w:val="en-US" w:eastAsia="zh-CN" w:bidi="ar-SA"/>
              </w:rPr>
              <w:t>提供</w:t>
            </w:r>
            <w:r>
              <w:rPr>
                <w:rFonts w:hint="eastAsia" w:ascii="宋体" w:hAnsi="宋体" w:cs="宋体"/>
                <w:i w:val="0"/>
                <w:iCs w:val="0"/>
                <w:color w:val="000000"/>
                <w:sz w:val="21"/>
                <w:szCs w:val="21"/>
                <w:highlight w:val="none"/>
                <w:u w:val="none"/>
                <w:lang w:val="en-US" w:eastAsia="zh-CN" w:bidi="ar-SA"/>
              </w:rPr>
              <w:t>功能</w:t>
            </w:r>
            <w:r>
              <w:rPr>
                <w:rFonts w:hint="eastAsia" w:ascii="宋体" w:hAnsi="宋体" w:eastAsia="宋体" w:cs="宋体"/>
                <w:i w:val="0"/>
                <w:iCs w:val="0"/>
                <w:color w:val="000000"/>
                <w:sz w:val="21"/>
                <w:szCs w:val="21"/>
                <w:highlight w:val="none"/>
                <w:u w:val="none"/>
                <w:lang w:val="en-US" w:eastAsia="zh-CN" w:bidi="ar-SA"/>
              </w:rPr>
              <w:t>截图证明材料）</w:t>
            </w:r>
          </w:p>
          <w:p w14:paraId="0A38273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提供面向教师的教学阅读图书与通识阅读图书，教学阅读图书支持按照阅读指导、视野拓展、教育研究、教学实践、综合素养、学科专业进行分类。</w:t>
            </w:r>
          </w:p>
          <w:p w14:paraId="5901E97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4）</w:t>
            </w:r>
            <w:r>
              <w:rPr>
                <w:rFonts w:hint="eastAsia" w:ascii="宋体" w:hAnsi="宋体" w:eastAsia="宋体" w:cs="宋体"/>
                <w:i w:val="0"/>
                <w:iCs w:val="0"/>
                <w:color w:val="000000"/>
                <w:sz w:val="21"/>
                <w:szCs w:val="21"/>
                <w:highlight w:val="none"/>
                <w:u w:val="none"/>
                <w:lang w:val="en-US" w:eastAsia="zh-CN" w:bidi="ar-SA"/>
              </w:rPr>
              <w:t>通过在线书城下载，直接阅读原版文本全文。</w:t>
            </w:r>
          </w:p>
          <w:p w14:paraId="5102D8A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5）提供不少于1000套适合中小学学生的图书测评题库，根据图书内容进行测评，可在线答题，在线获得测评结果。</w:t>
            </w:r>
          </w:p>
          <w:p w14:paraId="1786A33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6）</w:t>
            </w:r>
            <w:r>
              <w:rPr>
                <w:rFonts w:hint="eastAsia" w:ascii="宋体" w:hAnsi="宋体" w:eastAsia="宋体" w:cs="宋体"/>
                <w:i w:val="0"/>
                <w:iCs w:val="0"/>
                <w:color w:val="000000"/>
                <w:sz w:val="21"/>
                <w:szCs w:val="21"/>
                <w:highlight w:val="none"/>
                <w:u w:val="none"/>
                <w:lang w:val="en-US" w:eastAsia="zh-CN" w:bidi="ar-SA"/>
              </w:rPr>
              <w:t>提供8000集</w:t>
            </w:r>
            <w:r>
              <w:rPr>
                <w:rFonts w:hint="eastAsia" w:ascii="宋体" w:hAnsi="宋体" w:cs="宋体"/>
                <w:i w:val="0"/>
                <w:iCs w:val="0"/>
                <w:color w:val="000000"/>
                <w:sz w:val="21"/>
                <w:szCs w:val="21"/>
                <w:highlight w:val="none"/>
                <w:u w:val="none"/>
                <w:lang w:val="en-US" w:eastAsia="zh-CN" w:bidi="ar-SA"/>
              </w:rPr>
              <w:t>以上</w:t>
            </w:r>
            <w:r>
              <w:rPr>
                <w:rFonts w:hint="eastAsia" w:ascii="宋体" w:hAnsi="宋体" w:eastAsia="宋体" w:cs="宋体"/>
                <w:i w:val="0"/>
                <w:iCs w:val="0"/>
                <w:color w:val="000000"/>
                <w:sz w:val="21"/>
                <w:szCs w:val="21"/>
                <w:highlight w:val="none"/>
                <w:u w:val="none"/>
                <w:lang w:val="en-US" w:eastAsia="zh-CN" w:bidi="ar-SA"/>
              </w:rPr>
              <w:t>音频，支持按照分类、年级进行筛选，支持按照图书进行在线点播，播放界面支持进度调整、音量控制。</w:t>
            </w:r>
          </w:p>
          <w:p w14:paraId="2FC5709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7）</w:t>
            </w:r>
            <w:r>
              <w:rPr>
                <w:rFonts w:hint="eastAsia" w:ascii="宋体" w:hAnsi="宋体" w:eastAsia="宋体" w:cs="宋体"/>
                <w:i w:val="0"/>
                <w:iCs w:val="0"/>
                <w:color w:val="000000"/>
                <w:sz w:val="21"/>
                <w:szCs w:val="21"/>
                <w:highlight w:val="none"/>
                <w:u w:val="none"/>
                <w:lang w:val="en-US" w:eastAsia="zh-CN" w:bidi="ar-SA"/>
              </w:rPr>
              <w:t>支持教师用户、学生用户账号切换，学生用户支持图书下载、图书阅读、图书测评等功能；教师用户支持学习通账号关联、图书推送、图书下载、图书阅读、数据统计等功能</w:t>
            </w:r>
          </w:p>
          <w:p w14:paraId="60D0418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8）</w:t>
            </w:r>
            <w:r>
              <w:rPr>
                <w:rFonts w:hint="eastAsia" w:ascii="宋体" w:hAnsi="宋体" w:eastAsia="宋体" w:cs="宋体"/>
                <w:i w:val="0"/>
                <w:iCs w:val="0"/>
                <w:color w:val="000000"/>
                <w:sz w:val="21"/>
                <w:szCs w:val="21"/>
                <w:highlight w:val="none"/>
                <w:u w:val="none"/>
                <w:lang w:val="en-US" w:eastAsia="zh-CN" w:bidi="ar-SA"/>
              </w:rPr>
              <w:t>支持PDF, EPUB , TXT, MOBI等格式本地图书导入阅读；支持PNG, JPG,TIFF ,BMP等格式图片导入显示</w:t>
            </w:r>
          </w:p>
          <w:p w14:paraId="298C682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9）</w:t>
            </w:r>
            <w:r>
              <w:rPr>
                <w:rFonts w:hint="eastAsia" w:ascii="宋体" w:hAnsi="宋体" w:eastAsia="宋体" w:cs="宋体"/>
                <w:i w:val="0"/>
                <w:iCs w:val="0"/>
                <w:color w:val="000000"/>
                <w:sz w:val="21"/>
                <w:szCs w:val="21"/>
                <w:highlight w:val="none"/>
                <w:u w:val="none"/>
                <w:lang w:val="en-US" w:eastAsia="zh-CN" w:bidi="ar-SA"/>
              </w:rPr>
              <w:t>支持图书字体切换、文字划线、批注笔记、字典、搜索、书签等阅读功能</w:t>
            </w:r>
          </w:p>
          <w:p w14:paraId="0CC4544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10）</w:t>
            </w:r>
            <w:r>
              <w:rPr>
                <w:rFonts w:hint="eastAsia" w:ascii="宋体" w:hAnsi="宋体" w:eastAsia="宋体" w:cs="宋体"/>
                <w:i w:val="0"/>
                <w:iCs w:val="0"/>
                <w:color w:val="000000"/>
                <w:sz w:val="21"/>
                <w:szCs w:val="21"/>
                <w:highlight w:val="none"/>
                <w:u w:val="none"/>
                <w:lang w:val="en-US" w:eastAsia="zh-CN" w:bidi="ar-SA"/>
              </w:rPr>
              <w:t>可对接阅读平台，实现账号、资源、数据打通，支持学生接收、完成阅读计划任务，按照教师要求阅读指定内容、参与阅读打卡、完成阅读测评、提交读后感，学生数据提交后可汇总到教师进行管理显示。</w:t>
            </w:r>
          </w:p>
          <w:p w14:paraId="1DCD41A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bidi="ar-SA"/>
              </w:rPr>
              <w:t>▲</w:t>
            </w:r>
            <w:r>
              <w:rPr>
                <w:rFonts w:hint="eastAsia" w:ascii="宋体" w:hAnsi="宋体" w:cs="宋体"/>
                <w:i w:val="0"/>
                <w:iCs w:val="0"/>
                <w:color w:val="000000"/>
                <w:sz w:val="21"/>
                <w:szCs w:val="21"/>
                <w:highlight w:val="none"/>
                <w:u w:val="none"/>
                <w:lang w:val="en-US" w:eastAsia="zh-CN" w:bidi="ar-SA"/>
              </w:rPr>
              <w:t>11）具备</w:t>
            </w:r>
            <w:r>
              <w:rPr>
                <w:rFonts w:hint="eastAsia" w:ascii="宋体" w:hAnsi="宋体" w:eastAsia="宋体" w:cs="宋体"/>
                <w:i w:val="0"/>
                <w:iCs w:val="0"/>
                <w:color w:val="000000"/>
                <w:sz w:val="21"/>
                <w:szCs w:val="21"/>
                <w:highlight w:val="none"/>
                <w:u w:val="none"/>
                <w:lang w:val="en-US" w:eastAsia="zh-CN" w:bidi="ar-SA"/>
              </w:rPr>
              <w:t>阅读课堂</w:t>
            </w:r>
            <w:r>
              <w:rPr>
                <w:rFonts w:hint="eastAsia" w:ascii="宋体" w:hAnsi="宋体" w:cs="宋体"/>
                <w:i w:val="0"/>
                <w:iCs w:val="0"/>
                <w:color w:val="000000"/>
                <w:sz w:val="21"/>
                <w:szCs w:val="21"/>
                <w:highlight w:val="none"/>
                <w:u w:val="none"/>
                <w:lang w:val="en-US" w:eastAsia="zh-CN" w:bidi="ar-SA"/>
              </w:rPr>
              <w:t>功能</w:t>
            </w:r>
            <w:r>
              <w:rPr>
                <w:rFonts w:hint="eastAsia" w:ascii="宋体" w:hAnsi="宋体" w:eastAsia="宋体" w:cs="宋体"/>
                <w:i w:val="0"/>
                <w:iCs w:val="0"/>
                <w:color w:val="000000"/>
                <w:sz w:val="21"/>
                <w:szCs w:val="21"/>
                <w:highlight w:val="none"/>
                <w:u w:val="none"/>
                <w:lang w:val="en-US" w:eastAsia="zh-CN" w:bidi="ar-SA"/>
              </w:rPr>
              <w:t>，实现账号、资源、数据打通，支持教师发布签到、投票、选人、讨论等课堂互动任务及课堂资料，学生接收互动任务及课堂资料，教师回收任务反馈的智慧课堂管理流程。</w:t>
            </w:r>
          </w:p>
          <w:p w14:paraId="3C7E34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（投标文件中提供阅读课堂相关软件著作权复印件加盖投标人公章）</w:t>
            </w:r>
          </w:p>
          <w:p w14:paraId="20D63CA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r>
              <w:rPr>
                <w:rFonts w:hint="eastAsia" w:ascii="宋体" w:hAnsi="宋体" w:eastAsia="宋体" w:cs="宋体"/>
                <w:i w:val="0"/>
                <w:iCs w:val="0"/>
                <w:color w:val="000000"/>
                <w:sz w:val="21"/>
                <w:szCs w:val="21"/>
                <w:highlight w:val="none"/>
                <w:u w:val="none"/>
                <w:lang w:val="en-US" w:eastAsia="zh-CN" w:bidi="ar-SA"/>
              </w:rPr>
              <w:t>系统支持在线阅读期刊，提供2000种</w:t>
            </w:r>
            <w:r>
              <w:rPr>
                <w:rFonts w:hint="eastAsia" w:ascii="宋体" w:hAnsi="宋体" w:cs="宋体"/>
                <w:i w:val="0"/>
                <w:iCs w:val="0"/>
                <w:color w:val="000000"/>
                <w:sz w:val="21"/>
                <w:szCs w:val="21"/>
                <w:highlight w:val="none"/>
                <w:u w:val="none"/>
                <w:lang w:val="en-US" w:eastAsia="zh-CN" w:bidi="ar-SA"/>
              </w:rPr>
              <w:t>及以上</w:t>
            </w:r>
            <w:r>
              <w:rPr>
                <w:rFonts w:hint="eastAsia" w:ascii="宋体" w:hAnsi="宋体" w:eastAsia="宋体" w:cs="宋体"/>
                <w:i w:val="0"/>
                <w:iCs w:val="0"/>
                <w:color w:val="000000"/>
                <w:sz w:val="21"/>
                <w:szCs w:val="21"/>
                <w:highlight w:val="none"/>
                <w:u w:val="none"/>
                <w:lang w:val="en-US" w:eastAsia="zh-CN" w:bidi="ar-SA"/>
              </w:rPr>
              <w:t>中文期刊，支持在线阅读阅览，整本下载阅读，支持自适应排版，支持左右翻页、字体更换、间距调整阅读。</w:t>
            </w:r>
          </w:p>
          <w:p w14:paraId="5153CFB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13）</w:t>
            </w:r>
            <w:r>
              <w:rPr>
                <w:rFonts w:hint="eastAsia" w:ascii="宋体" w:hAnsi="宋体" w:eastAsia="宋体" w:cs="宋体"/>
                <w:i w:val="0"/>
                <w:iCs w:val="0"/>
                <w:color w:val="000000"/>
                <w:sz w:val="21"/>
                <w:szCs w:val="21"/>
                <w:highlight w:val="none"/>
                <w:u w:val="none"/>
                <w:lang w:val="en-US" w:eastAsia="zh-CN" w:bidi="ar-SA"/>
              </w:rPr>
              <w:t>在线书城支持图书馆自主建立图书书单推荐，重点书单在首页推荐，并可浏览所有推荐书单，推荐详情中展示专题图书的介绍，并可查看详情下载图书。</w:t>
            </w:r>
          </w:p>
          <w:p w14:paraId="30D6A89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14）</w:t>
            </w:r>
            <w:r>
              <w:rPr>
                <w:rFonts w:hint="eastAsia" w:ascii="宋体" w:hAnsi="宋体" w:eastAsia="宋体" w:cs="宋体"/>
                <w:i w:val="0"/>
                <w:iCs w:val="0"/>
                <w:color w:val="000000"/>
                <w:sz w:val="21"/>
                <w:szCs w:val="21"/>
                <w:highlight w:val="none"/>
                <w:u w:val="none"/>
                <w:lang w:val="en-US" w:eastAsia="zh-CN" w:bidi="ar-SA"/>
              </w:rPr>
              <w:t>支持后台对图书进行分类定制，支持上传自有图书，支持创建分类并将上传的图书放入不同分类管理，并将图书发布到在线书城，供读者下载阅读。</w:t>
            </w:r>
          </w:p>
          <w:p w14:paraId="54787F7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15）</w:t>
            </w:r>
            <w:r>
              <w:rPr>
                <w:rFonts w:hint="eastAsia" w:ascii="宋体" w:hAnsi="宋体" w:eastAsia="宋体" w:cs="宋体"/>
                <w:i w:val="0"/>
                <w:iCs w:val="0"/>
                <w:color w:val="000000"/>
                <w:sz w:val="21"/>
                <w:szCs w:val="21"/>
                <w:highlight w:val="none"/>
                <w:u w:val="none"/>
                <w:lang w:val="en-US" w:eastAsia="zh-CN" w:bidi="ar-SA"/>
              </w:rPr>
              <w:t>支持后台批量推送图书，将选定的图书或文件夹实时推送到阅读器上供读者阅读。</w:t>
            </w:r>
          </w:p>
          <w:p w14:paraId="2A7535E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16）</w:t>
            </w:r>
            <w:r>
              <w:rPr>
                <w:rFonts w:hint="eastAsia" w:ascii="宋体" w:hAnsi="宋体" w:eastAsia="宋体" w:cs="宋体"/>
                <w:i w:val="0"/>
                <w:iCs w:val="0"/>
                <w:color w:val="000000"/>
                <w:sz w:val="21"/>
                <w:szCs w:val="21"/>
                <w:highlight w:val="none"/>
                <w:u w:val="none"/>
                <w:lang w:val="en-US" w:eastAsia="zh-CN" w:bidi="ar-SA"/>
              </w:rPr>
              <w:t>可使用手机端扫描阅读器上二维码登录个人账号，历史阅读记录加入书架，读者可对图书进行整理，建立分类文件夹、移动删除图书，书架图书与阅读进度保存在云端，更换阅读器再次扫码即可自动同步。</w:t>
            </w:r>
          </w:p>
          <w:p w14:paraId="2CC1761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17）</w:t>
            </w:r>
            <w:r>
              <w:rPr>
                <w:rFonts w:hint="eastAsia" w:ascii="宋体" w:hAnsi="宋体" w:eastAsia="宋体" w:cs="宋体"/>
                <w:i w:val="0"/>
                <w:iCs w:val="0"/>
                <w:color w:val="000000"/>
                <w:sz w:val="21"/>
                <w:szCs w:val="21"/>
                <w:highlight w:val="none"/>
                <w:u w:val="none"/>
                <w:lang w:val="en-US" w:eastAsia="zh-CN" w:bidi="ar-SA"/>
              </w:rPr>
              <w:t>手机客户端提供个人阅读报告，统计累计阅读时长、已读图书、最近阅读时长与图书，并可对阅读分类、阅读时长、阅读时段进行分析统计。</w:t>
            </w:r>
          </w:p>
          <w:p w14:paraId="50BAD91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18）</w:t>
            </w:r>
            <w:r>
              <w:rPr>
                <w:rFonts w:hint="eastAsia" w:ascii="宋体" w:hAnsi="宋体" w:eastAsia="宋体" w:cs="宋体"/>
                <w:i w:val="0"/>
                <w:iCs w:val="0"/>
                <w:color w:val="000000"/>
                <w:sz w:val="21"/>
                <w:szCs w:val="21"/>
                <w:highlight w:val="none"/>
                <w:u w:val="none"/>
                <w:lang w:val="en-US" w:eastAsia="zh-CN" w:bidi="ar-SA"/>
              </w:rPr>
              <w:t>提供内容制作工作工具，可在手机或电脑上新建笔记，编辑笔记界面支持自定义排版，编辑过程支持AI智能审校，对输入内容可检测拼写错误、标点错误、敏感内容，支持一键校正修改，并将编辑的笔记通过手机发送到阅读本上进行阅读。</w:t>
            </w:r>
          </w:p>
          <w:p w14:paraId="5AD4AF7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19）</w:t>
            </w:r>
            <w:r>
              <w:rPr>
                <w:rFonts w:hint="eastAsia" w:ascii="宋体" w:hAnsi="宋体" w:eastAsia="宋体" w:cs="宋体"/>
                <w:i w:val="0"/>
                <w:iCs w:val="0"/>
                <w:color w:val="000000"/>
                <w:sz w:val="21"/>
                <w:szCs w:val="21"/>
                <w:highlight w:val="none"/>
                <w:u w:val="none"/>
                <w:lang w:val="en-US" w:eastAsia="zh-CN" w:bidi="ar-SA"/>
              </w:rPr>
              <w:t>提供语音朗读听书功能，提供离线朗读与在线朗读模式，两种模式下均可设置定时时长，调整音量大小、设定阅读速率。</w:t>
            </w:r>
          </w:p>
          <w:p w14:paraId="7BB5022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20）</w:t>
            </w:r>
            <w:r>
              <w:rPr>
                <w:rFonts w:hint="eastAsia" w:ascii="宋体" w:hAnsi="宋体" w:eastAsia="宋体" w:cs="宋体"/>
                <w:i w:val="0"/>
                <w:iCs w:val="0"/>
                <w:color w:val="000000"/>
                <w:sz w:val="21"/>
                <w:szCs w:val="21"/>
                <w:highlight w:val="none"/>
                <w:u w:val="none"/>
                <w:lang w:val="en-US" w:eastAsia="zh-CN" w:bidi="ar-SA"/>
              </w:rPr>
              <w:t>支持图书与期刊文件的自定义排版，内置不少于6种版权字体，可切换字体，调整字体大小、粗细，调整页面行间距与页边距。</w:t>
            </w:r>
          </w:p>
          <w:p w14:paraId="69130D6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r>
              <w:rPr>
                <w:rFonts w:hint="eastAsia" w:ascii="宋体" w:hAnsi="宋体" w:eastAsia="宋体" w:cs="宋体"/>
                <w:i w:val="0"/>
                <w:iCs w:val="0"/>
                <w:color w:val="000000"/>
                <w:sz w:val="21"/>
                <w:szCs w:val="21"/>
                <w:highlight w:val="none"/>
                <w:u w:val="none"/>
                <w:lang w:val="en-US" w:eastAsia="zh-CN" w:bidi="ar-SA"/>
              </w:rPr>
              <w:t>提供首页定制功能，可通过管理后台自定义配置设备首页模块内容，支持配置轮播图并设置轮播间隔时长，支持在首页配置模块并在模块内配置应用，可配置功能应用、资源应用与其他应用，支持配置链接与apk作为其他应用，其中链接应用配置时可设置名称、图标、URL、缩放比例、设置对比度增强、操作按钮、底部控制栏，apk应用配置时可设置名称、图标，上传安装包、设置对比度增强。</w:t>
            </w:r>
          </w:p>
          <w:p w14:paraId="0A9C6C5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w:t>
            </w:r>
            <w:r>
              <w:rPr>
                <w:rFonts w:hint="eastAsia" w:ascii="宋体" w:hAnsi="宋体" w:eastAsia="宋体" w:cs="宋体"/>
                <w:i w:val="0"/>
                <w:iCs w:val="0"/>
                <w:color w:val="000000"/>
                <w:sz w:val="21"/>
                <w:szCs w:val="21"/>
                <w:highlight w:val="none"/>
                <w:u w:val="none"/>
                <w:lang w:val="en-US" w:eastAsia="zh-CN" w:bidi="ar-SA"/>
              </w:rPr>
              <w:t>支持在设备上查看学生阅读报告，通过报告可查阅学生阅读等级、登录次数、阅读图书数、阅读时长等阅读行为统计，阅读总字数、有效阅读量、作品、记录等阅读计划统计，个人与班级平均、课标的有效阅读字数对比，查阅历史各阅读能力等级的字词掌握、想象拓展、反思评价、欣赏共情、归纳推理、信息提取的能力分布图。</w:t>
            </w:r>
            <w:r>
              <w:rPr>
                <w:rFonts w:hint="eastAsia" w:ascii="宋体" w:hAnsi="宋体" w:cs="宋体"/>
                <w:i w:val="0"/>
                <w:iCs w:val="0"/>
                <w:color w:val="000000"/>
                <w:sz w:val="21"/>
                <w:szCs w:val="21"/>
                <w:highlight w:val="none"/>
                <w:u w:val="none"/>
                <w:lang w:val="en-US" w:eastAsia="zh-CN" w:bidi="ar-SA"/>
              </w:rPr>
              <w:t>（投标文件中</w:t>
            </w:r>
            <w:r>
              <w:rPr>
                <w:rFonts w:hint="eastAsia" w:ascii="宋体" w:hAnsi="宋体" w:eastAsia="宋体" w:cs="宋体"/>
                <w:i w:val="0"/>
                <w:iCs w:val="0"/>
                <w:color w:val="000000"/>
                <w:sz w:val="21"/>
                <w:szCs w:val="21"/>
                <w:highlight w:val="none"/>
                <w:u w:val="none"/>
                <w:lang w:val="en-US" w:eastAsia="zh-CN" w:bidi="ar-SA"/>
              </w:rPr>
              <w:t>提供</w:t>
            </w:r>
            <w:r>
              <w:rPr>
                <w:rFonts w:hint="eastAsia" w:ascii="宋体" w:hAnsi="宋体" w:cs="宋体"/>
                <w:i w:val="0"/>
                <w:iCs w:val="0"/>
                <w:color w:val="000000"/>
                <w:sz w:val="21"/>
                <w:szCs w:val="21"/>
                <w:highlight w:val="none"/>
                <w:u w:val="none"/>
                <w:lang w:val="en-US" w:eastAsia="zh-CN" w:bidi="ar-SA"/>
              </w:rPr>
              <w:t>功能</w:t>
            </w:r>
            <w:r>
              <w:rPr>
                <w:rFonts w:hint="eastAsia" w:ascii="宋体" w:hAnsi="宋体" w:eastAsia="宋体" w:cs="宋体"/>
                <w:i w:val="0"/>
                <w:iCs w:val="0"/>
                <w:color w:val="000000"/>
                <w:sz w:val="21"/>
                <w:szCs w:val="21"/>
                <w:highlight w:val="none"/>
                <w:u w:val="none"/>
                <w:lang w:val="en-US" w:eastAsia="zh-CN" w:bidi="ar-SA"/>
              </w:rPr>
              <w:t>截图证明材料）</w:t>
            </w:r>
          </w:p>
        </w:tc>
        <w:tc>
          <w:tcPr>
            <w:tcW w:w="893" w:type="pct"/>
          </w:tcPr>
          <w:p w14:paraId="49B68E8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610" w:type="pct"/>
          </w:tcPr>
          <w:p w14:paraId="0588284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2E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C7C936F">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（九）</w:t>
            </w:r>
          </w:p>
        </w:tc>
        <w:tc>
          <w:tcPr>
            <w:tcW w:w="2977" w:type="pct"/>
            <w:shd w:val="clear" w:color="auto" w:fill="auto"/>
            <w:vAlign w:val="center"/>
          </w:tcPr>
          <w:p w14:paraId="5C05B65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支架</w:t>
            </w:r>
          </w:p>
        </w:tc>
        <w:tc>
          <w:tcPr>
            <w:tcW w:w="893" w:type="pct"/>
          </w:tcPr>
          <w:p w14:paraId="7D12EE1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50个</w:t>
            </w:r>
          </w:p>
        </w:tc>
        <w:tc>
          <w:tcPr>
            <w:tcW w:w="0" w:type="auto"/>
          </w:tcPr>
          <w:p w14:paraId="4502F56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B20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E246AEB">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shd w:val="clear" w:color="auto" w:fill="auto"/>
            <w:vAlign w:val="center"/>
          </w:tcPr>
          <w:p w14:paraId="1DF11A9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1、颜色: 黑色</w:t>
            </w:r>
          </w:p>
        </w:tc>
        <w:tc>
          <w:tcPr>
            <w:tcW w:w="893" w:type="pct"/>
          </w:tcPr>
          <w:p w14:paraId="028B46C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2471A01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621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FF0E299">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center"/>
          </w:tcPr>
          <w:p w14:paraId="69B589C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2、适用设备尺寸范围: 4-11寸手机平板</w:t>
            </w:r>
          </w:p>
        </w:tc>
        <w:tc>
          <w:tcPr>
            <w:tcW w:w="893" w:type="pct"/>
          </w:tcPr>
          <w:p w14:paraId="2DF4054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1C84A6A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855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AE980A8">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w:t>
            </w:r>
          </w:p>
        </w:tc>
        <w:tc>
          <w:tcPr>
            <w:tcW w:w="2977" w:type="pct"/>
            <w:shd w:val="clear" w:color="auto" w:fill="auto"/>
            <w:vAlign w:val="center"/>
          </w:tcPr>
          <w:p w14:paraId="609FA0E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3、适用场景: 桌面 床头 户外运动 便携</w:t>
            </w:r>
          </w:p>
        </w:tc>
        <w:tc>
          <w:tcPr>
            <w:tcW w:w="893" w:type="pct"/>
          </w:tcPr>
          <w:p w14:paraId="63DD000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514657E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0C6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6355F47">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4</w:t>
            </w:r>
          </w:p>
        </w:tc>
        <w:tc>
          <w:tcPr>
            <w:tcW w:w="2977" w:type="pct"/>
            <w:shd w:val="clear" w:color="auto" w:fill="auto"/>
            <w:vAlign w:val="center"/>
          </w:tcPr>
          <w:p w14:paraId="526A356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4、固定方式: 台式</w:t>
            </w:r>
          </w:p>
        </w:tc>
        <w:tc>
          <w:tcPr>
            <w:tcW w:w="893" w:type="pct"/>
          </w:tcPr>
          <w:p w14:paraId="074AFF2F">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4028A9F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29E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182EB93">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5</w:t>
            </w:r>
          </w:p>
        </w:tc>
        <w:tc>
          <w:tcPr>
            <w:tcW w:w="2977" w:type="pct"/>
            <w:shd w:val="clear" w:color="auto" w:fill="auto"/>
            <w:vAlign w:val="center"/>
          </w:tcPr>
          <w:p w14:paraId="27DCE8C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5、最长长度: 145mm</w:t>
            </w:r>
          </w:p>
        </w:tc>
        <w:tc>
          <w:tcPr>
            <w:tcW w:w="893" w:type="pct"/>
          </w:tcPr>
          <w:p w14:paraId="580D35A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537C5694">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3966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215A808">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6</w:t>
            </w:r>
          </w:p>
        </w:tc>
        <w:tc>
          <w:tcPr>
            <w:tcW w:w="2977" w:type="pct"/>
            <w:shd w:val="clear" w:color="auto" w:fill="auto"/>
            <w:vAlign w:val="center"/>
          </w:tcPr>
          <w:p w14:paraId="65FD12C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、最大旋转度数: 360度</w:t>
            </w:r>
          </w:p>
        </w:tc>
        <w:tc>
          <w:tcPr>
            <w:tcW w:w="893" w:type="pct"/>
          </w:tcPr>
          <w:p w14:paraId="17EE176B">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64CE83C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672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D79EEDC">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（十）</w:t>
            </w:r>
          </w:p>
        </w:tc>
        <w:tc>
          <w:tcPr>
            <w:tcW w:w="2977" w:type="pct"/>
            <w:shd w:val="clear" w:color="auto" w:fill="auto"/>
            <w:vAlign w:val="center"/>
          </w:tcPr>
          <w:p w14:paraId="11FD18B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充电柜</w:t>
            </w:r>
          </w:p>
        </w:tc>
        <w:tc>
          <w:tcPr>
            <w:tcW w:w="893" w:type="pct"/>
          </w:tcPr>
          <w:p w14:paraId="3DE059C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1台</w:t>
            </w:r>
          </w:p>
        </w:tc>
        <w:tc>
          <w:tcPr>
            <w:tcW w:w="0" w:type="auto"/>
          </w:tcPr>
          <w:p w14:paraId="59657BF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F71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52DB4FF">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shd w:val="clear" w:color="auto" w:fill="auto"/>
            <w:vAlign w:val="center"/>
          </w:tcPr>
          <w:p w14:paraId="0AC8EF8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充电工位</w:t>
            </w:r>
            <w:r>
              <w:rPr>
                <w:rFonts w:hint="eastAsia" w:ascii="宋体" w:hAnsi="宋体" w:cs="宋体"/>
                <w:i w:val="0"/>
                <w:iCs w:val="0"/>
                <w:color w:val="000000"/>
                <w:kern w:val="0"/>
                <w:sz w:val="21"/>
                <w:szCs w:val="21"/>
                <w:highlight w:val="none"/>
                <w:u w:val="none"/>
                <w:lang w:val="en-US" w:eastAsia="zh-CN" w:bidi="ar"/>
              </w:rPr>
              <w:t>不少于50</w:t>
            </w:r>
            <w:r>
              <w:rPr>
                <w:rFonts w:hint="eastAsia" w:ascii="宋体" w:hAnsi="宋体" w:eastAsia="宋体" w:cs="宋体"/>
                <w:i w:val="0"/>
                <w:iCs w:val="0"/>
                <w:color w:val="000000"/>
                <w:kern w:val="0"/>
                <w:sz w:val="21"/>
                <w:szCs w:val="21"/>
                <w:highlight w:val="none"/>
                <w:u w:val="none"/>
                <w:lang w:val="en-US" w:eastAsia="zh-CN" w:bidi="ar"/>
              </w:rPr>
              <w:t>台，具有移动、管理、储存、前置每层16个USB充电5V2.4A直流快速充电口，免适配器，配长度230mm过3A标准type-c数据线，避免长乱繁琐；</w:t>
            </w:r>
          </w:p>
        </w:tc>
        <w:tc>
          <w:tcPr>
            <w:tcW w:w="893" w:type="pct"/>
          </w:tcPr>
          <w:p w14:paraId="258FB06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11298BE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D56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4424D4">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center"/>
          </w:tcPr>
          <w:p w14:paraId="3C974DB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前门是防盗机械锁单开门；前舱为ABS隔板平板存放充电、LED充电状态指示，工位隔板采用钢板或防火级 ABS 材料, ABS 材料壁厚不小于2.8mm</w:t>
            </w:r>
          </w:p>
        </w:tc>
        <w:tc>
          <w:tcPr>
            <w:tcW w:w="893" w:type="pct"/>
          </w:tcPr>
          <w:p w14:paraId="75E8454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6FEB4A32">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0B51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FD2B100">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w:t>
            </w:r>
          </w:p>
        </w:tc>
        <w:tc>
          <w:tcPr>
            <w:tcW w:w="2977" w:type="pct"/>
            <w:shd w:val="clear" w:color="auto" w:fill="auto"/>
            <w:vAlign w:val="center"/>
          </w:tcPr>
          <w:p w14:paraId="27464A4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二层设计；每个USB充电端口有对应数字标号，一目了然，对号入座，且每口单独具备智能LED红绿转灯功能；红灯：充电状态中 ，绿灯：充满/未连接。</w:t>
            </w:r>
          </w:p>
        </w:tc>
        <w:tc>
          <w:tcPr>
            <w:tcW w:w="893" w:type="pct"/>
          </w:tcPr>
          <w:p w14:paraId="1ADF2A9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31A2A40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7DC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B55C1BA">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4</w:t>
            </w:r>
          </w:p>
        </w:tc>
        <w:tc>
          <w:tcPr>
            <w:tcW w:w="2977" w:type="pct"/>
            <w:shd w:val="clear" w:color="auto" w:fill="auto"/>
            <w:vAlign w:val="center"/>
          </w:tcPr>
          <w:p w14:paraId="1887C5E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智能识别IC芯片，能智能充电识别设备并分配所需电流,每路均有过流、过载、短路、漏电保护，每口采用独立供电，稳定、高效，充电完毕后,自动断电,不用设置充电时间,减少操作工作及操作失误。</w:t>
            </w:r>
          </w:p>
        </w:tc>
        <w:tc>
          <w:tcPr>
            <w:tcW w:w="893" w:type="pct"/>
          </w:tcPr>
          <w:p w14:paraId="1F346FD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0686D3F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60D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6F06A1D">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5</w:t>
            </w:r>
          </w:p>
        </w:tc>
        <w:tc>
          <w:tcPr>
            <w:tcW w:w="2977" w:type="pct"/>
            <w:shd w:val="clear" w:color="auto" w:fill="auto"/>
            <w:vAlign w:val="center"/>
          </w:tcPr>
          <w:p w14:paraId="680485D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配备4个</w:t>
            </w:r>
            <w:r>
              <w:rPr>
                <w:rFonts w:hint="eastAsia" w:ascii="宋体" w:hAnsi="宋体" w:cs="宋体"/>
                <w:i w:val="0"/>
                <w:iCs w:val="0"/>
                <w:color w:val="000000"/>
                <w:kern w:val="0"/>
                <w:sz w:val="21"/>
                <w:szCs w:val="21"/>
                <w:highlight w:val="none"/>
                <w:u w:val="none"/>
                <w:lang w:val="en-US" w:eastAsia="zh-CN" w:bidi="ar"/>
              </w:rPr>
              <w:t>不低于</w:t>
            </w:r>
            <w:r>
              <w:rPr>
                <w:rFonts w:hint="eastAsia" w:ascii="宋体" w:hAnsi="宋体" w:eastAsia="宋体" w:cs="宋体"/>
                <w:i w:val="0"/>
                <w:iCs w:val="0"/>
                <w:color w:val="000000"/>
                <w:kern w:val="0"/>
                <w:sz w:val="21"/>
                <w:szCs w:val="21"/>
                <w:highlight w:val="none"/>
                <w:u w:val="none"/>
                <w:lang w:val="en-US" w:eastAsia="zh-CN" w:bidi="ar"/>
              </w:rPr>
              <w:t>2.5寸万向轮（2个带刹），双侧各有ABS工程提手，顶盖边角圆弧(≥R10)设计,四角加装凸高20mm软塑防撞角，全方位安全防护；具有抗静电和防划伤，具备温控感应双降温风扇，当移动充电柜内温度低于25度</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时，散热系统处于睡眠，当机箱温度在上升时，散热风扇启动智能无级散热系统（Ai）；</w:t>
            </w:r>
          </w:p>
        </w:tc>
        <w:tc>
          <w:tcPr>
            <w:tcW w:w="893" w:type="pct"/>
          </w:tcPr>
          <w:p w14:paraId="70DBDFC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5EA22BC5">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D8E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5459EB0">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6</w:t>
            </w:r>
          </w:p>
        </w:tc>
        <w:tc>
          <w:tcPr>
            <w:tcW w:w="2977" w:type="pct"/>
            <w:shd w:val="clear" w:color="auto" w:fill="auto"/>
            <w:vAlign w:val="center"/>
          </w:tcPr>
          <w:p w14:paraId="3D54526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柜后配有≥1路备用电源接口，便于连接其他设备；主动式 PEC开关电源供电，节约能源；输入宽频交流电110V-240V，国际通用，柜内置十重安全保护①雷击保护②浪涌保护③过载保护④漏电保护⑤隔离保护⑥过流保护⑦过压保护⑧短路保护⑨过充保护⑩灌流保护；</w:t>
            </w:r>
          </w:p>
        </w:tc>
        <w:tc>
          <w:tcPr>
            <w:tcW w:w="893" w:type="pct"/>
          </w:tcPr>
          <w:p w14:paraId="60AFA340">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6CD063C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F21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EB18970">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（十一）</w:t>
            </w:r>
          </w:p>
        </w:tc>
        <w:tc>
          <w:tcPr>
            <w:tcW w:w="2977" w:type="pct"/>
            <w:shd w:val="clear" w:color="auto" w:fill="auto"/>
            <w:vAlign w:val="center"/>
          </w:tcPr>
          <w:p w14:paraId="25C9E9C4">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校园文化部分</w:t>
            </w:r>
          </w:p>
        </w:tc>
        <w:tc>
          <w:tcPr>
            <w:tcW w:w="893" w:type="pct"/>
            <w:vAlign w:val="center"/>
          </w:tcPr>
          <w:p w14:paraId="0817038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c>
          <w:tcPr>
            <w:tcW w:w="0" w:type="auto"/>
          </w:tcPr>
          <w:p w14:paraId="0A2EE3A9">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407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3677633">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1</w:t>
            </w:r>
          </w:p>
        </w:tc>
        <w:tc>
          <w:tcPr>
            <w:tcW w:w="2977" w:type="pct"/>
            <w:shd w:val="clear" w:color="auto" w:fill="auto"/>
            <w:vAlign w:val="center"/>
          </w:tcPr>
          <w:p w14:paraId="51627BB9">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楼梯处墙面</w:t>
            </w:r>
          </w:p>
        </w:tc>
        <w:tc>
          <w:tcPr>
            <w:tcW w:w="893" w:type="pct"/>
            <w:vAlign w:val="center"/>
          </w:tcPr>
          <w:p w14:paraId="014EC7B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1项</w:t>
            </w:r>
          </w:p>
        </w:tc>
        <w:tc>
          <w:tcPr>
            <w:tcW w:w="0" w:type="auto"/>
          </w:tcPr>
          <w:p w14:paraId="1E56C623">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83D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18B1429">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2</w:t>
            </w:r>
          </w:p>
        </w:tc>
        <w:tc>
          <w:tcPr>
            <w:tcW w:w="2977" w:type="pct"/>
            <w:shd w:val="clear" w:color="auto" w:fill="auto"/>
            <w:vAlign w:val="center"/>
          </w:tcPr>
          <w:p w14:paraId="0E00296F">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扶手拆除：含地面打磨焊接点</w:t>
            </w:r>
          </w:p>
        </w:tc>
        <w:tc>
          <w:tcPr>
            <w:tcW w:w="893" w:type="pct"/>
            <w:vAlign w:val="center"/>
          </w:tcPr>
          <w:p w14:paraId="79F7FE5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1项</w:t>
            </w:r>
          </w:p>
        </w:tc>
        <w:tc>
          <w:tcPr>
            <w:tcW w:w="0" w:type="auto"/>
          </w:tcPr>
          <w:p w14:paraId="3D13FB5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7ADC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FD79AA">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3</w:t>
            </w:r>
          </w:p>
        </w:tc>
        <w:tc>
          <w:tcPr>
            <w:tcW w:w="2977" w:type="pct"/>
            <w:shd w:val="clear" w:color="auto" w:fill="auto"/>
            <w:vAlign w:val="center"/>
          </w:tcPr>
          <w:p w14:paraId="273F1404">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实木梯步：主材+亮化系统+台阶面修复等</w:t>
            </w:r>
          </w:p>
        </w:tc>
        <w:tc>
          <w:tcPr>
            <w:tcW w:w="893" w:type="pct"/>
            <w:vAlign w:val="center"/>
          </w:tcPr>
          <w:p w14:paraId="0756D82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36m</w:t>
            </w:r>
          </w:p>
        </w:tc>
        <w:tc>
          <w:tcPr>
            <w:tcW w:w="0" w:type="auto"/>
          </w:tcPr>
          <w:p w14:paraId="375F61C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436D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B9B0EC7">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4</w:t>
            </w:r>
          </w:p>
        </w:tc>
        <w:tc>
          <w:tcPr>
            <w:tcW w:w="2977" w:type="pct"/>
            <w:shd w:val="clear" w:color="auto" w:fill="auto"/>
            <w:vAlign w:val="center"/>
          </w:tcPr>
          <w:p w14:paraId="32B834B2">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实木扶手：原木+8MM钢化玻璃配件固定+安装</w:t>
            </w:r>
          </w:p>
        </w:tc>
        <w:tc>
          <w:tcPr>
            <w:tcW w:w="893" w:type="pct"/>
            <w:shd w:val="clear" w:color="auto" w:fill="auto"/>
            <w:vAlign w:val="center"/>
          </w:tcPr>
          <w:p w14:paraId="50E2357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22m</w:t>
            </w:r>
          </w:p>
        </w:tc>
        <w:tc>
          <w:tcPr>
            <w:tcW w:w="0" w:type="auto"/>
          </w:tcPr>
          <w:p w14:paraId="5B2C2B88">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459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7F9D9FD">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5</w:t>
            </w:r>
          </w:p>
        </w:tc>
        <w:tc>
          <w:tcPr>
            <w:tcW w:w="2977" w:type="pct"/>
            <w:shd w:val="clear" w:color="auto" w:fill="auto"/>
            <w:vAlign w:val="center"/>
          </w:tcPr>
          <w:p w14:paraId="4C9318C8">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树型书架造型提升：圆形+椭圆形造型定制+环保木器漆+安装</w:t>
            </w:r>
          </w:p>
        </w:tc>
        <w:tc>
          <w:tcPr>
            <w:tcW w:w="893" w:type="pct"/>
            <w:shd w:val="clear" w:color="auto" w:fill="auto"/>
            <w:vAlign w:val="center"/>
          </w:tcPr>
          <w:p w14:paraId="275E0B6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2座</w:t>
            </w:r>
          </w:p>
        </w:tc>
        <w:tc>
          <w:tcPr>
            <w:tcW w:w="0" w:type="auto"/>
          </w:tcPr>
          <w:p w14:paraId="029BEE56">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3B34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CD39073">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6</w:t>
            </w:r>
          </w:p>
        </w:tc>
        <w:tc>
          <w:tcPr>
            <w:tcW w:w="2977" w:type="pct"/>
            <w:shd w:val="clear" w:color="auto" w:fill="auto"/>
            <w:vAlign w:val="center"/>
          </w:tcPr>
          <w:p w14:paraId="7D79D028">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壁挂意境微喷纱幔：规格约800*2800，主材+附件+安装</w:t>
            </w:r>
          </w:p>
        </w:tc>
        <w:tc>
          <w:tcPr>
            <w:tcW w:w="893" w:type="pct"/>
            <w:shd w:val="clear" w:color="auto" w:fill="auto"/>
            <w:vAlign w:val="center"/>
          </w:tcPr>
          <w:p w14:paraId="4B63BC8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4条</w:t>
            </w:r>
          </w:p>
        </w:tc>
        <w:tc>
          <w:tcPr>
            <w:tcW w:w="0" w:type="auto"/>
          </w:tcPr>
          <w:p w14:paraId="089D372E">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5CFC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033930E">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7</w:t>
            </w:r>
          </w:p>
        </w:tc>
        <w:tc>
          <w:tcPr>
            <w:tcW w:w="2977" w:type="pct"/>
            <w:shd w:val="clear" w:color="auto" w:fill="auto"/>
            <w:vAlign w:val="center"/>
          </w:tcPr>
          <w:p w14:paraId="328AF144">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读书标语发光灯牌：亚克力激光雕刻吊灯</w:t>
            </w:r>
          </w:p>
        </w:tc>
        <w:tc>
          <w:tcPr>
            <w:tcW w:w="893" w:type="pct"/>
            <w:shd w:val="clear" w:color="auto" w:fill="auto"/>
            <w:vAlign w:val="center"/>
          </w:tcPr>
          <w:p w14:paraId="5EAD7F0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7条</w:t>
            </w:r>
          </w:p>
        </w:tc>
        <w:tc>
          <w:tcPr>
            <w:tcW w:w="0" w:type="auto"/>
          </w:tcPr>
          <w:p w14:paraId="63A8B20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1C86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1783F1">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8</w:t>
            </w:r>
          </w:p>
        </w:tc>
        <w:tc>
          <w:tcPr>
            <w:tcW w:w="2977" w:type="pct"/>
            <w:shd w:val="clear" w:color="auto" w:fill="auto"/>
            <w:vAlign w:val="center"/>
          </w:tcPr>
          <w:p w14:paraId="2870EAE0">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党员读书空间墙布：主材+附件+安装</w:t>
            </w:r>
          </w:p>
        </w:tc>
        <w:tc>
          <w:tcPr>
            <w:tcW w:w="893" w:type="pct"/>
            <w:shd w:val="clear" w:color="auto" w:fill="auto"/>
            <w:vAlign w:val="center"/>
          </w:tcPr>
          <w:p w14:paraId="30B1CF3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30m2</w:t>
            </w:r>
          </w:p>
        </w:tc>
        <w:tc>
          <w:tcPr>
            <w:tcW w:w="0" w:type="auto"/>
          </w:tcPr>
          <w:p w14:paraId="02F6CB07">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r w14:paraId="2248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DC0E865">
            <w:pPr>
              <w:keepNext w:val="0"/>
              <w:keepLines w:val="0"/>
              <w:pageBreakBefore w:val="0"/>
              <w:kinsoku/>
              <w:wordWrap/>
              <w:overflowPunct/>
              <w:topLinePunct w:val="0"/>
              <w:autoSpaceDE/>
              <w:autoSpaceDN/>
              <w:bidi w:val="0"/>
              <w:adjustRightInd w:val="0"/>
              <w:snapToGrid/>
              <w:spacing w:line="240" w:lineRule="auto"/>
              <w:jc w:val="center"/>
              <w:rPr>
                <w:rFonts w:hint="default" w:cs="Times New Roman" w:eastAsiaTheme="minorEastAsia"/>
                <w:b/>
                <w:bCs/>
                <w:color w:val="auto"/>
                <w:sz w:val="21"/>
                <w:szCs w:val="21"/>
                <w:highlight w:val="none"/>
                <w:vertAlign w:val="baseline"/>
                <w:lang w:val="en-US" w:eastAsia="zh-CN"/>
              </w:rPr>
            </w:pPr>
            <w:r>
              <w:rPr>
                <w:rFonts w:hint="eastAsia" w:cs="Times New Roman" w:eastAsiaTheme="minorEastAsia"/>
                <w:b/>
                <w:bCs/>
                <w:color w:val="auto"/>
                <w:sz w:val="21"/>
                <w:szCs w:val="21"/>
                <w:highlight w:val="none"/>
                <w:vertAlign w:val="baseline"/>
                <w:lang w:val="en-US" w:eastAsia="zh-CN"/>
              </w:rPr>
              <w:t>9</w:t>
            </w:r>
          </w:p>
        </w:tc>
        <w:tc>
          <w:tcPr>
            <w:tcW w:w="2977" w:type="pct"/>
            <w:shd w:val="clear" w:color="auto" w:fill="auto"/>
            <w:vAlign w:val="center"/>
          </w:tcPr>
          <w:p w14:paraId="47731E74">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图书馆墙面洞洞板安装</w:t>
            </w:r>
          </w:p>
        </w:tc>
        <w:tc>
          <w:tcPr>
            <w:tcW w:w="893" w:type="pct"/>
            <w:vAlign w:val="center"/>
          </w:tcPr>
          <w:p w14:paraId="1E04792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0" w:type="auto"/>
          </w:tcPr>
          <w:p w14:paraId="4CFCFB4A">
            <w:pPr>
              <w:keepNext w:val="0"/>
              <w:keepLines w:val="0"/>
              <w:pageBreakBefore w:val="0"/>
              <w:kinsoku/>
              <w:wordWrap/>
              <w:overflowPunct/>
              <w:topLinePunct w:val="0"/>
              <w:autoSpaceDE/>
              <w:autoSpaceDN/>
              <w:bidi w:val="0"/>
              <w:adjustRightInd w:val="0"/>
              <w:snapToGrid/>
              <w:spacing w:line="240" w:lineRule="auto"/>
              <w:jc w:val="center"/>
              <w:rPr>
                <w:rFonts w:hint="eastAsia" w:eastAsiaTheme="minorEastAsia"/>
                <w:b/>
                <w:bCs/>
                <w:color w:val="auto"/>
                <w:sz w:val="21"/>
                <w:szCs w:val="21"/>
                <w:highlight w:val="none"/>
                <w:vertAlign w:val="baseline"/>
                <w:lang w:val="en-US" w:eastAsia="zh-CN"/>
              </w:rPr>
            </w:pPr>
          </w:p>
        </w:tc>
      </w:tr>
    </w:tbl>
    <w:p w14:paraId="4AA4821E">
      <w:pPr>
        <w:rPr>
          <w:rFonts w:hint="eastAsia" w:eastAsiaTheme="minorEastAsia"/>
          <w:b/>
          <w:bCs/>
          <w:color w:val="auto"/>
          <w:highlight w:val="none"/>
          <w:lang w:val="en-US" w:eastAsia="zh-CN"/>
        </w:rPr>
      </w:pPr>
    </w:p>
    <w:p w14:paraId="1C4B1C77">
      <w:pPr>
        <w:rPr>
          <w:rFonts w:hint="eastAsia" w:ascii="宋体" w:hAnsi="宋体" w:cs="宋体"/>
          <w:b/>
          <w:bCs/>
          <w:i w:val="0"/>
          <w:iCs w:val="0"/>
          <w:color w:val="auto"/>
          <w:kern w:val="0"/>
          <w:sz w:val="28"/>
          <w:szCs w:val="28"/>
          <w:highlight w:val="none"/>
          <w:u w:val="none"/>
          <w:lang w:val="en-US" w:eastAsia="zh-CN" w:bidi="ar"/>
        </w:rPr>
      </w:pPr>
    </w:p>
    <w:p w14:paraId="0D0445CD">
      <w:pPr>
        <w:rPr>
          <w:rFonts w:hint="default" w:ascii="宋体" w:hAnsi="宋体" w:eastAsia="宋体" w:cs="宋体"/>
          <w:b/>
          <w:bCs/>
          <w:i w:val="0"/>
          <w:iCs w:val="0"/>
          <w:color w:val="auto"/>
          <w:kern w:val="0"/>
          <w:sz w:val="28"/>
          <w:szCs w:val="28"/>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二、其它要求</w:t>
      </w:r>
    </w:p>
    <w:tbl>
      <w:tblPr>
        <w:tblStyle w:val="41"/>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0"/>
        <w:gridCol w:w="6639"/>
        <w:gridCol w:w="1620"/>
      </w:tblGrid>
      <w:tr w14:paraId="790E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375" w:type="pct"/>
            <w:shd w:val="clear" w:color="auto" w:fill="auto"/>
            <w:vAlign w:val="center"/>
          </w:tcPr>
          <w:p w14:paraId="102218C5">
            <w:pPr>
              <w:spacing w:line="36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序号</w:t>
            </w:r>
          </w:p>
        </w:tc>
        <w:tc>
          <w:tcPr>
            <w:tcW w:w="3716" w:type="pct"/>
            <w:shd w:val="clear" w:color="auto" w:fill="auto"/>
            <w:vAlign w:val="center"/>
          </w:tcPr>
          <w:p w14:paraId="56EEE9A4">
            <w:pPr>
              <w:spacing w:line="360" w:lineRule="auto"/>
              <w:jc w:val="center"/>
              <w:rPr>
                <w:rFonts w:hint="default"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招标要求</w:t>
            </w:r>
          </w:p>
        </w:tc>
        <w:tc>
          <w:tcPr>
            <w:tcW w:w="907" w:type="pct"/>
            <w:shd w:val="clear" w:color="auto" w:fill="auto"/>
            <w:vAlign w:val="center"/>
          </w:tcPr>
          <w:p w14:paraId="59B17E9C">
            <w:pPr>
              <w:spacing w:line="360" w:lineRule="auto"/>
              <w:jc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投标响应</w:t>
            </w:r>
          </w:p>
        </w:tc>
      </w:tr>
      <w:tr w14:paraId="26B7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5" w:type="pct"/>
            <w:shd w:val="clear" w:color="auto" w:fill="auto"/>
            <w:vAlign w:val="center"/>
          </w:tcPr>
          <w:p w14:paraId="0AF4AE60">
            <w:pPr>
              <w:spacing w:line="36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3716" w:type="pct"/>
            <w:shd w:val="clear" w:color="auto" w:fill="auto"/>
            <w:vAlign w:val="center"/>
          </w:tcPr>
          <w:p w14:paraId="616C974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如涉及采购CPU芯片、操作系统、数据库等关键部件应当符合安全可靠测评要求。</w:t>
            </w:r>
          </w:p>
        </w:tc>
        <w:tc>
          <w:tcPr>
            <w:tcW w:w="907" w:type="pct"/>
            <w:shd w:val="clear" w:color="auto" w:fill="auto"/>
            <w:vAlign w:val="center"/>
          </w:tcPr>
          <w:p w14:paraId="2A5ED9DD">
            <w:pPr>
              <w:spacing w:line="360" w:lineRule="auto"/>
              <w:jc w:val="center"/>
              <w:rPr>
                <w:rFonts w:hint="eastAsia" w:ascii="宋体" w:hAnsi="宋体" w:eastAsia="宋体" w:cs="宋体"/>
                <w:b/>
                <w:bCs/>
                <w:i w:val="0"/>
                <w:iCs w:val="0"/>
                <w:color w:val="auto"/>
                <w:sz w:val="21"/>
                <w:szCs w:val="21"/>
                <w:highlight w:val="none"/>
                <w:u w:val="none"/>
              </w:rPr>
            </w:pPr>
          </w:p>
        </w:tc>
      </w:tr>
      <w:tr w14:paraId="6F6C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75" w:type="pct"/>
            <w:shd w:val="clear" w:color="auto" w:fill="auto"/>
            <w:vAlign w:val="center"/>
          </w:tcPr>
          <w:p w14:paraId="1A8A55DB">
            <w:pPr>
              <w:spacing w:line="360" w:lineRule="auto"/>
              <w:jc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3716" w:type="pct"/>
            <w:shd w:val="clear" w:color="auto" w:fill="auto"/>
            <w:vAlign w:val="center"/>
          </w:tcPr>
          <w:p w14:paraId="6F98B9B4">
            <w:pPr>
              <w:spacing w:line="360" w:lineRule="auto"/>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如涉及采购除计算机、服务器、操作系统和数据库以外的信息类产品，产品应当适配通过安全可靠测评的CPU芯片、操作系统、数据库等关键部件。</w:t>
            </w:r>
          </w:p>
        </w:tc>
        <w:tc>
          <w:tcPr>
            <w:tcW w:w="907" w:type="pct"/>
            <w:shd w:val="clear" w:color="auto" w:fill="auto"/>
            <w:vAlign w:val="center"/>
          </w:tcPr>
          <w:p w14:paraId="4AC378B6">
            <w:pPr>
              <w:spacing w:line="360" w:lineRule="auto"/>
              <w:jc w:val="center"/>
              <w:rPr>
                <w:rFonts w:hint="eastAsia" w:ascii="宋体" w:hAnsi="宋体" w:eastAsia="宋体" w:cs="宋体"/>
                <w:b/>
                <w:bCs/>
                <w:i w:val="0"/>
                <w:iCs w:val="0"/>
                <w:color w:val="auto"/>
                <w:sz w:val="21"/>
                <w:szCs w:val="21"/>
                <w:highlight w:val="none"/>
                <w:u w:val="none"/>
              </w:rPr>
            </w:pPr>
          </w:p>
        </w:tc>
      </w:tr>
    </w:tbl>
    <w:p w14:paraId="007AE8D0">
      <w:pPr>
        <w:pStyle w:val="12"/>
        <w:ind w:left="0" w:leftChars="0" w:firstLine="0" w:firstLineChars="0"/>
        <w:rPr>
          <w:rFonts w:hint="eastAsia" w:eastAsia="宋体"/>
          <w:color w:val="auto"/>
          <w:highlight w:val="none"/>
          <w:lang w:val="en-US" w:eastAsia="zh-CN"/>
        </w:rPr>
      </w:pPr>
    </w:p>
    <w:p w14:paraId="1A28266C">
      <w:pPr>
        <w:rPr>
          <w:rFonts w:hint="eastAsia" w:ascii="宋体" w:hAnsi="宋体" w:eastAsia="宋体" w:cs="宋体"/>
          <w:b/>
          <w:bCs/>
          <w:color w:val="auto"/>
          <w:sz w:val="24"/>
          <w:szCs w:val="24"/>
          <w:highlight w:val="none"/>
          <w:lang w:val="en-US" w:eastAsia="zh-CN"/>
        </w:rPr>
        <w:sectPr>
          <w:headerReference r:id="rId11" w:type="default"/>
          <w:footerReference r:id="rId12" w:type="default"/>
          <w:pgSz w:w="11905" w:h="16838"/>
          <w:pgMar w:top="1417" w:right="1587" w:bottom="1417" w:left="1587" w:header="850" w:footer="850"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eastAsia="宋体" w:cs="宋体"/>
          <w:b/>
          <w:bCs/>
          <w:color w:val="auto"/>
          <w:sz w:val="24"/>
          <w:szCs w:val="24"/>
          <w:highlight w:val="none"/>
          <w:lang w:val="en-US" w:eastAsia="zh-CN"/>
        </w:rPr>
        <w:br w:type="page"/>
      </w:r>
    </w:p>
    <w:p w14:paraId="0ACEFB28">
      <w:pPr>
        <w:pStyle w:val="3"/>
        <w:jc w:val="center"/>
        <w:rPr>
          <w:color w:val="auto"/>
          <w:highlight w:val="none"/>
        </w:rPr>
      </w:pPr>
      <w:bookmarkStart w:id="133" w:name="_Toc19511"/>
      <w:r>
        <w:rPr>
          <w:rFonts w:hint="eastAsia"/>
          <w:color w:val="auto"/>
          <w:highlight w:val="none"/>
        </w:rPr>
        <w:t>第五章  评标办法及标准</w:t>
      </w:r>
      <w:bookmarkEnd w:id="133"/>
    </w:p>
    <w:p w14:paraId="432B5CD9">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一、评标办法</w:t>
      </w:r>
    </w:p>
    <w:p w14:paraId="606E71C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1.1本项目评标采用综合评分法。</w:t>
      </w:r>
    </w:p>
    <w:p w14:paraId="2026DD5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1.2综合评分法：采用百分制，总分100分。投标人的综合得分为商务和技术得分与报价得分之和。按综合得分由高到低的排序，推荐</w:t>
      </w:r>
      <w:r>
        <w:rPr>
          <w:rFonts w:hint="eastAsia" w:ascii="宋体" w:hAnsi="宋体" w:cs="宋体"/>
          <w:color w:val="auto"/>
          <w:sz w:val="21"/>
          <w:szCs w:val="21"/>
          <w:highlight w:val="none"/>
          <w:lang w:val="en-US" w:eastAsia="zh-CN"/>
        </w:rPr>
        <w:t>三名</w:t>
      </w:r>
      <w:r>
        <w:rPr>
          <w:rFonts w:hint="eastAsia" w:ascii="宋体" w:hAnsi="宋体" w:cs="宋体"/>
          <w:color w:val="auto"/>
          <w:sz w:val="21"/>
          <w:szCs w:val="21"/>
          <w:highlight w:val="none"/>
        </w:rPr>
        <w:t>中标候选人。若投标人的综合得分相等，则投标报价低者列前；若投标报价也相同时，采取随机抽签的方式确定排序。</w:t>
      </w:r>
    </w:p>
    <w:p w14:paraId="7F2EED4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1.3本项目需要落实的政府采购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14:paraId="6451EF0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1.4本次采购为</w:t>
      </w:r>
      <w:r>
        <w:rPr>
          <w:rFonts w:hint="eastAsia" w:ascii="宋体" w:hAnsi="宋体" w:cs="宋体"/>
          <w:b/>
          <w:bCs/>
          <w:color w:val="auto"/>
          <w:sz w:val="21"/>
          <w:szCs w:val="21"/>
          <w:highlight w:val="none"/>
          <w:u w:val="single"/>
          <w:lang w:val="en-US" w:eastAsia="zh-CN"/>
        </w:rPr>
        <w:t>非</w:t>
      </w:r>
      <w:r>
        <w:rPr>
          <w:rFonts w:hint="eastAsia" w:ascii="宋体" w:hAnsi="宋体" w:cs="宋体"/>
          <w:b/>
          <w:bCs/>
          <w:color w:val="auto"/>
          <w:sz w:val="21"/>
          <w:szCs w:val="21"/>
          <w:highlight w:val="none"/>
          <w:u w:val="single"/>
        </w:rPr>
        <w:t>专门面向中小企业</w:t>
      </w:r>
      <w:r>
        <w:rPr>
          <w:rFonts w:hint="eastAsia" w:ascii="宋体" w:hAnsi="宋体" w:cs="宋体"/>
          <w:color w:val="auto"/>
          <w:sz w:val="21"/>
          <w:szCs w:val="21"/>
          <w:highlight w:val="none"/>
        </w:rPr>
        <w:t>，采购标的对应的中小企业划分标准所属行业为</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u w:val="single"/>
        </w:rPr>
        <w:t>工业</w:t>
      </w:r>
      <w:r>
        <w:rPr>
          <w:rFonts w:hint="eastAsia" w:ascii="宋体" w:hAnsi="宋体" w:cs="宋体"/>
          <w:color w:val="auto"/>
          <w:sz w:val="21"/>
          <w:szCs w:val="21"/>
          <w:highlight w:val="none"/>
        </w:rPr>
        <w:t>。本次评标将对中小企业声明函满足招标文件要求的货物制造商均为小微企业的价格给予10%的扣除，用扣除后的价格参与评审。价格扣除只用于评审过程，如中标，中标价格仍按照其投标价格进行公示。</w:t>
      </w:r>
    </w:p>
    <w:p w14:paraId="2E4A5C20">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w:t>
      </w:r>
    </w:p>
    <w:p w14:paraId="56C860C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评标委员会成员对需要共同认定的事项存在争议的，应当按照少数服从多数的原则作出结论。</w:t>
      </w:r>
    </w:p>
    <w:p w14:paraId="328105D2">
      <w:pPr>
        <w:wordWrap w:val="0"/>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b/>
          <w:bCs/>
          <w:color w:val="auto"/>
          <w:sz w:val="21"/>
          <w:szCs w:val="21"/>
          <w:highlight w:val="none"/>
        </w:rPr>
        <w:t>评标程序</w:t>
      </w:r>
    </w:p>
    <w:p w14:paraId="483DBADD">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color w:val="auto"/>
          <w:sz w:val="21"/>
          <w:szCs w:val="21"/>
          <w:highlight w:val="none"/>
        </w:rPr>
        <w:t>资格性审查和符合性审查中，有任意一项审查结论不合格的，作无效标处理。</w:t>
      </w:r>
    </w:p>
    <w:p w14:paraId="1524AA9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zh-CN"/>
        </w:rPr>
        <w:t>比较与评价：</w:t>
      </w:r>
      <w:r>
        <w:rPr>
          <w:rFonts w:hint="eastAsia" w:ascii="宋体" w:hAnsi="宋体" w:cs="宋体"/>
          <w:color w:val="auto"/>
          <w:sz w:val="21"/>
          <w:szCs w:val="21"/>
          <w:highlight w:val="none"/>
        </w:rPr>
        <w:t>评标委员会根据“附表3商务和技术评分表”的要求，</w:t>
      </w:r>
      <w:r>
        <w:rPr>
          <w:rFonts w:hint="eastAsia" w:ascii="宋体" w:hAnsi="宋体" w:cs="宋体"/>
          <w:color w:val="auto"/>
          <w:sz w:val="21"/>
          <w:szCs w:val="21"/>
          <w:highlight w:val="none"/>
          <w:lang w:val="zh-CN"/>
        </w:rPr>
        <w:t>对照投标文件的应答进行比较，判定其偏差性质和程度，</w:t>
      </w:r>
      <w:r>
        <w:rPr>
          <w:rFonts w:hint="eastAsia" w:ascii="宋体" w:hAnsi="宋体" w:cs="宋体"/>
          <w:color w:val="auto"/>
          <w:sz w:val="21"/>
          <w:szCs w:val="21"/>
          <w:highlight w:val="none"/>
        </w:rPr>
        <w:t>由评标委员会成员在分值范围内自行评分。投标人商务和技术得分为各评标委员会成员有效评分的算术平均值（小数点后保留二位数）。</w:t>
      </w:r>
    </w:p>
    <w:p w14:paraId="701F05C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2.3在评标过程中，发现的价格计算错误按下述原则修正：</w:t>
      </w:r>
    </w:p>
    <w:p w14:paraId="32DF5643">
      <w:pPr>
        <w:pStyle w:val="132"/>
        <w:widowControl/>
        <w:spacing w:line="360" w:lineRule="auto"/>
        <w:ind w:left="17" w:leftChars="7" w:firstLine="529" w:firstLineChars="252"/>
        <w:rPr>
          <w:rFonts w:hAnsi="宋体" w:cs="宋体"/>
          <w:color w:val="auto"/>
          <w:sz w:val="21"/>
          <w:szCs w:val="21"/>
          <w:highlight w:val="none"/>
        </w:rPr>
      </w:pPr>
      <w:r>
        <w:rPr>
          <w:rFonts w:hint="eastAsia" w:hAnsi="宋体" w:cs="宋体"/>
          <w:color w:val="auto"/>
          <w:sz w:val="21"/>
          <w:szCs w:val="21"/>
          <w:highlight w:val="none"/>
        </w:rPr>
        <w:t>（1）投标文件中开标一览表内容与投标文件中分项报价表内容不一致的，以开标一览表为准；</w:t>
      </w:r>
    </w:p>
    <w:p w14:paraId="212C2E3A">
      <w:pPr>
        <w:pStyle w:val="132"/>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（2）大写金额和小写金额不一致的，以大写金额为准；</w:t>
      </w:r>
    </w:p>
    <w:p w14:paraId="2276FD86">
      <w:pPr>
        <w:pStyle w:val="132"/>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（3）单价金额小数点或者百分比有明显错位的，以开标一览表的总价为准，并修改单价；</w:t>
      </w:r>
    </w:p>
    <w:p w14:paraId="61600B92">
      <w:pPr>
        <w:pStyle w:val="132"/>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（4）总价金额与按单价汇总金额不一致的，以单价金额计算结果为准；</w:t>
      </w:r>
    </w:p>
    <w:p w14:paraId="4E6FB73C">
      <w:pPr>
        <w:wordWrap w:val="0"/>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同时出现两种以上不一致的，按照前款规定的顺序修正。修正后的报价经投标人确认后具有约束</w:t>
      </w:r>
      <w:r>
        <w:rPr>
          <w:rFonts w:hint="eastAsia" w:ascii="宋体" w:hAnsi="宋体" w:cs="宋体"/>
          <w:b/>
          <w:color w:val="auto"/>
          <w:sz w:val="21"/>
          <w:szCs w:val="21"/>
          <w:highlight w:val="none"/>
        </w:rPr>
        <w:t>力，若投标人不确认的，则其投标无效</w:t>
      </w:r>
      <w:r>
        <w:rPr>
          <w:rFonts w:hint="eastAsia" w:ascii="宋体" w:hAnsi="宋体" w:cs="宋体"/>
          <w:color w:val="auto"/>
          <w:sz w:val="21"/>
          <w:szCs w:val="21"/>
          <w:highlight w:val="none"/>
        </w:rPr>
        <w:t>。</w:t>
      </w:r>
    </w:p>
    <w:p w14:paraId="5B52E98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供相同品牌产品且通过资格性审查、符合性审查的不同投标人参加同一标项投标的，按一家投标人计算，评审后综合得分最高的同品牌投标人获得中标候选人推荐资格；综合得分相同的，由评标委员会采取随机抽取方式确定，其他同品牌投标人不作为中标候选人。</w:t>
      </w:r>
    </w:p>
    <w:p w14:paraId="21DFD1BE">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非单一产品采购项目，多家投标人提供的核心产品品牌相同的，按上述规定处理。</w:t>
      </w:r>
    </w:p>
    <w:p w14:paraId="05D98FA7">
      <w:pPr>
        <w:wordWrap w:val="0"/>
        <w:spacing w:line="360" w:lineRule="auto"/>
        <w:ind w:firstLine="422" w:firstLineChars="2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rPr>
        <w:t>本项目核心产品为</w:t>
      </w:r>
      <w:r>
        <w:rPr>
          <w:rFonts w:hint="eastAsia" w:ascii="宋体" w:hAnsi="宋体" w:cs="宋体"/>
          <w:b/>
          <w:bCs/>
          <w:color w:val="auto"/>
          <w:sz w:val="21"/>
          <w:szCs w:val="21"/>
          <w:highlight w:val="none"/>
          <w:u w:val="single"/>
          <w:lang w:val="en-US" w:eastAsia="zh-CN"/>
        </w:rPr>
        <w:t>墨水屏阅读器</w:t>
      </w:r>
      <w:r>
        <w:rPr>
          <w:rFonts w:hint="eastAsia" w:ascii="宋体" w:hAnsi="宋体" w:eastAsia="宋体" w:cs="宋体"/>
          <w:b/>
          <w:bCs/>
          <w:color w:val="auto"/>
          <w:sz w:val="21"/>
          <w:szCs w:val="21"/>
          <w:highlight w:val="none"/>
          <w:u w:val="single"/>
          <w:lang w:eastAsia="zh-CN"/>
        </w:rPr>
        <w:t>。</w:t>
      </w:r>
    </w:p>
    <w:p w14:paraId="24DEFF0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综合评估：投标人的综合得分为商务和技术得分与报价得分之和。</w:t>
      </w:r>
    </w:p>
    <w:p w14:paraId="15D2F67F">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6</w:t>
      </w:r>
      <w:r>
        <w:rPr>
          <w:rFonts w:hint="eastAsia" w:ascii="宋体" w:hAnsi="宋体" w:cs="宋体"/>
          <w:b/>
          <w:color w:val="auto"/>
          <w:sz w:val="21"/>
          <w:szCs w:val="21"/>
          <w:highlight w:val="none"/>
        </w:rPr>
        <w:t>推荐中标候选人：根据投标人综合得分由高到低进行排序结合中标原则，推荐</w:t>
      </w:r>
      <w:r>
        <w:rPr>
          <w:rFonts w:hint="eastAsia" w:ascii="宋体" w:hAnsi="宋体" w:cs="宋体"/>
          <w:b/>
          <w:color w:val="auto"/>
          <w:sz w:val="21"/>
          <w:szCs w:val="21"/>
          <w:highlight w:val="none"/>
          <w:lang w:val="en-US" w:eastAsia="zh-CN"/>
        </w:rPr>
        <w:t>三名</w:t>
      </w:r>
      <w:r>
        <w:rPr>
          <w:rFonts w:hint="eastAsia" w:ascii="宋体" w:hAnsi="宋体" w:cs="宋体"/>
          <w:b/>
          <w:color w:val="auto"/>
          <w:sz w:val="21"/>
          <w:szCs w:val="21"/>
          <w:highlight w:val="none"/>
        </w:rPr>
        <w:t>中标候选人。若投标人的综合得分相等，则投标报价低者列前。若投标报价也相同时，则采取随机抽签的方式确定排序。</w:t>
      </w:r>
    </w:p>
    <w:p w14:paraId="4420044C">
      <w:pPr>
        <w:wordWrap w:val="0"/>
        <w:spacing w:line="360" w:lineRule="auto"/>
        <w:ind w:firstLine="422" w:firstLineChars="20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7</w:t>
      </w:r>
      <w:r>
        <w:rPr>
          <w:rFonts w:hint="eastAsia" w:ascii="宋体" w:hAnsi="宋体" w:cs="宋体"/>
          <w:b/>
          <w:color w:val="auto"/>
          <w:sz w:val="21"/>
          <w:szCs w:val="21"/>
          <w:highlight w:val="none"/>
        </w:rPr>
        <w:t>确定中标</w:t>
      </w:r>
      <w:r>
        <w:rPr>
          <w:rFonts w:hint="eastAsia" w:ascii="宋体" w:hAnsi="宋体" w:cs="宋体"/>
          <w:b/>
          <w:color w:val="auto"/>
          <w:sz w:val="21"/>
          <w:szCs w:val="21"/>
          <w:highlight w:val="none"/>
          <w:lang w:val="en-US" w:eastAsia="zh-CN"/>
        </w:rPr>
        <w:t>供应商</w:t>
      </w:r>
    </w:p>
    <w:p w14:paraId="3D7EC31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评标委员会按综合得分由高到低的排序，向采购人推荐</w:t>
      </w:r>
      <w:r>
        <w:rPr>
          <w:rFonts w:hint="eastAsia" w:ascii="宋体" w:hAnsi="宋体" w:cs="宋体"/>
          <w:color w:val="auto"/>
          <w:sz w:val="21"/>
          <w:szCs w:val="21"/>
          <w:highlight w:val="none"/>
          <w:lang w:val="en-US" w:eastAsia="zh-CN"/>
        </w:rPr>
        <w:t>三名</w:t>
      </w:r>
      <w:r>
        <w:rPr>
          <w:rFonts w:hint="eastAsia" w:ascii="宋体" w:hAnsi="宋体" w:cs="宋体"/>
          <w:color w:val="auto"/>
          <w:sz w:val="21"/>
          <w:szCs w:val="21"/>
          <w:highlight w:val="none"/>
        </w:rPr>
        <w:t>中标候选人。代理机构应当自评审结束之日起2个工作日内将评审报告送交采购人。采购人应当自收到评审报告之日起5个工作日内在评审报告推荐的中标候选人中确定1名</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中标或者成交供应商拒绝与采购人签订合同的，采购人可以按照评审报告推荐的中标或者成交候选人名单排序，确定下一候选人为中标或者成交供应商，也可以重新开展政府采购活动。</w:t>
      </w:r>
    </w:p>
    <w:p w14:paraId="45D6C782">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三、投标的澄清</w:t>
      </w:r>
    </w:p>
    <w:p w14:paraId="05D4A04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0524113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3.2政采云具体操作如下：</w:t>
      </w:r>
    </w:p>
    <w:p w14:paraId="0EAC9B3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2819F446">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路径：用户中心—项目采购—询标澄清</w:t>
      </w:r>
    </w:p>
    <w:p w14:paraId="3081C30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（1）政采云平台通过待办事项和短信提醒投标人在截止时间前完成澄清。</w:t>
      </w:r>
    </w:p>
    <w:p w14:paraId="3034DC8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（2）投标人在“询标澄清-待办理”标签页下选择状态为“待澄清”的项目，点击操作栏【澄清】。</w:t>
      </w:r>
    </w:p>
    <w:p w14:paraId="0F91F6B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（3）查看函内容，在澄清截止时间前上传澄清文件并对澄清文件进行签章。（注：澄清文件必须以PDF格式上传，文件大小：50M）</w:t>
      </w:r>
    </w:p>
    <w:p w14:paraId="6D67A8C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（4）签章完成，文件名称处显示“已签章”，投标人可“撤回签章”修改澄清函和“查看文件”。</w:t>
      </w:r>
    </w:p>
    <w:p w14:paraId="3141B5E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77FD29E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（6）完成状态：投标人澄清文件提交成功后，在“询标澄清-全部”标签页下显示状态为“已澄清”。</w:t>
      </w:r>
    </w:p>
    <w:p w14:paraId="10E9401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3.3开标现场，投标人安排法定代表人或授权代表到场的，则由评标委员会组长将问题汇总后向投标人发出书面“采购</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问题澄清通知”，投标人应对需要澄清的问题作书面回答，该书面澄清应当由投标人的法定代表人或授权代表签字或者加盖投标人公章。书面澄清将作为投标文件内容的一部分，具有相应的法律效力。</w:t>
      </w:r>
    </w:p>
    <w:p w14:paraId="1007006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3.4投标人未在截止时间前完成澄清，将被视作自动放弃。</w:t>
      </w:r>
    </w:p>
    <w:p w14:paraId="3FDE013A">
      <w:pPr>
        <w:wordWrap w:val="0"/>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四、特别声明：价格是评标的重要因素之一，但最低</w:t>
      </w:r>
      <w:r>
        <w:rPr>
          <w:rFonts w:hint="eastAsia" w:ascii="宋体" w:hAnsi="宋体" w:cs="宋体"/>
          <w:b/>
          <w:color w:val="auto"/>
          <w:sz w:val="21"/>
          <w:szCs w:val="21"/>
          <w:highlight w:val="none"/>
          <w:lang w:val="en-US" w:eastAsia="zh-CN"/>
        </w:rPr>
        <w:t>报价</w:t>
      </w:r>
      <w:r>
        <w:rPr>
          <w:rFonts w:hint="eastAsia" w:ascii="宋体" w:hAnsi="宋体" w:cs="宋体"/>
          <w:b/>
          <w:color w:val="auto"/>
          <w:sz w:val="21"/>
          <w:szCs w:val="21"/>
          <w:highlight w:val="none"/>
        </w:rPr>
        <w:t>不是中标的唯一依据。</w:t>
      </w:r>
    </w:p>
    <w:p w14:paraId="2FDB7B15">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五、重新招标</w:t>
      </w:r>
    </w:p>
    <w:p w14:paraId="26B3A3E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有下列情形之一的，采购人将重新招标：</w:t>
      </w:r>
    </w:p>
    <w:p w14:paraId="31A0D27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5.1投标截止时间止，投标人少于3个的；</w:t>
      </w:r>
    </w:p>
    <w:p w14:paraId="3487B6E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5.2评标委员会评标过程中，有效投标人少于3个的；</w:t>
      </w:r>
    </w:p>
    <w:p w14:paraId="24EC9EEA">
      <w:pPr>
        <w:widowControl/>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49509209">
      <w:pPr>
        <w:spacing w:line="360" w:lineRule="auto"/>
        <w:ind w:firstLine="420" w:firstLineChars="200"/>
        <w:rPr>
          <w:color w:val="auto"/>
          <w:sz w:val="21"/>
          <w:szCs w:val="21"/>
          <w:highlight w:val="none"/>
        </w:rPr>
      </w:pPr>
    </w:p>
    <w:p w14:paraId="159F4EF5">
      <w:pPr>
        <w:spacing w:line="400" w:lineRule="exact"/>
        <w:rPr>
          <w:rFonts w:ascii="宋体" w:hAnsi="宋体"/>
          <w:color w:val="auto"/>
          <w:sz w:val="21"/>
          <w:szCs w:val="21"/>
          <w:highlight w:val="none"/>
        </w:rPr>
      </w:pPr>
      <w:r>
        <w:rPr>
          <w:color w:val="auto"/>
          <w:sz w:val="21"/>
          <w:szCs w:val="21"/>
          <w:highlight w:val="none"/>
        </w:rPr>
        <w:br w:type="page"/>
      </w:r>
      <w:r>
        <w:rPr>
          <w:rFonts w:hint="eastAsia" w:ascii="宋体" w:hAnsi="宋体"/>
          <w:color w:val="auto"/>
          <w:sz w:val="21"/>
          <w:szCs w:val="21"/>
          <w:highlight w:val="none"/>
        </w:rPr>
        <w:t>附表</w:t>
      </w:r>
      <w:r>
        <w:rPr>
          <w:rFonts w:ascii="宋体" w:hAnsi="宋体"/>
          <w:color w:val="auto"/>
          <w:sz w:val="21"/>
          <w:szCs w:val="21"/>
          <w:highlight w:val="none"/>
        </w:rPr>
        <w:t>1</w:t>
      </w:r>
      <w:r>
        <w:rPr>
          <w:rFonts w:hint="eastAsia" w:ascii="宋体" w:hAnsi="宋体"/>
          <w:color w:val="auto"/>
          <w:sz w:val="21"/>
          <w:szCs w:val="21"/>
          <w:highlight w:val="none"/>
        </w:rPr>
        <w:t xml:space="preserve">：                           </w:t>
      </w:r>
    </w:p>
    <w:p w14:paraId="03CD8824">
      <w:pPr>
        <w:spacing w:line="340" w:lineRule="exact"/>
        <w:jc w:val="center"/>
        <w:rPr>
          <w:rFonts w:ascii="宋体" w:hAnsi="宋体"/>
          <w:color w:val="auto"/>
          <w:sz w:val="21"/>
          <w:szCs w:val="21"/>
          <w:highlight w:val="none"/>
        </w:rPr>
      </w:pPr>
      <w:r>
        <w:rPr>
          <w:rFonts w:hint="eastAsia" w:ascii="宋体" w:hAnsi="宋体"/>
          <w:b/>
          <w:color w:val="auto"/>
          <w:sz w:val="21"/>
          <w:szCs w:val="21"/>
          <w:highlight w:val="none"/>
        </w:rPr>
        <w:t>资格性审查表</w:t>
      </w:r>
    </w:p>
    <w:tbl>
      <w:tblPr>
        <w:tblStyle w:val="41"/>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1"/>
        <w:gridCol w:w="5327"/>
      </w:tblGrid>
      <w:tr w14:paraId="72E56C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329AB0F">
            <w:pPr>
              <w:wordWrap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041" w:type="dxa"/>
            <w:vAlign w:val="center"/>
          </w:tcPr>
          <w:p w14:paraId="30E44113">
            <w:pPr>
              <w:wordWrap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要求说明</w:t>
            </w:r>
          </w:p>
        </w:tc>
        <w:tc>
          <w:tcPr>
            <w:tcW w:w="5327" w:type="dxa"/>
            <w:vAlign w:val="center"/>
          </w:tcPr>
          <w:p w14:paraId="048DB995">
            <w:pPr>
              <w:wordWrap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审查要求</w:t>
            </w:r>
          </w:p>
        </w:tc>
      </w:tr>
      <w:tr w14:paraId="599003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5E25D13">
            <w:pPr>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041" w:type="dxa"/>
            <w:vAlign w:val="center"/>
          </w:tcPr>
          <w:p w14:paraId="53F942F4">
            <w:pPr>
              <w:spacing w:line="360" w:lineRule="exact"/>
              <w:rPr>
                <w:rFonts w:ascii="宋体" w:hAnsi="宋体" w:cs="宋体"/>
                <w:color w:val="auto"/>
                <w:sz w:val="21"/>
                <w:szCs w:val="21"/>
                <w:highlight w:val="none"/>
              </w:rPr>
            </w:pPr>
            <w:r>
              <w:rPr>
                <w:rFonts w:hint="eastAsia" w:ascii="宋体" w:hAnsi="宋体"/>
                <w:color w:val="auto"/>
                <w:sz w:val="21"/>
                <w:szCs w:val="21"/>
                <w:highlight w:val="none"/>
              </w:rPr>
              <w:t>满足《中华人民共和国政府采购法》第二十二条规定；</w:t>
            </w:r>
          </w:p>
        </w:tc>
        <w:tc>
          <w:tcPr>
            <w:tcW w:w="5327" w:type="dxa"/>
            <w:vAlign w:val="center"/>
          </w:tcPr>
          <w:p w14:paraId="190B9A99">
            <w:pPr>
              <w:spacing w:line="360" w:lineRule="exact"/>
              <w:rPr>
                <w:rFonts w:ascii="宋体" w:hAnsi="宋体"/>
                <w:color w:val="auto"/>
                <w:sz w:val="21"/>
                <w:szCs w:val="21"/>
                <w:highlight w:val="none"/>
              </w:rPr>
            </w:pPr>
            <w:r>
              <w:rPr>
                <w:rFonts w:hint="eastAsia" w:ascii="宋体" w:hAnsi="宋体"/>
                <w:color w:val="auto"/>
                <w:sz w:val="21"/>
                <w:szCs w:val="21"/>
                <w:highlight w:val="none"/>
              </w:rPr>
              <w:t>A1、关于资格的承诺函；</w:t>
            </w:r>
          </w:p>
          <w:p w14:paraId="3663FFDB">
            <w:pPr>
              <w:spacing w:line="360" w:lineRule="exact"/>
              <w:rPr>
                <w:rFonts w:ascii="宋体" w:hAnsi="宋体" w:cs="宋体"/>
                <w:color w:val="auto"/>
                <w:sz w:val="21"/>
                <w:szCs w:val="21"/>
                <w:highlight w:val="none"/>
              </w:rPr>
            </w:pPr>
            <w:r>
              <w:rPr>
                <w:rFonts w:hint="eastAsia" w:ascii="宋体" w:hAnsi="宋体"/>
                <w:color w:val="auto"/>
                <w:sz w:val="21"/>
                <w:szCs w:val="21"/>
                <w:highlight w:val="none"/>
              </w:rPr>
              <w:t>A2、营业执照副本（或事业法人登记证副本或其他登记证明材料）复印件加盖供应商公章（供应商如果有名称变更的，应提供由行政主管部门出具的变更证明文件复印件加盖供应商公章）；</w:t>
            </w:r>
          </w:p>
        </w:tc>
      </w:tr>
      <w:tr w14:paraId="607BA2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5A25EC3">
            <w:pPr>
              <w:wordWrap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4041" w:type="dxa"/>
            <w:vAlign w:val="center"/>
          </w:tcPr>
          <w:p w14:paraId="74080333">
            <w:pPr>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未被“信用中国”（</w:t>
            </w:r>
            <w:r>
              <w:rPr>
                <w:rFonts w:ascii="宋体" w:hAnsi="宋体"/>
                <w:color w:val="auto"/>
                <w:sz w:val="21"/>
                <w:szCs w:val="21"/>
                <w:highlight w:val="none"/>
              </w:rPr>
              <w:t>www.creditchina.gov.cn)</w:t>
            </w:r>
            <w:r>
              <w:rPr>
                <w:rFonts w:hint="eastAsia" w:ascii="宋体" w:hAnsi="宋体"/>
                <w:color w:val="auto"/>
                <w:sz w:val="21"/>
                <w:szCs w:val="21"/>
                <w:highlight w:val="none"/>
              </w:rPr>
              <w:t>、“中国政府采购网”（</w:t>
            </w:r>
            <w:r>
              <w:rPr>
                <w:rFonts w:ascii="宋体" w:hAnsi="宋体"/>
                <w:color w:val="auto"/>
                <w:sz w:val="21"/>
                <w:szCs w:val="21"/>
                <w:highlight w:val="none"/>
              </w:rPr>
              <w:t>www.ccgp.gov.cn</w:t>
            </w:r>
            <w:r>
              <w:rPr>
                <w:rFonts w:hint="eastAsia" w:ascii="宋体" w:hAnsi="宋体"/>
                <w:color w:val="auto"/>
                <w:sz w:val="21"/>
                <w:szCs w:val="21"/>
                <w:highlight w:val="none"/>
              </w:rPr>
              <w:t>）列入失信被执行人、重大税收违法失信主体、政府采购严重违法失信行为记录名单。</w:t>
            </w:r>
          </w:p>
        </w:tc>
        <w:tc>
          <w:tcPr>
            <w:tcW w:w="5327" w:type="dxa"/>
            <w:vAlign w:val="center"/>
          </w:tcPr>
          <w:p w14:paraId="58C091AF">
            <w:pPr>
              <w:spacing w:line="36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rPr>
              <w:t>未被“信用中国”（www.creditchina.gov.cn)、中国政府采购网（www.ccgp.gov.cn）列入失信被执行人、重大税收违法失信主体、政府采购严重违法失信行为记录名单。</w:t>
            </w:r>
          </w:p>
        </w:tc>
      </w:tr>
      <w:tr w14:paraId="354888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1" w:type="dxa"/>
            <w:gridSpan w:val="2"/>
            <w:vAlign w:val="center"/>
          </w:tcPr>
          <w:p w14:paraId="637DD6F7">
            <w:pPr>
              <w:wordWrap w:val="0"/>
              <w:spacing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资格性审查结论</w:t>
            </w:r>
          </w:p>
        </w:tc>
        <w:tc>
          <w:tcPr>
            <w:tcW w:w="5327" w:type="dxa"/>
            <w:vAlign w:val="center"/>
          </w:tcPr>
          <w:p w14:paraId="0681186E">
            <w:pPr>
              <w:wordWrap w:val="0"/>
              <w:spacing w:line="360" w:lineRule="auto"/>
              <w:jc w:val="center"/>
              <w:rPr>
                <w:rFonts w:ascii="宋体" w:hAnsi="宋体" w:cs="宋体"/>
                <w:color w:val="auto"/>
                <w:sz w:val="21"/>
                <w:szCs w:val="21"/>
                <w:highlight w:val="none"/>
              </w:rPr>
            </w:pPr>
          </w:p>
        </w:tc>
      </w:tr>
    </w:tbl>
    <w:p w14:paraId="44FD49AD">
      <w:pPr>
        <w:spacing w:line="340" w:lineRule="exact"/>
        <w:rPr>
          <w:rFonts w:ascii="宋体" w:hAnsi="宋体"/>
          <w:color w:val="auto"/>
          <w:sz w:val="21"/>
          <w:szCs w:val="21"/>
          <w:highlight w:val="none"/>
        </w:rPr>
      </w:pPr>
      <w:r>
        <w:rPr>
          <w:rFonts w:hint="eastAsia" w:ascii="宋体" w:hAnsi="宋体"/>
          <w:color w:val="auto"/>
          <w:sz w:val="21"/>
          <w:szCs w:val="21"/>
          <w:highlight w:val="none"/>
        </w:rPr>
        <w:t>注：</w:t>
      </w:r>
      <w:r>
        <w:rPr>
          <w:rFonts w:ascii="宋体" w:hAnsi="宋体"/>
          <w:color w:val="auto"/>
          <w:sz w:val="21"/>
          <w:szCs w:val="21"/>
          <w:highlight w:val="none"/>
        </w:rPr>
        <w:t>1</w:t>
      </w:r>
      <w:r>
        <w:rPr>
          <w:rFonts w:hint="eastAsia" w:ascii="宋体" w:hAnsi="宋体"/>
          <w:color w:val="auto"/>
          <w:sz w:val="21"/>
          <w:szCs w:val="21"/>
          <w:highlight w:val="none"/>
        </w:rPr>
        <w:t>、上述</w:t>
      </w:r>
      <w:r>
        <w:rPr>
          <w:rFonts w:hint="eastAsia" w:ascii="宋体" w:hAnsi="宋体"/>
          <w:color w:val="auto"/>
          <w:sz w:val="21"/>
          <w:szCs w:val="21"/>
          <w:highlight w:val="none"/>
          <w:lang w:eastAsia="zh-CN"/>
        </w:rPr>
        <w:t>资格文件</w:t>
      </w:r>
      <w:r>
        <w:rPr>
          <w:rFonts w:hint="eastAsia" w:ascii="宋体" w:hAnsi="宋体"/>
          <w:color w:val="auto"/>
          <w:sz w:val="21"/>
          <w:szCs w:val="21"/>
          <w:highlight w:val="none"/>
        </w:rPr>
        <w:t>未按招标文件要求附入投标文件中的，资格性审查不合格。</w:t>
      </w:r>
    </w:p>
    <w:p w14:paraId="5675A111">
      <w:pPr>
        <w:spacing w:line="340" w:lineRule="exact"/>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、上述审查项目中，任意一项不符合的，资格性审查不合格。</w:t>
      </w:r>
    </w:p>
    <w:p w14:paraId="6F0F3711">
      <w:pPr>
        <w:spacing w:line="3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代理机构将于开标当天通过“信用中国”网站查询供应商失信被执行人、重大税收违法失信主体，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54E3A375">
      <w:pPr>
        <w:spacing w:line="340" w:lineRule="exact"/>
        <w:ind w:firstLine="514" w:firstLineChars="245"/>
        <w:rPr>
          <w:rFonts w:ascii="宋体" w:hAnsi="宋体"/>
          <w:color w:val="auto"/>
          <w:sz w:val="21"/>
          <w:szCs w:val="21"/>
          <w:highlight w:val="none"/>
        </w:rPr>
      </w:pPr>
      <w:r>
        <w:rPr>
          <w:rFonts w:hint="eastAsia" w:ascii="宋体" w:hAnsi="宋体"/>
          <w:color w:val="auto"/>
          <w:sz w:val="21"/>
          <w:szCs w:val="21"/>
          <w:highlight w:val="none"/>
        </w:rPr>
        <w:t>若在开标当天因不可抗力事件导致无法查询且一时无法恢复查询的，可在结果公示期间对确定中标候选人进行事后查询。确定中标候选人被列入失信被执行人、重大税收违法失信主体、政府采购严重违法失信行为记录名单的，采购人将依法取消其中标资格。</w:t>
      </w:r>
    </w:p>
    <w:p w14:paraId="727C314C">
      <w:pPr>
        <w:spacing w:line="400" w:lineRule="exact"/>
        <w:rPr>
          <w:rFonts w:ascii="宋体" w:hAnsi="宋体"/>
          <w:color w:val="auto"/>
          <w:sz w:val="21"/>
          <w:szCs w:val="21"/>
          <w:highlight w:val="none"/>
        </w:rPr>
      </w:pPr>
      <w:r>
        <w:rPr>
          <w:rFonts w:ascii="宋体" w:hAnsi="宋体"/>
          <w:color w:val="auto"/>
          <w:sz w:val="21"/>
          <w:szCs w:val="21"/>
          <w:highlight w:val="none"/>
        </w:rPr>
        <w:br w:type="page"/>
      </w:r>
      <w:r>
        <w:rPr>
          <w:rFonts w:hint="eastAsia" w:ascii="宋体" w:hAnsi="宋体"/>
          <w:color w:val="auto"/>
          <w:sz w:val="21"/>
          <w:szCs w:val="21"/>
          <w:highlight w:val="none"/>
        </w:rPr>
        <w:t>附表</w:t>
      </w:r>
      <w:r>
        <w:rPr>
          <w:rFonts w:ascii="宋体" w:hAnsi="宋体"/>
          <w:color w:val="auto"/>
          <w:sz w:val="21"/>
          <w:szCs w:val="21"/>
          <w:highlight w:val="none"/>
        </w:rPr>
        <w:t>2</w:t>
      </w:r>
      <w:r>
        <w:rPr>
          <w:rFonts w:hint="eastAsia" w:ascii="宋体" w:hAnsi="宋体"/>
          <w:color w:val="auto"/>
          <w:sz w:val="21"/>
          <w:szCs w:val="21"/>
          <w:highlight w:val="none"/>
        </w:rPr>
        <w:t>：</w:t>
      </w:r>
    </w:p>
    <w:p w14:paraId="68A01B59">
      <w:pPr>
        <w:widowControl/>
        <w:snapToGrid w:val="0"/>
        <w:spacing w:line="560" w:lineRule="exact"/>
        <w:jc w:val="center"/>
        <w:rPr>
          <w:rFonts w:ascii="宋体" w:hAnsi="宋体"/>
          <w:b/>
          <w:color w:val="auto"/>
          <w:sz w:val="21"/>
          <w:szCs w:val="21"/>
          <w:highlight w:val="none"/>
        </w:rPr>
      </w:pPr>
      <w:r>
        <w:rPr>
          <w:rFonts w:hint="eastAsia" w:ascii="宋体" w:hAnsi="宋体"/>
          <w:b/>
          <w:color w:val="auto"/>
          <w:sz w:val="21"/>
          <w:szCs w:val="21"/>
          <w:highlight w:val="none"/>
        </w:rPr>
        <w:t>符合性审查表</w:t>
      </w:r>
    </w:p>
    <w:tbl>
      <w:tblPr>
        <w:tblStyle w:val="41"/>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72"/>
        <w:gridCol w:w="4423"/>
      </w:tblGrid>
      <w:tr w14:paraId="2428C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77E5A168">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4272" w:type="dxa"/>
            <w:vAlign w:val="center"/>
          </w:tcPr>
          <w:p w14:paraId="2CAB6085">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要求说明</w:t>
            </w:r>
          </w:p>
        </w:tc>
        <w:tc>
          <w:tcPr>
            <w:tcW w:w="4423" w:type="dxa"/>
            <w:vAlign w:val="center"/>
          </w:tcPr>
          <w:p w14:paraId="4026AC7E">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审查要求</w:t>
            </w:r>
          </w:p>
        </w:tc>
      </w:tr>
      <w:tr w14:paraId="00F6B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BF9C997">
            <w:pPr>
              <w:snapToGrid w:val="0"/>
              <w:spacing w:line="400" w:lineRule="exact"/>
              <w:jc w:val="center"/>
              <w:rPr>
                <w:rFonts w:ascii="宋体" w:hAnsi="宋体"/>
                <w:color w:val="auto"/>
                <w:sz w:val="21"/>
                <w:szCs w:val="21"/>
                <w:highlight w:val="none"/>
              </w:rPr>
            </w:pPr>
            <w:r>
              <w:rPr>
                <w:rFonts w:ascii="宋体" w:hAnsi="宋体"/>
                <w:color w:val="auto"/>
                <w:sz w:val="21"/>
                <w:szCs w:val="21"/>
                <w:highlight w:val="none"/>
              </w:rPr>
              <w:t>1</w:t>
            </w:r>
          </w:p>
        </w:tc>
        <w:tc>
          <w:tcPr>
            <w:tcW w:w="4272" w:type="dxa"/>
            <w:vAlign w:val="center"/>
          </w:tcPr>
          <w:p w14:paraId="371E1913">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投标有效期：符合第二章“投标人须知前附表”第8条的要求。</w:t>
            </w:r>
          </w:p>
        </w:tc>
        <w:tc>
          <w:tcPr>
            <w:tcW w:w="4423" w:type="dxa"/>
            <w:vAlign w:val="center"/>
          </w:tcPr>
          <w:p w14:paraId="0675F334">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提供“投标书”</w:t>
            </w:r>
            <w:r>
              <w:rPr>
                <w:rFonts w:hint="eastAsia" w:ascii="宋体" w:hAnsi="宋体" w:cs="宋体"/>
                <w:color w:val="auto"/>
                <w:sz w:val="21"/>
                <w:szCs w:val="21"/>
                <w:highlight w:val="none"/>
              </w:rPr>
              <w:t>。</w:t>
            </w:r>
          </w:p>
        </w:tc>
      </w:tr>
      <w:tr w14:paraId="472FF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FDDEF7D">
            <w:pPr>
              <w:snapToGrid w:val="0"/>
              <w:spacing w:line="400" w:lineRule="exact"/>
              <w:jc w:val="center"/>
              <w:rPr>
                <w:rFonts w:ascii="宋体" w:hAnsi="宋体"/>
                <w:color w:val="auto"/>
                <w:sz w:val="21"/>
                <w:szCs w:val="21"/>
                <w:highlight w:val="none"/>
              </w:rPr>
            </w:pPr>
            <w:r>
              <w:rPr>
                <w:rFonts w:ascii="宋体" w:hAnsi="宋体"/>
                <w:color w:val="auto"/>
                <w:sz w:val="21"/>
                <w:szCs w:val="21"/>
                <w:highlight w:val="none"/>
              </w:rPr>
              <w:t>2</w:t>
            </w:r>
          </w:p>
        </w:tc>
        <w:tc>
          <w:tcPr>
            <w:tcW w:w="4272" w:type="dxa"/>
            <w:vAlign w:val="center"/>
          </w:tcPr>
          <w:p w14:paraId="30BCAAAC">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法定代表人身份证明、法定代表人授权书。</w:t>
            </w:r>
          </w:p>
        </w:tc>
        <w:tc>
          <w:tcPr>
            <w:tcW w:w="4423" w:type="dxa"/>
            <w:vAlign w:val="center"/>
          </w:tcPr>
          <w:p w14:paraId="2A162F4E">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（1）投标文件由法定代表人签字的，提供“法定代表人身份证明”。</w:t>
            </w:r>
          </w:p>
          <w:p w14:paraId="13FC8146">
            <w:pPr>
              <w:snapToGrid w:val="0"/>
              <w:spacing w:line="400" w:lineRule="exac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（2）投标文件由授权代表签字的，提供“法定代表人授权书”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并同时提供社保部门出具的供应商单位开标前6个月任意1个月为授权代表缴纳社保的证明资料复印件。</w:t>
            </w:r>
          </w:p>
        </w:tc>
      </w:tr>
      <w:tr w14:paraId="0A347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C9454ED">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3</w:t>
            </w:r>
          </w:p>
        </w:tc>
        <w:tc>
          <w:tcPr>
            <w:tcW w:w="4272" w:type="dxa"/>
            <w:vAlign w:val="center"/>
          </w:tcPr>
          <w:p w14:paraId="6B314506">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符合第二章“投标人须知”第九、1条的要求。</w:t>
            </w:r>
          </w:p>
        </w:tc>
        <w:tc>
          <w:tcPr>
            <w:tcW w:w="4423" w:type="dxa"/>
            <w:vAlign w:val="center"/>
          </w:tcPr>
          <w:p w14:paraId="6A776CE5">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投标文件的签署盖章。</w:t>
            </w:r>
          </w:p>
        </w:tc>
      </w:tr>
      <w:tr w14:paraId="6BC241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C9D494C">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4</w:t>
            </w:r>
          </w:p>
        </w:tc>
        <w:tc>
          <w:tcPr>
            <w:tcW w:w="4272" w:type="dxa"/>
            <w:vAlign w:val="center"/>
          </w:tcPr>
          <w:p w14:paraId="3EBBAC43">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对同个项目不允许提供两个投标方案。</w:t>
            </w:r>
          </w:p>
        </w:tc>
        <w:tc>
          <w:tcPr>
            <w:tcW w:w="4423" w:type="dxa"/>
            <w:vAlign w:val="center"/>
          </w:tcPr>
          <w:p w14:paraId="2092AFDD">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是否有两个投标方案。</w:t>
            </w:r>
          </w:p>
        </w:tc>
      </w:tr>
      <w:tr w14:paraId="50464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20" w:type="dxa"/>
            <w:vAlign w:val="center"/>
          </w:tcPr>
          <w:p w14:paraId="0F64BC02">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272" w:type="dxa"/>
            <w:vAlign w:val="center"/>
          </w:tcPr>
          <w:p w14:paraId="769A152E">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投标人不得在投标活动中提供任何虚假材料或从事其他违法活动的。</w:t>
            </w:r>
          </w:p>
        </w:tc>
        <w:tc>
          <w:tcPr>
            <w:tcW w:w="4423" w:type="dxa"/>
            <w:vAlign w:val="center"/>
          </w:tcPr>
          <w:p w14:paraId="1E63C527">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不得提供任何虚假材料或从事其他违法活动。</w:t>
            </w:r>
          </w:p>
        </w:tc>
      </w:tr>
      <w:tr w14:paraId="1E33A4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11CD1CD">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6</w:t>
            </w:r>
          </w:p>
        </w:tc>
        <w:tc>
          <w:tcPr>
            <w:tcW w:w="4272" w:type="dxa"/>
            <w:vAlign w:val="center"/>
          </w:tcPr>
          <w:p w14:paraId="035C043D">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评标委员会经过审查，认定供应商虚假应标、串通投标的</w:t>
            </w:r>
          </w:p>
          <w:p w14:paraId="3645F08E">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有下列情形之一的，视为供应商串通投标：</w:t>
            </w:r>
          </w:p>
          <w:p w14:paraId="1F67619E">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（1）不同供应商的投标文件由同一单位或者个人编制；</w:t>
            </w:r>
          </w:p>
          <w:p w14:paraId="119FB994">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（2）不同供应商委托同一单位或者个人办理投标事宜；</w:t>
            </w:r>
          </w:p>
          <w:p w14:paraId="2F22C738">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（3）不同供应商的投标文件载明的项目管理成员或者联系人员为同一人；</w:t>
            </w:r>
          </w:p>
          <w:p w14:paraId="736B666C">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（4）不同供应商的投标文件异常一致或者投标报价呈规律性差异；</w:t>
            </w:r>
          </w:p>
          <w:p w14:paraId="1B72A4C5">
            <w:pPr>
              <w:snapToGrid w:val="0"/>
              <w:spacing w:line="40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（5）不同供应商的投标文件相互混装；</w:t>
            </w:r>
          </w:p>
        </w:tc>
        <w:tc>
          <w:tcPr>
            <w:tcW w:w="4423" w:type="dxa"/>
            <w:vAlign w:val="center"/>
          </w:tcPr>
          <w:p w14:paraId="6AB68D00">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不得有所述情形。</w:t>
            </w:r>
          </w:p>
        </w:tc>
      </w:tr>
      <w:tr w14:paraId="01E50E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CB70815">
            <w:pPr>
              <w:snapToGrid w:val="0"/>
              <w:spacing w:line="40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4272" w:type="dxa"/>
            <w:shd w:val="clear" w:color="auto" w:fill="auto"/>
            <w:vAlign w:val="center"/>
          </w:tcPr>
          <w:p w14:paraId="79EE9D53">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参与同一个标段的供应商存在下列情形之一且无法合理解释的，其投标文件无效：</w:t>
            </w:r>
          </w:p>
          <w:p w14:paraId="465CE3E2">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1.不同供应商的电子投标文件上传计算机的网卡MAC地址或硬盘序列号等硬件信息相同的；</w:t>
            </w:r>
          </w:p>
          <w:p w14:paraId="32D1254E">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2.上传的电子投标文件若出现使用本项目其他投标供应商的数字证书加密的，或者加盖本项目其他投标供应商的电子印章的；</w:t>
            </w:r>
          </w:p>
          <w:p w14:paraId="4B0E49AE">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3.不同供应商的投标文件的内容存在3处（含）以上错误一致的；</w:t>
            </w:r>
          </w:p>
          <w:p w14:paraId="01DF8981">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4.不同供应商联系人为同一人或不同联系人的联系电话一致的。</w:t>
            </w:r>
          </w:p>
          <w:p w14:paraId="74C53AB4">
            <w:pPr>
              <w:widowControl/>
              <w:snapToGrid w:val="0"/>
              <w:spacing w:line="40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5.不同供应商在相同Internet主机分配地址（相同IP地址）获取招标文件或网上投标的。</w:t>
            </w:r>
          </w:p>
        </w:tc>
        <w:tc>
          <w:tcPr>
            <w:tcW w:w="4423" w:type="dxa"/>
            <w:vAlign w:val="center"/>
          </w:tcPr>
          <w:p w14:paraId="5741E8E8">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不得有所述情形。</w:t>
            </w:r>
          </w:p>
        </w:tc>
      </w:tr>
      <w:tr w14:paraId="284743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69A869">
            <w:pPr>
              <w:snapToGrid w:val="0"/>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p>
        </w:tc>
        <w:tc>
          <w:tcPr>
            <w:tcW w:w="4272" w:type="dxa"/>
            <w:vAlign w:val="center"/>
          </w:tcPr>
          <w:p w14:paraId="7D10422E">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符合法律、法规和采购文件中规定的其他实质性要求（实质性要求采购文件中“</w:t>
            </w:r>
            <w:r>
              <w:rPr>
                <w:rFonts w:hint="eastAsia" w:ascii="宋体" w:hAnsi="宋体"/>
                <w:color w:val="auto"/>
                <w:sz w:val="21"/>
                <w:szCs w:val="21"/>
                <w:highlight w:val="none"/>
                <w:lang w:eastAsia="zh-CN"/>
              </w:rPr>
              <w:t>★</w:t>
            </w:r>
            <w:r>
              <w:rPr>
                <w:rFonts w:hint="eastAsia" w:ascii="宋体" w:hAnsi="宋体"/>
                <w:color w:val="auto"/>
                <w:sz w:val="21"/>
                <w:szCs w:val="21"/>
                <w:highlight w:val="none"/>
              </w:rPr>
              <w:t>”标记）</w:t>
            </w:r>
          </w:p>
        </w:tc>
        <w:tc>
          <w:tcPr>
            <w:tcW w:w="4423" w:type="dxa"/>
            <w:vAlign w:val="center"/>
          </w:tcPr>
          <w:p w14:paraId="7DCCB7C3">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符合所述要求。</w:t>
            </w:r>
          </w:p>
        </w:tc>
      </w:tr>
      <w:tr w14:paraId="060848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DE013FE">
            <w:pPr>
              <w:snapToGrid w:val="0"/>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p>
        </w:tc>
        <w:tc>
          <w:tcPr>
            <w:tcW w:w="4272" w:type="dxa"/>
            <w:vAlign w:val="center"/>
          </w:tcPr>
          <w:p w14:paraId="73203DDE">
            <w:pPr>
              <w:snapToGrid w:val="0"/>
              <w:spacing w:line="400" w:lineRule="exact"/>
              <w:rPr>
                <w:rFonts w:ascii="宋体" w:hAnsi="宋体"/>
                <w:color w:val="auto"/>
                <w:sz w:val="21"/>
                <w:szCs w:val="21"/>
                <w:highlight w:val="none"/>
              </w:rPr>
            </w:pPr>
            <w:r>
              <w:rPr>
                <w:rFonts w:ascii="宋体" w:hAnsi="宋体"/>
                <w:color w:val="auto"/>
                <w:sz w:val="21"/>
                <w:szCs w:val="21"/>
                <w:highlight w:val="none"/>
              </w:rPr>
              <w:t>本次公开招标设有最高限价，投标价超出最高限价作无效标处理。</w:t>
            </w:r>
          </w:p>
        </w:tc>
        <w:tc>
          <w:tcPr>
            <w:tcW w:w="4423" w:type="dxa"/>
            <w:vAlign w:val="center"/>
          </w:tcPr>
          <w:p w14:paraId="1F670006">
            <w:pPr>
              <w:spacing w:line="400" w:lineRule="exact"/>
              <w:rPr>
                <w:rFonts w:ascii="宋体" w:hAnsi="宋体"/>
                <w:color w:val="auto"/>
                <w:sz w:val="21"/>
                <w:szCs w:val="21"/>
                <w:highlight w:val="none"/>
              </w:rPr>
            </w:pPr>
            <w:r>
              <w:rPr>
                <w:rFonts w:hint="eastAsia" w:ascii="宋体" w:hAnsi="宋体"/>
                <w:color w:val="auto"/>
                <w:sz w:val="21"/>
                <w:szCs w:val="21"/>
                <w:highlight w:val="none"/>
              </w:rPr>
              <w:t>提供“开标一览表”</w:t>
            </w:r>
            <w:r>
              <w:rPr>
                <w:rFonts w:hint="eastAsia" w:ascii="宋体" w:hAnsi="宋体"/>
                <w:color w:val="auto"/>
                <w:sz w:val="21"/>
                <w:szCs w:val="21"/>
                <w:highlight w:val="none"/>
                <w:lang w:eastAsia="zh-CN"/>
              </w:rPr>
              <w:t>、“分项报价表”</w:t>
            </w:r>
            <w:r>
              <w:rPr>
                <w:rFonts w:hint="eastAsia" w:ascii="宋体" w:hAnsi="宋体" w:cs="宋体"/>
                <w:color w:val="auto"/>
                <w:sz w:val="21"/>
                <w:szCs w:val="21"/>
                <w:highlight w:val="none"/>
              </w:rPr>
              <w:t>。</w:t>
            </w:r>
          </w:p>
        </w:tc>
      </w:tr>
      <w:tr w14:paraId="6F881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B60EC0">
            <w:pPr>
              <w:snapToGrid w:val="0"/>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4272" w:type="dxa"/>
            <w:vAlign w:val="center"/>
          </w:tcPr>
          <w:p w14:paraId="371430B1">
            <w:pPr>
              <w:spacing w:line="400" w:lineRule="exact"/>
              <w:rPr>
                <w:rFonts w:ascii="宋体" w:hAnsi="宋体"/>
                <w:color w:val="auto"/>
                <w:sz w:val="21"/>
                <w:szCs w:val="21"/>
                <w:highlight w:val="none"/>
              </w:rPr>
            </w:pPr>
            <w:r>
              <w:rPr>
                <w:rFonts w:hint="eastAsia" w:ascii="宋体" w:hAnsi="宋体"/>
                <w:color w:val="auto"/>
                <w:sz w:val="21"/>
                <w:szCs w:val="21"/>
                <w:highlight w:val="none"/>
              </w:rPr>
              <w:t>评标委员会认为投标人的报价明显低于其他通过评审</w:t>
            </w:r>
            <w:r>
              <w:rPr>
                <w:rFonts w:hint="eastAsia" w:ascii="宋体" w:hAnsi="宋体"/>
                <w:color w:val="auto"/>
                <w:sz w:val="21"/>
                <w:szCs w:val="21"/>
                <w:highlight w:val="none"/>
                <w:lang w:val="en-US" w:eastAsia="zh-CN"/>
              </w:rPr>
              <w:t>的</w:t>
            </w:r>
            <w:r>
              <w:rPr>
                <w:rFonts w:hint="eastAsia" w:ascii="宋体" w:hAnsi="宋体"/>
                <w:color w:val="auto"/>
                <w:sz w:val="21"/>
                <w:szCs w:val="21"/>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4423" w:type="dxa"/>
            <w:vAlign w:val="center"/>
          </w:tcPr>
          <w:p w14:paraId="111B9CF6">
            <w:pPr>
              <w:spacing w:line="400" w:lineRule="exact"/>
              <w:rPr>
                <w:rFonts w:ascii="宋体" w:hAnsi="宋体"/>
                <w:color w:val="auto"/>
                <w:sz w:val="21"/>
                <w:szCs w:val="21"/>
                <w:highlight w:val="none"/>
              </w:rPr>
            </w:pPr>
            <w:r>
              <w:rPr>
                <w:rFonts w:hint="eastAsia" w:ascii="宋体" w:hAnsi="宋体"/>
                <w:color w:val="auto"/>
                <w:sz w:val="21"/>
                <w:szCs w:val="21"/>
                <w:highlight w:val="none"/>
              </w:rPr>
              <w:t>符合所述要求。</w:t>
            </w:r>
          </w:p>
        </w:tc>
      </w:tr>
      <w:tr w14:paraId="1000A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0B513D0">
            <w:pPr>
              <w:snapToGrid w:val="0"/>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p>
        </w:tc>
        <w:tc>
          <w:tcPr>
            <w:tcW w:w="4272" w:type="dxa"/>
            <w:vAlign w:val="center"/>
          </w:tcPr>
          <w:p w14:paraId="6C0B4303">
            <w:pPr>
              <w:spacing w:line="400" w:lineRule="exact"/>
              <w:rPr>
                <w:rFonts w:ascii="宋体" w:hAnsi="宋体"/>
                <w:color w:val="auto"/>
                <w:sz w:val="21"/>
                <w:szCs w:val="21"/>
                <w:highlight w:val="none"/>
              </w:rPr>
            </w:pPr>
            <w:r>
              <w:rPr>
                <w:rFonts w:hint="eastAsia" w:ascii="宋体" w:hAnsi="宋体"/>
                <w:color w:val="auto"/>
                <w:sz w:val="21"/>
                <w:szCs w:val="21"/>
                <w:highlight w:val="none"/>
              </w:rPr>
              <w:t>在评标过程中，发现的价格计算错误按下述原则修正：</w:t>
            </w:r>
          </w:p>
          <w:p w14:paraId="752DFD0A">
            <w:pPr>
              <w:spacing w:line="400" w:lineRule="exact"/>
              <w:rPr>
                <w:rFonts w:ascii="宋体" w:hAnsi="宋体"/>
                <w:color w:val="auto"/>
                <w:sz w:val="21"/>
                <w:szCs w:val="21"/>
                <w:highlight w:val="none"/>
              </w:rPr>
            </w:pPr>
            <w:r>
              <w:rPr>
                <w:rFonts w:hint="eastAsia" w:ascii="宋体" w:hAnsi="宋体"/>
                <w:color w:val="auto"/>
                <w:sz w:val="21"/>
                <w:szCs w:val="21"/>
                <w:highlight w:val="none"/>
              </w:rPr>
              <w:t>（1）投标文件中开标一览表内容与投标文件中分项报价表内容不一致的，以开标一览表为准；</w:t>
            </w:r>
          </w:p>
          <w:p w14:paraId="644E676B">
            <w:pPr>
              <w:spacing w:line="400" w:lineRule="exact"/>
              <w:rPr>
                <w:rFonts w:ascii="宋体" w:hAnsi="宋体"/>
                <w:color w:val="auto"/>
                <w:sz w:val="21"/>
                <w:szCs w:val="21"/>
                <w:highlight w:val="none"/>
              </w:rPr>
            </w:pPr>
            <w:r>
              <w:rPr>
                <w:rFonts w:hint="eastAsia" w:ascii="宋体" w:hAnsi="宋体"/>
                <w:color w:val="auto"/>
                <w:sz w:val="21"/>
                <w:szCs w:val="21"/>
                <w:highlight w:val="none"/>
              </w:rPr>
              <w:t>（2）大写金额和小写金额不一致的，以大写金额为准；</w:t>
            </w:r>
          </w:p>
          <w:p w14:paraId="3972DB8D">
            <w:pPr>
              <w:spacing w:line="400" w:lineRule="exact"/>
              <w:rPr>
                <w:rFonts w:ascii="宋体" w:hAnsi="宋体"/>
                <w:color w:val="auto"/>
                <w:sz w:val="21"/>
                <w:szCs w:val="21"/>
                <w:highlight w:val="none"/>
              </w:rPr>
            </w:pPr>
            <w:r>
              <w:rPr>
                <w:rFonts w:hint="eastAsia" w:ascii="宋体" w:hAnsi="宋体"/>
                <w:color w:val="auto"/>
                <w:sz w:val="21"/>
                <w:szCs w:val="21"/>
                <w:highlight w:val="none"/>
              </w:rPr>
              <w:t>（3）单价金额小数点或者百分比有明显错位的，以开标一览表的总价为准，并修改单价；</w:t>
            </w:r>
          </w:p>
          <w:p w14:paraId="593A0ED6">
            <w:pPr>
              <w:spacing w:line="400" w:lineRule="exact"/>
              <w:rPr>
                <w:rFonts w:ascii="宋体" w:hAnsi="宋体"/>
                <w:color w:val="auto"/>
                <w:sz w:val="21"/>
                <w:szCs w:val="21"/>
                <w:highlight w:val="none"/>
              </w:rPr>
            </w:pPr>
            <w:r>
              <w:rPr>
                <w:rFonts w:hint="eastAsia" w:ascii="宋体" w:hAnsi="宋体"/>
                <w:color w:val="auto"/>
                <w:sz w:val="21"/>
                <w:szCs w:val="21"/>
                <w:highlight w:val="none"/>
              </w:rPr>
              <w:t>（4）总价金额与按单价汇总金额不一致的，以单价金额计算结果为准；</w:t>
            </w:r>
          </w:p>
          <w:p w14:paraId="409824E0">
            <w:pPr>
              <w:spacing w:line="400" w:lineRule="exact"/>
              <w:rPr>
                <w:rFonts w:ascii="宋体" w:hAnsi="宋体"/>
                <w:color w:val="auto"/>
                <w:sz w:val="21"/>
                <w:szCs w:val="21"/>
                <w:highlight w:val="none"/>
              </w:rPr>
            </w:pPr>
            <w:r>
              <w:rPr>
                <w:rFonts w:hint="eastAsia" w:ascii="宋体" w:hAnsi="宋体"/>
                <w:color w:val="auto"/>
                <w:sz w:val="21"/>
                <w:szCs w:val="21"/>
                <w:highlight w:val="none"/>
              </w:rPr>
              <w:t>同时出现两种以上不一致的，按照前款规定的顺序修正。修正后的报价经投标人确认后具有约束力，若投标人不确认的，则其投标无效。</w:t>
            </w:r>
          </w:p>
        </w:tc>
        <w:tc>
          <w:tcPr>
            <w:tcW w:w="4423" w:type="dxa"/>
            <w:vAlign w:val="center"/>
          </w:tcPr>
          <w:p w14:paraId="02D6C6D4">
            <w:pPr>
              <w:spacing w:line="400" w:lineRule="exact"/>
              <w:rPr>
                <w:rFonts w:ascii="宋体" w:hAnsi="宋体"/>
                <w:color w:val="auto"/>
                <w:sz w:val="21"/>
                <w:szCs w:val="21"/>
                <w:highlight w:val="none"/>
              </w:rPr>
            </w:pPr>
            <w:r>
              <w:rPr>
                <w:rFonts w:hint="eastAsia" w:ascii="宋体" w:hAnsi="宋体"/>
                <w:color w:val="auto"/>
                <w:sz w:val="21"/>
                <w:szCs w:val="21"/>
                <w:highlight w:val="none"/>
              </w:rPr>
              <w:t>符合所述要求。</w:t>
            </w:r>
          </w:p>
        </w:tc>
      </w:tr>
      <w:tr w14:paraId="5DBE3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A39CB4D">
            <w:pPr>
              <w:snapToGrid w:val="0"/>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12</w:t>
            </w:r>
          </w:p>
        </w:tc>
        <w:tc>
          <w:tcPr>
            <w:tcW w:w="4272" w:type="dxa"/>
            <w:vAlign w:val="center"/>
          </w:tcPr>
          <w:p w14:paraId="0221E423">
            <w:pPr>
              <w:spacing w:line="40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本项目不接受联合体。</w:t>
            </w:r>
          </w:p>
        </w:tc>
        <w:tc>
          <w:tcPr>
            <w:tcW w:w="4423" w:type="dxa"/>
            <w:vAlign w:val="center"/>
          </w:tcPr>
          <w:p w14:paraId="272B1A8C">
            <w:pPr>
              <w:spacing w:line="40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w:t>
            </w:r>
            <w:r>
              <w:rPr>
                <w:rFonts w:hint="eastAsia" w:ascii="宋体" w:hAnsi="宋体" w:eastAsia="宋体" w:cs="Times New Roman"/>
                <w:color w:val="auto"/>
                <w:sz w:val="21"/>
                <w:szCs w:val="21"/>
                <w:highlight w:val="none"/>
              </w:rPr>
              <w:t>非联合体。</w:t>
            </w:r>
          </w:p>
        </w:tc>
      </w:tr>
      <w:tr w14:paraId="14719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2" w:type="dxa"/>
            <w:gridSpan w:val="2"/>
            <w:vAlign w:val="center"/>
          </w:tcPr>
          <w:p w14:paraId="7355C2A8">
            <w:pPr>
              <w:snapToGrid w:val="0"/>
              <w:spacing w:line="400" w:lineRule="exact"/>
              <w:jc w:val="center"/>
              <w:rPr>
                <w:rFonts w:ascii="宋体" w:hAnsi="宋体"/>
                <w:color w:val="auto"/>
                <w:sz w:val="21"/>
                <w:szCs w:val="21"/>
                <w:highlight w:val="none"/>
              </w:rPr>
            </w:pPr>
            <w:r>
              <w:rPr>
                <w:rFonts w:hint="eastAsia" w:ascii="宋体" w:hAnsi="宋体"/>
                <w:b/>
                <w:color w:val="auto"/>
                <w:sz w:val="21"/>
                <w:szCs w:val="21"/>
                <w:highlight w:val="none"/>
              </w:rPr>
              <w:t>符合性审查结论</w:t>
            </w:r>
          </w:p>
        </w:tc>
        <w:tc>
          <w:tcPr>
            <w:tcW w:w="4423" w:type="dxa"/>
            <w:vAlign w:val="center"/>
          </w:tcPr>
          <w:p w14:paraId="1F83A9F6">
            <w:pPr>
              <w:snapToGrid w:val="0"/>
              <w:spacing w:line="400" w:lineRule="exact"/>
              <w:rPr>
                <w:rFonts w:ascii="宋体" w:hAnsi="宋体"/>
                <w:color w:val="auto"/>
                <w:sz w:val="21"/>
                <w:szCs w:val="21"/>
                <w:highlight w:val="none"/>
              </w:rPr>
            </w:pPr>
          </w:p>
        </w:tc>
      </w:tr>
    </w:tbl>
    <w:p w14:paraId="6125590F">
      <w:pPr>
        <w:spacing w:line="400" w:lineRule="exact"/>
        <w:rPr>
          <w:rFonts w:ascii="宋体" w:hAnsi="宋体"/>
          <w:b/>
          <w:color w:val="auto"/>
          <w:sz w:val="21"/>
          <w:szCs w:val="21"/>
          <w:highlight w:val="none"/>
        </w:rPr>
      </w:pPr>
      <w:r>
        <w:rPr>
          <w:rFonts w:hint="eastAsia" w:ascii="宋体" w:hAnsi="宋体"/>
          <w:b/>
          <w:color w:val="auto"/>
          <w:sz w:val="21"/>
          <w:szCs w:val="21"/>
          <w:highlight w:val="none"/>
        </w:rPr>
        <w:t>注：</w:t>
      </w:r>
      <w:r>
        <w:rPr>
          <w:rFonts w:ascii="宋体" w:hAnsi="宋体"/>
          <w:b/>
          <w:color w:val="auto"/>
          <w:sz w:val="21"/>
          <w:szCs w:val="21"/>
          <w:highlight w:val="none"/>
        </w:rPr>
        <w:t>1</w:t>
      </w:r>
      <w:r>
        <w:rPr>
          <w:rFonts w:hint="eastAsia" w:ascii="宋体" w:hAnsi="宋体"/>
          <w:b/>
          <w:color w:val="auto"/>
          <w:sz w:val="21"/>
          <w:szCs w:val="21"/>
          <w:highlight w:val="none"/>
        </w:rPr>
        <w:t>、上述审查项目中，任意一项不符合的，符合性审查不合格。</w:t>
      </w:r>
    </w:p>
    <w:p w14:paraId="28D85336">
      <w:pPr>
        <w:spacing w:line="360" w:lineRule="auto"/>
        <w:ind w:firstLine="422" w:firstLineChars="200"/>
        <w:rPr>
          <w:color w:val="auto"/>
          <w:szCs w:val="24"/>
          <w:highlight w:val="none"/>
        </w:rPr>
      </w:pPr>
      <w:r>
        <w:rPr>
          <w:rFonts w:hint="eastAsia" w:ascii="宋体" w:hAnsi="宋体"/>
          <w:b/>
          <w:color w:val="auto"/>
          <w:sz w:val="21"/>
          <w:szCs w:val="21"/>
          <w:highlight w:val="none"/>
        </w:rPr>
        <w:t>2、序号3-序号</w:t>
      </w: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、序号</w:t>
      </w:r>
      <w:r>
        <w:rPr>
          <w:rFonts w:hint="eastAsia" w:ascii="宋体" w:hAnsi="宋体"/>
          <w:b/>
          <w:color w:val="auto"/>
          <w:sz w:val="21"/>
          <w:szCs w:val="21"/>
          <w:highlight w:val="none"/>
          <w:lang w:val="en-US" w:eastAsia="zh-CN"/>
        </w:rPr>
        <w:t>10</w:t>
      </w:r>
      <w:r>
        <w:rPr>
          <w:rFonts w:hint="eastAsia" w:ascii="宋体" w:hAnsi="宋体"/>
          <w:b/>
          <w:color w:val="auto"/>
          <w:sz w:val="21"/>
          <w:szCs w:val="21"/>
          <w:highlight w:val="none"/>
        </w:rPr>
        <w:t>-1</w:t>
      </w: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rPr>
        <w:t>在政采云上无须添加关联点。</w:t>
      </w:r>
    </w:p>
    <w:p w14:paraId="1DF15A68">
      <w:pPr>
        <w:pStyle w:val="24"/>
        <w:widowControl/>
        <w:spacing w:line="360" w:lineRule="auto"/>
        <w:ind w:firstLine="420" w:firstLineChars="200"/>
        <w:jc w:val="left"/>
        <w:rPr>
          <w:rFonts w:hAnsi="宋体"/>
          <w:color w:val="auto"/>
          <w:highlight w:val="none"/>
        </w:rPr>
      </w:pPr>
    </w:p>
    <w:p w14:paraId="27E632B0">
      <w:pPr>
        <w:adjustRightInd/>
        <w:spacing w:line="480" w:lineRule="auto"/>
        <w:ind w:firstLine="422" w:firstLineChars="200"/>
        <w:jc w:val="center"/>
        <w:textAlignment w:val="auto"/>
        <w:rPr>
          <w:rFonts w:ascii="宋体" w:hAnsi="宋体"/>
          <w:b/>
          <w:color w:val="auto"/>
          <w:sz w:val="21"/>
          <w:szCs w:val="21"/>
          <w:highlight w:val="none"/>
        </w:rPr>
      </w:pPr>
      <w:r>
        <w:rPr>
          <w:rFonts w:ascii="宋体" w:hAnsi="宋体"/>
          <w:b/>
          <w:color w:val="auto"/>
          <w:sz w:val="21"/>
          <w:szCs w:val="21"/>
          <w:highlight w:val="none"/>
        </w:rPr>
        <w:br w:type="page"/>
      </w:r>
    </w:p>
    <w:p w14:paraId="62F922E3">
      <w:pPr>
        <w:pStyle w:val="17"/>
        <w:rPr>
          <w:rFonts w:hint="eastAsia" w:ascii="宋体" w:hAnsi="宋体"/>
          <w:b/>
          <w:color w:val="auto"/>
          <w:sz w:val="21"/>
          <w:szCs w:val="21"/>
          <w:highlight w:val="none"/>
        </w:rPr>
      </w:pPr>
      <w:r>
        <w:rPr>
          <w:rFonts w:hint="eastAsia" w:ascii="宋体" w:hAnsi="宋体"/>
          <w:b/>
          <w:color w:val="auto"/>
          <w:sz w:val="21"/>
          <w:szCs w:val="21"/>
          <w:highlight w:val="none"/>
        </w:rPr>
        <w:t>附表3：</w:t>
      </w:r>
    </w:p>
    <w:p w14:paraId="56F4398A">
      <w:pPr>
        <w:pStyle w:val="17"/>
        <w:jc w:val="center"/>
        <w:rPr>
          <w:rFonts w:hint="eastAsia" w:ascii="宋体" w:hAnsi="宋体"/>
          <w:b/>
          <w:color w:val="auto"/>
          <w:sz w:val="21"/>
          <w:szCs w:val="21"/>
          <w:highlight w:val="none"/>
        </w:rPr>
      </w:pPr>
      <w:r>
        <w:rPr>
          <w:rFonts w:hint="eastAsia" w:ascii="宋体" w:hAnsi="宋体"/>
          <w:b/>
          <w:color w:val="auto"/>
          <w:sz w:val="21"/>
          <w:szCs w:val="21"/>
          <w:highlight w:val="none"/>
        </w:rPr>
        <w:t>评分标准（兼评委打分表）</w:t>
      </w:r>
    </w:p>
    <w:tbl>
      <w:tblPr>
        <w:tblStyle w:val="41"/>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67"/>
        <w:gridCol w:w="6123"/>
        <w:gridCol w:w="678"/>
        <w:gridCol w:w="964"/>
      </w:tblGrid>
      <w:tr w14:paraId="654F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172A6B29">
            <w:pPr>
              <w:widowControl/>
              <w:spacing w:line="360" w:lineRule="exact"/>
              <w:rPr>
                <w:rFonts w:ascii="宋体" w:hAnsi="宋体" w:cs="宋体"/>
                <w:b/>
                <w:bCs/>
                <w:kern w:val="0"/>
                <w:sz w:val="21"/>
                <w:szCs w:val="21"/>
                <w:highlight w:val="none"/>
              </w:rPr>
            </w:pPr>
            <w:r>
              <w:rPr>
                <w:rFonts w:hint="eastAsia" w:ascii="宋体" w:hAnsi="宋体" w:cs="宋体"/>
                <w:b/>
                <w:bCs/>
                <w:kern w:val="0"/>
                <w:sz w:val="21"/>
                <w:szCs w:val="21"/>
                <w:highlight w:val="none"/>
              </w:rPr>
              <w:t>序号</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7A5A802F">
            <w:pPr>
              <w:widowControl/>
              <w:spacing w:line="360" w:lineRule="exact"/>
              <w:jc w:val="center"/>
              <w:rPr>
                <w:rFonts w:ascii="宋体" w:hAnsi="宋体" w:cs="宋体"/>
                <w:b/>
                <w:bCs/>
                <w:kern w:val="0"/>
                <w:sz w:val="21"/>
                <w:szCs w:val="21"/>
                <w:highlight w:val="none"/>
              </w:rPr>
            </w:pPr>
            <w:r>
              <w:rPr>
                <w:rFonts w:ascii="宋体" w:hAnsi="宋体" w:cs="宋体"/>
                <w:b/>
                <w:bCs/>
                <w:kern w:val="0"/>
                <w:sz w:val="21"/>
                <w:szCs w:val="21"/>
                <w:highlight w:val="none"/>
              </w:rPr>
              <w:t>评审项目</w:t>
            </w:r>
          </w:p>
        </w:tc>
        <w:tc>
          <w:tcPr>
            <w:tcW w:w="3106" w:type="pct"/>
            <w:tcBorders>
              <w:top w:val="single" w:color="auto" w:sz="4" w:space="0"/>
              <w:left w:val="single" w:color="auto" w:sz="4" w:space="0"/>
              <w:bottom w:val="single" w:color="auto" w:sz="4" w:space="0"/>
              <w:right w:val="single" w:color="auto" w:sz="4" w:space="0"/>
            </w:tcBorders>
            <w:noWrap w:val="0"/>
            <w:vAlign w:val="center"/>
          </w:tcPr>
          <w:p w14:paraId="1CD5E292">
            <w:pPr>
              <w:widowControl/>
              <w:spacing w:line="36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评分标准</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7D045098">
            <w:pPr>
              <w:widowControl/>
              <w:spacing w:line="36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分值</w:t>
            </w:r>
          </w:p>
        </w:tc>
        <w:tc>
          <w:tcPr>
            <w:tcW w:w="489" w:type="pct"/>
            <w:tcBorders>
              <w:top w:val="single" w:color="auto" w:sz="4" w:space="0"/>
              <w:left w:val="single" w:color="auto" w:sz="4" w:space="0"/>
              <w:bottom w:val="single" w:color="auto" w:sz="4" w:space="0"/>
              <w:right w:val="single" w:color="auto" w:sz="4" w:space="0"/>
            </w:tcBorders>
            <w:noWrap w:val="0"/>
            <w:vAlign w:val="center"/>
          </w:tcPr>
          <w:p w14:paraId="115D4B69">
            <w:pPr>
              <w:widowControl/>
              <w:spacing w:line="36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备注</w:t>
            </w:r>
          </w:p>
        </w:tc>
      </w:tr>
      <w:tr w14:paraId="0089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0240C343">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47AC2DB3">
            <w:pPr>
              <w:widowControl/>
              <w:spacing w:line="360" w:lineRule="exact"/>
              <w:ind w:firstLine="63" w:firstLineChars="30"/>
              <w:jc w:val="center"/>
              <w:rPr>
                <w:rFonts w:ascii="宋体" w:hAnsi="宋体" w:cs="宋体"/>
                <w:kern w:val="0"/>
                <w:sz w:val="21"/>
                <w:szCs w:val="21"/>
                <w:highlight w:val="none"/>
              </w:rPr>
            </w:pPr>
            <w:r>
              <w:rPr>
                <w:rFonts w:hint="eastAsia" w:ascii="宋体" w:hAnsi="宋体" w:cs="宋体"/>
                <w:kern w:val="0"/>
                <w:sz w:val="21"/>
                <w:szCs w:val="21"/>
                <w:highlight w:val="none"/>
              </w:rPr>
              <w:t>技术参数响应情况</w:t>
            </w:r>
          </w:p>
        </w:tc>
        <w:tc>
          <w:tcPr>
            <w:tcW w:w="3106" w:type="pct"/>
            <w:tcBorders>
              <w:top w:val="single" w:color="auto" w:sz="4" w:space="0"/>
              <w:left w:val="single" w:color="auto" w:sz="4" w:space="0"/>
              <w:bottom w:val="single" w:color="auto" w:sz="4" w:space="0"/>
              <w:right w:val="single" w:color="auto" w:sz="4" w:space="0"/>
            </w:tcBorders>
            <w:noWrap w:val="0"/>
            <w:vAlign w:val="center"/>
          </w:tcPr>
          <w:p w14:paraId="2CBF3C08">
            <w:pPr>
              <w:widowControl/>
              <w:spacing w:line="360" w:lineRule="exac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完全满足第</w:t>
            </w:r>
            <w:r>
              <w:rPr>
                <w:rFonts w:hint="eastAsia" w:ascii="宋体" w:hAnsi="宋体" w:cs="宋体"/>
                <w:kern w:val="0"/>
                <w:sz w:val="21"/>
                <w:szCs w:val="21"/>
                <w:highlight w:val="none"/>
                <w:lang w:val="en-US" w:eastAsia="zh-CN"/>
              </w:rPr>
              <w:t>四</w:t>
            </w:r>
            <w:r>
              <w:rPr>
                <w:rFonts w:hint="eastAsia" w:ascii="宋体" w:hAnsi="宋体" w:cs="宋体"/>
                <w:kern w:val="0"/>
                <w:sz w:val="21"/>
                <w:szCs w:val="21"/>
                <w:highlight w:val="none"/>
              </w:rPr>
              <w:t>章</w:t>
            </w:r>
            <w:r>
              <w:rPr>
                <w:rFonts w:hint="eastAsia" w:ascii="宋体" w:hAnsi="宋体" w:cs="宋体"/>
                <w:kern w:val="0"/>
                <w:sz w:val="21"/>
                <w:szCs w:val="21"/>
                <w:highlight w:val="none"/>
                <w:lang w:val="en-US" w:eastAsia="zh-CN"/>
              </w:rPr>
              <w:t>招标内容及技术需求</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一</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招标货物清单</w:t>
            </w:r>
            <w:r>
              <w:rPr>
                <w:rFonts w:hint="eastAsia" w:ascii="宋体" w:hAnsi="宋体" w:cs="宋体"/>
                <w:kern w:val="0"/>
                <w:sz w:val="21"/>
                <w:szCs w:val="21"/>
                <w:highlight w:val="none"/>
              </w:rPr>
              <w:t>及技术参数”里的技术参数的得</w:t>
            </w:r>
            <w:r>
              <w:rPr>
                <w:rFonts w:hint="eastAsia" w:ascii="宋体" w:hAnsi="宋体" w:cs="宋体"/>
                <w:kern w:val="0"/>
                <w:sz w:val="21"/>
                <w:szCs w:val="21"/>
                <w:highlight w:val="none"/>
                <w:lang w:val="en-US" w:eastAsia="zh-CN"/>
              </w:rPr>
              <w:t>25</w:t>
            </w:r>
            <w:r>
              <w:rPr>
                <w:rFonts w:hint="eastAsia" w:ascii="宋体" w:hAnsi="宋体" w:cs="宋体"/>
                <w:kern w:val="0"/>
                <w:sz w:val="21"/>
                <w:szCs w:val="21"/>
                <w:highlight w:val="none"/>
              </w:rPr>
              <w:t>分。★号项为实质性参数，负偏离任意一项作无效投标处理；▲号项为重要参数，负偏离一项扣1.5分；其他项目属于一般参数，负偏离一项扣1分，</w:t>
            </w:r>
            <w:r>
              <w:rPr>
                <w:rFonts w:hint="eastAsia" w:ascii="宋体" w:hAnsi="宋体" w:eastAsia="宋体" w:cs="宋体"/>
                <w:color w:val="auto"/>
                <w:kern w:val="2"/>
                <w:sz w:val="21"/>
                <w:szCs w:val="21"/>
                <w:highlight w:val="none"/>
                <w:lang w:val="ru-RU" w:eastAsia="zh-CN"/>
              </w:rPr>
              <w:t>相同指标不重复扣分</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技术参数响应得分为0分或者扣至负分的将被视为无效投标。</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187AF9C0">
            <w:pPr>
              <w:widowControl/>
              <w:spacing w:line="360" w:lineRule="exact"/>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25</w:t>
            </w:r>
          </w:p>
        </w:tc>
        <w:tc>
          <w:tcPr>
            <w:tcW w:w="489" w:type="pct"/>
            <w:tcBorders>
              <w:top w:val="single" w:color="auto" w:sz="4" w:space="0"/>
              <w:left w:val="single" w:color="auto" w:sz="4" w:space="0"/>
              <w:bottom w:val="single" w:color="auto" w:sz="4" w:space="0"/>
              <w:right w:val="single" w:color="auto" w:sz="4" w:space="0"/>
            </w:tcBorders>
            <w:noWrap w:val="0"/>
            <w:vAlign w:val="center"/>
          </w:tcPr>
          <w:p w14:paraId="76A016D5">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客观分</w:t>
            </w:r>
          </w:p>
        </w:tc>
      </w:tr>
      <w:tr w14:paraId="65B0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2FBC2074">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6C222B2F">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资质认证</w:t>
            </w:r>
          </w:p>
        </w:tc>
        <w:tc>
          <w:tcPr>
            <w:tcW w:w="3106" w:type="pct"/>
            <w:tcBorders>
              <w:top w:val="single" w:color="auto" w:sz="4" w:space="0"/>
              <w:left w:val="single" w:color="auto" w:sz="4" w:space="0"/>
              <w:bottom w:val="single" w:color="auto" w:sz="4" w:space="0"/>
              <w:right w:val="single" w:color="auto" w:sz="4" w:space="0"/>
            </w:tcBorders>
            <w:noWrap w:val="0"/>
            <w:vAlign w:val="center"/>
          </w:tcPr>
          <w:p w14:paraId="35A27C11">
            <w:pPr>
              <w:widowControl/>
              <w:spacing w:line="360" w:lineRule="exact"/>
              <w:rPr>
                <w:rFonts w:hint="eastAsia" w:ascii="宋体" w:hAnsi="宋体" w:cs="宋体"/>
                <w:kern w:val="0"/>
                <w:sz w:val="21"/>
                <w:szCs w:val="21"/>
                <w:highlight w:val="none"/>
              </w:rPr>
            </w:pPr>
            <w:r>
              <w:rPr>
                <w:rFonts w:hint="eastAsia" w:ascii="宋体" w:hAnsi="宋体" w:cs="宋体"/>
                <w:kern w:val="0"/>
                <w:sz w:val="21"/>
                <w:szCs w:val="21"/>
                <w:highlight w:val="none"/>
              </w:rPr>
              <w:t>1.投标人具备有效的ISO9000系列认证证书质量管理体系认证证书得1分。</w:t>
            </w:r>
          </w:p>
          <w:p w14:paraId="2F7C6F20">
            <w:pPr>
              <w:widowControl/>
              <w:spacing w:line="360" w:lineRule="exac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2.投标人具备有效的ISO14001环境管理体系认证证书得1分。</w:t>
            </w:r>
          </w:p>
          <w:p w14:paraId="242B9C19">
            <w:pPr>
              <w:widowControl/>
              <w:spacing w:line="360" w:lineRule="exact"/>
              <w:rPr>
                <w:rFonts w:ascii="宋体" w:hAnsi="宋体" w:cs="宋体"/>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.投标人具备有效的ISO20000信息技术服务管理体系认证证书得1分。</w:t>
            </w:r>
          </w:p>
          <w:p w14:paraId="3B0F1A29">
            <w:pPr>
              <w:widowControl/>
              <w:spacing w:line="360" w:lineRule="exact"/>
              <w:rPr>
                <w:rFonts w:ascii="宋体" w:hAnsi="宋体" w:cs="宋体"/>
                <w:kern w:val="0"/>
                <w:sz w:val="21"/>
                <w:szCs w:val="21"/>
                <w:highlight w:val="none"/>
              </w:rPr>
            </w:pP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rPr>
              <w:t>.投标人具备有效的ISO27001信息安全管理体系认证证书得1分。</w:t>
            </w:r>
          </w:p>
          <w:p w14:paraId="5A5C6D00">
            <w:pPr>
              <w:widowControl/>
              <w:spacing w:line="360" w:lineRule="exact"/>
              <w:rPr>
                <w:rFonts w:ascii="宋体" w:hAnsi="宋体" w:cs="宋体"/>
                <w:kern w:val="0"/>
                <w:sz w:val="21"/>
                <w:szCs w:val="21"/>
                <w:highlight w:val="none"/>
              </w:rPr>
            </w:pPr>
            <w:r>
              <w:rPr>
                <w:rFonts w:hint="eastAsia" w:ascii="宋体" w:hAnsi="宋体" w:cs="宋体"/>
                <w:kern w:val="0"/>
                <w:sz w:val="21"/>
                <w:szCs w:val="21"/>
                <w:highlight w:val="none"/>
              </w:rPr>
              <w:t>投标文件中提供证书扫描件加盖投标人公章。投标文件须提供证书证明文件复印件加盖投标人公章，否则不得分。</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4C1D3AE8">
            <w:pPr>
              <w:widowControl/>
              <w:spacing w:line="360" w:lineRule="exact"/>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4</w:t>
            </w:r>
          </w:p>
        </w:tc>
        <w:tc>
          <w:tcPr>
            <w:tcW w:w="489" w:type="pct"/>
            <w:tcBorders>
              <w:top w:val="single" w:color="auto" w:sz="4" w:space="0"/>
              <w:left w:val="single" w:color="auto" w:sz="4" w:space="0"/>
              <w:bottom w:val="single" w:color="auto" w:sz="4" w:space="0"/>
              <w:right w:val="single" w:color="auto" w:sz="4" w:space="0"/>
            </w:tcBorders>
            <w:noWrap w:val="0"/>
            <w:vAlign w:val="center"/>
          </w:tcPr>
          <w:p w14:paraId="566E8812">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客观分</w:t>
            </w:r>
          </w:p>
        </w:tc>
      </w:tr>
      <w:tr w14:paraId="3E29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0E8055">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3</w:t>
            </w:r>
          </w:p>
        </w:tc>
        <w:tc>
          <w:tcPr>
            <w:tcW w:w="64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B5D40A">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类似业绩</w:t>
            </w:r>
          </w:p>
        </w:tc>
        <w:tc>
          <w:tcPr>
            <w:tcW w:w="31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F11C4B">
            <w:pPr>
              <w:widowControl/>
              <w:spacing w:line="360" w:lineRule="exact"/>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投标人自20</w:t>
            </w:r>
            <w:r>
              <w:rPr>
                <w:rFonts w:hint="eastAsia" w:ascii="宋体" w:hAnsi="宋体" w:cs="宋体"/>
                <w:kern w:val="0"/>
                <w:sz w:val="21"/>
                <w:szCs w:val="21"/>
                <w:highlight w:val="none"/>
                <w:lang w:val="en-US" w:eastAsia="zh-CN"/>
              </w:rPr>
              <w:t>22</w:t>
            </w:r>
            <w:r>
              <w:rPr>
                <w:rFonts w:hint="eastAsia" w:ascii="宋体" w:hAnsi="宋体" w:cs="宋体"/>
                <w:kern w:val="0"/>
                <w:sz w:val="21"/>
                <w:szCs w:val="21"/>
                <w:highlight w:val="none"/>
              </w:rPr>
              <w:t>年1月1日至投标截止日（以合同签订时间为准），曾承接过类似图书</w:t>
            </w:r>
            <w:r>
              <w:rPr>
                <w:rFonts w:hint="eastAsia" w:ascii="宋体" w:hAnsi="宋体" w:cs="宋体"/>
                <w:kern w:val="0"/>
                <w:sz w:val="21"/>
                <w:szCs w:val="21"/>
                <w:highlight w:val="none"/>
                <w:lang w:val="en-US" w:eastAsia="zh-CN"/>
              </w:rPr>
              <w:t>阅读空间</w:t>
            </w:r>
            <w:r>
              <w:rPr>
                <w:rFonts w:hint="eastAsia" w:ascii="宋体" w:hAnsi="宋体" w:cs="宋体"/>
                <w:kern w:val="0"/>
                <w:sz w:val="21"/>
                <w:szCs w:val="21"/>
                <w:highlight w:val="none"/>
              </w:rPr>
              <w:t>设备项目的业绩，每提供一个得1.5分，本项满分3分；投标文件中须提供合同复印件加盖投标人公章，合同须体现打分因素项，否则不得分。</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3E9F30">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3</w:t>
            </w:r>
          </w:p>
        </w:tc>
        <w:tc>
          <w:tcPr>
            <w:tcW w:w="4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7D3478">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客观分</w:t>
            </w:r>
          </w:p>
        </w:tc>
      </w:tr>
      <w:tr w14:paraId="2A98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2DB5B2">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4</w:t>
            </w:r>
          </w:p>
        </w:tc>
        <w:tc>
          <w:tcPr>
            <w:tcW w:w="64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372510">
            <w:pPr>
              <w:widowControl/>
              <w:spacing w:line="36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供货</w:t>
            </w:r>
            <w:r>
              <w:rPr>
                <w:rFonts w:hint="eastAsia" w:ascii="宋体" w:hAnsi="宋体" w:cs="宋体"/>
                <w:kern w:val="0"/>
                <w:sz w:val="21"/>
                <w:szCs w:val="21"/>
                <w:highlight w:val="none"/>
              </w:rPr>
              <w:t>安装调试方案</w:t>
            </w:r>
          </w:p>
        </w:tc>
        <w:tc>
          <w:tcPr>
            <w:tcW w:w="31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04B1E5">
            <w:pPr>
              <w:widowControl/>
              <w:spacing w:line="360" w:lineRule="exact"/>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评标委员会根据</w:t>
            </w:r>
            <w:r>
              <w:rPr>
                <w:rFonts w:hint="eastAsia" w:ascii="宋体" w:hAnsi="宋体" w:cs="宋体"/>
                <w:kern w:val="0"/>
                <w:sz w:val="21"/>
                <w:szCs w:val="21"/>
                <w:highlight w:val="none"/>
              </w:rPr>
              <w:t>供应商针对本项目提供完整的设备</w:t>
            </w:r>
            <w:r>
              <w:rPr>
                <w:rFonts w:hint="eastAsia" w:ascii="宋体" w:hAnsi="宋体" w:cs="宋体"/>
                <w:kern w:val="0"/>
                <w:sz w:val="21"/>
                <w:szCs w:val="21"/>
                <w:highlight w:val="none"/>
                <w:lang w:val="en-US" w:eastAsia="zh-CN"/>
              </w:rPr>
              <w:t>供货、</w:t>
            </w:r>
            <w:r>
              <w:rPr>
                <w:rFonts w:hint="eastAsia" w:ascii="宋体" w:hAnsi="宋体" w:cs="宋体"/>
                <w:kern w:val="0"/>
                <w:sz w:val="21"/>
                <w:szCs w:val="21"/>
                <w:highlight w:val="none"/>
              </w:rPr>
              <w:t>安装及调试方案</w:t>
            </w:r>
            <w:r>
              <w:rPr>
                <w:rFonts w:hint="eastAsia" w:ascii="宋体" w:hAnsi="宋体" w:cs="宋体"/>
                <w:kern w:val="0"/>
                <w:sz w:val="21"/>
                <w:szCs w:val="21"/>
                <w:highlight w:val="none"/>
                <w:lang w:val="en-US" w:eastAsia="zh-CN"/>
              </w:rPr>
              <w:t>进行综合评议：</w:t>
            </w:r>
          </w:p>
          <w:p w14:paraId="25D0ACD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ru-RU" w:eastAsia="zh-CN"/>
              </w:rPr>
              <w:t>投标人的</w:t>
            </w:r>
            <w:r>
              <w:rPr>
                <w:rFonts w:hint="eastAsia" w:ascii="宋体" w:hAnsi="宋体" w:cs="宋体"/>
                <w:kern w:val="0"/>
                <w:sz w:val="21"/>
                <w:szCs w:val="21"/>
                <w:highlight w:val="none"/>
              </w:rPr>
              <w:t>设备</w:t>
            </w:r>
            <w:r>
              <w:rPr>
                <w:rFonts w:hint="eastAsia" w:ascii="宋体" w:hAnsi="宋体" w:cs="宋体"/>
                <w:kern w:val="0"/>
                <w:sz w:val="21"/>
                <w:szCs w:val="21"/>
                <w:highlight w:val="none"/>
                <w:lang w:val="en-US" w:eastAsia="zh-CN"/>
              </w:rPr>
              <w:t>供货、</w:t>
            </w:r>
            <w:r>
              <w:rPr>
                <w:rFonts w:hint="eastAsia" w:ascii="宋体" w:hAnsi="宋体" w:cs="宋体"/>
                <w:kern w:val="0"/>
                <w:sz w:val="21"/>
                <w:szCs w:val="21"/>
                <w:highlight w:val="none"/>
              </w:rPr>
              <w:t>安装及调试方案</w:t>
            </w:r>
            <w:r>
              <w:rPr>
                <w:rFonts w:hint="eastAsia" w:ascii="宋体" w:hAnsi="宋体" w:cs="宋体"/>
                <w:bCs/>
                <w:kern w:val="2"/>
                <w:sz w:val="21"/>
                <w:szCs w:val="21"/>
                <w:highlight w:val="none"/>
                <w:lang w:val="en-US" w:eastAsia="zh-CN"/>
              </w:rPr>
              <w:t>详细完整，可操作性强，有利于项目实施的</w:t>
            </w:r>
            <w:r>
              <w:rPr>
                <w:rFonts w:hint="eastAsia" w:ascii="宋体" w:hAnsi="宋体" w:eastAsia="宋体" w:cs="宋体"/>
                <w:bCs/>
                <w:kern w:val="2"/>
                <w:sz w:val="21"/>
                <w:szCs w:val="21"/>
                <w:highlight w:val="none"/>
                <w:lang w:val="en-US" w:eastAsia="zh-CN"/>
              </w:rPr>
              <w:t>得</w:t>
            </w:r>
            <w:r>
              <w:rPr>
                <w:rFonts w:hint="eastAsia" w:ascii="宋体" w:hAnsi="宋体" w:cs="宋体"/>
                <w:bCs/>
                <w:kern w:val="2"/>
                <w:sz w:val="21"/>
                <w:szCs w:val="21"/>
                <w:highlight w:val="none"/>
                <w:lang w:val="en-US" w:eastAsia="zh-CN"/>
              </w:rPr>
              <w:t>6</w:t>
            </w:r>
            <w:r>
              <w:rPr>
                <w:rFonts w:hint="eastAsia" w:ascii="宋体" w:hAnsi="宋体" w:eastAsia="宋体" w:cs="宋体"/>
                <w:bCs/>
                <w:kern w:val="2"/>
                <w:sz w:val="21"/>
                <w:szCs w:val="21"/>
                <w:highlight w:val="none"/>
                <w:lang w:val="en-US" w:eastAsia="zh-CN"/>
              </w:rPr>
              <w:t>分；</w:t>
            </w:r>
          </w:p>
          <w:p w14:paraId="37C4C1B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ru-RU" w:eastAsia="zh-CN"/>
              </w:rPr>
              <w:t>投标人的</w:t>
            </w:r>
            <w:r>
              <w:rPr>
                <w:rFonts w:hint="eastAsia" w:ascii="宋体" w:hAnsi="宋体" w:cs="宋体"/>
                <w:kern w:val="0"/>
                <w:sz w:val="21"/>
                <w:szCs w:val="21"/>
                <w:highlight w:val="none"/>
              </w:rPr>
              <w:t>设备</w:t>
            </w:r>
            <w:r>
              <w:rPr>
                <w:rFonts w:hint="eastAsia" w:ascii="宋体" w:hAnsi="宋体" w:cs="宋体"/>
                <w:kern w:val="0"/>
                <w:sz w:val="21"/>
                <w:szCs w:val="21"/>
                <w:highlight w:val="none"/>
                <w:lang w:val="en-US" w:eastAsia="zh-CN"/>
              </w:rPr>
              <w:t>供货、</w:t>
            </w:r>
            <w:r>
              <w:rPr>
                <w:rFonts w:hint="eastAsia" w:ascii="宋体" w:hAnsi="宋体" w:cs="宋体"/>
                <w:kern w:val="0"/>
                <w:sz w:val="21"/>
                <w:szCs w:val="21"/>
                <w:highlight w:val="none"/>
              </w:rPr>
              <w:t>安装及调试方案</w:t>
            </w:r>
            <w:r>
              <w:rPr>
                <w:rFonts w:hint="eastAsia" w:ascii="宋体" w:hAnsi="宋体" w:cs="宋体"/>
                <w:bCs/>
                <w:kern w:val="2"/>
                <w:sz w:val="21"/>
                <w:szCs w:val="21"/>
                <w:highlight w:val="none"/>
                <w:lang w:val="en-US" w:eastAsia="zh-CN"/>
              </w:rPr>
              <w:t>较详细完整，可操作性较强，较有利项目实施</w:t>
            </w:r>
            <w:r>
              <w:rPr>
                <w:rFonts w:hint="eastAsia" w:ascii="宋体" w:hAnsi="宋体" w:eastAsia="宋体" w:cs="宋体"/>
                <w:bCs/>
                <w:kern w:val="2"/>
                <w:sz w:val="21"/>
                <w:szCs w:val="21"/>
                <w:highlight w:val="none"/>
                <w:lang w:val="en-US" w:eastAsia="zh-CN"/>
              </w:rPr>
              <w:t>的得</w:t>
            </w:r>
            <w:r>
              <w:rPr>
                <w:rFonts w:hint="eastAsia" w:ascii="宋体" w:hAnsi="宋体" w:cs="宋体"/>
                <w:bCs/>
                <w:kern w:val="2"/>
                <w:sz w:val="21"/>
                <w:szCs w:val="21"/>
                <w:highlight w:val="none"/>
                <w:lang w:val="en-US" w:eastAsia="zh-CN"/>
              </w:rPr>
              <w:t>4</w:t>
            </w:r>
            <w:r>
              <w:rPr>
                <w:rFonts w:hint="eastAsia" w:ascii="宋体" w:hAnsi="宋体" w:eastAsia="宋体" w:cs="宋体"/>
                <w:bCs/>
                <w:kern w:val="2"/>
                <w:sz w:val="21"/>
                <w:szCs w:val="21"/>
                <w:highlight w:val="none"/>
                <w:lang w:val="en-US" w:eastAsia="zh-CN"/>
              </w:rPr>
              <w:t>分；</w:t>
            </w:r>
          </w:p>
          <w:p w14:paraId="65DE9B0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ru-RU" w:eastAsia="zh-CN"/>
              </w:rPr>
              <w:t>投标人的项目实施方案描述单一，基本合理、实用性一般</w:t>
            </w:r>
            <w:r>
              <w:rPr>
                <w:rFonts w:hint="eastAsia" w:ascii="宋体" w:hAnsi="宋体" w:eastAsia="宋体" w:cs="宋体"/>
                <w:bCs/>
                <w:kern w:val="2"/>
                <w:sz w:val="21"/>
                <w:szCs w:val="21"/>
                <w:highlight w:val="none"/>
                <w:lang w:val="en-US" w:eastAsia="zh-CN"/>
              </w:rPr>
              <w:t>的得</w:t>
            </w:r>
            <w:r>
              <w:rPr>
                <w:rFonts w:hint="eastAsia" w:ascii="宋体" w:hAnsi="宋体" w:cs="宋体"/>
                <w:bCs/>
                <w:kern w:val="2"/>
                <w:sz w:val="21"/>
                <w:szCs w:val="21"/>
                <w:highlight w:val="none"/>
                <w:lang w:val="en-US" w:eastAsia="zh-CN"/>
              </w:rPr>
              <w:t>2</w:t>
            </w:r>
            <w:r>
              <w:rPr>
                <w:rFonts w:hint="eastAsia" w:ascii="宋体" w:hAnsi="宋体" w:eastAsia="宋体" w:cs="宋体"/>
                <w:bCs/>
                <w:kern w:val="2"/>
                <w:sz w:val="21"/>
                <w:szCs w:val="21"/>
                <w:highlight w:val="none"/>
                <w:lang w:val="en-US" w:eastAsia="zh-CN"/>
              </w:rPr>
              <w:t>分；</w:t>
            </w:r>
          </w:p>
          <w:p w14:paraId="24481B49">
            <w:pPr>
              <w:widowControl/>
              <w:spacing w:line="360" w:lineRule="exact"/>
              <w:rPr>
                <w:rFonts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未提供方案的不得分。</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EBFE5E">
            <w:pPr>
              <w:widowControl/>
              <w:spacing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6</w:t>
            </w:r>
          </w:p>
        </w:tc>
        <w:tc>
          <w:tcPr>
            <w:tcW w:w="4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F6D473">
            <w:pPr>
              <w:widowControl/>
              <w:spacing w:line="36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主观分</w:t>
            </w:r>
          </w:p>
        </w:tc>
      </w:tr>
      <w:tr w14:paraId="647A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293BE870">
            <w:pPr>
              <w:widowControl/>
              <w:spacing w:line="360" w:lineRule="exact"/>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w:t>
            </w:r>
          </w:p>
        </w:tc>
        <w:tc>
          <w:tcPr>
            <w:tcW w:w="64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71F504">
            <w:pPr>
              <w:widowControl/>
              <w:spacing w:line="36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工期进度计划</w:t>
            </w:r>
          </w:p>
        </w:tc>
        <w:tc>
          <w:tcPr>
            <w:tcW w:w="31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221845">
            <w:pPr>
              <w:widowControl/>
              <w:spacing w:line="360" w:lineRule="exact"/>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评标委员会</w:t>
            </w:r>
            <w:r>
              <w:rPr>
                <w:rFonts w:hint="eastAsia" w:ascii="宋体" w:hAnsi="宋体" w:cs="宋体"/>
                <w:kern w:val="0"/>
                <w:sz w:val="21"/>
                <w:szCs w:val="21"/>
                <w:highlight w:val="none"/>
              </w:rPr>
              <w:t>根据供应商</w:t>
            </w:r>
            <w:r>
              <w:rPr>
                <w:rFonts w:hint="eastAsia" w:ascii="宋体" w:hAnsi="宋体" w:cs="宋体"/>
                <w:kern w:val="0"/>
                <w:sz w:val="21"/>
                <w:szCs w:val="21"/>
                <w:highlight w:val="none"/>
                <w:lang w:val="en-US" w:eastAsia="zh-CN"/>
              </w:rPr>
              <w:t>提供的</w:t>
            </w:r>
            <w:r>
              <w:rPr>
                <w:rFonts w:hint="eastAsia" w:ascii="宋体" w:hAnsi="宋体" w:cs="宋体"/>
                <w:kern w:val="0"/>
                <w:sz w:val="21"/>
                <w:szCs w:val="21"/>
                <w:highlight w:val="none"/>
              </w:rPr>
              <w:t>针对本项目完整的项目实施计划、工期进度计划方案</w:t>
            </w:r>
            <w:r>
              <w:rPr>
                <w:rFonts w:hint="eastAsia" w:ascii="宋体" w:hAnsi="宋体" w:cs="宋体"/>
                <w:kern w:val="0"/>
                <w:sz w:val="21"/>
                <w:szCs w:val="21"/>
                <w:highlight w:val="none"/>
                <w:lang w:val="en-US" w:eastAsia="zh-CN"/>
              </w:rPr>
              <w:t>进行综合评议：</w:t>
            </w:r>
          </w:p>
          <w:p w14:paraId="491E4AF1">
            <w:pPr>
              <w:widowControl/>
              <w:spacing w:line="360" w:lineRule="exact"/>
              <w:rPr>
                <w:rFonts w:hint="eastAsia" w:ascii="宋体" w:hAnsi="宋体" w:cs="宋体"/>
                <w:kern w:val="0"/>
                <w:sz w:val="21"/>
                <w:szCs w:val="21"/>
                <w:highlight w:val="none"/>
              </w:rPr>
            </w:pPr>
            <w:r>
              <w:rPr>
                <w:rFonts w:hint="eastAsia" w:ascii="宋体" w:hAnsi="宋体" w:cs="宋体"/>
                <w:kern w:val="0"/>
                <w:sz w:val="21"/>
                <w:szCs w:val="21"/>
                <w:highlight w:val="none"/>
              </w:rPr>
              <w:t>计划时间节点明确、</w:t>
            </w:r>
            <w:r>
              <w:rPr>
                <w:rFonts w:hint="eastAsia" w:ascii="宋体" w:hAnsi="宋体" w:cs="宋体"/>
                <w:kern w:val="0"/>
                <w:sz w:val="21"/>
                <w:szCs w:val="21"/>
                <w:highlight w:val="none"/>
                <w:lang w:val="en-US" w:eastAsia="zh-CN"/>
              </w:rPr>
              <w:t>工期进度</w:t>
            </w:r>
            <w:r>
              <w:rPr>
                <w:rFonts w:hint="eastAsia" w:ascii="宋体" w:hAnsi="宋体" w:cs="宋体"/>
                <w:kern w:val="0"/>
                <w:sz w:val="21"/>
                <w:szCs w:val="21"/>
                <w:highlight w:val="none"/>
              </w:rPr>
              <w:t>规划合理的得</w:t>
            </w:r>
            <w:r>
              <w:rPr>
                <w:rFonts w:hint="eastAsia" w:ascii="宋体" w:hAnsi="宋体" w:cs="宋体"/>
                <w:kern w:val="0"/>
                <w:sz w:val="21"/>
                <w:szCs w:val="21"/>
                <w:highlight w:val="none"/>
                <w:lang w:val="en-US" w:eastAsia="zh-CN"/>
              </w:rPr>
              <w:t>6</w:t>
            </w:r>
            <w:r>
              <w:rPr>
                <w:rFonts w:hint="eastAsia" w:ascii="宋体" w:hAnsi="宋体" w:cs="宋体"/>
                <w:kern w:val="0"/>
                <w:sz w:val="21"/>
                <w:szCs w:val="21"/>
                <w:highlight w:val="none"/>
              </w:rPr>
              <w:t>分；</w:t>
            </w:r>
          </w:p>
          <w:p w14:paraId="11A930C4">
            <w:pPr>
              <w:widowControl/>
              <w:spacing w:line="360" w:lineRule="exact"/>
              <w:rPr>
                <w:rFonts w:hint="eastAsia" w:ascii="宋体" w:hAnsi="宋体" w:cs="宋体"/>
                <w:kern w:val="0"/>
                <w:sz w:val="21"/>
                <w:szCs w:val="21"/>
                <w:highlight w:val="none"/>
              </w:rPr>
            </w:pPr>
            <w:r>
              <w:rPr>
                <w:rFonts w:hint="eastAsia" w:ascii="宋体" w:hAnsi="宋体" w:cs="宋体"/>
                <w:kern w:val="0"/>
                <w:sz w:val="21"/>
                <w:szCs w:val="21"/>
                <w:highlight w:val="none"/>
              </w:rPr>
              <w:t>计划时间节点</w:t>
            </w:r>
            <w:r>
              <w:rPr>
                <w:rFonts w:hint="eastAsia" w:ascii="宋体" w:hAnsi="宋体" w:cs="宋体"/>
                <w:kern w:val="0"/>
                <w:sz w:val="21"/>
                <w:szCs w:val="21"/>
                <w:highlight w:val="none"/>
                <w:lang w:val="en-US" w:eastAsia="zh-CN"/>
              </w:rPr>
              <w:t>较</w:t>
            </w:r>
            <w:r>
              <w:rPr>
                <w:rFonts w:hint="eastAsia" w:ascii="宋体" w:hAnsi="宋体" w:cs="宋体"/>
                <w:kern w:val="0"/>
                <w:sz w:val="21"/>
                <w:szCs w:val="21"/>
                <w:highlight w:val="none"/>
              </w:rPr>
              <w:t>明确、</w:t>
            </w:r>
            <w:r>
              <w:rPr>
                <w:rFonts w:hint="eastAsia" w:ascii="宋体" w:hAnsi="宋体" w:cs="宋体"/>
                <w:kern w:val="0"/>
                <w:sz w:val="21"/>
                <w:szCs w:val="21"/>
                <w:highlight w:val="none"/>
                <w:lang w:val="en-US" w:eastAsia="zh-CN"/>
              </w:rPr>
              <w:t>工期进度</w:t>
            </w:r>
            <w:r>
              <w:rPr>
                <w:rFonts w:hint="eastAsia" w:ascii="宋体" w:hAnsi="宋体" w:cs="宋体"/>
                <w:kern w:val="0"/>
                <w:sz w:val="21"/>
                <w:szCs w:val="21"/>
                <w:highlight w:val="none"/>
              </w:rPr>
              <w:t>规划</w:t>
            </w:r>
            <w:r>
              <w:rPr>
                <w:rFonts w:hint="eastAsia" w:ascii="宋体" w:hAnsi="宋体" w:cs="宋体"/>
                <w:kern w:val="0"/>
                <w:sz w:val="21"/>
                <w:szCs w:val="21"/>
                <w:highlight w:val="none"/>
                <w:lang w:val="en-US" w:eastAsia="zh-CN"/>
              </w:rPr>
              <w:t>较</w:t>
            </w:r>
            <w:r>
              <w:rPr>
                <w:rFonts w:hint="eastAsia" w:ascii="宋体" w:hAnsi="宋体" w:cs="宋体"/>
                <w:kern w:val="0"/>
                <w:sz w:val="21"/>
                <w:szCs w:val="21"/>
                <w:highlight w:val="none"/>
              </w:rPr>
              <w:t>合理的得</w:t>
            </w: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rPr>
              <w:t>分；</w:t>
            </w:r>
          </w:p>
          <w:p w14:paraId="1B04EAF6">
            <w:pPr>
              <w:widowControl/>
              <w:spacing w:line="360" w:lineRule="exact"/>
              <w:rPr>
                <w:rFonts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计划时间节点欠明确、</w:t>
            </w:r>
            <w:r>
              <w:rPr>
                <w:rFonts w:hint="eastAsia" w:ascii="宋体" w:hAnsi="宋体" w:cs="宋体"/>
                <w:kern w:val="0"/>
                <w:sz w:val="21"/>
                <w:szCs w:val="21"/>
                <w:highlight w:val="none"/>
                <w:lang w:val="en-US" w:eastAsia="zh-CN"/>
              </w:rPr>
              <w:t>工期进度</w:t>
            </w:r>
            <w:r>
              <w:rPr>
                <w:rFonts w:hint="eastAsia" w:ascii="宋体" w:hAnsi="宋体" w:cs="宋体"/>
                <w:kern w:val="0"/>
                <w:sz w:val="21"/>
                <w:szCs w:val="21"/>
                <w:highlight w:val="none"/>
              </w:rPr>
              <w:t>规划笼统，可能会影响交期的得</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分；未提供方案不得分。</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491990">
            <w:pPr>
              <w:widowControl/>
              <w:spacing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6</w:t>
            </w:r>
          </w:p>
        </w:tc>
        <w:tc>
          <w:tcPr>
            <w:tcW w:w="4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09DA55">
            <w:pPr>
              <w:widowControl/>
              <w:spacing w:line="36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主观分</w:t>
            </w:r>
          </w:p>
        </w:tc>
      </w:tr>
      <w:tr w14:paraId="6854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40212DD8">
            <w:pPr>
              <w:widowControl/>
              <w:spacing w:line="360" w:lineRule="exact"/>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6</w:t>
            </w:r>
          </w:p>
        </w:tc>
        <w:tc>
          <w:tcPr>
            <w:tcW w:w="64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437BDA">
            <w:pPr>
              <w:widowControl/>
              <w:spacing w:line="36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培训方案</w:t>
            </w:r>
          </w:p>
        </w:tc>
        <w:tc>
          <w:tcPr>
            <w:tcW w:w="31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430C6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评标委员会根据投标人的培训方案（包括但不限于培训次数充足、每次培训人数、总人数合理、培训内容丰富有效等内容）进行综合评议：</w:t>
            </w:r>
          </w:p>
          <w:p w14:paraId="422C5A4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培训方案内容全面完整、描述清晰，切实可行的得</w:t>
            </w:r>
            <w:r>
              <w:rPr>
                <w:rFonts w:hint="eastAsia" w:ascii="宋体" w:hAnsi="宋体" w:cs="宋体"/>
                <w:bCs/>
                <w:kern w:val="2"/>
                <w:sz w:val="21"/>
                <w:szCs w:val="21"/>
                <w:highlight w:val="none"/>
                <w:lang w:val="en-US" w:eastAsia="zh-CN"/>
              </w:rPr>
              <w:t>6</w:t>
            </w:r>
            <w:r>
              <w:rPr>
                <w:rFonts w:hint="eastAsia" w:ascii="宋体" w:hAnsi="宋体" w:eastAsia="宋体" w:cs="宋体"/>
                <w:bCs/>
                <w:kern w:val="2"/>
                <w:sz w:val="21"/>
                <w:szCs w:val="21"/>
                <w:highlight w:val="none"/>
                <w:lang w:val="en-US" w:eastAsia="zh-CN"/>
              </w:rPr>
              <w:t>分；</w:t>
            </w:r>
          </w:p>
          <w:p w14:paraId="586CA6E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培训方案内容较全面完整、较描述清晰，切实可行一般的得</w:t>
            </w:r>
            <w:r>
              <w:rPr>
                <w:rFonts w:hint="eastAsia" w:ascii="宋体" w:hAnsi="宋体" w:cs="宋体"/>
                <w:bCs/>
                <w:kern w:val="2"/>
                <w:sz w:val="21"/>
                <w:szCs w:val="21"/>
                <w:highlight w:val="none"/>
                <w:lang w:val="en-US" w:eastAsia="zh-CN"/>
              </w:rPr>
              <w:t>4</w:t>
            </w:r>
            <w:r>
              <w:rPr>
                <w:rFonts w:hint="eastAsia" w:ascii="宋体" w:hAnsi="宋体" w:eastAsia="宋体" w:cs="宋体"/>
                <w:bCs/>
                <w:kern w:val="2"/>
                <w:sz w:val="21"/>
                <w:szCs w:val="21"/>
                <w:highlight w:val="none"/>
                <w:lang w:val="en-US" w:eastAsia="zh-CN"/>
              </w:rPr>
              <w:t>分。</w:t>
            </w:r>
          </w:p>
          <w:p w14:paraId="7BC9B44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培训方案内容简单笼统，细化程度不足，但基本能满足采购人要求的得</w:t>
            </w:r>
            <w:r>
              <w:rPr>
                <w:rFonts w:hint="eastAsia" w:ascii="宋体" w:hAnsi="宋体" w:cs="宋体"/>
                <w:bCs/>
                <w:kern w:val="2"/>
                <w:sz w:val="21"/>
                <w:szCs w:val="21"/>
                <w:highlight w:val="none"/>
                <w:lang w:val="en-US" w:eastAsia="zh-CN"/>
              </w:rPr>
              <w:t>2</w:t>
            </w:r>
            <w:r>
              <w:rPr>
                <w:rFonts w:hint="eastAsia" w:ascii="宋体" w:hAnsi="宋体" w:eastAsia="宋体" w:cs="宋体"/>
                <w:bCs/>
                <w:kern w:val="2"/>
                <w:sz w:val="21"/>
                <w:szCs w:val="21"/>
                <w:highlight w:val="none"/>
                <w:lang w:val="en-US" w:eastAsia="zh-CN"/>
              </w:rPr>
              <w:t>分；</w:t>
            </w:r>
          </w:p>
          <w:p w14:paraId="7D65BF9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bCs/>
                <w:kern w:val="2"/>
                <w:sz w:val="21"/>
                <w:szCs w:val="21"/>
                <w:highlight w:val="none"/>
                <w:lang w:val="en-US" w:eastAsia="zh-CN"/>
              </w:rPr>
              <w:t>未提供方案不得分。</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B52B28">
            <w:pPr>
              <w:widowControl/>
              <w:spacing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6</w:t>
            </w:r>
          </w:p>
        </w:tc>
        <w:tc>
          <w:tcPr>
            <w:tcW w:w="4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3E5D7">
            <w:pPr>
              <w:widowControl/>
              <w:spacing w:line="36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主观分</w:t>
            </w:r>
          </w:p>
        </w:tc>
      </w:tr>
      <w:tr w14:paraId="7ABC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vMerge w:val="restart"/>
            <w:tcBorders>
              <w:top w:val="single" w:color="auto" w:sz="4" w:space="0"/>
              <w:left w:val="single" w:color="auto" w:sz="4" w:space="0"/>
              <w:right w:val="single" w:color="auto" w:sz="4" w:space="0"/>
            </w:tcBorders>
            <w:noWrap w:val="0"/>
            <w:vAlign w:val="center"/>
          </w:tcPr>
          <w:p w14:paraId="758B69DD">
            <w:pPr>
              <w:widowControl/>
              <w:spacing w:line="360" w:lineRule="exact"/>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7</w:t>
            </w:r>
          </w:p>
        </w:tc>
        <w:tc>
          <w:tcPr>
            <w:tcW w:w="643" w:type="pct"/>
            <w:vMerge w:val="restart"/>
            <w:tcBorders>
              <w:top w:val="single" w:color="auto" w:sz="4" w:space="0"/>
              <w:left w:val="single" w:color="auto" w:sz="4" w:space="0"/>
              <w:right w:val="single" w:color="auto" w:sz="4" w:space="0"/>
            </w:tcBorders>
            <w:noWrap w:val="0"/>
            <w:vAlign w:val="center"/>
          </w:tcPr>
          <w:p w14:paraId="4B523E30">
            <w:pPr>
              <w:widowControl/>
              <w:spacing w:line="36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rPr>
              <w:t>项目</w:t>
            </w:r>
            <w:r>
              <w:rPr>
                <w:rFonts w:hint="eastAsia" w:ascii="宋体" w:hAnsi="宋体" w:cs="宋体"/>
                <w:kern w:val="0"/>
                <w:sz w:val="21"/>
                <w:szCs w:val="21"/>
                <w:highlight w:val="none"/>
                <w:lang w:val="en-US" w:eastAsia="zh-CN"/>
              </w:rPr>
              <w:t>团队</w:t>
            </w:r>
          </w:p>
        </w:tc>
        <w:tc>
          <w:tcPr>
            <w:tcW w:w="3106" w:type="pct"/>
            <w:tcBorders>
              <w:top w:val="single" w:color="auto" w:sz="4" w:space="0"/>
              <w:left w:val="single" w:color="auto" w:sz="4" w:space="0"/>
              <w:bottom w:val="single" w:color="auto" w:sz="4" w:space="0"/>
              <w:right w:val="single" w:color="auto" w:sz="4" w:space="0"/>
            </w:tcBorders>
            <w:noWrap w:val="0"/>
            <w:vAlign w:val="center"/>
          </w:tcPr>
          <w:p w14:paraId="10906A1B">
            <w:pPr>
              <w:widowControl/>
              <w:spacing w:line="360" w:lineRule="exact"/>
              <w:rPr>
                <w:rFonts w:ascii="宋体" w:hAnsi="宋体" w:cs="宋体"/>
                <w:kern w:val="0"/>
                <w:sz w:val="21"/>
                <w:szCs w:val="21"/>
                <w:highlight w:val="none"/>
              </w:rPr>
            </w:pPr>
            <w:r>
              <w:rPr>
                <w:rFonts w:hint="eastAsia" w:ascii="宋体" w:hAnsi="宋体" w:cs="宋体"/>
                <w:kern w:val="0"/>
                <w:sz w:val="21"/>
                <w:szCs w:val="21"/>
                <w:highlight w:val="none"/>
              </w:rPr>
              <w:t>项目</w:t>
            </w:r>
            <w:r>
              <w:rPr>
                <w:rFonts w:hint="eastAsia" w:ascii="宋体" w:hAnsi="宋体" w:cs="宋体"/>
                <w:kern w:val="0"/>
                <w:sz w:val="21"/>
                <w:szCs w:val="21"/>
                <w:highlight w:val="none"/>
                <w:lang w:val="en-US" w:eastAsia="zh-CN"/>
              </w:rPr>
              <w:t>团队人员中</w:t>
            </w:r>
            <w:r>
              <w:rPr>
                <w:rFonts w:hint="eastAsia" w:ascii="宋体" w:hAnsi="宋体" w:cs="宋体"/>
                <w:kern w:val="0"/>
                <w:sz w:val="21"/>
                <w:szCs w:val="21"/>
                <w:highlight w:val="none"/>
              </w:rPr>
              <w:t>具有</w:t>
            </w:r>
            <w:r>
              <w:rPr>
                <w:rFonts w:hint="eastAsia" w:ascii="宋体" w:hAnsi="宋体" w:cs="宋体"/>
                <w:kern w:val="0"/>
                <w:sz w:val="21"/>
                <w:szCs w:val="21"/>
                <w:highlight w:val="none"/>
                <w:lang w:val="en-US" w:eastAsia="zh-CN"/>
              </w:rPr>
              <w:t>软件设计师证书</w:t>
            </w:r>
            <w:r>
              <w:rPr>
                <w:rFonts w:hint="eastAsia" w:ascii="宋体" w:hAnsi="宋体" w:cs="宋体"/>
                <w:kern w:val="0"/>
                <w:sz w:val="21"/>
                <w:szCs w:val="21"/>
                <w:highlight w:val="none"/>
              </w:rPr>
              <w:t>的</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得</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分。投标文件提供人员证书及投标人单位在投标截止日前六个月内任意一个月为其缴纳社保证明复印件加盖投标人公章，不提供不得分。</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695F3691">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489" w:type="pct"/>
            <w:tcBorders>
              <w:top w:val="single" w:color="auto" w:sz="4" w:space="0"/>
              <w:left w:val="single" w:color="auto" w:sz="4" w:space="0"/>
              <w:bottom w:val="single" w:color="auto" w:sz="4" w:space="0"/>
              <w:right w:val="single" w:color="auto" w:sz="4" w:space="0"/>
            </w:tcBorders>
            <w:noWrap w:val="0"/>
            <w:vAlign w:val="center"/>
          </w:tcPr>
          <w:p w14:paraId="7237D24C">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客观分</w:t>
            </w:r>
          </w:p>
        </w:tc>
      </w:tr>
      <w:tr w14:paraId="3E1B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vMerge w:val="continue"/>
            <w:tcBorders>
              <w:left w:val="single" w:color="auto" w:sz="4" w:space="0"/>
              <w:bottom w:val="single" w:color="auto" w:sz="4" w:space="0"/>
              <w:right w:val="single" w:color="auto" w:sz="4" w:space="0"/>
            </w:tcBorders>
            <w:noWrap w:val="0"/>
            <w:vAlign w:val="center"/>
          </w:tcPr>
          <w:p w14:paraId="0434B2D3">
            <w:pPr>
              <w:widowControl/>
              <w:spacing w:line="360" w:lineRule="exact"/>
              <w:jc w:val="center"/>
              <w:rPr>
                <w:rFonts w:hint="eastAsia" w:ascii="宋体" w:hAnsi="宋体" w:cs="宋体"/>
                <w:kern w:val="0"/>
                <w:sz w:val="21"/>
                <w:szCs w:val="21"/>
                <w:highlight w:val="none"/>
              </w:rPr>
            </w:pPr>
          </w:p>
        </w:tc>
        <w:tc>
          <w:tcPr>
            <w:tcW w:w="643" w:type="pct"/>
            <w:vMerge w:val="continue"/>
            <w:tcBorders>
              <w:left w:val="single" w:color="auto" w:sz="4" w:space="0"/>
              <w:bottom w:val="single" w:color="auto" w:sz="4" w:space="0"/>
              <w:right w:val="single" w:color="auto" w:sz="4" w:space="0"/>
            </w:tcBorders>
            <w:noWrap w:val="0"/>
            <w:vAlign w:val="center"/>
          </w:tcPr>
          <w:p w14:paraId="710AC94C">
            <w:pPr>
              <w:widowControl/>
              <w:spacing w:line="360" w:lineRule="exact"/>
              <w:jc w:val="center"/>
              <w:rPr>
                <w:rFonts w:hint="eastAsia" w:ascii="宋体" w:hAnsi="宋体" w:cs="宋体"/>
                <w:kern w:val="0"/>
                <w:sz w:val="21"/>
                <w:szCs w:val="21"/>
                <w:highlight w:val="none"/>
              </w:rPr>
            </w:pPr>
          </w:p>
        </w:tc>
        <w:tc>
          <w:tcPr>
            <w:tcW w:w="31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4B4FC4">
            <w:pPr>
              <w:widowControl/>
              <w:spacing w:line="36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评标委员会根据</w:t>
            </w:r>
            <w:r>
              <w:rPr>
                <w:rFonts w:hint="eastAsia" w:ascii="宋体" w:hAnsi="宋体" w:eastAsia="宋体" w:cs="宋体"/>
                <w:kern w:val="0"/>
                <w:sz w:val="21"/>
                <w:szCs w:val="21"/>
                <w:highlight w:val="none"/>
                <w:lang w:val="en-US" w:eastAsia="zh-Hans"/>
              </w:rPr>
              <w:t>投标人对本项目人员配备方案（包含组织架构、人员配置的充分性、工作分工合理性等）情况进行</w:t>
            </w:r>
            <w:r>
              <w:rPr>
                <w:rFonts w:hint="eastAsia" w:ascii="宋体" w:hAnsi="宋体" w:eastAsia="宋体" w:cs="宋体"/>
                <w:kern w:val="0"/>
                <w:sz w:val="21"/>
                <w:szCs w:val="21"/>
                <w:highlight w:val="none"/>
                <w:lang w:val="en-US" w:eastAsia="zh-CN"/>
              </w:rPr>
              <w:t>综合</w:t>
            </w:r>
            <w:r>
              <w:rPr>
                <w:rFonts w:hint="eastAsia" w:ascii="宋体" w:hAnsi="宋体" w:eastAsia="宋体" w:cs="宋体"/>
                <w:kern w:val="0"/>
                <w:sz w:val="21"/>
                <w:szCs w:val="21"/>
                <w:highlight w:val="none"/>
                <w:lang w:val="en-US" w:eastAsia="zh-Hans"/>
              </w:rPr>
              <w:t>评议</w:t>
            </w:r>
            <w:r>
              <w:rPr>
                <w:rFonts w:hint="eastAsia" w:ascii="宋体" w:hAnsi="宋体" w:eastAsia="宋体" w:cs="宋体"/>
                <w:kern w:val="0"/>
                <w:sz w:val="21"/>
                <w:szCs w:val="21"/>
                <w:highlight w:val="none"/>
                <w:lang w:val="en-US" w:eastAsia="zh-CN"/>
              </w:rPr>
              <w:t>：</w:t>
            </w:r>
          </w:p>
          <w:p w14:paraId="4C5DE72A">
            <w:pPr>
              <w:widowControl/>
              <w:spacing w:line="360" w:lineRule="exact"/>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投标人的项目人员架构清晰、配置充分、工作安排合理，分工明确的</w:t>
            </w:r>
            <w:r>
              <w:rPr>
                <w:rFonts w:hint="eastAsia" w:ascii="宋体" w:hAnsi="宋体" w:eastAsia="宋体" w:cs="宋体"/>
                <w:kern w:val="0"/>
                <w:sz w:val="21"/>
                <w:szCs w:val="21"/>
                <w:highlight w:val="none"/>
                <w:lang w:val="en-US" w:eastAsia="zh-CN"/>
              </w:rPr>
              <w:t>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Hans"/>
              </w:rPr>
              <w:t>分；</w:t>
            </w:r>
          </w:p>
          <w:p w14:paraId="17F51E6E">
            <w:pPr>
              <w:widowControl/>
              <w:spacing w:line="360" w:lineRule="exact"/>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投标人的项目人员架构比较清晰、配置较充分、工作安排比较合理，分工比较明确</w:t>
            </w:r>
            <w:r>
              <w:rPr>
                <w:rFonts w:hint="eastAsia" w:ascii="宋体" w:hAnsi="宋体" w:eastAsia="宋体" w:cs="宋体"/>
                <w:kern w:val="0"/>
                <w:sz w:val="21"/>
                <w:szCs w:val="21"/>
                <w:highlight w:val="none"/>
                <w:lang w:val="en-US" w:eastAsia="zh-CN"/>
              </w:rPr>
              <w:t>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Hans"/>
              </w:rPr>
              <w:t>分；</w:t>
            </w:r>
          </w:p>
          <w:p w14:paraId="3EAFCBAA">
            <w:pPr>
              <w:widowControl/>
              <w:spacing w:line="36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Hans"/>
              </w:rPr>
              <w:t>投标人的项目人员架构模糊、配置少、工作安排不太合理的</w:t>
            </w:r>
            <w:r>
              <w:rPr>
                <w:rFonts w:hint="eastAsia" w:ascii="宋体" w:hAnsi="宋体" w:eastAsia="宋体" w:cs="宋体"/>
                <w:kern w:val="0"/>
                <w:sz w:val="21"/>
                <w:szCs w:val="21"/>
                <w:highlight w:val="none"/>
                <w:lang w:val="en-US" w:eastAsia="zh-CN"/>
              </w:rPr>
              <w:t>得1</w:t>
            </w:r>
            <w:r>
              <w:rPr>
                <w:rFonts w:hint="eastAsia" w:ascii="宋体" w:hAnsi="宋体" w:eastAsia="宋体" w:cs="宋体"/>
                <w:kern w:val="0"/>
                <w:sz w:val="21"/>
                <w:szCs w:val="21"/>
                <w:highlight w:val="none"/>
                <w:lang w:val="en-US" w:eastAsia="zh-Hans"/>
              </w:rPr>
              <w:t>分</w:t>
            </w:r>
            <w:r>
              <w:rPr>
                <w:rFonts w:hint="eastAsia" w:ascii="宋体" w:hAnsi="宋体" w:eastAsia="宋体" w:cs="宋体"/>
                <w:kern w:val="0"/>
                <w:sz w:val="21"/>
                <w:szCs w:val="21"/>
                <w:highlight w:val="none"/>
                <w:lang w:val="en-US" w:eastAsia="zh-CN"/>
              </w:rPr>
              <w:t>。</w:t>
            </w:r>
          </w:p>
          <w:p w14:paraId="0B1BCED5">
            <w:pPr>
              <w:widowControl/>
              <w:spacing w:line="360" w:lineRule="exact"/>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未提供方案不得分。</w:t>
            </w:r>
          </w:p>
          <w:p w14:paraId="6AB379D0">
            <w:pPr>
              <w:widowControl/>
              <w:spacing w:line="360" w:lineRule="exact"/>
              <w:rPr>
                <w:rFonts w:hint="eastAsia" w:ascii="宋体" w:hAnsi="宋体" w:eastAsia="宋体" w:cs="宋体"/>
                <w:bCs/>
                <w:kern w:val="2"/>
                <w:sz w:val="21"/>
                <w:szCs w:val="21"/>
                <w:highlight w:val="none"/>
                <w:lang w:val="en-US" w:eastAsia="zh-Hans"/>
              </w:rPr>
            </w:pPr>
            <w:r>
              <w:rPr>
                <w:rFonts w:hint="eastAsia" w:ascii="宋体" w:hAnsi="宋体" w:cs="宋体"/>
                <w:kern w:val="0"/>
                <w:sz w:val="21"/>
                <w:szCs w:val="21"/>
                <w:highlight w:val="none"/>
                <w:lang w:val="en-US" w:eastAsia="zh-CN"/>
              </w:rPr>
              <w:t>注：</w:t>
            </w:r>
            <w:r>
              <w:rPr>
                <w:rFonts w:hint="eastAsia" w:ascii="宋体" w:hAnsi="宋体" w:cs="宋体"/>
                <w:kern w:val="0"/>
                <w:sz w:val="21"/>
                <w:szCs w:val="21"/>
                <w:highlight w:val="none"/>
              </w:rPr>
              <w:t>投标文件提供人员证书及投标人单位在投标截止日前六个月内任意一个月为其缴纳社保证明复印件加盖投标人公章，不提供不得分。</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54C28E08">
            <w:pPr>
              <w:widowControl/>
              <w:spacing w:line="36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p>
        </w:tc>
        <w:tc>
          <w:tcPr>
            <w:tcW w:w="489" w:type="pct"/>
            <w:tcBorders>
              <w:top w:val="single" w:color="auto" w:sz="4" w:space="0"/>
              <w:left w:val="single" w:color="auto" w:sz="4" w:space="0"/>
              <w:bottom w:val="single" w:color="auto" w:sz="4" w:space="0"/>
              <w:right w:val="single" w:color="auto" w:sz="4" w:space="0"/>
            </w:tcBorders>
            <w:noWrap w:val="0"/>
            <w:vAlign w:val="center"/>
          </w:tcPr>
          <w:p w14:paraId="55726643">
            <w:pPr>
              <w:widowControl/>
              <w:spacing w:line="360" w:lineRule="exact"/>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主观分</w:t>
            </w:r>
          </w:p>
        </w:tc>
      </w:tr>
      <w:tr w14:paraId="106B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761A4F48">
            <w:pPr>
              <w:widowControl/>
              <w:spacing w:line="360" w:lineRule="exact"/>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8</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358DF42">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售后服务方案</w:t>
            </w:r>
          </w:p>
        </w:tc>
        <w:tc>
          <w:tcPr>
            <w:tcW w:w="3106" w:type="pct"/>
            <w:tcBorders>
              <w:top w:val="single" w:color="auto" w:sz="4" w:space="0"/>
              <w:left w:val="single" w:color="auto" w:sz="4" w:space="0"/>
              <w:bottom w:val="single" w:color="auto" w:sz="4" w:space="0"/>
              <w:right w:val="single" w:color="auto" w:sz="4" w:space="0"/>
            </w:tcBorders>
            <w:noWrap w:val="0"/>
            <w:vAlign w:val="center"/>
          </w:tcPr>
          <w:p w14:paraId="036B6D61">
            <w:pPr>
              <w:keepNext w:val="0"/>
              <w:keepLines w:val="0"/>
              <w:pageBreakBefore w:val="0"/>
              <w:widowControl/>
              <w:tabs>
                <w:tab w:val="center" w:pos="4153"/>
                <w:tab w:val="right" w:pos="8306"/>
              </w:tabs>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ru-RU" w:eastAsia="zh-CN" w:bidi="ar-SA"/>
              </w:rPr>
            </w:pPr>
            <w:r>
              <w:rPr>
                <w:rFonts w:hint="eastAsia" w:ascii="宋体" w:hAnsi="宋体" w:eastAsia="宋体" w:cs="宋体"/>
                <w:kern w:val="2"/>
                <w:sz w:val="21"/>
                <w:szCs w:val="21"/>
                <w:highlight w:val="none"/>
                <w:lang w:val="ru-RU" w:eastAsia="zh-CN" w:bidi="ar-SA"/>
              </w:rPr>
              <w:t>评标委员会根据</w:t>
            </w:r>
            <w:r>
              <w:rPr>
                <w:rFonts w:hint="eastAsia" w:ascii="宋体" w:hAnsi="宋体" w:eastAsia="宋体" w:cs="宋体"/>
                <w:kern w:val="2"/>
                <w:sz w:val="21"/>
                <w:szCs w:val="21"/>
                <w:highlight w:val="none"/>
                <w:lang w:val="en-US" w:eastAsia="zh-CN" w:bidi="ar-SA"/>
              </w:rPr>
              <w:t>投标人提供的</w:t>
            </w:r>
            <w:r>
              <w:rPr>
                <w:rFonts w:hint="eastAsia" w:ascii="宋体" w:hAnsi="宋体" w:eastAsia="宋体" w:cs="宋体"/>
                <w:kern w:val="2"/>
                <w:sz w:val="21"/>
                <w:szCs w:val="21"/>
                <w:highlight w:val="none"/>
                <w:lang w:val="ru-RU" w:eastAsia="zh-CN" w:bidi="ar-SA"/>
              </w:rPr>
              <w:t>售后服务承诺书内容的完整性、可行性、到达故障现场时间、故障出现解决方案、定期维护、免费技术培训方案、保修期外维修方案、本地化售后服务措施、其他优惠措施、安装要求及方案等方面</w:t>
            </w:r>
            <w:r>
              <w:rPr>
                <w:rFonts w:hint="eastAsia" w:ascii="宋体" w:hAnsi="宋体" w:cs="宋体"/>
                <w:kern w:val="2"/>
                <w:sz w:val="21"/>
                <w:szCs w:val="21"/>
                <w:highlight w:val="none"/>
                <w:lang w:val="en-US" w:eastAsia="zh-CN" w:bidi="ar-SA"/>
              </w:rPr>
              <w:t>进行评议</w:t>
            </w:r>
            <w:r>
              <w:rPr>
                <w:rFonts w:hint="eastAsia" w:ascii="宋体" w:hAnsi="宋体" w:cs="宋体"/>
                <w:kern w:val="2"/>
                <w:sz w:val="21"/>
                <w:szCs w:val="21"/>
                <w:highlight w:val="none"/>
                <w:lang w:val="ru-RU" w:eastAsia="zh-CN" w:bidi="ar-SA"/>
              </w:rPr>
              <w:t>：</w:t>
            </w:r>
          </w:p>
          <w:p w14:paraId="41AFC243">
            <w:pPr>
              <w:keepNext w:val="0"/>
              <w:keepLines w:val="0"/>
              <w:pageBreakBefore w:val="0"/>
              <w:widowControl/>
              <w:tabs>
                <w:tab w:val="center" w:pos="4153"/>
                <w:tab w:val="right" w:pos="8306"/>
              </w:tabs>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ru-RU" w:eastAsia="zh-CN" w:bidi="ar-SA"/>
              </w:rPr>
            </w:pPr>
            <w:r>
              <w:rPr>
                <w:rFonts w:hint="eastAsia" w:ascii="宋体" w:hAnsi="宋体" w:eastAsia="宋体" w:cs="宋体"/>
                <w:kern w:val="2"/>
                <w:sz w:val="21"/>
                <w:szCs w:val="21"/>
                <w:highlight w:val="none"/>
                <w:lang w:val="ru-RU" w:eastAsia="zh-CN" w:bidi="ar-SA"/>
              </w:rPr>
              <w:t>投标人所提供的项目服务方案，方案包含有项目售后维护、应急保障方案且描述了项目售后维护和应急保障方案的方法以及实现方式，服务承诺和保障措施考虑周全完整详细</w:t>
            </w:r>
            <w:r>
              <w:rPr>
                <w:rFonts w:hint="eastAsia" w:ascii="宋体" w:hAnsi="宋体" w:eastAsia="宋体" w:cs="宋体"/>
                <w:kern w:val="2"/>
                <w:sz w:val="21"/>
                <w:szCs w:val="21"/>
                <w:highlight w:val="none"/>
                <w:lang w:val="en-US" w:eastAsia="zh-CN" w:bidi="ar-SA"/>
              </w:rPr>
              <w:t>的得</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分；</w:t>
            </w:r>
          </w:p>
          <w:p w14:paraId="210640EB">
            <w:pPr>
              <w:keepNext w:val="0"/>
              <w:keepLines w:val="0"/>
              <w:pageBreakBefore w:val="0"/>
              <w:widowControl/>
              <w:tabs>
                <w:tab w:val="center" w:pos="4153"/>
                <w:tab w:val="right" w:pos="8306"/>
              </w:tabs>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ru-RU" w:eastAsia="zh-CN" w:bidi="ar-SA"/>
              </w:rPr>
              <w:t>投标人所提供的项目服务方案，方案包含有项目售后维护、应急保障方案等，且描述了项目售后维护和应急保障方案的方法以及实现方式，方案可行较详细</w:t>
            </w:r>
            <w:r>
              <w:rPr>
                <w:rFonts w:hint="eastAsia" w:ascii="宋体" w:hAnsi="宋体" w:eastAsia="宋体" w:cs="宋体"/>
                <w:kern w:val="2"/>
                <w:sz w:val="21"/>
                <w:szCs w:val="21"/>
                <w:highlight w:val="none"/>
                <w:lang w:val="en-US" w:eastAsia="zh-CN" w:bidi="ar-SA"/>
              </w:rPr>
              <w:t>的得</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分；</w:t>
            </w:r>
          </w:p>
          <w:p w14:paraId="31F4F976">
            <w:pPr>
              <w:keepNext w:val="0"/>
              <w:keepLines w:val="0"/>
              <w:pageBreakBefore w:val="0"/>
              <w:widowControl/>
              <w:tabs>
                <w:tab w:val="center" w:pos="4153"/>
                <w:tab w:val="right" w:pos="8306"/>
              </w:tabs>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ru-RU" w:eastAsia="zh-CN" w:bidi="ar-SA"/>
              </w:rPr>
            </w:pPr>
            <w:r>
              <w:rPr>
                <w:rFonts w:hint="eastAsia" w:ascii="宋体" w:hAnsi="宋体" w:eastAsia="宋体" w:cs="宋体"/>
                <w:kern w:val="2"/>
                <w:sz w:val="21"/>
                <w:szCs w:val="21"/>
                <w:highlight w:val="none"/>
                <w:lang w:val="ru-RU" w:eastAsia="zh-CN" w:bidi="ar-SA"/>
              </w:rPr>
              <w:t>投标人所提供的项目服务方案，方案包含有项目售后维护、应急保障方案等，且描述了项目售后维护和应急保障方案的方法以及实现方式，方案</w:t>
            </w:r>
            <w:r>
              <w:rPr>
                <w:rFonts w:hint="eastAsia" w:ascii="宋体" w:hAnsi="宋体" w:eastAsia="宋体" w:cs="宋体"/>
                <w:kern w:val="2"/>
                <w:sz w:val="21"/>
                <w:szCs w:val="21"/>
                <w:highlight w:val="none"/>
                <w:lang w:val="en-US" w:eastAsia="zh-CN" w:bidi="ar-SA"/>
              </w:rPr>
              <w:t>笼统</w:t>
            </w:r>
            <w:r>
              <w:rPr>
                <w:rFonts w:hint="eastAsia" w:ascii="宋体" w:hAnsi="宋体" w:eastAsia="宋体" w:cs="宋体"/>
                <w:kern w:val="2"/>
                <w:sz w:val="21"/>
                <w:szCs w:val="21"/>
                <w:highlight w:val="none"/>
                <w:lang w:val="ru-RU" w:eastAsia="zh-CN" w:bidi="ar-SA"/>
              </w:rPr>
              <w:t>可行</w:t>
            </w:r>
            <w:r>
              <w:rPr>
                <w:rFonts w:hint="eastAsia" w:ascii="宋体" w:hAnsi="宋体" w:eastAsia="宋体" w:cs="宋体"/>
                <w:kern w:val="2"/>
                <w:sz w:val="21"/>
                <w:szCs w:val="21"/>
                <w:highlight w:val="none"/>
                <w:lang w:val="en-US" w:eastAsia="zh-CN" w:bidi="ar-SA"/>
              </w:rPr>
              <w:t>一般的得</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w:t>
            </w:r>
          </w:p>
          <w:p w14:paraId="7CF7B75E">
            <w:pPr>
              <w:keepNext w:val="0"/>
              <w:keepLines w:val="0"/>
              <w:pageBreakBefore w:val="0"/>
              <w:widowControl/>
              <w:tabs>
                <w:tab w:val="center" w:pos="4153"/>
                <w:tab w:val="right" w:pos="8306"/>
              </w:tabs>
              <w:kinsoku/>
              <w:wordWrap/>
              <w:overflowPunct/>
              <w:topLinePunct w:val="0"/>
              <w:autoSpaceDE/>
              <w:autoSpaceDN/>
              <w:bidi w:val="0"/>
              <w:adjustRightInd/>
              <w:snapToGrid/>
              <w:spacing w:line="30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2"/>
                <w:sz w:val="21"/>
                <w:szCs w:val="21"/>
                <w:highlight w:val="none"/>
                <w:lang w:val="ru-RU" w:eastAsia="zh-CN" w:bidi="ar-SA"/>
              </w:rPr>
              <w:t>未提供售后服务方案或售后服务方案明显不符合本项目实际情况的，不得分。</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55B76A33">
            <w:pPr>
              <w:widowControl/>
              <w:spacing w:line="360" w:lineRule="exact"/>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5</w:t>
            </w:r>
          </w:p>
        </w:tc>
        <w:tc>
          <w:tcPr>
            <w:tcW w:w="489" w:type="pct"/>
            <w:tcBorders>
              <w:top w:val="single" w:color="auto" w:sz="4" w:space="0"/>
              <w:left w:val="single" w:color="auto" w:sz="4" w:space="0"/>
              <w:bottom w:val="single" w:color="auto" w:sz="4" w:space="0"/>
              <w:right w:val="single" w:color="auto" w:sz="4" w:space="0"/>
            </w:tcBorders>
            <w:noWrap w:val="0"/>
            <w:vAlign w:val="center"/>
          </w:tcPr>
          <w:p w14:paraId="6C81E14E">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主观分</w:t>
            </w:r>
          </w:p>
        </w:tc>
      </w:tr>
      <w:tr w14:paraId="2EFE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2612A3CC">
            <w:pPr>
              <w:widowControl/>
              <w:spacing w:line="36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9</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EFB5439">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rPr>
              <w:t>功能</w:t>
            </w:r>
            <w:r>
              <w:rPr>
                <w:rFonts w:hint="eastAsia" w:ascii="宋体" w:hAnsi="宋体" w:cs="宋体"/>
                <w:kern w:val="0"/>
                <w:sz w:val="21"/>
                <w:szCs w:val="21"/>
                <w:highlight w:val="none"/>
              </w:rPr>
              <w:t>演示</w:t>
            </w:r>
          </w:p>
        </w:tc>
        <w:tc>
          <w:tcPr>
            <w:tcW w:w="3106" w:type="pct"/>
            <w:tcBorders>
              <w:top w:val="single" w:color="auto" w:sz="4" w:space="0"/>
              <w:left w:val="single" w:color="auto" w:sz="4" w:space="0"/>
              <w:bottom w:val="single" w:color="auto" w:sz="4" w:space="0"/>
              <w:right w:val="single" w:color="auto" w:sz="4" w:space="0"/>
            </w:tcBorders>
            <w:noWrap w:val="0"/>
            <w:vAlign w:val="center"/>
          </w:tcPr>
          <w:p w14:paraId="6A6F4978">
            <w:pPr>
              <w:widowControl/>
              <w:spacing w:line="36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投标人根据第</w:t>
            </w:r>
            <w:r>
              <w:rPr>
                <w:rFonts w:hint="eastAsia" w:ascii="宋体" w:hAnsi="宋体" w:cs="宋体"/>
                <w:kern w:val="0"/>
                <w:sz w:val="21"/>
                <w:szCs w:val="21"/>
                <w:highlight w:val="none"/>
                <w:lang w:val="en-US" w:eastAsia="zh-CN"/>
              </w:rPr>
              <w:t>四</w:t>
            </w:r>
            <w:r>
              <w:rPr>
                <w:rFonts w:hint="eastAsia" w:ascii="宋体" w:hAnsi="宋体" w:eastAsia="宋体" w:cs="宋体"/>
                <w:kern w:val="0"/>
                <w:sz w:val="21"/>
                <w:szCs w:val="21"/>
                <w:highlight w:val="none"/>
                <w:lang w:val="en-US" w:eastAsia="zh-CN"/>
              </w:rPr>
              <w:t>章招标内容及技术需求</w:t>
            </w:r>
            <w:r>
              <w:rPr>
                <w:rFonts w:hint="eastAsia" w:ascii="宋体" w:hAnsi="宋体" w:cs="宋体"/>
                <w:kern w:val="0"/>
                <w:sz w:val="21"/>
                <w:szCs w:val="21"/>
                <w:highlight w:val="none"/>
                <w:lang w:val="en-US" w:eastAsia="zh-CN"/>
              </w:rPr>
              <w:t>对以下</w:t>
            </w:r>
            <w:r>
              <w:rPr>
                <w:rFonts w:hint="eastAsia" w:ascii="宋体" w:hAnsi="宋体" w:eastAsia="宋体" w:cs="宋体"/>
                <w:kern w:val="0"/>
                <w:sz w:val="21"/>
                <w:szCs w:val="21"/>
                <w:highlight w:val="none"/>
                <w:lang w:val="en-US" w:eastAsia="zh-CN"/>
              </w:rPr>
              <w:t>功能要求进行效果演示</w:t>
            </w:r>
            <w:r>
              <w:rPr>
                <w:rFonts w:hint="eastAsia" w:ascii="宋体" w:hAnsi="宋体" w:cs="宋体"/>
                <w:kern w:val="0"/>
                <w:sz w:val="21"/>
                <w:szCs w:val="21"/>
                <w:highlight w:val="none"/>
                <w:lang w:val="en-US" w:eastAsia="zh-CN"/>
              </w:rPr>
              <w:t>：</w:t>
            </w:r>
          </w:p>
          <w:p w14:paraId="7DD54A3E">
            <w:pPr>
              <w:widowControl/>
              <w:spacing w:line="36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1）【校园阅读系统】-【活动参与】支持多终端参与阅读活动，包括主题阅读闯关、知识挑战等，支持上传多种形式作品，进行互动评论、点赞、投票。</w:t>
            </w:r>
          </w:p>
          <w:p w14:paraId="3FBFC1CB">
            <w:pPr>
              <w:widowControl/>
              <w:spacing w:line="36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墨水屏阅读器】提供首页定制功能，可通过管理后台自定义配置设备首页模块内容，支持配置轮播图并设置轮播间隔时长，支持在首页配置模块并在模块内配置应用，可配置功能应用、资源应用与其他应用，支持配置链接与apk作为其他应用，其中链接应用配置时可设置名称、图标、URL、缩放比例、设置对比度增强、操作按钮、底部控制栏，apk应用配置时可设置名称、图标，上传安装包、设置对比度增强。</w:t>
            </w:r>
          </w:p>
          <w:p w14:paraId="2C278128">
            <w:pPr>
              <w:widowControl/>
              <w:spacing w:line="360" w:lineRule="exact"/>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cs="宋体"/>
                <w:kern w:val="0"/>
                <w:sz w:val="21"/>
                <w:szCs w:val="21"/>
                <w:highlight w:val="none"/>
                <w:lang w:val="en-US" w:eastAsia="zh-CN"/>
              </w:rPr>
              <w:t>3）【墨水屏阅读器】</w:t>
            </w:r>
            <w:r>
              <w:rPr>
                <w:rFonts w:hint="eastAsia" w:ascii="宋体" w:hAnsi="宋体" w:eastAsia="宋体" w:cs="宋体"/>
                <w:i w:val="0"/>
                <w:iCs w:val="0"/>
                <w:color w:val="000000"/>
                <w:sz w:val="21"/>
                <w:szCs w:val="21"/>
                <w:highlight w:val="none"/>
                <w:u w:val="none"/>
                <w:lang w:val="en-US" w:eastAsia="zh-CN" w:bidi="ar-SA"/>
              </w:rPr>
              <w:t>系统支持在线阅读期刊，提供2000种</w:t>
            </w:r>
            <w:r>
              <w:rPr>
                <w:rFonts w:hint="eastAsia" w:ascii="宋体" w:hAnsi="宋体" w:cs="宋体"/>
                <w:i w:val="0"/>
                <w:iCs w:val="0"/>
                <w:color w:val="000000"/>
                <w:sz w:val="21"/>
                <w:szCs w:val="21"/>
                <w:highlight w:val="none"/>
                <w:u w:val="none"/>
                <w:lang w:val="en-US" w:eastAsia="zh-CN" w:bidi="ar-SA"/>
              </w:rPr>
              <w:t>及以上</w:t>
            </w:r>
            <w:r>
              <w:rPr>
                <w:rFonts w:hint="eastAsia" w:ascii="宋体" w:hAnsi="宋体" w:eastAsia="宋体" w:cs="宋体"/>
                <w:i w:val="0"/>
                <w:iCs w:val="0"/>
                <w:color w:val="000000"/>
                <w:sz w:val="21"/>
                <w:szCs w:val="21"/>
                <w:highlight w:val="none"/>
                <w:u w:val="none"/>
                <w:lang w:val="en-US" w:eastAsia="zh-CN" w:bidi="ar-SA"/>
              </w:rPr>
              <w:t>中文期刊，支持在线阅读阅览，整本下载阅读，支持自适应排版，支持左右翻页、字体更换、间距调整阅读。</w:t>
            </w:r>
          </w:p>
          <w:p w14:paraId="15EB262A">
            <w:pPr>
              <w:widowControl/>
              <w:spacing w:line="360" w:lineRule="exact"/>
              <w:rPr>
                <w:rFonts w:hint="default" w:ascii="宋体" w:hAnsi="宋体" w:eastAsia="宋体" w:cs="宋体"/>
                <w:i w:val="0"/>
                <w:iCs w:val="0"/>
                <w:color w:val="000000"/>
                <w:sz w:val="21"/>
                <w:szCs w:val="21"/>
                <w:highlight w:val="none"/>
                <w:u w:val="none"/>
                <w:lang w:val="en-US" w:eastAsia="zh-CN" w:bidi="ar-SA"/>
              </w:rPr>
            </w:pPr>
            <w:r>
              <w:rPr>
                <w:rFonts w:hint="eastAsia" w:ascii="宋体" w:hAnsi="宋体" w:cs="宋体"/>
                <w:i w:val="0"/>
                <w:iCs w:val="0"/>
                <w:color w:val="000000"/>
                <w:sz w:val="21"/>
                <w:szCs w:val="21"/>
                <w:highlight w:val="none"/>
                <w:u w:val="none"/>
                <w:lang w:val="en-US" w:eastAsia="zh-CN" w:bidi="ar-SA"/>
              </w:rPr>
              <w:t>4）【整本书分级测评体系】支持阅读计划发布、监控与阅读测评，提供15000道以上题库，支持阅读记录、写作功能，生成个人和班级阅读数据报告。</w:t>
            </w:r>
          </w:p>
          <w:p w14:paraId="0A0608D5">
            <w:pPr>
              <w:widowControl/>
              <w:spacing w:line="36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每项演示评价：演示完全符合要求的得2分；不能完全演示、部分符合要求的得1分；不演示或演示与要求完全不符的不得分。</w:t>
            </w:r>
          </w:p>
          <w:p w14:paraId="2EB7681B">
            <w:pPr>
              <w:widowControl/>
              <w:spacing w:line="36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注：本项目不组织现场讲解，供应商需自行录制演示视频，</w:t>
            </w:r>
            <w:r>
              <w:rPr>
                <w:rFonts w:hint="eastAsia" w:ascii="宋体" w:hAnsi="宋体" w:cs="宋体"/>
                <w:kern w:val="0"/>
                <w:sz w:val="21"/>
                <w:szCs w:val="21"/>
                <w:highlight w:val="none"/>
                <w:lang w:val="en-US" w:eastAsia="zh-CN"/>
              </w:rPr>
              <w:t>演示</w:t>
            </w:r>
            <w:bookmarkStart w:id="161" w:name="_GoBack"/>
            <w:bookmarkEnd w:id="161"/>
            <w:r>
              <w:rPr>
                <w:rFonts w:hint="eastAsia" w:ascii="宋体" w:hAnsi="宋体" w:eastAsia="宋体" w:cs="宋体"/>
                <w:kern w:val="0"/>
                <w:sz w:val="21"/>
                <w:szCs w:val="21"/>
                <w:highlight w:val="none"/>
                <w:lang w:val="en-US" w:eastAsia="zh-CN"/>
              </w:rPr>
              <w:t>时间不得超过</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分钟，将视频拷入 U 盘密封并在投标截止时间前递交给招标代理机构，递交形式为邮寄（自行承担邮寄过程风险）或开标现场递交（投标人任选其一），代理机构不接受投标截止时间后投递的效果展示文件。未进行演示的，本项不得分。</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25685CB4">
            <w:pPr>
              <w:widowControl/>
              <w:spacing w:line="360" w:lineRule="exact"/>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8</w:t>
            </w:r>
          </w:p>
        </w:tc>
        <w:tc>
          <w:tcPr>
            <w:tcW w:w="489" w:type="pct"/>
            <w:tcBorders>
              <w:top w:val="single" w:color="auto" w:sz="4" w:space="0"/>
              <w:left w:val="single" w:color="auto" w:sz="4" w:space="0"/>
              <w:bottom w:val="single" w:color="auto" w:sz="4" w:space="0"/>
              <w:right w:val="single" w:color="auto" w:sz="4" w:space="0"/>
            </w:tcBorders>
            <w:noWrap w:val="0"/>
            <w:vAlign w:val="center"/>
          </w:tcPr>
          <w:p w14:paraId="1391D1D0">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rPr>
              <w:t>客</w:t>
            </w:r>
            <w:r>
              <w:rPr>
                <w:rFonts w:hint="eastAsia" w:ascii="宋体" w:hAnsi="宋体" w:cs="宋体"/>
                <w:kern w:val="0"/>
                <w:sz w:val="21"/>
                <w:szCs w:val="21"/>
                <w:highlight w:val="none"/>
              </w:rPr>
              <w:t>观分</w:t>
            </w:r>
          </w:p>
        </w:tc>
      </w:tr>
      <w:tr w14:paraId="4B30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7EAC8166">
            <w:pPr>
              <w:widowControl/>
              <w:spacing w:line="360" w:lineRule="exact"/>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1</w:t>
            </w:r>
            <w:r>
              <w:rPr>
                <w:rFonts w:hint="eastAsia" w:ascii="宋体" w:hAnsi="宋体" w:cs="宋体"/>
                <w:kern w:val="0"/>
                <w:sz w:val="21"/>
                <w:szCs w:val="21"/>
                <w:highlight w:val="none"/>
                <w:lang w:val="en-US" w:eastAsia="zh-CN"/>
              </w:rPr>
              <w:t>0</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5E511176">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政策加分</w:t>
            </w:r>
          </w:p>
        </w:tc>
        <w:tc>
          <w:tcPr>
            <w:tcW w:w="3106" w:type="pct"/>
            <w:tcBorders>
              <w:top w:val="single" w:color="auto" w:sz="4" w:space="0"/>
              <w:left w:val="single" w:color="auto" w:sz="4" w:space="0"/>
              <w:bottom w:val="single" w:color="auto" w:sz="4" w:space="0"/>
              <w:right w:val="single" w:color="auto" w:sz="4" w:space="0"/>
            </w:tcBorders>
            <w:noWrap w:val="0"/>
            <w:vAlign w:val="center"/>
          </w:tcPr>
          <w:p w14:paraId="4C76C11E">
            <w:pPr>
              <w:tabs>
                <w:tab w:val="left" w:pos="4469"/>
              </w:tabs>
              <w:rPr>
                <w:rFonts w:hint="eastAsia" w:ascii="宋体" w:hAnsi="宋体" w:cs="宋体"/>
                <w:color w:val="auto"/>
                <w:sz w:val="21"/>
                <w:szCs w:val="21"/>
                <w:highlight w:val="none"/>
              </w:rPr>
            </w:pPr>
            <w:r>
              <w:rPr>
                <w:rFonts w:hint="eastAsia" w:ascii="宋体" w:hAnsi="宋体" w:cs="宋体"/>
                <w:color w:val="auto"/>
                <w:sz w:val="21"/>
                <w:szCs w:val="21"/>
                <w:highlight w:val="none"/>
              </w:rPr>
              <w:t>节能环保政策（1分）</w:t>
            </w:r>
          </w:p>
          <w:p w14:paraId="61CF557B">
            <w:pPr>
              <w:tabs>
                <w:tab w:val="left" w:pos="4469"/>
              </w:tabs>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投标产品属于《节能产品政府采购品目清单》范围的且具有国家确定的认证机构出具的、处于有效期之内的节能产品认证证书的得0.5分；</w:t>
            </w:r>
          </w:p>
          <w:p w14:paraId="6FCDD98C">
            <w:pPr>
              <w:tabs>
                <w:tab w:val="left" w:pos="4469"/>
              </w:tabs>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投标产品属于《环境标志产品政府采购品目清单》范围的且具有国家确定的认证机构出具的、处于有效期之内的环境标志产品认证证书的得0.5分。</w:t>
            </w:r>
          </w:p>
          <w:p w14:paraId="168C3F8E">
            <w:pPr>
              <w:rPr>
                <w:rFonts w:ascii="宋体" w:hAnsi="宋体" w:cs="宋体"/>
                <w:kern w:val="0"/>
                <w:sz w:val="21"/>
                <w:szCs w:val="21"/>
                <w:highlight w:val="none"/>
              </w:rPr>
            </w:pPr>
            <w:r>
              <w:rPr>
                <w:rFonts w:hint="eastAsia" w:ascii="宋体" w:hAnsi="宋体" w:cs="宋体"/>
                <w:color w:val="auto"/>
                <w:sz w:val="21"/>
                <w:szCs w:val="21"/>
                <w:highlight w:val="none"/>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6FEAC376">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489" w:type="pct"/>
            <w:tcBorders>
              <w:top w:val="single" w:color="auto" w:sz="4" w:space="0"/>
              <w:left w:val="single" w:color="auto" w:sz="4" w:space="0"/>
              <w:bottom w:val="single" w:color="auto" w:sz="4" w:space="0"/>
              <w:right w:val="single" w:color="auto" w:sz="4" w:space="0"/>
            </w:tcBorders>
            <w:noWrap w:val="0"/>
            <w:vAlign w:val="center"/>
          </w:tcPr>
          <w:p w14:paraId="2E12EA05">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客观分</w:t>
            </w:r>
          </w:p>
        </w:tc>
      </w:tr>
      <w:tr w14:paraId="1E6D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36FE163E">
            <w:pPr>
              <w:widowControl/>
              <w:spacing w:line="360" w:lineRule="exact"/>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1</w:t>
            </w:r>
            <w:r>
              <w:rPr>
                <w:rFonts w:hint="eastAsia" w:ascii="宋体" w:hAnsi="宋体" w:cs="宋体"/>
                <w:kern w:val="0"/>
                <w:sz w:val="21"/>
                <w:szCs w:val="21"/>
                <w:highlight w:val="none"/>
                <w:lang w:val="en-US" w:eastAsia="zh-CN"/>
              </w:rPr>
              <w:t>1</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CCA08E1">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价格分</w:t>
            </w:r>
          </w:p>
        </w:tc>
        <w:tc>
          <w:tcPr>
            <w:tcW w:w="31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0C5D4F">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评标基准价=满足招标文件要求且最低的参与评审的价格（30分）</w:t>
            </w:r>
          </w:p>
          <w:p w14:paraId="793C7B3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评标基准价得分为满分。</w:t>
            </w:r>
          </w:p>
          <w:p w14:paraId="792389A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参与评审价格=投标价格×（1-小微企业价格优惠值10%）</w:t>
            </w:r>
          </w:p>
          <w:p w14:paraId="4C78F16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投标报价得分=（评标基准价/参与评审的价格）×30%×100</w:t>
            </w:r>
          </w:p>
          <w:p w14:paraId="37666D8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投标报价得分以四舍五入保留小数点后两位。</w:t>
            </w:r>
          </w:p>
          <w:p w14:paraId="4D2DB07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投标报价超过采购预算（或最高限价）的投标无效。</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16CA9129">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30</w:t>
            </w:r>
          </w:p>
        </w:tc>
        <w:tc>
          <w:tcPr>
            <w:tcW w:w="489" w:type="pct"/>
            <w:tcBorders>
              <w:top w:val="single" w:color="auto" w:sz="4" w:space="0"/>
              <w:left w:val="single" w:color="auto" w:sz="4" w:space="0"/>
              <w:bottom w:val="single" w:color="auto" w:sz="4" w:space="0"/>
              <w:right w:val="single" w:color="auto" w:sz="4" w:space="0"/>
            </w:tcBorders>
            <w:noWrap w:val="0"/>
            <w:vAlign w:val="center"/>
          </w:tcPr>
          <w:p w14:paraId="47C6612F">
            <w:pPr>
              <w:widowControl/>
              <w:spacing w:line="360" w:lineRule="exact"/>
              <w:jc w:val="center"/>
              <w:rPr>
                <w:rFonts w:ascii="宋体" w:hAnsi="宋体" w:cs="宋体"/>
                <w:kern w:val="0"/>
                <w:sz w:val="21"/>
                <w:szCs w:val="21"/>
                <w:highlight w:val="none"/>
              </w:rPr>
            </w:pPr>
            <w:r>
              <w:rPr>
                <w:rFonts w:hint="eastAsia" w:ascii="宋体" w:hAnsi="宋体" w:cs="宋体"/>
                <w:kern w:val="0"/>
                <w:sz w:val="21"/>
                <w:szCs w:val="21"/>
                <w:highlight w:val="none"/>
              </w:rPr>
              <w:t>客观分</w:t>
            </w:r>
          </w:p>
        </w:tc>
      </w:tr>
    </w:tbl>
    <w:p w14:paraId="1CCC5E71">
      <w:pPr>
        <w:pStyle w:val="18"/>
        <w:keepNext w:val="0"/>
        <w:keepLines w:val="0"/>
        <w:pageBreakBefore w:val="0"/>
        <w:widowControl w:val="0"/>
        <w:kinsoku/>
        <w:overflowPunct/>
        <w:topLinePunct w:val="0"/>
        <w:autoSpaceDE/>
        <w:autoSpaceDN/>
        <w:bidi w:val="0"/>
        <w:snapToGrid/>
        <w:spacing w:after="0" w:line="360" w:lineRule="auto"/>
        <w:ind w:left="0" w:leftChars="0" w:firstLine="0" w:firstLineChars="0"/>
        <w:rPr>
          <w:rFonts w:hint="eastAsia" w:ascii="宋体" w:hAnsi="宋体"/>
          <w:b/>
          <w:color w:val="auto"/>
          <w:sz w:val="21"/>
          <w:szCs w:val="21"/>
          <w:highlight w:val="none"/>
        </w:rPr>
      </w:pPr>
      <w:r>
        <w:rPr>
          <w:rFonts w:hint="eastAsia" w:ascii="宋体" w:hAnsi="宋体"/>
          <w:b/>
          <w:color w:val="auto"/>
          <w:sz w:val="21"/>
          <w:szCs w:val="21"/>
          <w:highlight w:val="none"/>
        </w:rPr>
        <w:t>注：1、各评委成员自行按以上参考分值评分，评分小数点后保留二位数。</w:t>
      </w:r>
    </w:p>
    <w:p w14:paraId="6C66933E">
      <w:pPr>
        <w:pStyle w:val="18"/>
        <w:keepNext w:val="0"/>
        <w:keepLines w:val="0"/>
        <w:pageBreakBefore w:val="0"/>
        <w:widowControl w:val="0"/>
        <w:kinsoku/>
        <w:overflowPunct/>
        <w:topLinePunct w:val="0"/>
        <w:autoSpaceDE/>
        <w:autoSpaceDN/>
        <w:bidi w:val="0"/>
        <w:snapToGrid/>
        <w:spacing w:after="0" w:line="360" w:lineRule="auto"/>
        <w:ind w:left="0" w:leftChars="0"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2、表内要求提供的资料，未按要求提供的均不得分。</w:t>
      </w:r>
    </w:p>
    <w:p w14:paraId="775CBB47">
      <w:pPr>
        <w:pStyle w:val="18"/>
        <w:keepNext w:val="0"/>
        <w:keepLines w:val="0"/>
        <w:pageBreakBefore w:val="0"/>
        <w:widowControl w:val="0"/>
        <w:kinsoku/>
        <w:overflowPunct/>
        <w:topLinePunct w:val="0"/>
        <w:autoSpaceDE/>
        <w:autoSpaceDN/>
        <w:bidi w:val="0"/>
        <w:snapToGrid/>
        <w:spacing w:after="0" w:line="360" w:lineRule="auto"/>
        <w:ind w:left="0" w:leftChars="0" w:firstLine="422" w:firstLineChars="200"/>
        <w:rPr>
          <w:color w:val="auto"/>
          <w:highlight w:val="none"/>
        </w:rPr>
      </w:pP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rPr>
        <w:t>、本项目核心产品为</w:t>
      </w:r>
      <w:r>
        <w:rPr>
          <w:rFonts w:hint="eastAsia" w:ascii="宋体" w:hAnsi="宋体"/>
          <w:b/>
          <w:bCs w:val="0"/>
          <w:color w:val="auto"/>
          <w:sz w:val="21"/>
          <w:szCs w:val="21"/>
          <w:highlight w:val="none"/>
          <w:u w:val="single"/>
          <w:lang w:val="en-US" w:eastAsia="zh-CN"/>
        </w:rPr>
        <w:t xml:space="preserve"> 墨水屏阅读器 </w:t>
      </w:r>
      <w:r>
        <w:rPr>
          <w:rFonts w:hint="eastAsia" w:ascii="宋体" w:hAnsi="宋体"/>
          <w:b/>
          <w:color w:val="auto"/>
          <w:sz w:val="21"/>
          <w:szCs w:val="21"/>
          <w:highlight w:val="none"/>
          <w:lang w:val="en-US" w:eastAsia="zh-CN"/>
        </w:rPr>
        <w:t>，</w:t>
      </w:r>
      <w:r>
        <w:rPr>
          <w:rFonts w:hint="eastAsia" w:ascii="宋体" w:hAnsi="宋体"/>
          <w:b/>
          <w:color w:val="auto"/>
          <w:sz w:val="21"/>
          <w:szCs w:val="21"/>
          <w:highlight w:val="none"/>
        </w:rPr>
        <w:t>如多家投标人提供的核心产品品牌相同的，按一家投标人计算，评审后综合得分最高的同品牌投标人获得中标候选人推荐资格；综合得分相同的，由评标委员会采取随机抽取方式确定，其他同品牌供应商不作为中标候选人。</w:t>
      </w:r>
    </w:p>
    <w:bookmarkEnd w:id="132"/>
    <w:p w14:paraId="7DBD990B">
      <w:pPr>
        <w:spacing w:line="480" w:lineRule="auto"/>
        <w:jc w:val="center"/>
        <w:rPr>
          <w:rStyle w:val="134"/>
          <w:color w:val="auto"/>
          <w:highlight w:val="none"/>
        </w:rPr>
        <w:sectPr>
          <w:pgSz w:w="11905" w:h="16838"/>
          <w:pgMar w:top="1417" w:right="1587" w:bottom="1417" w:left="1587" w:header="850" w:footer="850" w:gutter="0"/>
          <w:pgBorders>
            <w:top w:val="none" w:sz="0" w:space="0"/>
            <w:left w:val="none" w:sz="0" w:space="0"/>
            <w:bottom w:val="none" w:sz="0" w:space="0"/>
            <w:right w:val="none" w:sz="0" w:space="0"/>
          </w:pgBorders>
          <w:cols w:space="0" w:num="1"/>
          <w:rtlGutter w:val="0"/>
          <w:docGrid w:linePitch="312" w:charSpace="0"/>
        </w:sectPr>
      </w:pPr>
      <w:bookmarkStart w:id="134" w:name="_Toc241827252"/>
      <w:bookmarkStart w:id="135" w:name="_Toc241827256"/>
      <w:bookmarkStart w:id="136" w:name="_Toc86202637"/>
    </w:p>
    <w:p w14:paraId="10FE3595">
      <w:pPr>
        <w:spacing w:line="480" w:lineRule="auto"/>
        <w:jc w:val="center"/>
        <w:rPr>
          <w:rFonts w:ascii="宋体"/>
          <w:color w:val="auto"/>
          <w:sz w:val="32"/>
          <w:szCs w:val="32"/>
          <w:highlight w:val="none"/>
        </w:rPr>
      </w:pPr>
      <w:bookmarkStart w:id="137" w:name="_Toc32656"/>
      <w:r>
        <w:rPr>
          <w:rStyle w:val="134"/>
          <w:rFonts w:hint="eastAsia"/>
          <w:color w:val="auto"/>
          <w:highlight w:val="none"/>
        </w:rPr>
        <w:t xml:space="preserve">第六章  </w:t>
      </w:r>
      <w:bookmarkStart w:id="138" w:name="_Toc86202632"/>
      <w:r>
        <w:rPr>
          <w:rStyle w:val="134"/>
          <w:rFonts w:hint="eastAsia"/>
          <w:color w:val="auto"/>
          <w:highlight w:val="none"/>
        </w:rPr>
        <w:t>投标文件格式</w:t>
      </w:r>
      <w:bookmarkEnd w:id="134"/>
      <w:bookmarkEnd w:id="137"/>
      <w:bookmarkEnd w:id="138"/>
      <w:bookmarkStart w:id="139" w:name="_Toc86202633"/>
    </w:p>
    <w:bookmarkEnd w:id="139"/>
    <w:p w14:paraId="2964BC7F">
      <w:pPr>
        <w:rPr>
          <w:rFonts w:ascii="宋体"/>
          <w:color w:val="auto"/>
          <w:sz w:val="21"/>
          <w:szCs w:val="21"/>
          <w:highlight w:val="none"/>
        </w:rPr>
      </w:pPr>
    </w:p>
    <w:bookmarkEnd w:id="135"/>
    <w:bookmarkEnd w:id="136"/>
    <w:p w14:paraId="26C52F2D">
      <w:pPr>
        <w:spacing w:line="360" w:lineRule="auto"/>
        <w:rPr>
          <w:rFonts w:ascii="宋体"/>
          <w:b/>
          <w:color w:val="auto"/>
          <w:sz w:val="32"/>
          <w:szCs w:val="32"/>
          <w:highlight w:val="none"/>
        </w:rPr>
      </w:pPr>
      <w:r>
        <w:rPr>
          <w:rFonts w:hint="eastAsia" w:ascii="宋体"/>
          <w:b/>
          <w:color w:val="auto"/>
          <w:sz w:val="32"/>
          <w:szCs w:val="32"/>
          <w:highlight w:val="none"/>
        </w:rPr>
        <w:t xml:space="preserve">封面                                       </w:t>
      </w:r>
    </w:p>
    <w:p w14:paraId="69531BAA">
      <w:pPr>
        <w:spacing w:line="360" w:lineRule="auto"/>
        <w:jc w:val="right"/>
        <w:rPr>
          <w:rFonts w:ascii="宋体"/>
          <w:b/>
          <w:color w:val="auto"/>
          <w:sz w:val="32"/>
          <w:szCs w:val="32"/>
          <w:highlight w:val="none"/>
        </w:rPr>
      </w:pPr>
    </w:p>
    <w:p w14:paraId="37BE4023">
      <w:pPr>
        <w:spacing w:line="360" w:lineRule="auto"/>
        <w:rPr>
          <w:rFonts w:ascii="宋体"/>
          <w:color w:val="auto"/>
          <w:sz w:val="28"/>
          <w:szCs w:val="28"/>
          <w:highlight w:val="none"/>
        </w:rPr>
      </w:pPr>
    </w:p>
    <w:p w14:paraId="0C567048">
      <w:pPr>
        <w:spacing w:line="360" w:lineRule="auto"/>
        <w:jc w:val="center"/>
        <w:rPr>
          <w:rFonts w:hint="eastAsia" w:ascii="宋体" w:eastAsia="宋体"/>
          <w:color w:val="auto"/>
          <w:sz w:val="40"/>
          <w:szCs w:val="48"/>
          <w:highlight w:val="none"/>
          <w:u w:val="none"/>
          <w:lang w:eastAsia="zh-CN"/>
        </w:rPr>
      </w:pPr>
      <w:r>
        <w:rPr>
          <w:rFonts w:hint="eastAsia" w:ascii="宋体"/>
          <w:color w:val="auto"/>
          <w:sz w:val="40"/>
          <w:szCs w:val="48"/>
          <w:highlight w:val="none"/>
          <w:u w:val="none"/>
          <w:lang w:eastAsia="zh-CN"/>
        </w:rPr>
        <w:t>宁波高新区求精书院智慧图书阅读空间采购项目</w:t>
      </w:r>
    </w:p>
    <w:p w14:paraId="44F32D67">
      <w:pPr>
        <w:spacing w:line="360" w:lineRule="auto"/>
        <w:jc w:val="center"/>
        <w:rPr>
          <w:rFonts w:hint="eastAsia" w:ascii="宋体"/>
          <w:color w:val="auto"/>
          <w:sz w:val="36"/>
          <w:szCs w:val="36"/>
          <w:highlight w:val="none"/>
          <w:lang w:eastAsia="zh-CN"/>
        </w:rPr>
      </w:pPr>
    </w:p>
    <w:p w14:paraId="2CB168FC">
      <w:pPr>
        <w:spacing w:line="360" w:lineRule="auto"/>
        <w:jc w:val="center"/>
        <w:rPr>
          <w:rFonts w:hint="eastAsia" w:ascii="宋体" w:eastAsia="宋体"/>
          <w:color w:val="auto"/>
          <w:sz w:val="36"/>
          <w:szCs w:val="36"/>
          <w:highlight w:val="none"/>
          <w:lang w:eastAsia="zh-CN"/>
        </w:rPr>
      </w:pPr>
      <w:r>
        <w:rPr>
          <w:rFonts w:hint="eastAsia" w:ascii="宋体"/>
          <w:color w:val="auto"/>
          <w:sz w:val="36"/>
          <w:szCs w:val="36"/>
          <w:highlight w:val="none"/>
          <w:lang w:eastAsia="zh-CN"/>
        </w:rPr>
        <w:t>招标编号</w:t>
      </w:r>
      <w:r>
        <w:rPr>
          <w:rFonts w:hint="eastAsia" w:ascii="宋体"/>
          <w:color w:val="auto"/>
          <w:sz w:val="36"/>
          <w:szCs w:val="36"/>
          <w:highlight w:val="none"/>
        </w:rPr>
        <w:t>：</w:t>
      </w:r>
      <w:r>
        <w:rPr>
          <w:rFonts w:hint="eastAsia" w:ascii="宋体"/>
          <w:color w:val="auto"/>
          <w:sz w:val="36"/>
          <w:szCs w:val="36"/>
          <w:highlight w:val="none"/>
          <w:u w:val="single"/>
          <w:lang w:eastAsia="zh-CN"/>
        </w:rPr>
        <w:t>NBITC-202530768G</w:t>
      </w:r>
    </w:p>
    <w:p w14:paraId="13C55C6F">
      <w:pPr>
        <w:spacing w:line="360" w:lineRule="auto"/>
        <w:jc w:val="center"/>
        <w:rPr>
          <w:rFonts w:ascii="宋体"/>
          <w:color w:val="auto"/>
          <w:sz w:val="36"/>
          <w:szCs w:val="36"/>
          <w:highlight w:val="none"/>
        </w:rPr>
      </w:pPr>
      <w:r>
        <w:rPr>
          <w:rFonts w:hint="eastAsia" w:ascii="宋体"/>
          <w:color w:val="auto"/>
          <w:sz w:val="36"/>
          <w:szCs w:val="36"/>
          <w:highlight w:val="none"/>
        </w:rPr>
        <w:t>子    包：</w:t>
      </w:r>
      <w:r>
        <w:rPr>
          <w:rFonts w:hint="eastAsia" w:ascii="宋体"/>
          <w:color w:val="auto"/>
          <w:sz w:val="36"/>
          <w:szCs w:val="36"/>
          <w:highlight w:val="none"/>
          <w:u w:val="single"/>
        </w:rPr>
        <w:t>（如有多个标项）</w:t>
      </w:r>
    </w:p>
    <w:p w14:paraId="5DA583A6">
      <w:pPr>
        <w:rPr>
          <w:rFonts w:ascii="宋体"/>
          <w:color w:val="auto"/>
          <w:sz w:val="28"/>
          <w:szCs w:val="28"/>
          <w:highlight w:val="none"/>
        </w:rPr>
      </w:pPr>
    </w:p>
    <w:p w14:paraId="2E05AE1D">
      <w:pPr>
        <w:spacing w:line="360" w:lineRule="auto"/>
        <w:jc w:val="center"/>
        <w:rPr>
          <w:rFonts w:ascii="宋体"/>
          <w:color w:val="auto"/>
          <w:sz w:val="36"/>
          <w:szCs w:val="36"/>
          <w:highlight w:val="none"/>
        </w:rPr>
      </w:pPr>
      <w:r>
        <w:rPr>
          <w:rFonts w:hint="eastAsia" w:ascii="宋体"/>
          <w:color w:val="auto"/>
          <w:sz w:val="36"/>
          <w:szCs w:val="36"/>
          <w:highlight w:val="none"/>
        </w:rPr>
        <w:t>（</w:t>
      </w:r>
      <w:r>
        <w:rPr>
          <w:rFonts w:hint="eastAsia" w:ascii="宋体"/>
          <w:color w:val="auto"/>
          <w:sz w:val="36"/>
          <w:szCs w:val="36"/>
          <w:highlight w:val="none"/>
          <w:lang w:eastAsia="zh-CN"/>
        </w:rPr>
        <w:t>资格文件</w:t>
      </w:r>
      <w:r>
        <w:rPr>
          <w:rFonts w:hint="eastAsia" w:ascii="宋体"/>
          <w:color w:val="auto"/>
          <w:sz w:val="36"/>
          <w:szCs w:val="36"/>
          <w:highlight w:val="none"/>
        </w:rPr>
        <w:t>）</w:t>
      </w:r>
    </w:p>
    <w:p w14:paraId="4588C711">
      <w:pPr>
        <w:jc w:val="center"/>
        <w:rPr>
          <w:rFonts w:ascii="宋体"/>
          <w:color w:val="auto"/>
          <w:sz w:val="28"/>
          <w:szCs w:val="28"/>
          <w:highlight w:val="none"/>
        </w:rPr>
      </w:pPr>
    </w:p>
    <w:p w14:paraId="36045C32">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3980C66B">
      <w:pPr>
        <w:spacing w:line="360" w:lineRule="auto"/>
        <w:jc w:val="center"/>
        <w:rPr>
          <w:rFonts w:ascii="宋体"/>
          <w:color w:val="auto"/>
          <w:sz w:val="36"/>
          <w:szCs w:val="36"/>
          <w:highlight w:val="none"/>
        </w:rPr>
      </w:pPr>
    </w:p>
    <w:p w14:paraId="0CC72D08">
      <w:pPr>
        <w:spacing w:line="360" w:lineRule="auto"/>
        <w:jc w:val="center"/>
        <w:rPr>
          <w:rFonts w:ascii="宋体"/>
          <w:color w:val="auto"/>
          <w:sz w:val="36"/>
          <w:szCs w:val="36"/>
          <w:highlight w:val="none"/>
        </w:rPr>
      </w:pPr>
    </w:p>
    <w:p w14:paraId="4F8AF12A">
      <w:pPr>
        <w:spacing w:line="360" w:lineRule="auto"/>
        <w:jc w:val="center"/>
        <w:rPr>
          <w:rFonts w:ascii="宋体"/>
          <w:color w:val="auto"/>
          <w:sz w:val="36"/>
          <w:szCs w:val="36"/>
          <w:highlight w:val="none"/>
        </w:rPr>
      </w:pPr>
    </w:p>
    <w:p w14:paraId="5D20A559">
      <w:pPr>
        <w:spacing w:line="360" w:lineRule="auto"/>
        <w:jc w:val="center"/>
        <w:rPr>
          <w:rFonts w:ascii="宋体"/>
          <w:color w:val="auto"/>
          <w:sz w:val="36"/>
          <w:szCs w:val="36"/>
          <w:highlight w:val="none"/>
          <w:u w:val="single"/>
        </w:rPr>
      </w:pPr>
      <w:r>
        <w:rPr>
          <w:rFonts w:hint="eastAsia" w:ascii="宋体"/>
          <w:color w:val="auto"/>
          <w:sz w:val="36"/>
          <w:szCs w:val="36"/>
          <w:highlight w:val="none"/>
        </w:rPr>
        <w:t>投标人全称：</w:t>
      </w:r>
      <w:r>
        <w:rPr>
          <w:rFonts w:hint="eastAsia" w:ascii="宋体"/>
          <w:color w:val="auto"/>
          <w:sz w:val="36"/>
          <w:szCs w:val="36"/>
          <w:highlight w:val="none"/>
          <w:u w:val="single"/>
        </w:rPr>
        <w:t>（加盖单位公章）</w:t>
      </w:r>
    </w:p>
    <w:p w14:paraId="390C6618">
      <w:pPr>
        <w:pStyle w:val="26"/>
        <w:ind w:left="115" w:leftChars="48" w:firstLine="1680" w:firstLineChars="800"/>
        <w:jc w:val="left"/>
        <w:rPr>
          <w:color w:val="auto"/>
          <w:szCs w:val="28"/>
          <w:highlight w:val="none"/>
          <w:u w:val="single"/>
        </w:rPr>
      </w:pPr>
    </w:p>
    <w:p w14:paraId="181CAABB">
      <w:pPr>
        <w:spacing w:line="360" w:lineRule="auto"/>
        <w:jc w:val="center"/>
        <w:rPr>
          <w:rFonts w:ascii="宋体"/>
          <w:color w:val="auto"/>
          <w:sz w:val="36"/>
          <w:szCs w:val="36"/>
          <w:highlight w:val="none"/>
        </w:rPr>
      </w:pPr>
      <w:r>
        <w:rPr>
          <w:rFonts w:hint="eastAsia" w:ascii="宋体"/>
          <w:color w:val="auto"/>
          <w:sz w:val="36"/>
          <w:szCs w:val="36"/>
          <w:highlight w:val="none"/>
        </w:rPr>
        <w:t>年  月  日</w:t>
      </w:r>
    </w:p>
    <w:p w14:paraId="6619C758">
      <w:pPr>
        <w:spacing w:line="360" w:lineRule="auto"/>
        <w:rPr>
          <w:rStyle w:val="175"/>
          <w:rFonts w:ascii="宋体"/>
          <w:color w:val="auto"/>
          <w:szCs w:val="21"/>
          <w:highlight w:val="none"/>
        </w:rPr>
      </w:pPr>
      <w:r>
        <w:rPr>
          <w:rStyle w:val="175"/>
          <w:rFonts w:hint="eastAsia" w:ascii="宋体"/>
          <w:color w:val="auto"/>
          <w:szCs w:val="21"/>
          <w:highlight w:val="none"/>
        </w:rPr>
        <w:br w:type="page"/>
      </w:r>
    </w:p>
    <w:p w14:paraId="1D2A090F">
      <w:pPr>
        <w:spacing w:line="400" w:lineRule="exact"/>
        <w:jc w:val="center"/>
        <w:rPr>
          <w:rFonts w:ascii="宋体"/>
          <w:b/>
          <w:color w:val="auto"/>
          <w:szCs w:val="21"/>
          <w:highlight w:val="none"/>
        </w:rPr>
      </w:pPr>
      <w:r>
        <w:rPr>
          <w:rFonts w:hint="eastAsia" w:ascii="宋体"/>
          <w:b/>
          <w:color w:val="auto"/>
          <w:szCs w:val="21"/>
          <w:highlight w:val="none"/>
        </w:rPr>
        <w:t>A1、</w:t>
      </w:r>
      <w:r>
        <w:rPr>
          <w:rStyle w:val="175"/>
          <w:rFonts w:hint="eastAsia" w:ascii="宋体"/>
          <w:color w:val="auto"/>
          <w:sz w:val="21"/>
          <w:szCs w:val="21"/>
          <w:highlight w:val="none"/>
        </w:rPr>
        <w:t>关于</w:t>
      </w:r>
      <w:r>
        <w:rPr>
          <w:rFonts w:hint="eastAsia" w:ascii="宋体"/>
          <w:b/>
          <w:color w:val="auto"/>
          <w:szCs w:val="21"/>
          <w:highlight w:val="none"/>
        </w:rPr>
        <w:t>资格的承诺函</w:t>
      </w:r>
    </w:p>
    <w:p w14:paraId="5E44C713">
      <w:pPr>
        <w:spacing w:line="400" w:lineRule="exact"/>
        <w:rPr>
          <w:rFonts w:ascii="宋体"/>
          <w:b/>
          <w:color w:val="auto"/>
          <w:szCs w:val="21"/>
          <w:highlight w:val="none"/>
        </w:rPr>
      </w:pPr>
      <w:r>
        <w:rPr>
          <w:rFonts w:hint="eastAsia" w:ascii="宋体"/>
          <w:color w:val="auto"/>
          <w:szCs w:val="21"/>
          <w:highlight w:val="none"/>
        </w:rPr>
        <w:t>致：采购人</w:t>
      </w:r>
    </w:p>
    <w:p w14:paraId="24707F94">
      <w:pPr>
        <w:spacing w:line="400" w:lineRule="exact"/>
        <w:ind w:firstLine="480" w:firstLineChars="200"/>
        <w:rPr>
          <w:rFonts w:ascii="宋体"/>
          <w:color w:val="auto"/>
          <w:szCs w:val="21"/>
          <w:highlight w:val="none"/>
        </w:rPr>
      </w:pPr>
      <w:r>
        <w:rPr>
          <w:rFonts w:hint="eastAsia" w:ascii="宋体"/>
          <w:bCs/>
          <w:color w:val="auto"/>
          <w:szCs w:val="21"/>
          <w:highlight w:val="none"/>
        </w:rPr>
        <w:t>我单位承诺：</w:t>
      </w:r>
    </w:p>
    <w:p w14:paraId="4855D951">
      <w:pPr>
        <w:spacing w:line="400" w:lineRule="exact"/>
        <w:ind w:firstLine="480" w:firstLineChars="200"/>
        <w:rPr>
          <w:rFonts w:ascii="宋体"/>
          <w:color w:val="auto"/>
          <w:szCs w:val="21"/>
          <w:highlight w:val="none"/>
        </w:rPr>
      </w:pPr>
      <w:r>
        <w:rPr>
          <w:rFonts w:hint="eastAsia" w:ascii="宋体"/>
          <w:color w:val="auto"/>
          <w:szCs w:val="21"/>
          <w:highlight w:val="none"/>
        </w:rPr>
        <w:t>我单位满足《中华人民共和国政府采购法》第二十二条 投标人参加政府采购活动应当具备的下列条件：</w:t>
      </w:r>
    </w:p>
    <w:p w14:paraId="7B9E8C05">
      <w:pPr>
        <w:spacing w:line="400" w:lineRule="exact"/>
        <w:ind w:firstLine="480" w:firstLineChars="200"/>
        <w:rPr>
          <w:rFonts w:ascii="宋体"/>
          <w:color w:val="auto"/>
          <w:szCs w:val="21"/>
          <w:highlight w:val="none"/>
        </w:rPr>
      </w:pPr>
      <w:r>
        <w:rPr>
          <w:rFonts w:hint="eastAsia" w:ascii="宋体"/>
          <w:color w:val="auto"/>
          <w:szCs w:val="21"/>
          <w:highlight w:val="none"/>
        </w:rPr>
        <w:t>（一）具有独立承担民事责任的能力；</w:t>
      </w:r>
    </w:p>
    <w:p w14:paraId="6D410CFE">
      <w:pPr>
        <w:spacing w:line="400" w:lineRule="exact"/>
        <w:ind w:firstLine="480" w:firstLineChars="200"/>
        <w:rPr>
          <w:rFonts w:ascii="宋体"/>
          <w:color w:val="auto"/>
          <w:szCs w:val="21"/>
          <w:highlight w:val="none"/>
        </w:rPr>
      </w:pPr>
      <w:r>
        <w:rPr>
          <w:rFonts w:hint="eastAsia" w:ascii="宋体"/>
          <w:color w:val="auto"/>
          <w:szCs w:val="21"/>
          <w:highlight w:val="none"/>
        </w:rPr>
        <w:t>（二）具有良好的商业信誉和健全的财务会计制度；</w:t>
      </w:r>
    </w:p>
    <w:p w14:paraId="0A7FADC3">
      <w:pPr>
        <w:spacing w:line="400" w:lineRule="exact"/>
        <w:ind w:firstLine="480" w:firstLineChars="200"/>
        <w:rPr>
          <w:rFonts w:ascii="宋体"/>
          <w:color w:val="auto"/>
          <w:szCs w:val="21"/>
          <w:highlight w:val="none"/>
        </w:rPr>
      </w:pPr>
      <w:r>
        <w:rPr>
          <w:rFonts w:hint="eastAsia" w:ascii="宋体"/>
          <w:color w:val="auto"/>
          <w:szCs w:val="21"/>
          <w:highlight w:val="none"/>
        </w:rPr>
        <w:t>（三）具有履行合同所必需的设备和专业技术能力；</w:t>
      </w:r>
    </w:p>
    <w:p w14:paraId="143FD6C4">
      <w:pPr>
        <w:spacing w:line="400" w:lineRule="exact"/>
        <w:ind w:firstLine="480" w:firstLineChars="200"/>
        <w:rPr>
          <w:rFonts w:ascii="宋体"/>
          <w:color w:val="auto"/>
          <w:szCs w:val="21"/>
          <w:highlight w:val="none"/>
        </w:rPr>
      </w:pPr>
      <w:r>
        <w:rPr>
          <w:rFonts w:hint="eastAsia" w:ascii="宋体"/>
          <w:color w:val="auto"/>
          <w:szCs w:val="21"/>
          <w:highlight w:val="none"/>
        </w:rPr>
        <w:t>（四）有依法缴纳税收和社会保障资金的良好记录；</w:t>
      </w:r>
    </w:p>
    <w:p w14:paraId="2C664C0A">
      <w:pPr>
        <w:spacing w:line="400" w:lineRule="exact"/>
        <w:ind w:firstLine="480" w:firstLineChars="200"/>
        <w:rPr>
          <w:rFonts w:ascii="宋体"/>
          <w:color w:val="auto"/>
          <w:szCs w:val="21"/>
          <w:highlight w:val="none"/>
        </w:rPr>
      </w:pPr>
      <w:r>
        <w:rPr>
          <w:rFonts w:hint="eastAsia" w:ascii="宋体"/>
          <w:color w:val="auto"/>
          <w:szCs w:val="21"/>
          <w:highlight w:val="none"/>
        </w:rPr>
        <w:t>（五）参加政府采购活动前三年内，在经营活动中没有重大违法记录；</w:t>
      </w:r>
    </w:p>
    <w:p w14:paraId="3EFDC0CE">
      <w:pPr>
        <w:spacing w:line="400" w:lineRule="exact"/>
        <w:ind w:firstLine="480" w:firstLineChars="200"/>
        <w:rPr>
          <w:rFonts w:ascii="宋体"/>
          <w:color w:val="auto"/>
          <w:szCs w:val="21"/>
          <w:highlight w:val="none"/>
        </w:rPr>
      </w:pPr>
      <w:r>
        <w:rPr>
          <w:rFonts w:hint="eastAsia" w:ascii="宋体"/>
          <w:color w:val="auto"/>
          <w:szCs w:val="21"/>
          <w:highlight w:val="none"/>
        </w:rPr>
        <w:t>（六）法律、行政法规规定的其他条件。</w:t>
      </w:r>
    </w:p>
    <w:p w14:paraId="61F956FC">
      <w:pPr>
        <w:spacing w:line="400" w:lineRule="exact"/>
        <w:ind w:firstLine="480" w:firstLineChars="200"/>
        <w:rPr>
          <w:rFonts w:ascii="宋体"/>
          <w:color w:val="auto"/>
          <w:szCs w:val="21"/>
          <w:highlight w:val="none"/>
        </w:rPr>
      </w:pPr>
    </w:p>
    <w:p w14:paraId="1067AE09">
      <w:pPr>
        <w:spacing w:line="400" w:lineRule="exact"/>
        <w:ind w:firstLine="480" w:firstLineChars="200"/>
        <w:rPr>
          <w:rFonts w:ascii="宋体"/>
          <w:color w:val="auto"/>
          <w:szCs w:val="21"/>
          <w:highlight w:val="none"/>
        </w:rPr>
      </w:pPr>
      <w:r>
        <w:rPr>
          <w:rFonts w:hint="eastAsia" w:ascii="宋体"/>
          <w:color w:val="auto"/>
          <w:szCs w:val="21"/>
          <w:highlight w:val="none"/>
        </w:rPr>
        <w:t>特此承诺。</w:t>
      </w:r>
    </w:p>
    <w:p w14:paraId="47FD3720">
      <w:pPr>
        <w:spacing w:line="400" w:lineRule="exact"/>
        <w:ind w:firstLine="480" w:firstLineChars="200"/>
        <w:rPr>
          <w:rFonts w:ascii="宋体"/>
          <w:color w:val="auto"/>
          <w:szCs w:val="21"/>
          <w:highlight w:val="none"/>
        </w:rPr>
      </w:pPr>
    </w:p>
    <w:p w14:paraId="0888EDA9">
      <w:pPr>
        <w:spacing w:line="400" w:lineRule="exact"/>
        <w:ind w:firstLine="480" w:firstLineChars="200"/>
        <w:rPr>
          <w:rFonts w:ascii="宋体"/>
          <w:color w:val="auto"/>
          <w:szCs w:val="21"/>
          <w:highlight w:val="none"/>
        </w:rPr>
      </w:pPr>
    </w:p>
    <w:p w14:paraId="57F47197">
      <w:pPr>
        <w:spacing w:line="400" w:lineRule="exact"/>
        <w:ind w:firstLine="480" w:firstLineChars="200"/>
        <w:rPr>
          <w:rFonts w:ascii="宋体"/>
          <w:color w:val="auto"/>
          <w:szCs w:val="21"/>
          <w:highlight w:val="none"/>
        </w:rPr>
      </w:pPr>
    </w:p>
    <w:p w14:paraId="6532E08A">
      <w:pPr>
        <w:spacing w:line="400" w:lineRule="exact"/>
        <w:ind w:firstLine="480" w:firstLineChars="200"/>
        <w:rPr>
          <w:rFonts w:ascii="宋体"/>
          <w:color w:val="auto"/>
          <w:szCs w:val="21"/>
          <w:highlight w:val="none"/>
        </w:rPr>
      </w:pPr>
    </w:p>
    <w:p w14:paraId="17895CD8">
      <w:pPr>
        <w:spacing w:line="400" w:lineRule="exact"/>
        <w:ind w:firstLine="480" w:firstLineChars="200"/>
        <w:rPr>
          <w:rFonts w:ascii="宋体"/>
          <w:color w:val="auto"/>
          <w:szCs w:val="21"/>
          <w:highlight w:val="none"/>
        </w:rPr>
      </w:pPr>
    </w:p>
    <w:p w14:paraId="417A3ADE">
      <w:pPr>
        <w:spacing w:line="400" w:lineRule="exact"/>
        <w:ind w:firstLine="480" w:firstLineChars="200"/>
        <w:rPr>
          <w:rFonts w:ascii="宋体"/>
          <w:color w:val="auto"/>
          <w:szCs w:val="21"/>
          <w:highlight w:val="none"/>
        </w:rPr>
      </w:pPr>
      <w:r>
        <w:rPr>
          <w:rFonts w:hint="eastAsia" w:ascii="宋体"/>
          <w:color w:val="auto"/>
          <w:szCs w:val="21"/>
          <w:highlight w:val="none"/>
        </w:rPr>
        <w:t xml:space="preserve">投标人（盖章）：          </w:t>
      </w:r>
    </w:p>
    <w:p w14:paraId="6FCB777C">
      <w:pPr>
        <w:spacing w:line="400" w:lineRule="exact"/>
        <w:ind w:firstLine="480" w:firstLineChars="200"/>
        <w:rPr>
          <w:rFonts w:ascii="宋体"/>
          <w:color w:val="auto"/>
          <w:szCs w:val="21"/>
          <w:highlight w:val="none"/>
        </w:rPr>
      </w:pPr>
      <w:r>
        <w:rPr>
          <w:rFonts w:hint="eastAsia" w:ascii="宋体"/>
          <w:color w:val="auto"/>
          <w:szCs w:val="21"/>
          <w:highlight w:val="none"/>
        </w:rPr>
        <w:t>日          期：</w:t>
      </w:r>
    </w:p>
    <w:p w14:paraId="172489C5">
      <w:pPr>
        <w:spacing w:line="400" w:lineRule="exact"/>
        <w:jc w:val="center"/>
        <w:rPr>
          <w:rStyle w:val="175"/>
          <w:rFonts w:ascii="宋体"/>
          <w:color w:val="auto"/>
          <w:szCs w:val="21"/>
          <w:highlight w:val="none"/>
        </w:rPr>
      </w:pPr>
    </w:p>
    <w:p w14:paraId="0D4C7803">
      <w:pPr>
        <w:spacing w:line="440" w:lineRule="exact"/>
        <w:jc w:val="center"/>
        <w:rPr>
          <w:rStyle w:val="175"/>
          <w:rFonts w:ascii="宋体"/>
          <w:color w:val="auto"/>
          <w:szCs w:val="21"/>
          <w:highlight w:val="none"/>
        </w:rPr>
      </w:pPr>
    </w:p>
    <w:p w14:paraId="0B497666">
      <w:pPr>
        <w:spacing w:line="400" w:lineRule="exact"/>
        <w:rPr>
          <w:rFonts w:ascii="宋体"/>
          <w:b/>
          <w:color w:val="auto"/>
          <w:szCs w:val="21"/>
          <w:highlight w:val="none"/>
        </w:rPr>
      </w:pPr>
      <w:r>
        <w:rPr>
          <w:rStyle w:val="175"/>
          <w:rFonts w:ascii="宋体"/>
          <w:color w:val="auto"/>
          <w:sz w:val="28"/>
          <w:szCs w:val="28"/>
          <w:highlight w:val="none"/>
        </w:rPr>
        <w:br w:type="page"/>
      </w:r>
      <w:r>
        <w:rPr>
          <w:rFonts w:hint="eastAsia" w:ascii="宋体"/>
          <w:b/>
          <w:color w:val="auto"/>
          <w:szCs w:val="21"/>
          <w:highlight w:val="none"/>
        </w:rPr>
        <w:t>A2、营业执照副本（或事业法人登记证副本或其他登记证明材料）扫描件加盖投标人公章（投标人如果有名称变更的，应提供由行政主管部门出具的变更证明文件扫描件加盖投标人公章）；</w:t>
      </w:r>
    </w:p>
    <w:p w14:paraId="0E384F82">
      <w:pPr>
        <w:spacing w:line="400" w:lineRule="exact"/>
        <w:jc w:val="center"/>
        <w:rPr>
          <w:rFonts w:ascii="宋体"/>
          <w:b/>
          <w:color w:val="auto"/>
          <w:szCs w:val="21"/>
          <w:highlight w:val="none"/>
        </w:rPr>
      </w:pPr>
      <w:r>
        <w:rPr>
          <w:rFonts w:ascii="宋体"/>
          <w:b/>
          <w:color w:val="auto"/>
          <w:szCs w:val="21"/>
          <w:highlight w:val="none"/>
        </w:rPr>
        <w:br w:type="page"/>
      </w:r>
    </w:p>
    <w:p w14:paraId="25646860">
      <w:pPr>
        <w:spacing w:line="400" w:lineRule="exact"/>
        <w:jc w:val="center"/>
        <w:rPr>
          <w:rStyle w:val="175"/>
          <w:rFonts w:ascii="宋体"/>
          <w:color w:val="auto"/>
          <w:sz w:val="28"/>
          <w:szCs w:val="28"/>
          <w:highlight w:val="none"/>
        </w:rPr>
      </w:pPr>
      <w:r>
        <w:rPr>
          <w:rFonts w:hint="eastAsia" w:ascii="宋体"/>
          <w:b/>
          <w:color w:val="auto"/>
          <w:szCs w:val="21"/>
          <w:highlight w:val="none"/>
        </w:rPr>
        <w:t>A</w:t>
      </w:r>
      <w:r>
        <w:rPr>
          <w:rFonts w:hint="eastAsia" w:ascii="宋体"/>
          <w:b/>
          <w:color w:val="auto"/>
          <w:szCs w:val="21"/>
          <w:highlight w:val="none"/>
          <w:lang w:val="en-US" w:eastAsia="zh-CN"/>
        </w:rPr>
        <w:t xml:space="preserve">3 </w:t>
      </w:r>
      <w:r>
        <w:rPr>
          <w:rFonts w:hint="eastAsia" w:ascii="宋体"/>
          <w:b/>
          <w:color w:val="auto"/>
          <w:szCs w:val="21"/>
          <w:highlight w:val="none"/>
        </w:rPr>
        <w:t xml:space="preserve"> 招标文件要求的其他资格条件证明材料（如有）</w:t>
      </w:r>
      <w:r>
        <w:rPr>
          <w:rFonts w:hint="eastAsia" w:ascii="宋体"/>
          <w:b/>
          <w:color w:val="auto"/>
          <w:szCs w:val="21"/>
          <w:highlight w:val="none"/>
        </w:rPr>
        <w:br w:type="page"/>
      </w:r>
    </w:p>
    <w:p w14:paraId="5ECEF417">
      <w:pPr>
        <w:pStyle w:val="203"/>
        <w:jc w:val="center"/>
        <w:rPr>
          <w:rStyle w:val="175"/>
          <w:rFonts w:ascii="宋体"/>
          <w:color w:val="auto"/>
          <w:sz w:val="32"/>
          <w:szCs w:val="32"/>
          <w:highlight w:val="none"/>
        </w:rPr>
      </w:pPr>
      <w:bookmarkStart w:id="140" w:name="_Toc44162157"/>
      <w:bookmarkStart w:id="141" w:name="_Toc16913"/>
      <w:bookmarkStart w:id="142" w:name="_Toc21541026"/>
      <w:r>
        <w:rPr>
          <w:rStyle w:val="175"/>
          <w:rFonts w:hint="eastAsia" w:ascii="宋体"/>
          <w:color w:val="auto"/>
          <w:sz w:val="32"/>
          <w:szCs w:val="32"/>
          <w:highlight w:val="none"/>
        </w:rPr>
        <w:t>B.商务和技术文件</w:t>
      </w:r>
      <w:bookmarkEnd w:id="140"/>
      <w:bookmarkEnd w:id="141"/>
      <w:bookmarkEnd w:id="142"/>
    </w:p>
    <w:p w14:paraId="0442080F">
      <w:pPr>
        <w:autoSpaceDE w:val="0"/>
        <w:autoSpaceDN w:val="0"/>
        <w:spacing w:line="420" w:lineRule="exact"/>
        <w:rPr>
          <w:rStyle w:val="175"/>
          <w:rFonts w:ascii="宋体"/>
          <w:b w:val="0"/>
          <w:color w:val="auto"/>
          <w:highlight w:val="none"/>
          <w:lang w:val="zh-CN"/>
        </w:rPr>
      </w:pPr>
      <w:r>
        <w:rPr>
          <w:rStyle w:val="175"/>
          <w:rFonts w:hint="eastAsia" w:ascii="宋体"/>
          <w:color w:val="auto"/>
          <w:sz w:val="32"/>
          <w:szCs w:val="32"/>
          <w:highlight w:val="none"/>
        </w:rPr>
        <w:br w:type="page"/>
      </w:r>
      <w:r>
        <w:rPr>
          <w:rStyle w:val="175"/>
          <w:rFonts w:hint="eastAsia" w:ascii="宋体"/>
          <w:color w:val="auto"/>
          <w:szCs w:val="21"/>
          <w:highlight w:val="none"/>
        </w:rPr>
        <w:t>封面</w:t>
      </w:r>
    </w:p>
    <w:p w14:paraId="7561C455">
      <w:pPr>
        <w:spacing w:line="360" w:lineRule="auto"/>
        <w:ind w:firstLine="1285" w:firstLineChars="400"/>
        <w:jc w:val="right"/>
        <w:rPr>
          <w:rFonts w:ascii="宋体"/>
          <w:b/>
          <w:color w:val="auto"/>
          <w:sz w:val="32"/>
          <w:szCs w:val="32"/>
          <w:highlight w:val="none"/>
        </w:rPr>
      </w:pPr>
    </w:p>
    <w:p w14:paraId="61F1076A">
      <w:pPr>
        <w:spacing w:after="120" w:line="900" w:lineRule="exact"/>
        <w:jc w:val="center"/>
        <w:rPr>
          <w:rFonts w:hint="eastAsia" w:ascii="宋体" w:eastAsia="宋体"/>
          <w:b/>
          <w:color w:val="auto"/>
          <w:sz w:val="40"/>
          <w:szCs w:val="48"/>
          <w:highlight w:val="none"/>
          <w:lang w:eastAsia="zh-CN"/>
        </w:rPr>
      </w:pPr>
      <w:r>
        <w:rPr>
          <w:rFonts w:hint="eastAsia" w:ascii="宋体"/>
          <w:b/>
          <w:color w:val="auto"/>
          <w:sz w:val="40"/>
          <w:szCs w:val="48"/>
          <w:highlight w:val="none"/>
          <w:lang w:eastAsia="zh-CN"/>
        </w:rPr>
        <w:t>宁波高新区求精书院智慧图书阅读空间采购项目</w:t>
      </w:r>
    </w:p>
    <w:p w14:paraId="63C34324">
      <w:pPr>
        <w:spacing w:after="120" w:line="900" w:lineRule="exact"/>
        <w:jc w:val="center"/>
        <w:rPr>
          <w:rFonts w:ascii="宋体"/>
          <w:b/>
          <w:color w:val="auto"/>
          <w:sz w:val="44"/>
          <w:szCs w:val="50"/>
          <w:highlight w:val="none"/>
        </w:rPr>
      </w:pPr>
    </w:p>
    <w:p w14:paraId="60AFD741">
      <w:pPr>
        <w:spacing w:line="360" w:lineRule="auto"/>
        <w:jc w:val="center"/>
        <w:rPr>
          <w:rFonts w:hint="eastAsia" w:ascii="宋体" w:eastAsia="宋体"/>
          <w:color w:val="auto"/>
          <w:sz w:val="36"/>
          <w:szCs w:val="36"/>
          <w:highlight w:val="none"/>
          <w:u w:val="single"/>
          <w:lang w:eastAsia="zh-CN"/>
        </w:rPr>
      </w:pPr>
      <w:r>
        <w:rPr>
          <w:rFonts w:hint="eastAsia" w:ascii="宋体"/>
          <w:color w:val="auto"/>
          <w:sz w:val="36"/>
          <w:szCs w:val="36"/>
          <w:highlight w:val="none"/>
          <w:u w:val="single"/>
          <w:lang w:eastAsia="zh-CN"/>
        </w:rPr>
        <w:t>招标编号</w:t>
      </w:r>
      <w:r>
        <w:rPr>
          <w:rFonts w:hint="eastAsia" w:ascii="宋体"/>
          <w:color w:val="auto"/>
          <w:sz w:val="36"/>
          <w:szCs w:val="36"/>
          <w:highlight w:val="none"/>
          <w:u w:val="single"/>
        </w:rPr>
        <w:t>：</w:t>
      </w:r>
      <w:r>
        <w:rPr>
          <w:rFonts w:hint="eastAsia" w:ascii="宋体"/>
          <w:color w:val="auto"/>
          <w:sz w:val="36"/>
          <w:szCs w:val="36"/>
          <w:highlight w:val="none"/>
          <w:u w:val="single"/>
          <w:lang w:eastAsia="zh-CN"/>
        </w:rPr>
        <w:t>NBITC-202530768G</w:t>
      </w:r>
    </w:p>
    <w:p w14:paraId="49F35641">
      <w:pPr>
        <w:spacing w:line="360" w:lineRule="auto"/>
        <w:ind w:firstLine="2340" w:firstLineChars="650"/>
        <w:rPr>
          <w:rFonts w:ascii="宋体"/>
          <w:color w:val="auto"/>
          <w:sz w:val="36"/>
          <w:szCs w:val="36"/>
          <w:highlight w:val="none"/>
        </w:rPr>
      </w:pPr>
      <w:r>
        <w:rPr>
          <w:rFonts w:hint="eastAsia" w:ascii="宋体"/>
          <w:color w:val="auto"/>
          <w:sz w:val="36"/>
          <w:szCs w:val="36"/>
          <w:highlight w:val="none"/>
          <w:u w:val="single"/>
        </w:rPr>
        <w:t>子    包：（如有多个标项）</w:t>
      </w:r>
    </w:p>
    <w:p w14:paraId="5B10739F">
      <w:pPr>
        <w:rPr>
          <w:rFonts w:ascii="宋体"/>
          <w:color w:val="auto"/>
          <w:sz w:val="28"/>
          <w:szCs w:val="28"/>
          <w:highlight w:val="none"/>
        </w:rPr>
      </w:pPr>
    </w:p>
    <w:p w14:paraId="207C177E">
      <w:pPr>
        <w:spacing w:line="360" w:lineRule="auto"/>
        <w:jc w:val="center"/>
        <w:rPr>
          <w:rFonts w:ascii="宋体"/>
          <w:color w:val="auto"/>
          <w:sz w:val="36"/>
          <w:szCs w:val="36"/>
          <w:highlight w:val="none"/>
        </w:rPr>
      </w:pPr>
      <w:r>
        <w:rPr>
          <w:rFonts w:hint="eastAsia" w:ascii="宋体"/>
          <w:color w:val="auto"/>
          <w:sz w:val="36"/>
          <w:szCs w:val="36"/>
          <w:highlight w:val="none"/>
        </w:rPr>
        <w:t>（商务和技术文件）</w:t>
      </w:r>
    </w:p>
    <w:p w14:paraId="0504CC38">
      <w:pPr>
        <w:jc w:val="center"/>
        <w:rPr>
          <w:rFonts w:ascii="宋体"/>
          <w:color w:val="auto"/>
          <w:sz w:val="28"/>
          <w:szCs w:val="28"/>
          <w:highlight w:val="none"/>
        </w:rPr>
      </w:pPr>
    </w:p>
    <w:p w14:paraId="5313C323">
      <w:pPr>
        <w:spacing w:line="360" w:lineRule="auto"/>
        <w:jc w:val="center"/>
        <w:rPr>
          <w:rFonts w:ascii="宋体"/>
          <w:b/>
          <w:color w:val="auto"/>
          <w:sz w:val="72"/>
          <w:szCs w:val="72"/>
          <w:highlight w:val="none"/>
        </w:rPr>
      </w:pPr>
    </w:p>
    <w:p w14:paraId="4C6ADFED">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423C8945">
      <w:pPr>
        <w:spacing w:line="360" w:lineRule="auto"/>
        <w:jc w:val="center"/>
        <w:rPr>
          <w:rFonts w:ascii="宋体"/>
          <w:color w:val="auto"/>
          <w:sz w:val="36"/>
          <w:szCs w:val="36"/>
          <w:highlight w:val="none"/>
        </w:rPr>
      </w:pPr>
    </w:p>
    <w:p w14:paraId="701C6877">
      <w:pPr>
        <w:spacing w:line="360" w:lineRule="auto"/>
        <w:jc w:val="center"/>
        <w:rPr>
          <w:rFonts w:ascii="宋体"/>
          <w:color w:val="auto"/>
          <w:sz w:val="36"/>
          <w:szCs w:val="36"/>
          <w:highlight w:val="none"/>
        </w:rPr>
      </w:pPr>
    </w:p>
    <w:p w14:paraId="5AF015A4">
      <w:pPr>
        <w:spacing w:line="360" w:lineRule="auto"/>
        <w:jc w:val="center"/>
        <w:rPr>
          <w:rFonts w:ascii="宋体"/>
          <w:color w:val="auto"/>
          <w:sz w:val="36"/>
          <w:szCs w:val="36"/>
          <w:highlight w:val="none"/>
        </w:rPr>
      </w:pPr>
    </w:p>
    <w:p w14:paraId="5FE67D64">
      <w:pPr>
        <w:spacing w:line="360" w:lineRule="auto"/>
        <w:jc w:val="center"/>
        <w:rPr>
          <w:rFonts w:ascii="宋体"/>
          <w:color w:val="auto"/>
          <w:sz w:val="36"/>
          <w:szCs w:val="36"/>
          <w:highlight w:val="none"/>
        </w:rPr>
      </w:pPr>
    </w:p>
    <w:p w14:paraId="6AE3BF18">
      <w:pPr>
        <w:spacing w:line="360" w:lineRule="auto"/>
        <w:jc w:val="center"/>
        <w:rPr>
          <w:rFonts w:ascii="宋体"/>
          <w:color w:val="auto"/>
          <w:sz w:val="36"/>
          <w:szCs w:val="36"/>
          <w:highlight w:val="none"/>
          <w:u w:val="single"/>
        </w:rPr>
      </w:pPr>
      <w:r>
        <w:rPr>
          <w:rFonts w:hint="eastAsia" w:ascii="宋体"/>
          <w:color w:val="auto"/>
          <w:sz w:val="36"/>
          <w:szCs w:val="36"/>
          <w:highlight w:val="none"/>
        </w:rPr>
        <w:t>投标人全称：</w:t>
      </w:r>
      <w:r>
        <w:rPr>
          <w:rFonts w:hint="eastAsia" w:ascii="宋体"/>
          <w:color w:val="auto"/>
          <w:sz w:val="36"/>
          <w:szCs w:val="36"/>
          <w:highlight w:val="none"/>
          <w:u w:val="single"/>
        </w:rPr>
        <w:t>（加盖单位公章）</w:t>
      </w:r>
    </w:p>
    <w:p w14:paraId="3FB73604">
      <w:pPr>
        <w:pStyle w:val="26"/>
        <w:ind w:left="115" w:leftChars="48" w:firstLine="1680" w:firstLineChars="800"/>
        <w:jc w:val="left"/>
        <w:rPr>
          <w:color w:val="auto"/>
          <w:szCs w:val="28"/>
          <w:highlight w:val="none"/>
          <w:u w:val="single"/>
        </w:rPr>
      </w:pPr>
    </w:p>
    <w:p w14:paraId="2CDA1670">
      <w:pPr>
        <w:pStyle w:val="203"/>
        <w:jc w:val="center"/>
        <w:rPr>
          <w:rStyle w:val="175"/>
          <w:rFonts w:ascii="宋体"/>
          <w:b w:val="0"/>
          <w:color w:val="auto"/>
          <w:sz w:val="28"/>
          <w:szCs w:val="28"/>
          <w:highlight w:val="none"/>
        </w:rPr>
      </w:pPr>
      <w:bookmarkStart w:id="143" w:name="_Toc44162158"/>
      <w:bookmarkStart w:id="144" w:name="_Toc12534"/>
      <w:bookmarkStart w:id="145" w:name="_Toc21541027"/>
      <w:r>
        <w:rPr>
          <w:rStyle w:val="175"/>
          <w:rFonts w:hint="eastAsia"/>
          <w:b w:val="0"/>
          <w:color w:val="auto"/>
          <w:sz w:val="32"/>
          <w:szCs w:val="32"/>
          <w:highlight w:val="none"/>
        </w:rPr>
        <w:t>年</w:t>
      </w:r>
      <w:r>
        <w:rPr>
          <w:rStyle w:val="175"/>
          <w:b w:val="0"/>
          <w:color w:val="auto"/>
          <w:sz w:val="32"/>
          <w:szCs w:val="32"/>
          <w:highlight w:val="none"/>
        </w:rPr>
        <w:t xml:space="preserve">  </w:t>
      </w:r>
      <w:r>
        <w:rPr>
          <w:rStyle w:val="175"/>
          <w:rFonts w:hint="eastAsia"/>
          <w:b w:val="0"/>
          <w:color w:val="auto"/>
          <w:sz w:val="32"/>
          <w:szCs w:val="32"/>
          <w:highlight w:val="none"/>
        </w:rPr>
        <w:t>月</w:t>
      </w:r>
      <w:r>
        <w:rPr>
          <w:rStyle w:val="175"/>
          <w:b w:val="0"/>
          <w:color w:val="auto"/>
          <w:sz w:val="32"/>
          <w:szCs w:val="32"/>
          <w:highlight w:val="none"/>
        </w:rPr>
        <w:t xml:space="preserve">  </w:t>
      </w:r>
      <w:r>
        <w:rPr>
          <w:rStyle w:val="175"/>
          <w:rFonts w:hint="eastAsia"/>
          <w:b w:val="0"/>
          <w:color w:val="auto"/>
          <w:sz w:val="32"/>
          <w:szCs w:val="32"/>
          <w:highlight w:val="none"/>
        </w:rPr>
        <w:t>日</w:t>
      </w:r>
      <w:bookmarkEnd w:id="143"/>
      <w:bookmarkEnd w:id="144"/>
      <w:bookmarkEnd w:id="145"/>
    </w:p>
    <w:p w14:paraId="44CAB3A6">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32F451C4">
      <w:pPr>
        <w:wordWrap w:val="0"/>
        <w:spacing w:line="360" w:lineRule="auto"/>
        <w:jc w:val="center"/>
        <w:rPr>
          <w:rFonts w:hint="eastAsia" w:ascii="宋体" w:hAnsi="宋体"/>
          <w:b/>
          <w:color w:val="auto"/>
          <w:sz w:val="24"/>
          <w:szCs w:val="24"/>
          <w:highlight w:val="none"/>
        </w:rPr>
      </w:pPr>
    </w:p>
    <w:p w14:paraId="2EC778D0">
      <w:pPr>
        <w:wordWrap w:val="0"/>
        <w:spacing w:line="360" w:lineRule="auto"/>
        <w:jc w:val="center"/>
        <w:rPr>
          <w:rFonts w:hint="eastAsia" w:ascii="宋体" w:hAnsi="宋体"/>
          <w:b/>
          <w:color w:val="auto"/>
          <w:szCs w:val="21"/>
          <w:highlight w:val="none"/>
        </w:rPr>
      </w:pPr>
      <w:r>
        <w:rPr>
          <w:rFonts w:hint="eastAsia" w:ascii="宋体" w:hAnsi="宋体"/>
          <w:b/>
          <w:color w:val="auto"/>
          <w:sz w:val="24"/>
          <w:szCs w:val="24"/>
          <w:highlight w:val="none"/>
        </w:rPr>
        <w:t>自评分表</w:t>
      </w:r>
    </w:p>
    <w:p w14:paraId="40186690">
      <w:pPr>
        <w:wordWrap w:val="0"/>
        <w:spacing w:line="360" w:lineRule="auto"/>
        <w:jc w:val="center"/>
        <w:rPr>
          <w:rStyle w:val="175"/>
          <w:rFonts w:hint="eastAsia" w:ascii="宋体" w:hAnsi="宋体"/>
          <w:color w:val="auto"/>
          <w:szCs w:val="21"/>
          <w:highlight w:val="none"/>
        </w:rPr>
      </w:pPr>
      <w:r>
        <w:rPr>
          <w:rStyle w:val="175"/>
          <w:rFonts w:hint="eastAsia" w:ascii="宋体" w:hAnsi="宋体"/>
          <w:color w:val="auto"/>
          <w:szCs w:val="21"/>
          <w:highlight w:val="none"/>
        </w:rPr>
        <w:t>商务和技术评分表</w:t>
      </w:r>
    </w:p>
    <w:tbl>
      <w:tblPr>
        <w:tblStyle w:val="41"/>
        <w:tblW w:w="95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238"/>
        <w:gridCol w:w="851"/>
        <w:gridCol w:w="992"/>
        <w:gridCol w:w="709"/>
      </w:tblGrid>
      <w:tr w14:paraId="0C570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tcBorders>
              <w:right w:val="single" w:color="auto" w:sz="4" w:space="0"/>
            </w:tcBorders>
            <w:noWrap w:val="0"/>
            <w:vAlign w:val="center"/>
          </w:tcPr>
          <w:p w14:paraId="11E9A464">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评标项目</w:t>
            </w:r>
          </w:p>
        </w:tc>
        <w:tc>
          <w:tcPr>
            <w:tcW w:w="6238" w:type="dxa"/>
            <w:tcBorders>
              <w:right w:val="single" w:color="auto" w:sz="4" w:space="0"/>
            </w:tcBorders>
            <w:noWrap w:val="0"/>
            <w:vAlign w:val="center"/>
          </w:tcPr>
          <w:p w14:paraId="559D0685">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评分内容</w:t>
            </w:r>
          </w:p>
        </w:tc>
        <w:tc>
          <w:tcPr>
            <w:tcW w:w="851" w:type="dxa"/>
            <w:tcBorders>
              <w:left w:val="single" w:color="auto" w:sz="4" w:space="0"/>
              <w:right w:val="single" w:color="auto" w:sz="4" w:space="0"/>
            </w:tcBorders>
            <w:noWrap w:val="0"/>
            <w:vAlign w:val="center"/>
          </w:tcPr>
          <w:p w14:paraId="2410355A">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c>
          <w:tcPr>
            <w:tcW w:w="992" w:type="dxa"/>
            <w:tcBorders>
              <w:left w:val="single" w:color="auto" w:sz="4" w:space="0"/>
              <w:right w:val="single" w:color="auto" w:sz="4" w:space="0"/>
            </w:tcBorders>
            <w:noWrap w:val="0"/>
            <w:vAlign w:val="center"/>
          </w:tcPr>
          <w:p w14:paraId="1ECFE861">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自评分</w:t>
            </w:r>
          </w:p>
        </w:tc>
        <w:tc>
          <w:tcPr>
            <w:tcW w:w="709" w:type="dxa"/>
            <w:tcBorders>
              <w:left w:val="single" w:color="auto" w:sz="4" w:space="0"/>
            </w:tcBorders>
            <w:noWrap w:val="0"/>
            <w:vAlign w:val="center"/>
          </w:tcPr>
          <w:p w14:paraId="263C5B50">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页码</w:t>
            </w:r>
          </w:p>
        </w:tc>
      </w:tr>
      <w:tr w14:paraId="6864FA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restart"/>
            <w:tcBorders>
              <w:right w:val="single" w:color="auto" w:sz="4" w:space="0"/>
            </w:tcBorders>
            <w:noWrap w:val="0"/>
            <w:vAlign w:val="center"/>
          </w:tcPr>
          <w:p w14:paraId="32EFA517">
            <w:pPr>
              <w:wordWrap w:val="0"/>
              <w:jc w:val="center"/>
              <w:rPr>
                <w:rFonts w:hint="eastAsia" w:ascii="宋体" w:hAnsi="宋体"/>
                <w:color w:val="auto"/>
                <w:szCs w:val="21"/>
                <w:highlight w:val="none"/>
              </w:rPr>
            </w:pPr>
            <w:r>
              <w:rPr>
                <w:rFonts w:ascii="宋体" w:hAnsi="宋体"/>
                <w:color w:val="auto"/>
                <w:szCs w:val="21"/>
                <w:highlight w:val="none"/>
              </w:rPr>
              <w:t>商务技术分</w:t>
            </w:r>
          </w:p>
        </w:tc>
        <w:tc>
          <w:tcPr>
            <w:tcW w:w="6238" w:type="dxa"/>
            <w:tcBorders>
              <w:right w:val="single" w:color="auto" w:sz="4" w:space="0"/>
            </w:tcBorders>
            <w:noWrap w:val="0"/>
            <w:vAlign w:val="center"/>
          </w:tcPr>
          <w:p w14:paraId="04FCA4C0">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7BCA5738">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3C73F3A1">
            <w:pPr>
              <w:rPr>
                <w:rFonts w:hint="eastAsia" w:ascii="宋体" w:hAnsi="宋体" w:cs="宋体"/>
                <w:color w:val="auto"/>
                <w:szCs w:val="21"/>
                <w:highlight w:val="none"/>
              </w:rPr>
            </w:pPr>
          </w:p>
        </w:tc>
        <w:tc>
          <w:tcPr>
            <w:tcW w:w="709" w:type="dxa"/>
            <w:tcBorders>
              <w:left w:val="single" w:color="auto" w:sz="4" w:space="0"/>
            </w:tcBorders>
            <w:noWrap w:val="0"/>
            <w:vAlign w:val="center"/>
          </w:tcPr>
          <w:p w14:paraId="4AED164C">
            <w:pPr>
              <w:widowControl/>
              <w:wordWrap w:val="0"/>
              <w:jc w:val="center"/>
              <w:rPr>
                <w:rFonts w:ascii="宋体" w:hAnsi="宋体" w:cs="宋体"/>
                <w:color w:val="auto"/>
                <w:kern w:val="0"/>
                <w:szCs w:val="21"/>
                <w:highlight w:val="none"/>
              </w:rPr>
            </w:pPr>
          </w:p>
        </w:tc>
      </w:tr>
      <w:tr w14:paraId="5C1F24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7721F02B">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28EE91DD">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0DA23465">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3ABB54F0">
            <w:pPr>
              <w:rPr>
                <w:rFonts w:hint="eastAsia" w:ascii="宋体" w:hAnsi="宋体" w:cs="宋体"/>
                <w:color w:val="auto"/>
                <w:szCs w:val="21"/>
                <w:highlight w:val="none"/>
              </w:rPr>
            </w:pPr>
          </w:p>
        </w:tc>
        <w:tc>
          <w:tcPr>
            <w:tcW w:w="709" w:type="dxa"/>
            <w:tcBorders>
              <w:left w:val="single" w:color="auto" w:sz="4" w:space="0"/>
            </w:tcBorders>
            <w:noWrap w:val="0"/>
            <w:vAlign w:val="center"/>
          </w:tcPr>
          <w:p w14:paraId="341577E6">
            <w:pPr>
              <w:widowControl/>
              <w:wordWrap w:val="0"/>
              <w:jc w:val="center"/>
              <w:rPr>
                <w:rFonts w:ascii="宋体" w:hAnsi="宋体" w:cs="宋体"/>
                <w:color w:val="auto"/>
                <w:kern w:val="0"/>
                <w:szCs w:val="21"/>
                <w:highlight w:val="none"/>
              </w:rPr>
            </w:pPr>
          </w:p>
        </w:tc>
      </w:tr>
      <w:tr w14:paraId="1E6278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0428AF6B">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61FC0D23">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463CBD33">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65753090">
            <w:pPr>
              <w:rPr>
                <w:rFonts w:hint="eastAsia" w:ascii="宋体" w:hAnsi="宋体" w:cs="宋体"/>
                <w:color w:val="auto"/>
                <w:szCs w:val="21"/>
                <w:highlight w:val="none"/>
              </w:rPr>
            </w:pPr>
          </w:p>
        </w:tc>
        <w:tc>
          <w:tcPr>
            <w:tcW w:w="709" w:type="dxa"/>
            <w:tcBorders>
              <w:left w:val="single" w:color="auto" w:sz="4" w:space="0"/>
            </w:tcBorders>
            <w:noWrap w:val="0"/>
            <w:vAlign w:val="center"/>
          </w:tcPr>
          <w:p w14:paraId="064730FC">
            <w:pPr>
              <w:widowControl/>
              <w:wordWrap w:val="0"/>
              <w:jc w:val="center"/>
              <w:rPr>
                <w:rFonts w:ascii="宋体" w:hAnsi="宋体" w:cs="宋体"/>
                <w:color w:val="auto"/>
                <w:kern w:val="0"/>
                <w:szCs w:val="21"/>
                <w:highlight w:val="none"/>
              </w:rPr>
            </w:pPr>
          </w:p>
        </w:tc>
      </w:tr>
      <w:tr w14:paraId="47AE5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46FCF827">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27CFADB9">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520E706F">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129D8119">
            <w:pPr>
              <w:rPr>
                <w:rFonts w:hint="eastAsia" w:ascii="宋体" w:hAnsi="宋体" w:cs="宋体"/>
                <w:color w:val="auto"/>
                <w:szCs w:val="21"/>
                <w:highlight w:val="none"/>
              </w:rPr>
            </w:pPr>
          </w:p>
        </w:tc>
        <w:tc>
          <w:tcPr>
            <w:tcW w:w="709" w:type="dxa"/>
            <w:tcBorders>
              <w:left w:val="single" w:color="auto" w:sz="4" w:space="0"/>
            </w:tcBorders>
            <w:noWrap w:val="0"/>
            <w:vAlign w:val="center"/>
          </w:tcPr>
          <w:p w14:paraId="77122181">
            <w:pPr>
              <w:widowControl/>
              <w:wordWrap w:val="0"/>
              <w:jc w:val="center"/>
              <w:rPr>
                <w:rFonts w:ascii="宋体" w:hAnsi="宋体" w:cs="宋体"/>
                <w:color w:val="auto"/>
                <w:kern w:val="0"/>
                <w:szCs w:val="21"/>
                <w:highlight w:val="none"/>
              </w:rPr>
            </w:pPr>
          </w:p>
        </w:tc>
      </w:tr>
      <w:tr w14:paraId="74F059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37BD43C3">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7610723E">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7679F253">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7BB02106">
            <w:pPr>
              <w:rPr>
                <w:rFonts w:hint="eastAsia" w:ascii="宋体" w:hAnsi="宋体" w:cs="宋体"/>
                <w:color w:val="auto"/>
                <w:szCs w:val="21"/>
                <w:highlight w:val="none"/>
              </w:rPr>
            </w:pPr>
          </w:p>
        </w:tc>
        <w:tc>
          <w:tcPr>
            <w:tcW w:w="709" w:type="dxa"/>
            <w:tcBorders>
              <w:left w:val="single" w:color="auto" w:sz="4" w:space="0"/>
            </w:tcBorders>
            <w:noWrap w:val="0"/>
            <w:vAlign w:val="center"/>
          </w:tcPr>
          <w:p w14:paraId="2EF1B489">
            <w:pPr>
              <w:widowControl/>
              <w:wordWrap w:val="0"/>
              <w:jc w:val="center"/>
              <w:rPr>
                <w:rFonts w:ascii="宋体" w:hAnsi="宋体" w:cs="宋体"/>
                <w:color w:val="auto"/>
                <w:kern w:val="0"/>
                <w:szCs w:val="21"/>
                <w:highlight w:val="none"/>
              </w:rPr>
            </w:pPr>
          </w:p>
        </w:tc>
      </w:tr>
      <w:tr w14:paraId="1E6458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11D49DD9">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7B45AE7B">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1B3D4911">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0B54328C">
            <w:pPr>
              <w:rPr>
                <w:rFonts w:hint="eastAsia" w:ascii="宋体" w:hAnsi="宋体" w:cs="宋体"/>
                <w:color w:val="auto"/>
                <w:szCs w:val="21"/>
                <w:highlight w:val="none"/>
              </w:rPr>
            </w:pPr>
          </w:p>
        </w:tc>
        <w:tc>
          <w:tcPr>
            <w:tcW w:w="709" w:type="dxa"/>
            <w:tcBorders>
              <w:left w:val="single" w:color="auto" w:sz="4" w:space="0"/>
            </w:tcBorders>
            <w:noWrap w:val="0"/>
            <w:vAlign w:val="center"/>
          </w:tcPr>
          <w:p w14:paraId="6D98986A">
            <w:pPr>
              <w:widowControl/>
              <w:wordWrap w:val="0"/>
              <w:jc w:val="center"/>
              <w:rPr>
                <w:rFonts w:ascii="宋体" w:hAnsi="宋体" w:cs="宋体"/>
                <w:color w:val="auto"/>
                <w:kern w:val="0"/>
                <w:szCs w:val="21"/>
                <w:highlight w:val="none"/>
              </w:rPr>
            </w:pPr>
          </w:p>
        </w:tc>
      </w:tr>
      <w:tr w14:paraId="7BF5D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258424BD">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304C51A3">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4111ADAA">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53B1D23A">
            <w:pPr>
              <w:rPr>
                <w:rFonts w:hint="eastAsia" w:ascii="宋体" w:hAnsi="宋体" w:cs="宋体"/>
                <w:color w:val="auto"/>
                <w:szCs w:val="21"/>
                <w:highlight w:val="none"/>
              </w:rPr>
            </w:pPr>
          </w:p>
        </w:tc>
        <w:tc>
          <w:tcPr>
            <w:tcW w:w="709" w:type="dxa"/>
            <w:tcBorders>
              <w:left w:val="single" w:color="auto" w:sz="4" w:space="0"/>
            </w:tcBorders>
            <w:noWrap w:val="0"/>
            <w:vAlign w:val="center"/>
          </w:tcPr>
          <w:p w14:paraId="593F5889">
            <w:pPr>
              <w:widowControl/>
              <w:wordWrap w:val="0"/>
              <w:jc w:val="center"/>
              <w:rPr>
                <w:rFonts w:ascii="宋体" w:hAnsi="宋体" w:cs="宋体"/>
                <w:color w:val="auto"/>
                <w:kern w:val="0"/>
                <w:szCs w:val="21"/>
                <w:highlight w:val="none"/>
              </w:rPr>
            </w:pPr>
          </w:p>
        </w:tc>
      </w:tr>
      <w:tr w14:paraId="044BC2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49FDCA65">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76E93F79">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486A77C8">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1F441BE3">
            <w:pPr>
              <w:rPr>
                <w:rFonts w:hint="eastAsia" w:ascii="宋体" w:hAnsi="宋体" w:cs="宋体"/>
                <w:color w:val="auto"/>
                <w:szCs w:val="21"/>
                <w:highlight w:val="none"/>
              </w:rPr>
            </w:pPr>
          </w:p>
        </w:tc>
        <w:tc>
          <w:tcPr>
            <w:tcW w:w="709" w:type="dxa"/>
            <w:tcBorders>
              <w:left w:val="single" w:color="auto" w:sz="4" w:space="0"/>
            </w:tcBorders>
            <w:noWrap w:val="0"/>
            <w:vAlign w:val="center"/>
          </w:tcPr>
          <w:p w14:paraId="5167AD03">
            <w:pPr>
              <w:widowControl/>
              <w:wordWrap w:val="0"/>
              <w:jc w:val="center"/>
              <w:rPr>
                <w:rFonts w:ascii="宋体" w:hAnsi="宋体" w:cs="宋体"/>
                <w:color w:val="auto"/>
                <w:kern w:val="0"/>
                <w:szCs w:val="21"/>
                <w:highlight w:val="none"/>
              </w:rPr>
            </w:pPr>
          </w:p>
        </w:tc>
      </w:tr>
      <w:tr w14:paraId="720E34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23EFCA64">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379AC470">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7595BAC1">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0F129DA1">
            <w:pPr>
              <w:rPr>
                <w:rFonts w:hint="eastAsia" w:ascii="宋体" w:hAnsi="宋体" w:cs="宋体"/>
                <w:color w:val="auto"/>
                <w:szCs w:val="21"/>
                <w:highlight w:val="none"/>
              </w:rPr>
            </w:pPr>
          </w:p>
        </w:tc>
        <w:tc>
          <w:tcPr>
            <w:tcW w:w="709" w:type="dxa"/>
            <w:tcBorders>
              <w:left w:val="single" w:color="auto" w:sz="4" w:space="0"/>
            </w:tcBorders>
            <w:noWrap w:val="0"/>
            <w:vAlign w:val="center"/>
          </w:tcPr>
          <w:p w14:paraId="67F05BB7">
            <w:pPr>
              <w:widowControl/>
              <w:wordWrap w:val="0"/>
              <w:jc w:val="center"/>
              <w:rPr>
                <w:rFonts w:ascii="宋体" w:hAnsi="宋体" w:cs="宋体"/>
                <w:color w:val="auto"/>
                <w:kern w:val="0"/>
                <w:szCs w:val="21"/>
                <w:highlight w:val="none"/>
              </w:rPr>
            </w:pPr>
          </w:p>
        </w:tc>
      </w:tr>
      <w:tr w14:paraId="631E6E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4FED2F5D">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2CC06851">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34D6E72C">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6F7869C8">
            <w:pPr>
              <w:rPr>
                <w:rFonts w:hint="eastAsia" w:ascii="宋体" w:hAnsi="宋体" w:cs="宋体"/>
                <w:color w:val="auto"/>
                <w:szCs w:val="21"/>
                <w:highlight w:val="none"/>
              </w:rPr>
            </w:pPr>
          </w:p>
        </w:tc>
        <w:tc>
          <w:tcPr>
            <w:tcW w:w="709" w:type="dxa"/>
            <w:tcBorders>
              <w:left w:val="single" w:color="auto" w:sz="4" w:space="0"/>
            </w:tcBorders>
            <w:noWrap w:val="0"/>
            <w:vAlign w:val="center"/>
          </w:tcPr>
          <w:p w14:paraId="084189E9">
            <w:pPr>
              <w:widowControl/>
              <w:wordWrap w:val="0"/>
              <w:jc w:val="center"/>
              <w:rPr>
                <w:rFonts w:ascii="宋体" w:hAnsi="宋体" w:cs="宋体"/>
                <w:color w:val="auto"/>
                <w:kern w:val="0"/>
                <w:szCs w:val="21"/>
                <w:highlight w:val="none"/>
              </w:rPr>
            </w:pPr>
          </w:p>
        </w:tc>
      </w:tr>
      <w:tr w14:paraId="2A6AD5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6B507D0A">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37D8A13D">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0C35C180">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5DF42F72">
            <w:pPr>
              <w:rPr>
                <w:rFonts w:hint="eastAsia" w:ascii="宋体" w:hAnsi="宋体" w:cs="宋体"/>
                <w:color w:val="auto"/>
                <w:szCs w:val="21"/>
                <w:highlight w:val="none"/>
              </w:rPr>
            </w:pPr>
          </w:p>
        </w:tc>
        <w:tc>
          <w:tcPr>
            <w:tcW w:w="709" w:type="dxa"/>
            <w:tcBorders>
              <w:left w:val="single" w:color="auto" w:sz="4" w:space="0"/>
            </w:tcBorders>
            <w:noWrap w:val="0"/>
            <w:vAlign w:val="center"/>
          </w:tcPr>
          <w:p w14:paraId="3E12F58C">
            <w:pPr>
              <w:widowControl/>
              <w:wordWrap w:val="0"/>
              <w:jc w:val="center"/>
              <w:rPr>
                <w:rFonts w:ascii="宋体" w:hAnsi="宋体" w:cs="宋体"/>
                <w:color w:val="auto"/>
                <w:kern w:val="0"/>
                <w:szCs w:val="21"/>
                <w:highlight w:val="none"/>
              </w:rPr>
            </w:pPr>
          </w:p>
        </w:tc>
      </w:tr>
      <w:tr w14:paraId="10CA8E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509C3F12">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2578D373">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0C807C41">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2B3D003E">
            <w:pPr>
              <w:rPr>
                <w:rFonts w:hint="eastAsia" w:ascii="宋体" w:hAnsi="宋体" w:cs="宋体"/>
                <w:color w:val="auto"/>
                <w:szCs w:val="21"/>
                <w:highlight w:val="none"/>
              </w:rPr>
            </w:pPr>
          </w:p>
        </w:tc>
        <w:tc>
          <w:tcPr>
            <w:tcW w:w="709" w:type="dxa"/>
            <w:tcBorders>
              <w:left w:val="single" w:color="auto" w:sz="4" w:space="0"/>
            </w:tcBorders>
            <w:noWrap w:val="0"/>
            <w:vAlign w:val="center"/>
          </w:tcPr>
          <w:p w14:paraId="6002C3B1">
            <w:pPr>
              <w:widowControl/>
              <w:wordWrap w:val="0"/>
              <w:jc w:val="center"/>
              <w:rPr>
                <w:rFonts w:ascii="宋体" w:hAnsi="宋体" w:cs="宋体"/>
                <w:color w:val="auto"/>
                <w:kern w:val="0"/>
                <w:szCs w:val="21"/>
                <w:highlight w:val="none"/>
              </w:rPr>
            </w:pPr>
          </w:p>
        </w:tc>
      </w:tr>
    </w:tbl>
    <w:p w14:paraId="16258831">
      <w:pPr>
        <w:wordWrap w:val="0"/>
        <w:spacing w:line="360" w:lineRule="auto"/>
        <w:rPr>
          <w:rStyle w:val="175"/>
          <w:rFonts w:ascii="宋体" w:hAnsi="宋体"/>
          <w:color w:val="auto"/>
          <w:szCs w:val="21"/>
          <w:highlight w:val="none"/>
        </w:rPr>
      </w:pPr>
    </w:p>
    <w:p w14:paraId="00B9DE23">
      <w:pPr>
        <w:rPr>
          <w:rStyle w:val="175"/>
          <w:rFonts w:hint="eastAsia" w:ascii="宋体"/>
          <w:color w:val="auto"/>
          <w:szCs w:val="21"/>
          <w:highlight w:val="none"/>
        </w:rPr>
      </w:pPr>
      <w:r>
        <w:rPr>
          <w:rStyle w:val="175"/>
          <w:rFonts w:hint="eastAsia" w:ascii="宋体" w:hAnsi="宋体"/>
          <w:color w:val="auto"/>
          <w:szCs w:val="21"/>
          <w:highlight w:val="none"/>
        </w:rPr>
        <w:t>注：具体评分内容详见第五章评标办法。</w:t>
      </w:r>
      <w:r>
        <w:rPr>
          <w:rStyle w:val="175"/>
          <w:rFonts w:hint="eastAsia" w:ascii="宋体"/>
          <w:color w:val="auto"/>
          <w:szCs w:val="21"/>
          <w:highlight w:val="none"/>
        </w:rPr>
        <w:br w:type="page"/>
      </w:r>
    </w:p>
    <w:p w14:paraId="35926EB9">
      <w:pPr>
        <w:pStyle w:val="12"/>
        <w:rPr>
          <w:rFonts w:hint="eastAsia"/>
          <w:color w:val="auto"/>
          <w:highlight w:val="none"/>
        </w:rPr>
      </w:pPr>
    </w:p>
    <w:p w14:paraId="75ED9ACA">
      <w:pPr>
        <w:spacing w:line="360" w:lineRule="auto"/>
        <w:jc w:val="center"/>
        <w:rPr>
          <w:rFonts w:ascii="宋体"/>
          <w:b/>
          <w:color w:val="auto"/>
          <w:szCs w:val="21"/>
          <w:highlight w:val="none"/>
        </w:rPr>
      </w:pPr>
      <w:r>
        <w:rPr>
          <w:rFonts w:hint="eastAsia" w:ascii="宋体"/>
          <w:b/>
          <w:color w:val="auto"/>
          <w:szCs w:val="21"/>
          <w:highlight w:val="none"/>
        </w:rPr>
        <w:t>B1投标书</w:t>
      </w:r>
    </w:p>
    <w:p w14:paraId="0F66FEF9">
      <w:pPr>
        <w:spacing w:line="400" w:lineRule="exact"/>
        <w:rPr>
          <w:rFonts w:ascii="宋体"/>
          <w:color w:val="auto"/>
          <w:szCs w:val="21"/>
          <w:highlight w:val="none"/>
        </w:rPr>
      </w:pPr>
      <w:r>
        <w:rPr>
          <w:rFonts w:hint="eastAsia" w:ascii="宋体"/>
          <w:color w:val="auto"/>
          <w:szCs w:val="21"/>
          <w:highlight w:val="none"/>
        </w:rPr>
        <w:t>致：宁波市国际招标有限公司</w:t>
      </w:r>
    </w:p>
    <w:p w14:paraId="30C6D7AE">
      <w:pPr>
        <w:spacing w:line="400" w:lineRule="exact"/>
        <w:ind w:firstLine="480" w:firstLineChars="200"/>
        <w:rPr>
          <w:rFonts w:ascii="宋体"/>
          <w:color w:val="auto"/>
          <w:szCs w:val="21"/>
          <w:highlight w:val="none"/>
        </w:rPr>
      </w:pPr>
      <w:r>
        <w:rPr>
          <w:rFonts w:hint="eastAsia" w:ascii="宋体"/>
          <w:color w:val="auto"/>
          <w:szCs w:val="21"/>
          <w:highlight w:val="none"/>
          <w:u w:val="single"/>
        </w:rPr>
        <w:t>（投标人全称）　</w:t>
      </w:r>
      <w:r>
        <w:rPr>
          <w:rFonts w:hint="eastAsia" w:ascii="宋体"/>
          <w:color w:val="auto"/>
          <w:szCs w:val="21"/>
          <w:highlight w:val="none"/>
        </w:rPr>
        <w:t>授权</w:t>
      </w:r>
      <w:r>
        <w:rPr>
          <w:rFonts w:hint="eastAsia" w:ascii="宋体"/>
          <w:color w:val="auto"/>
          <w:szCs w:val="21"/>
          <w:highlight w:val="none"/>
          <w:u w:val="single"/>
        </w:rPr>
        <w:t xml:space="preserve">  （全名、职务）  </w:t>
      </w:r>
      <w:r>
        <w:rPr>
          <w:rFonts w:hint="eastAsia" w:ascii="宋体"/>
          <w:color w:val="auto"/>
          <w:szCs w:val="21"/>
          <w:highlight w:val="none"/>
        </w:rPr>
        <w:t>为全权代表，</w:t>
      </w:r>
      <w:r>
        <w:rPr>
          <w:rFonts w:hint="eastAsia" w:ascii="宋体"/>
          <w:color w:val="auto"/>
          <w:szCs w:val="21"/>
          <w:highlight w:val="none"/>
          <w:u w:val="single"/>
        </w:rPr>
        <w:t>参加贵方组织的</w:t>
      </w:r>
      <w:r>
        <w:rPr>
          <w:rFonts w:hint="eastAsia" w:ascii="宋体"/>
          <w:color w:val="auto"/>
          <w:szCs w:val="21"/>
          <w:highlight w:val="none"/>
          <w:u w:val="single"/>
          <w:lang w:eastAsia="zh-CN"/>
        </w:rPr>
        <w:t>宁波高新区求精书院智慧图书阅读空间采购项目</w:t>
      </w:r>
      <w:r>
        <w:rPr>
          <w:rFonts w:hint="eastAsia" w:ascii="宋体"/>
          <w:color w:val="auto"/>
          <w:szCs w:val="21"/>
          <w:highlight w:val="none"/>
        </w:rPr>
        <w:t>招标活动并投标，为便于采购人公正、择优地确定</w:t>
      </w:r>
      <w:r>
        <w:rPr>
          <w:rFonts w:hint="eastAsia" w:ascii="宋体"/>
          <w:color w:val="auto"/>
          <w:szCs w:val="21"/>
          <w:highlight w:val="none"/>
          <w:lang w:eastAsia="zh-CN"/>
        </w:rPr>
        <w:t>中标供应商</w:t>
      </w:r>
      <w:r>
        <w:rPr>
          <w:rFonts w:hint="eastAsia" w:ascii="宋体"/>
          <w:color w:val="auto"/>
          <w:szCs w:val="21"/>
          <w:highlight w:val="none"/>
        </w:rPr>
        <w:t>及其服务，我方就本次投标有关事项郑重声明如下：</w:t>
      </w:r>
    </w:p>
    <w:p w14:paraId="17C75AC7">
      <w:pPr>
        <w:snapToGrid w:val="0"/>
        <w:spacing w:line="400" w:lineRule="exact"/>
        <w:ind w:firstLine="480" w:firstLineChars="200"/>
        <w:rPr>
          <w:rFonts w:ascii="宋体"/>
          <w:color w:val="auto"/>
          <w:szCs w:val="21"/>
          <w:highlight w:val="none"/>
        </w:rPr>
      </w:pPr>
      <w:r>
        <w:rPr>
          <w:rFonts w:hint="eastAsia" w:ascii="宋体"/>
          <w:color w:val="auto"/>
          <w:szCs w:val="21"/>
          <w:highlight w:val="none"/>
        </w:rPr>
        <w:t>1、我方提交的所有投标文件、资料都是准确的和真实的。如有虚假或隐瞒，我方愿意承担一切后果，并不再寻求任何旨在减轻或免除法律责任的辩解。</w:t>
      </w:r>
    </w:p>
    <w:p w14:paraId="2FC1FC00">
      <w:pPr>
        <w:snapToGrid w:val="0"/>
        <w:spacing w:line="400" w:lineRule="exact"/>
        <w:ind w:firstLine="480" w:firstLineChars="200"/>
        <w:rPr>
          <w:rFonts w:ascii="宋体"/>
          <w:color w:val="auto"/>
          <w:szCs w:val="21"/>
          <w:highlight w:val="none"/>
        </w:rPr>
      </w:pPr>
      <w:r>
        <w:rPr>
          <w:rFonts w:hint="eastAsia" w:ascii="宋体"/>
          <w:color w:val="auto"/>
          <w:szCs w:val="21"/>
          <w:highlight w:val="none"/>
        </w:rPr>
        <w:t>2、我方不是为本项目提供整体设计、规范编制或者项目管理、监理、检测等服务的投标人。</w:t>
      </w:r>
    </w:p>
    <w:p w14:paraId="21B13D63">
      <w:pPr>
        <w:snapToGrid w:val="0"/>
        <w:spacing w:line="400" w:lineRule="exact"/>
        <w:ind w:firstLine="480" w:firstLineChars="200"/>
        <w:rPr>
          <w:rFonts w:ascii="宋体"/>
          <w:color w:val="auto"/>
          <w:szCs w:val="21"/>
          <w:highlight w:val="none"/>
        </w:rPr>
      </w:pPr>
      <w:r>
        <w:rPr>
          <w:rFonts w:hint="eastAsia" w:ascii="宋体"/>
          <w:color w:val="auto"/>
          <w:szCs w:val="21"/>
          <w:highlight w:val="none"/>
        </w:rPr>
        <w:t>3、我们已详细审查全部招标文件及有关的澄清/修改文件（若有），我们完全理解并同意放弃对这方面提出任何异议的权利。</w:t>
      </w:r>
    </w:p>
    <w:p w14:paraId="4DC7125F">
      <w:pPr>
        <w:snapToGrid w:val="0"/>
        <w:spacing w:line="400" w:lineRule="exact"/>
        <w:ind w:firstLine="480" w:firstLineChars="200"/>
        <w:rPr>
          <w:rFonts w:ascii="宋体"/>
          <w:color w:val="auto"/>
          <w:szCs w:val="21"/>
          <w:highlight w:val="none"/>
        </w:rPr>
      </w:pPr>
      <w:r>
        <w:rPr>
          <w:rFonts w:hint="eastAsia" w:ascii="宋体"/>
          <w:color w:val="auto"/>
          <w:szCs w:val="21"/>
          <w:highlight w:val="none"/>
        </w:rPr>
        <w:t>4、</w:t>
      </w:r>
      <w:r>
        <w:rPr>
          <w:rFonts w:hint="eastAsia" w:ascii="宋体"/>
          <w:color w:val="auto"/>
          <w:highlight w:val="none"/>
        </w:rPr>
        <w:t>保证遵守招标文件有关条款规定。</w:t>
      </w:r>
    </w:p>
    <w:p w14:paraId="318DA49E">
      <w:pPr>
        <w:snapToGrid w:val="0"/>
        <w:spacing w:line="400" w:lineRule="exact"/>
        <w:ind w:firstLine="480" w:firstLineChars="200"/>
        <w:rPr>
          <w:rFonts w:ascii="宋体"/>
          <w:color w:val="auto"/>
          <w:szCs w:val="21"/>
          <w:highlight w:val="none"/>
        </w:rPr>
      </w:pPr>
      <w:r>
        <w:rPr>
          <w:rFonts w:hint="eastAsia" w:ascii="宋体"/>
          <w:color w:val="auto"/>
          <w:szCs w:val="21"/>
          <w:highlight w:val="none"/>
        </w:rPr>
        <w:t>5、本项目的投标报价详见“开标一览表”。</w:t>
      </w:r>
    </w:p>
    <w:p w14:paraId="7D3833C4">
      <w:pPr>
        <w:spacing w:line="400" w:lineRule="exact"/>
        <w:ind w:firstLine="480" w:firstLineChars="200"/>
        <w:rPr>
          <w:rFonts w:ascii="宋体"/>
          <w:color w:val="auto"/>
          <w:szCs w:val="21"/>
          <w:highlight w:val="none"/>
        </w:rPr>
      </w:pPr>
      <w:r>
        <w:rPr>
          <w:rFonts w:hint="eastAsia" w:ascii="宋体"/>
          <w:color w:val="auto"/>
          <w:szCs w:val="21"/>
          <w:highlight w:val="none"/>
        </w:rPr>
        <w:t>6、投标文件有效期为自开标之日起</w:t>
      </w:r>
      <w:r>
        <w:rPr>
          <w:rFonts w:hint="eastAsia" w:ascii="宋体"/>
          <w:color w:val="auto"/>
          <w:szCs w:val="21"/>
          <w:highlight w:val="none"/>
          <w:u w:val="single"/>
        </w:rPr>
        <w:t xml:space="preserve"> 90 </w:t>
      </w:r>
      <w:r>
        <w:rPr>
          <w:rFonts w:hint="eastAsia" w:ascii="宋体"/>
          <w:color w:val="auto"/>
          <w:szCs w:val="21"/>
          <w:highlight w:val="none"/>
        </w:rPr>
        <w:t>个日历日。</w:t>
      </w:r>
    </w:p>
    <w:p w14:paraId="04AEB30D">
      <w:pPr>
        <w:spacing w:line="400" w:lineRule="exact"/>
        <w:ind w:firstLine="480" w:firstLineChars="200"/>
        <w:rPr>
          <w:rFonts w:ascii="宋体"/>
          <w:color w:val="auto"/>
          <w:highlight w:val="none"/>
        </w:rPr>
      </w:pPr>
      <w:r>
        <w:rPr>
          <w:rFonts w:hint="eastAsia" w:ascii="宋体"/>
          <w:color w:val="auto"/>
          <w:szCs w:val="21"/>
          <w:highlight w:val="none"/>
        </w:rPr>
        <w:t>7、</w:t>
      </w:r>
      <w:r>
        <w:rPr>
          <w:rFonts w:hint="eastAsia" w:ascii="宋体"/>
          <w:color w:val="auto"/>
          <w:highlight w:val="none"/>
        </w:rPr>
        <w:t>保证在中标后忠实地执行与采购人所签署的合同，并承担合同规定的责任义务。</w:t>
      </w:r>
    </w:p>
    <w:p w14:paraId="3A5DA952">
      <w:pPr>
        <w:spacing w:line="400" w:lineRule="exact"/>
        <w:ind w:firstLine="480" w:firstLineChars="200"/>
        <w:rPr>
          <w:rFonts w:ascii="宋体"/>
          <w:color w:val="auto"/>
          <w:szCs w:val="21"/>
          <w:highlight w:val="none"/>
        </w:rPr>
      </w:pPr>
      <w:r>
        <w:rPr>
          <w:rFonts w:hint="eastAsia" w:ascii="宋体"/>
          <w:color w:val="auto"/>
          <w:highlight w:val="none"/>
        </w:rPr>
        <w:t>8、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采购）人的协调。</w:t>
      </w:r>
    </w:p>
    <w:p w14:paraId="6FFD7ED8">
      <w:pPr>
        <w:spacing w:line="400" w:lineRule="exact"/>
        <w:ind w:firstLine="480" w:firstLineChars="200"/>
        <w:rPr>
          <w:rFonts w:ascii="宋体"/>
          <w:color w:val="auto"/>
          <w:szCs w:val="21"/>
          <w:highlight w:val="none"/>
        </w:rPr>
      </w:pPr>
      <w:r>
        <w:rPr>
          <w:rFonts w:hint="eastAsia" w:ascii="宋体"/>
          <w:color w:val="auto"/>
          <w:szCs w:val="21"/>
          <w:highlight w:val="none"/>
        </w:rPr>
        <w:t>9、与本投标有关的一切正式来往通讯请寄：</w:t>
      </w:r>
    </w:p>
    <w:p w14:paraId="00125DE4">
      <w:pPr>
        <w:spacing w:line="400" w:lineRule="exact"/>
        <w:ind w:firstLine="480" w:firstLineChars="200"/>
        <w:rPr>
          <w:rFonts w:ascii="宋体"/>
          <w:color w:val="auto"/>
          <w:szCs w:val="21"/>
          <w:highlight w:val="none"/>
        </w:rPr>
      </w:pPr>
      <w:r>
        <w:rPr>
          <w:rFonts w:hint="eastAsia" w:ascii="宋体"/>
          <w:color w:val="auto"/>
          <w:szCs w:val="21"/>
          <w:highlight w:val="none"/>
        </w:rPr>
        <w:t>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r>
        <w:rPr>
          <w:rFonts w:hint="eastAsia" w:ascii="宋体"/>
          <w:color w:val="auto"/>
          <w:szCs w:val="21"/>
          <w:highlight w:val="none"/>
        </w:rPr>
        <w:t>。</w:t>
      </w:r>
    </w:p>
    <w:p w14:paraId="6D4374F0">
      <w:pPr>
        <w:spacing w:line="400" w:lineRule="exact"/>
        <w:ind w:firstLine="480" w:firstLineChars="200"/>
        <w:rPr>
          <w:rFonts w:ascii="宋体"/>
          <w:color w:val="auto"/>
          <w:szCs w:val="21"/>
          <w:highlight w:val="none"/>
        </w:rPr>
      </w:pPr>
      <w:r>
        <w:rPr>
          <w:rFonts w:hint="eastAsia" w:ascii="宋体"/>
          <w:color w:val="auto"/>
          <w:szCs w:val="21"/>
          <w:highlight w:val="none"/>
        </w:rPr>
        <w:t>电话：</w:t>
      </w:r>
      <w:r>
        <w:rPr>
          <w:rFonts w:hint="eastAsia" w:ascii="宋体"/>
          <w:color w:val="auto"/>
          <w:szCs w:val="21"/>
          <w:highlight w:val="none"/>
          <w:u w:val="single"/>
        </w:rPr>
        <w:t xml:space="preserve">                    </w:t>
      </w: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w:t>
      </w:r>
    </w:p>
    <w:p w14:paraId="6D4BA71D">
      <w:pPr>
        <w:spacing w:line="400" w:lineRule="exact"/>
        <w:ind w:left="540" w:firstLine="30"/>
        <w:rPr>
          <w:rFonts w:ascii="宋体"/>
          <w:color w:val="auto"/>
          <w:szCs w:val="21"/>
          <w:highlight w:val="none"/>
        </w:rPr>
      </w:pPr>
    </w:p>
    <w:p w14:paraId="7BAF8878">
      <w:pPr>
        <w:spacing w:line="400" w:lineRule="exact"/>
        <w:rPr>
          <w:rFonts w:ascii="宋体"/>
          <w:color w:val="auto"/>
          <w:szCs w:val="21"/>
          <w:highlight w:val="none"/>
        </w:rPr>
      </w:pPr>
    </w:p>
    <w:p w14:paraId="7191A23B">
      <w:pPr>
        <w:spacing w:line="400" w:lineRule="exact"/>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5B7D5320">
      <w:pPr>
        <w:spacing w:line="400" w:lineRule="exact"/>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533C690C">
      <w:pPr>
        <w:spacing w:line="360" w:lineRule="auto"/>
        <w:jc w:val="center"/>
        <w:rPr>
          <w:rFonts w:ascii="宋体"/>
          <w:b/>
          <w:bCs/>
          <w:color w:val="auto"/>
          <w:szCs w:val="21"/>
          <w:highlight w:val="none"/>
        </w:rPr>
      </w:pPr>
      <w:r>
        <w:rPr>
          <w:rStyle w:val="175"/>
          <w:rFonts w:hint="eastAsia" w:ascii="宋体"/>
          <w:color w:val="auto"/>
          <w:szCs w:val="21"/>
          <w:highlight w:val="none"/>
        </w:rPr>
        <w:br w:type="page"/>
      </w:r>
      <w:r>
        <w:rPr>
          <w:rFonts w:hint="eastAsia" w:ascii="宋体"/>
          <w:b/>
          <w:bCs/>
          <w:color w:val="auto"/>
          <w:highlight w:val="none"/>
        </w:rPr>
        <w:t>B</w:t>
      </w:r>
      <w:r>
        <w:rPr>
          <w:rFonts w:hint="eastAsia" w:ascii="宋体"/>
          <w:b/>
          <w:bCs/>
          <w:color w:val="auto"/>
          <w:szCs w:val="21"/>
          <w:highlight w:val="none"/>
        </w:rPr>
        <w:t>2法定代表人身份证明</w:t>
      </w:r>
    </w:p>
    <w:p w14:paraId="5A426E47">
      <w:pPr>
        <w:spacing w:after="120" w:line="400" w:lineRule="exact"/>
        <w:rPr>
          <w:rFonts w:ascii="宋体"/>
          <w:color w:val="auto"/>
          <w:szCs w:val="21"/>
          <w:highlight w:val="none"/>
          <w:u w:val="single"/>
        </w:rPr>
      </w:pPr>
      <w:r>
        <w:rPr>
          <w:rFonts w:hint="eastAsia" w:ascii="宋体"/>
          <w:color w:val="auto"/>
          <w:szCs w:val="21"/>
          <w:highlight w:val="none"/>
        </w:rPr>
        <w:t>投标人名称：</w:t>
      </w:r>
      <w:r>
        <w:rPr>
          <w:rFonts w:hint="eastAsia" w:ascii="宋体"/>
          <w:color w:val="auto"/>
          <w:szCs w:val="21"/>
          <w:highlight w:val="none"/>
          <w:u w:val="single"/>
        </w:rPr>
        <w:t xml:space="preserve">                   </w:t>
      </w:r>
    </w:p>
    <w:p w14:paraId="4F98818E">
      <w:pPr>
        <w:spacing w:after="120" w:line="400" w:lineRule="exact"/>
        <w:rPr>
          <w:rFonts w:ascii="宋体"/>
          <w:color w:val="auto"/>
          <w:szCs w:val="21"/>
          <w:highlight w:val="none"/>
          <w:u w:val="single"/>
        </w:rPr>
      </w:pPr>
      <w:r>
        <w:rPr>
          <w:rFonts w:hint="eastAsia" w:ascii="宋体"/>
          <w:color w:val="auto"/>
          <w:szCs w:val="21"/>
          <w:highlight w:val="none"/>
        </w:rPr>
        <w:t>单位性质：</w:t>
      </w:r>
      <w:r>
        <w:rPr>
          <w:rFonts w:hint="eastAsia" w:ascii="宋体"/>
          <w:color w:val="auto"/>
          <w:szCs w:val="21"/>
          <w:highlight w:val="none"/>
          <w:u w:val="single"/>
        </w:rPr>
        <w:t xml:space="preserve">                   </w:t>
      </w:r>
    </w:p>
    <w:p w14:paraId="03942150">
      <w:pPr>
        <w:spacing w:after="120" w:line="400" w:lineRule="exact"/>
        <w:rPr>
          <w:rFonts w:ascii="宋体"/>
          <w:color w:val="auto"/>
          <w:szCs w:val="21"/>
          <w:highlight w:val="none"/>
          <w:u w:val="single"/>
        </w:rPr>
      </w:pPr>
      <w:r>
        <w:rPr>
          <w:rFonts w:hint="eastAsia" w:ascii="宋体"/>
          <w:color w:val="auto"/>
          <w:szCs w:val="21"/>
          <w:highlight w:val="none"/>
        </w:rPr>
        <w:t>地址：</w:t>
      </w:r>
      <w:r>
        <w:rPr>
          <w:rFonts w:hint="eastAsia" w:ascii="宋体"/>
          <w:color w:val="auto"/>
          <w:szCs w:val="21"/>
          <w:highlight w:val="none"/>
          <w:u w:val="single"/>
        </w:rPr>
        <w:t xml:space="preserve">                   </w:t>
      </w:r>
    </w:p>
    <w:p w14:paraId="6C4D2384">
      <w:pPr>
        <w:spacing w:after="120" w:line="400" w:lineRule="exact"/>
        <w:rPr>
          <w:rFonts w:ascii="宋体"/>
          <w:color w:val="auto"/>
          <w:szCs w:val="21"/>
          <w:highlight w:val="none"/>
          <w:u w:val="single"/>
        </w:rPr>
      </w:pPr>
      <w:r>
        <w:rPr>
          <w:rFonts w:hint="eastAsia" w:ascii="宋体"/>
          <w:color w:val="auto"/>
          <w:szCs w:val="21"/>
          <w:highlight w:val="none"/>
        </w:rPr>
        <w:t>成立时间：</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358FC7F9">
      <w:pPr>
        <w:spacing w:after="120" w:line="400" w:lineRule="exact"/>
        <w:rPr>
          <w:rFonts w:ascii="宋体"/>
          <w:color w:val="auto"/>
          <w:szCs w:val="21"/>
          <w:highlight w:val="none"/>
          <w:u w:val="single"/>
        </w:rPr>
      </w:pPr>
      <w:r>
        <w:rPr>
          <w:rFonts w:hint="eastAsia" w:ascii="宋体"/>
          <w:color w:val="auto"/>
          <w:szCs w:val="21"/>
          <w:highlight w:val="none"/>
        </w:rPr>
        <w:t>经营期限：</w:t>
      </w:r>
    </w:p>
    <w:p w14:paraId="50A30C1C">
      <w:pPr>
        <w:spacing w:after="120" w:line="400" w:lineRule="exact"/>
        <w:rPr>
          <w:rFonts w:ascii="宋体"/>
          <w:color w:val="auto"/>
          <w:szCs w:val="21"/>
          <w:highlight w:val="none"/>
          <w:u w:val="single"/>
        </w:rPr>
      </w:pPr>
      <w:r>
        <w:rPr>
          <w:rFonts w:hint="eastAsia" w:ascii="宋体"/>
          <w:color w:val="auto"/>
          <w:szCs w:val="21"/>
          <w:highlight w:val="none"/>
        </w:rPr>
        <w:t>姓名：</w:t>
      </w:r>
      <w:r>
        <w:rPr>
          <w:rFonts w:hint="eastAsia" w:ascii="宋体"/>
          <w:color w:val="auto"/>
          <w:szCs w:val="21"/>
          <w:highlight w:val="none"/>
          <w:u w:val="single"/>
        </w:rPr>
        <w:t xml:space="preserve">         </w:t>
      </w:r>
      <w:r>
        <w:rPr>
          <w:rFonts w:hint="eastAsia" w:ascii="宋体"/>
          <w:color w:val="auto"/>
          <w:szCs w:val="21"/>
          <w:highlight w:val="none"/>
        </w:rPr>
        <w:t>性别：</w:t>
      </w:r>
      <w:r>
        <w:rPr>
          <w:rFonts w:hint="eastAsia" w:ascii="宋体"/>
          <w:color w:val="auto"/>
          <w:szCs w:val="21"/>
          <w:highlight w:val="none"/>
          <w:u w:val="single"/>
        </w:rPr>
        <w:t xml:space="preserve">           </w:t>
      </w:r>
      <w:r>
        <w:rPr>
          <w:rFonts w:hint="eastAsia" w:ascii="宋体"/>
          <w:color w:val="auto"/>
          <w:szCs w:val="21"/>
          <w:highlight w:val="none"/>
        </w:rPr>
        <w:t>年龄：</w:t>
      </w:r>
      <w:r>
        <w:rPr>
          <w:rFonts w:hint="eastAsia" w:ascii="宋体"/>
          <w:color w:val="auto"/>
          <w:szCs w:val="21"/>
          <w:highlight w:val="none"/>
          <w:u w:val="single"/>
        </w:rPr>
        <w:t xml:space="preserve">            </w:t>
      </w:r>
      <w:r>
        <w:rPr>
          <w:rFonts w:hint="eastAsia" w:ascii="宋体"/>
          <w:color w:val="auto"/>
          <w:szCs w:val="21"/>
          <w:highlight w:val="none"/>
        </w:rPr>
        <w:t>职务：</w:t>
      </w:r>
      <w:r>
        <w:rPr>
          <w:rFonts w:hint="eastAsia" w:ascii="宋体"/>
          <w:color w:val="auto"/>
          <w:szCs w:val="21"/>
          <w:highlight w:val="none"/>
          <w:u w:val="single"/>
        </w:rPr>
        <w:t xml:space="preserve">          </w:t>
      </w:r>
    </w:p>
    <w:p w14:paraId="3CF9417E">
      <w:pPr>
        <w:spacing w:after="120" w:line="400" w:lineRule="exact"/>
        <w:rPr>
          <w:rFonts w:ascii="宋体"/>
          <w:color w:val="auto"/>
          <w:szCs w:val="21"/>
          <w:highlight w:val="none"/>
          <w:u w:val="single"/>
        </w:rPr>
      </w:pPr>
      <w:r>
        <w:rPr>
          <w:rFonts w:hint="eastAsia" w:ascii="宋体"/>
          <w:color w:val="auto"/>
          <w:szCs w:val="21"/>
          <w:highlight w:val="none"/>
        </w:rPr>
        <w:t>身份证号码：</w:t>
      </w:r>
      <w:r>
        <w:rPr>
          <w:rFonts w:hint="eastAsia" w:ascii="宋体"/>
          <w:color w:val="auto"/>
          <w:szCs w:val="21"/>
          <w:highlight w:val="none"/>
          <w:u w:val="single"/>
        </w:rPr>
        <w:t xml:space="preserve">                   </w:t>
      </w:r>
    </w:p>
    <w:p w14:paraId="78D3C913">
      <w:pPr>
        <w:spacing w:line="400" w:lineRule="exact"/>
        <w:ind w:firstLine="560"/>
        <w:rPr>
          <w:rFonts w:ascii="宋体"/>
          <w:color w:val="auto"/>
          <w:szCs w:val="21"/>
          <w:highlight w:val="none"/>
        </w:rPr>
      </w:pPr>
    </w:p>
    <w:p w14:paraId="4098A997">
      <w:pPr>
        <w:spacing w:line="400" w:lineRule="exact"/>
        <w:rPr>
          <w:rFonts w:ascii="宋体"/>
          <w:color w:val="auto"/>
          <w:szCs w:val="21"/>
          <w:highlight w:val="none"/>
        </w:rPr>
      </w:pPr>
      <w:r>
        <w:rPr>
          <w:rFonts w:hint="eastAsia" w:ascii="宋体"/>
          <w:color w:val="auto"/>
          <w:szCs w:val="21"/>
          <w:highlight w:val="none"/>
        </w:rPr>
        <w:t xml:space="preserve">    系</w:t>
      </w:r>
      <w:r>
        <w:rPr>
          <w:rFonts w:hint="eastAsia" w:ascii="宋体"/>
          <w:color w:val="auto"/>
          <w:szCs w:val="21"/>
          <w:highlight w:val="none"/>
          <w:u w:val="single"/>
        </w:rPr>
        <w:t>（投标人名称）</w:t>
      </w:r>
      <w:r>
        <w:rPr>
          <w:rFonts w:hint="eastAsia" w:ascii="宋体"/>
          <w:color w:val="auto"/>
          <w:szCs w:val="21"/>
          <w:highlight w:val="none"/>
        </w:rPr>
        <w:t>的法定代表人。</w:t>
      </w:r>
    </w:p>
    <w:p w14:paraId="7D0C28CF">
      <w:pPr>
        <w:spacing w:line="400" w:lineRule="exact"/>
        <w:ind w:firstLine="560"/>
        <w:rPr>
          <w:rFonts w:ascii="宋体"/>
          <w:color w:val="auto"/>
          <w:szCs w:val="21"/>
          <w:highlight w:val="none"/>
        </w:rPr>
      </w:pPr>
    </w:p>
    <w:p w14:paraId="22256F50">
      <w:pPr>
        <w:spacing w:line="400" w:lineRule="exact"/>
        <w:rPr>
          <w:rFonts w:ascii="宋体"/>
          <w:color w:val="auto"/>
          <w:szCs w:val="21"/>
          <w:highlight w:val="none"/>
        </w:rPr>
      </w:pPr>
      <w:r>
        <w:rPr>
          <w:rFonts w:hint="eastAsia" w:ascii="宋体"/>
          <w:color w:val="auto"/>
          <w:szCs w:val="21"/>
          <w:highlight w:val="none"/>
        </w:rPr>
        <w:t>特此证明。</w:t>
      </w:r>
    </w:p>
    <w:p w14:paraId="3AD14ECF">
      <w:pPr>
        <w:spacing w:line="400" w:lineRule="exact"/>
        <w:rPr>
          <w:rFonts w:ascii="宋体"/>
          <w:color w:val="auto"/>
          <w:szCs w:val="21"/>
          <w:highlight w:val="none"/>
        </w:rPr>
      </w:pPr>
    </w:p>
    <w:p w14:paraId="0D514BCB">
      <w:pPr>
        <w:spacing w:line="400" w:lineRule="atLeast"/>
        <w:rPr>
          <w:rFonts w:ascii="宋体"/>
          <w:color w:val="auto"/>
          <w:szCs w:val="21"/>
          <w:highlight w:val="none"/>
        </w:rPr>
      </w:pPr>
      <w:r>
        <w:rPr>
          <w:rFonts w:hint="eastAsia" w:ascii="宋体"/>
          <w:color w:val="auto"/>
          <w:szCs w:val="21"/>
          <w:highlight w:val="none"/>
        </w:rPr>
        <w:t>投标人（盖章）：</w:t>
      </w:r>
    </w:p>
    <w:p w14:paraId="72CCAFEF">
      <w:pPr>
        <w:spacing w:line="400" w:lineRule="atLeast"/>
        <w:rPr>
          <w:rFonts w:ascii="宋体"/>
          <w:color w:val="auto"/>
          <w:szCs w:val="21"/>
          <w:highlight w:val="none"/>
          <w:u w:val="single"/>
        </w:rPr>
      </w:pPr>
      <w:r>
        <w:rPr>
          <w:rFonts w:hint="eastAsia" w:ascii="宋体"/>
          <w:color w:val="auto"/>
          <w:szCs w:val="21"/>
          <w:highlight w:val="none"/>
        </w:rPr>
        <w:t>日          期：</w:t>
      </w:r>
    </w:p>
    <w:p w14:paraId="04181E0F">
      <w:pPr>
        <w:spacing w:line="400" w:lineRule="atLeast"/>
        <w:rPr>
          <w:rFonts w:ascii="宋体"/>
          <w:color w:val="auto"/>
          <w:szCs w:val="21"/>
          <w:highlight w:val="none"/>
          <w:u w:val="single"/>
        </w:rPr>
      </w:pPr>
    </w:p>
    <w:p w14:paraId="54D95217">
      <w:pPr>
        <w:spacing w:line="400" w:lineRule="atLeast"/>
        <w:rPr>
          <w:rFonts w:ascii="宋体"/>
          <w:color w:val="auto"/>
          <w:szCs w:val="21"/>
          <w:highlight w:val="none"/>
          <w:u w:val="single"/>
        </w:rPr>
      </w:pPr>
    </w:p>
    <w:p w14:paraId="048D2CF2">
      <w:pPr>
        <w:spacing w:line="360" w:lineRule="auto"/>
        <w:rPr>
          <w:rFonts w:ascii="宋体"/>
          <w:color w:val="auto"/>
          <w:szCs w:val="21"/>
          <w:highlight w:val="none"/>
        </w:rPr>
      </w:pPr>
    </w:p>
    <w:p w14:paraId="362A9CB1">
      <w:pPr>
        <w:spacing w:line="360" w:lineRule="auto"/>
        <w:rPr>
          <w:rFonts w:ascii="宋体"/>
          <w:color w:val="auto"/>
          <w:szCs w:val="21"/>
          <w:highlight w:val="none"/>
        </w:rPr>
      </w:pPr>
      <w:r>
        <w:rPr>
          <w:rFonts w:hint="eastAsia" w:ascii="宋体"/>
          <w:color w:val="auto"/>
          <w:szCs w:val="21"/>
          <w:highlight w:val="none"/>
        </w:rPr>
        <w:t>后附：法定代表人身份证复印件加盖投标人公章。</w:t>
      </w:r>
    </w:p>
    <w:p w14:paraId="73C645D7">
      <w:pPr>
        <w:spacing w:line="400" w:lineRule="atLeast"/>
        <w:rPr>
          <w:rFonts w:ascii="宋体"/>
          <w:color w:val="auto"/>
          <w:szCs w:val="21"/>
          <w:highlight w:val="none"/>
          <w:u w:val="single"/>
        </w:rPr>
      </w:pPr>
    </w:p>
    <w:p w14:paraId="38D27838">
      <w:pPr>
        <w:spacing w:line="400" w:lineRule="exact"/>
        <w:jc w:val="center"/>
        <w:rPr>
          <w:rFonts w:ascii="宋体"/>
          <w:b/>
          <w:color w:val="auto"/>
          <w:szCs w:val="21"/>
          <w:highlight w:val="none"/>
        </w:rPr>
      </w:pPr>
      <w:r>
        <w:rPr>
          <w:rStyle w:val="175"/>
          <w:rFonts w:hint="eastAsia" w:ascii="宋体"/>
          <w:color w:val="auto"/>
          <w:szCs w:val="21"/>
          <w:highlight w:val="none"/>
        </w:rPr>
        <w:br w:type="page"/>
      </w:r>
      <w:r>
        <w:rPr>
          <w:rFonts w:hint="eastAsia" w:ascii="宋体"/>
          <w:b/>
          <w:color w:val="auto"/>
          <w:szCs w:val="21"/>
          <w:highlight w:val="none"/>
        </w:rPr>
        <w:t>B3法定代表人授权书</w:t>
      </w:r>
    </w:p>
    <w:p w14:paraId="0BB1C34C">
      <w:pPr>
        <w:spacing w:line="400" w:lineRule="exact"/>
        <w:jc w:val="center"/>
        <w:rPr>
          <w:rFonts w:ascii="宋体"/>
          <w:b/>
          <w:color w:val="auto"/>
          <w:szCs w:val="21"/>
          <w:highlight w:val="none"/>
        </w:rPr>
      </w:pPr>
      <w:r>
        <w:rPr>
          <w:rFonts w:hint="eastAsia" w:ascii="宋体"/>
          <w:b/>
          <w:color w:val="auto"/>
          <w:szCs w:val="21"/>
          <w:highlight w:val="none"/>
        </w:rPr>
        <w:t>（投标文件由授权代表签字的须提供）</w:t>
      </w:r>
    </w:p>
    <w:p w14:paraId="23EB5EA5">
      <w:pPr>
        <w:spacing w:line="360" w:lineRule="auto"/>
        <w:rPr>
          <w:rFonts w:ascii="宋体"/>
          <w:color w:val="auto"/>
          <w:szCs w:val="21"/>
          <w:highlight w:val="none"/>
        </w:rPr>
      </w:pPr>
      <w:r>
        <w:rPr>
          <w:rFonts w:hint="eastAsia" w:ascii="宋体"/>
          <w:color w:val="auto"/>
          <w:szCs w:val="21"/>
          <w:highlight w:val="none"/>
        </w:rPr>
        <w:t>致：采购人</w:t>
      </w:r>
    </w:p>
    <w:p w14:paraId="58A37E86">
      <w:pPr>
        <w:spacing w:line="360" w:lineRule="auto"/>
        <w:ind w:firstLine="480" w:firstLineChars="200"/>
        <w:rPr>
          <w:rFonts w:ascii="宋体"/>
          <w:color w:val="auto"/>
          <w:szCs w:val="21"/>
          <w:highlight w:val="none"/>
        </w:rPr>
      </w:pPr>
      <w:r>
        <w:rPr>
          <w:rFonts w:hint="eastAsia" w:ascii="宋体"/>
          <w:color w:val="auto"/>
          <w:szCs w:val="21"/>
          <w:highlight w:val="none"/>
          <w:u w:val="single"/>
        </w:rPr>
        <w:t>（投标人全称）</w:t>
      </w:r>
      <w:r>
        <w:rPr>
          <w:rFonts w:hint="eastAsia" w:ascii="宋体"/>
          <w:color w:val="auto"/>
          <w:szCs w:val="21"/>
          <w:highlight w:val="none"/>
        </w:rPr>
        <w:t>法定代表人</w:t>
      </w:r>
      <w:r>
        <w:rPr>
          <w:rFonts w:hint="eastAsia" w:ascii="宋体"/>
          <w:color w:val="auto"/>
          <w:szCs w:val="21"/>
          <w:highlight w:val="none"/>
          <w:u w:val="single"/>
        </w:rPr>
        <w:t>（法定代表人姓名）</w:t>
      </w:r>
      <w:r>
        <w:rPr>
          <w:rFonts w:hint="eastAsia" w:ascii="宋体"/>
          <w:color w:val="auto"/>
          <w:szCs w:val="21"/>
          <w:highlight w:val="none"/>
        </w:rPr>
        <w:t>授权</w:t>
      </w:r>
      <w:r>
        <w:rPr>
          <w:rFonts w:hint="eastAsia" w:ascii="宋体"/>
          <w:color w:val="auto"/>
          <w:szCs w:val="21"/>
          <w:highlight w:val="none"/>
          <w:u w:val="single"/>
        </w:rPr>
        <w:t>（授权代表姓名）</w:t>
      </w:r>
      <w:r>
        <w:rPr>
          <w:rFonts w:hint="eastAsia" w:ascii="宋体"/>
          <w:color w:val="auto"/>
          <w:szCs w:val="21"/>
          <w:highlight w:val="none"/>
        </w:rPr>
        <w:t>为授权代表，参加</w:t>
      </w:r>
      <w:r>
        <w:rPr>
          <w:rFonts w:hint="eastAsia" w:ascii="宋体"/>
          <w:color w:val="auto"/>
          <w:szCs w:val="21"/>
          <w:highlight w:val="none"/>
          <w:u w:val="single"/>
          <w:lang w:eastAsia="zh-CN"/>
        </w:rPr>
        <w:t>宁波高新区求精书院智慧图书阅读空间采购项目</w:t>
      </w:r>
      <w:r>
        <w:rPr>
          <w:rFonts w:hint="eastAsia" w:ascii="宋体"/>
          <w:color w:val="auto"/>
          <w:szCs w:val="21"/>
          <w:highlight w:val="none"/>
        </w:rPr>
        <w:t>，</w:t>
      </w:r>
      <w:r>
        <w:rPr>
          <w:rFonts w:hint="eastAsia" w:ascii="宋体"/>
          <w:color w:val="auto"/>
          <w:szCs w:val="21"/>
          <w:highlight w:val="none"/>
          <w:lang w:eastAsia="zh-CN"/>
        </w:rPr>
        <w:t>招标编号</w:t>
      </w:r>
      <w:r>
        <w:rPr>
          <w:rFonts w:hint="eastAsia" w:ascii="宋体"/>
          <w:color w:val="auto"/>
          <w:szCs w:val="21"/>
          <w:highlight w:val="none"/>
        </w:rPr>
        <w:t>为</w:t>
      </w:r>
      <w:r>
        <w:rPr>
          <w:rFonts w:hint="eastAsia" w:ascii="宋体"/>
          <w:color w:val="auto"/>
          <w:szCs w:val="21"/>
          <w:highlight w:val="none"/>
          <w:u w:val="single"/>
          <w:lang w:eastAsia="zh-CN"/>
        </w:rPr>
        <w:t>NBITC-202530768G</w:t>
      </w:r>
      <w:r>
        <w:rPr>
          <w:rFonts w:hint="eastAsia" w:ascii="宋体"/>
          <w:color w:val="auto"/>
          <w:szCs w:val="21"/>
          <w:highlight w:val="none"/>
        </w:rPr>
        <w:t>，其在招投标活动中的一切活动本公司均予承认。</w:t>
      </w:r>
    </w:p>
    <w:p w14:paraId="0CE9DF15">
      <w:pPr>
        <w:spacing w:line="400" w:lineRule="atLeast"/>
        <w:rPr>
          <w:rFonts w:ascii="宋体"/>
          <w:color w:val="auto"/>
          <w:szCs w:val="21"/>
          <w:highlight w:val="none"/>
        </w:rPr>
      </w:pPr>
    </w:p>
    <w:p w14:paraId="6853174C">
      <w:pPr>
        <w:spacing w:line="400" w:lineRule="atLeast"/>
        <w:rPr>
          <w:rFonts w:ascii="宋体"/>
          <w:color w:val="auto"/>
          <w:szCs w:val="21"/>
          <w:highlight w:val="none"/>
        </w:rPr>
      </w:pPr>
      <w:r>
        <w:rPr>
          <w:rFonts w:hint="eastAsia" w:ascii="宋体"/>
          <w:color w:val="auto"/>
          <w:szCs w:val="21"/>
          <w:highlight w:val="none"/>
        </w:rPr>
        <w:t>投标人（盖章）：</w:t>
      </w:r>
    </w:p>
    <w:p w14:paraId="4B890128">
      <w:pPr>
        <w:spacing w:line="400" w:lineRule="atLeast"/>
        <w:rPr>
          <w:rFonts w:ascii="宋体"/>
          <w:color w:val="auto"/>
          <w:szCs w:val="21"/>
          <w:highlight w:val="none"/>
        </w:rPr>
      </w:pPr>
      <w:r>
        <w:rPr>
          <w:rFonts w:hint="eastAsia" w:ascii="宋体"/>
          <w:color w:val="auto"/>
          <w:szCs w:val="21"/>
          <w:highlight w:val="none"/>
        </w:rPr>
        <w:t>法定代表人（签字或盖章）：</w:t>
      </w:r>
    </w:p>
    <w:p w14:paraId="69EB8DD8">
      <w:pPr>
        <w:spacing w:line="400" w:lineRule="atLeast"/>
        <w:rPr>
          <w:rFonts w:ascii="宋体"/>
          <w:color w:val="auto"/>
          <w:szCs w:val="21"/>
          <w:highlight w:val="none"/>
          <w:u w:val="single"/>
        </w:rPr>
      </w:pPr>
      <w:r>
        <w:rPr>
          <w:rFonts w:hint="eastAsia" w:ascii="宋体"/>
          <w:color w:val="auto"/>
          <w:szCs w:val="21"/>
          <w:highlight w:val="none"/>
        </w:rPr>
        <w:t>日            期：</w:t>
      </w:r>
    </w:p>
    <w:p w14:paraId="70E60FB9">
      <w:pPr>
        <w:spacing w:line="360" w:lineRule="auto"/>
        <w:rPr>
          <w:rFonts w:ascii="宋体"/>
          <w:color w:val="auto"/>
          <w:szCs w:val="21"/>
          <w:highlight w:val="none"/>
        </w:rPr>
      </w:pPr>
    </w:p>
    <w:p w14:paraId="14E751EB">
      <w:pPr>
        <w:spacing w:line="360" w:lineRule="auto"/>
        <w:rPr>
          <w:rFonts w:ascii="宋体"/>
          <w:color w:val="auto"/>
          <w:szCs w:val="21"/>
          <w:highlight w:val="none"/>
        </w:rPr>
      </w:pPr>
    </w:p>
    <w:p w14:paraId="49929D73">
      <w:pPr>
        <w:spacing w:line="360" w:lineRule="auto"/>
        <w:rPr>
          <w:rFonts w:ascii="宋体"/>
          <w:color w:val="auto"/>
          <w:szCs w:val="21"/>
          <w:highlight w:val="none"/>
        </w:rPr>
      </w:pPr>
      <w:r>
        <w:rPr>
          <w:rFonts w:hint="eastAsia" w:ascii="宋体"/>
          <w:color w:val="auto"/>
          <w:szCs w:val="21"/>
          <w:highlight w:val="none"/>
        </w:rPr>
        <w:t>附：</w:t>
      </w:r>
    </w:p>
    <w:p w14:paraId="30D5614F">
      <w:pPr>
        <w:spacing w:line="360" w:lineRule="auto"/>
        <w:ind w:firstLine="555"/>
        <w:rPr>
          <w:rFonts w:ascii="宋体"/>
          <w:color w:val="auto"/>
          <w:szCs w:val="21"/>
          <w:highlight w:val="none"/>
          <w:u w:val="single"/>
        </w:rPr>
      </w:pPr>
      <w:r>
        <w:rPr>
          <w:rFonts w:hint="eastAsia" w:ascii="宋体"/>
          <w:color w:val="auto"/>
          <w:szCs w:val="21"/>
          <w:highlight w:val="none"/>
        </w:rPr>
        <w:t>授权代表姓名：</w:t>
      </w:r>
      <w:r>
        <w:rPr>
          <w:rFonts w:hint="eastAsia" w:ascii="宋体"/>
          <w:color w:val="auto"/>
          <w:szCs w:val="21"/>
          <w:highlight w:val="none"/>
          <w:u w:val="single"/>
        </w:rPr>
        <w:t xml:space="preserve">                         </w:t>
      </w:r>
    </w:p>
    <w:p w14:paraId="53C43C2A">
      <w:pPr>
        <w:spacing w:line="360" w:lineRule="auto"/>
        <w:ind w:firstLine="555"/>
        <w:rPr>
          <w:rFonts w:ascii="宋体"/>
          <w:color w:val="auto"/>
          <w:szCs w:val="21"/>
          <w:highlight w:val="none"/>
          <w:u w:val="single"/>
        </w:rPr>
      </w:pPr>
      <w:r>
        <w:rPr>
          <w:rFonts w:hint="eastAsia" w:ascii="宋体"/>
          <w:color w:val="auto"/>
          <w:szCs w:val="21"/>
          <w:highlight w:val="none"/>
        </w:rPr>
        <w:t>授权代表身份证号码：</w:t>
      </w:r>
      <w:r>
        <w:rPr>
          <w:rFonts w:hint="eastAsia" w:ascii="宋体"/>
          <w:color w:val="auto"/>
          <w:szCs w:val="21"/>
          <w:highlight w:val="none"/>
          <w:u w:val="single"/>
        </w:rPr>
        <w:t xml:space="preserve">                   </w:t>
      </w:r>
    </w:p>
    <w:p w14:paraId="475F735C">
      <w:pPr>
        <w:spacing w:line="360" w:lineRule="auto"/>
        <w:ind w:firstLine="555"/>
        <w:rPr>
          <w:rFonts w:ascii="宋体"/>
          <w:color w:val="auto"/>
          <w:szCs w:val="21"/>
          <w:highlight w:val="none"/>
          <w:u w:val="single"/>
        </w:rPr>
      </w:pPr>
      <w:r>
        <w:rPr>
          <w:rFonts w:hint="eastAsia" w:ascii="宋体"/>
          <w:color w:val="auto"/>
          <w:szCs w:val="21"/>
          <w:highlight w:val="none"/>
        </w:rPr>
        <w:t>职务：</w:t>
      </w:r>
      <w:r>
        <w:rPr>
          <w:rFonts w:hint="eastAsia" w:ascii="宋体"/>
          <w:color w:val="auto"/>
          <w:szCs w:val="21"/>
          <w:highlight w:val="none"/>
          <w:u w:val="single"/>
        </w:rPr>
        <w:t xml:space="preserve">                                 </w:t>
      </w:r>
    </w:p>
    <w:p w14:paraId="5E25A8C0">
      <w:pPr>
        <w:spacing w:line="360" w:lineRule="auto"/>
        <w:ind w:firstLine="555"/>
        <w:rPr>
          <w:rFonts w:ascii="宋体"/>
          <w:color w:val="auto"/>
          <w:szCs w:val="21"/>
          <w:highlight w:val="none"/>
          <w:u w:val="single"/>
        </w:rPr>
      </w:pPr>
      <w:r>
        <w:rPr>
          <w:rFonts w:hint="eastAsia" w:ascii="宋体"/>
          <w:color w:val="auto"/>
          <w:szCs w:val="21"/>
          <w:highlight w:val="none"/>
        </w:rPr>
        <w:t>详细通讯地址：</w:t>
      </w:r>
      <w:r>
        <w:rPr>
          <w:rFonts w:hint="eastAsia" w:ascii="宋体"/>
          <w:color w:val="auto"/>
          <w:szCs w:val="21"/>
          <w:highlight w:val="none"/>
          <w:u w:val="single"/>
        </w:rPr>
        <w:t xml:space="preserve">                         </w:t>
      </w:r>
    </w:p>
    <w:p w14:paraId="33A192DA">
      <w:pPr>
        <w:spacing w:line="360" w:lineRule="auto"/>
        <w:ind w:firstLine="555"/>
        <w:rPr>
          <w:rFonts w:ascii="宋体"/>
          <w:color w:val="auto"/>
          <w:szCs w:val="21"/>
          <w:highlight w:val="none"/>
        </w:rPr>
      </w:pPr>
      <w:r>
        <w:rPr>
          <w:rFonts w:hint="eastAsia" w:ascii="宋体"/>
          <w:color w:val="auto"/>
          <w:szCs w:val="21"/>
          <w:highlight w:val="none"/>
        </w:rPr>
        <w:t>电话：</w:t>
      </w:r>
      <w:r>
        <w:rPr>
          <w:rFonts w:hint="eastAsia" w:ascii="宋体"/>
          <w:color w:val="auto"/>
          <w:szCs w:val="21"/>
          <w:highlight w:val="none"/>
          <w:u w:val="single"/>
        </w:rPr>
        <w:t xml:space="preserve">                                 </w:t>
      </w:r>
    </w:p>
    <w:p w14:paraId="7AF78C61">
      <w:pPr>
        <w:spacing w:line="360" w:lineRule="auto"/>
        <w:ind w:firstLine="555"/>
        <w:rPr>
          <w:rFonts w:ascii="宋体"/>
          <w:color w:val="auto"/>
          <w:szCs w:val="21"/>
          <w:highlight w:val="none"/>
          <w:u w:val="single"/>
        </w:rPr>
      </w:pPr>
      <w:r>
        <w:rPr>
          <w:rFonts w:hint="eastAsia" w:ascii="宋体"/>
          <w:color w:val="auto"/>
          <w:szCs w:val="21"/>
          <w:highlight w:val="none"/>
        </w:rPr>
        <w:t>传真：</w:t>
      </w:r>
      <w:r>
        <w:rPr>
          <w:rFonts w:hint="eastAsia" w:ascii="宋体"/>
          <w:color w:val="auto"/>
          <w:szCs w:val="21"/>
          <w:highlight w:val="none"/>
          <w:u w:val="single"/>
        </w:rPr>
        <w:t xml:space="preserve">                                 </w:t>
      </w:r>
    </w:p>
    <w:p w14:paraId="6A7C09BC">
      <w:pPr>
        <w:spacing w:line="360" w:lineRule="auto"/>
        <w:ind w:firstLine="600" w:firstLineChars="250"/>
        <w:rPr>
          <w:rFonts w:ascii="宋体"/>
          <w:color w:val="auto"/>
          <w:szCs w:val="21"/>
          <w:highlight w:val="none"/>
          <w:u w:val="single"/>
        </w:rPr>
      </w:pPr>
    </w:p>
    <w:p w14:paraId="5537624D">
      <w:pPr>
        <w:spacing w:line="360" w:lineRule="auto"/>
        <w:ind w:firstLine="600" w:firstLineChars="250"/>
        <w:rPr>
          <w:rFonts w:ascii="宋体"/>
          <w:color w:val="auto"/>
          <w:szCs w:val="21"/>
          <w:highlight w:val="none"/>
          <w:u w:val="single"/>
        </w:rPr>
      </w:pPr>
    </w:p>
    <w:p w14:paraId="66E2805A">
      <w:pPr>
        <w:spacing w:line="360" w:lineRule="auto"/>
        <w:ind w:firstLine="600" w:firstLineChars="250"/>
        <w:rPr>
          <w:rFonts w:ascii="宋体"/>
          <w:color w:val="auto"/>
          <w:szCs w:val="21"/>
          <w:highlight w:val="none"/>
          <w:u w:val="single"/>
        </w:rPr>
      </w:pPr>
    </w:p>
    <w:p w14:paraId="3BB788EB">
      <w:pPr>
        <w:spacing w:line="360" w:lineRule="auto"/>
        <w:ind w:firstLine="600" w:firstLineChars="250"/>
        <w:rPr>
          <w:rFonts w:ascii="宋体"/>
          <w:color w:val="auto"/>
          <w:szCs w:val="21"/>
          <w:highlight w:val="none"/>
        </w:rPr>
      </w:pPr>
      <w:r>
        <w:rPr>
          <w:rFonts w:hint="eastAsia" w:ascii="宋体"/>
          <w:color w:val="auto"/>
          <w:szCs w:val="21"/>
          <w:highlight w:val="none"/>
        </w:rPr>
        <w:t>后附：</w:t>
      </w:r>
    </w:p>
    <w:p w14:paraId="43388A87">
      <w:pPr>
        <w:spacing w:line="360" w:lineRule="auto"/>
        <w:ind w:firstLine="600" w:firstLineChars="250"/>
        <w:rPr>
          <w:rFonts w:ascii="宋体"/>
          <w:color w:val="auto"/>
          <w:szCs w:val="21"/>
          <w:highlight w:val="none"/>
        </w:rPr>
      </w:pPr>
      <w:r>
        <w:rPr>
          <w:rFonts w:hint="eastAsia" w:ascii="宋体"/>
          <w:color w:val="auto"/>
          <w:szCs w:val="21"/>
          <w:highlight w:val="none"/>
        </w:rPr>
        <w:t>1、授权代表身份证复印件加盖投标人公章；</w:t>
      </w:r>
    </w:p>
    <w:p w14:paraId="65381FA8">
      <w:pPr>
        <w:spacing w:line="360" w:lineRule="auto"/>
        <w:ind w:firstLine="600" w:firstLineChars="250"/>
        <w:rPr>
          <w:rFonts w:ascii="宋体"/>
          <w:color w:val="auto"/>
          <w:szCs w:val="21"/>
          <w:highlight w:val="none"/>
        </w:rPr>
      </w:pPr>
      <w:r>
        <w:rPr>
          <w:rFonts w:hint="eastAsia" w:ascii="宋体"/>
          <w:color w:val="auto"/>
          <w:szCs w:val="21"/>
          <w:highlight w:val="none"/>
        </w:rPr>
        <w:t>2、提供社保部门出具的投标人单位</w:t>
      </w:r>
      <w:r>
        <w:rPr>
          <w:rFonts w:hint="eastAsia" w:ascii="宋体"/>
          <w:b/>
          <w:bCs/>
          <w:color w:val="auto"/>
          <w:szCs w:val="21"/>
          <w:highlight w:val="none"/>
        </w:rPr>
        <w:t>开标前6个月任意1个月</w:t>
      </w:r>
      <w:r>
        <w:rPr>
          <w:rFonts w:hint="eastAsia" w:ascii="宋体"/>
          <w:color w:val="auto"/>
          <w:szCs w:val="21"/>
          <w:highlight w:val="none"/>
        </w:rPr>
        <w:t>为授权代表缴纳社保的证明资料复印件。</w:t>
      </w:r>
    </w:p>
    <w:p w14:paraId="19AC212A">
      <w:pPr>
        <w:spacing w:line="360" w:lineRule="auto"/>
        <w:rPr>
          <w:rFonts w:ascii="宋体"/>
          <w:color w:val="auto"/>
          <w:szCs w:val="21"/>
          <w:highlight w:val="none"/>
        </w:rPr>
      </w:pPr>
    </w:p>
    <w:p w14:paraId="6E2A9606">
      <w:pPr>
        <w:spacing w:line="360" w:lineRule="auto"/>
        <w:ind w:firstLine="592" w:firstLineChars="250"/>
        <w:jc w:val="center"/>
        <w:rPr>
          <w:rFonts w:ascii="宋体"/>
          <w:b/>
          <w:color w:val="auto"/>
          <w:szCs w:val="21"/>
          <w:highlight w:val="none"/>
        </w:rPr>
      </w:pPr>
      <w:r>
        <w:rPr>
          <w:rStyle w:val="175"/>
          <w:rFonts w:hint="eastAsia" w:ascii="宋体"/>
          <w:color w:val="auto"/>
          <w:szCs w:val="21"/>
          <w:highlight w:val="none"/>
        </w:rPr>
        <w:br w:type="page"/>
      </w:r>
      <w:r>
        <w:rPr>
          <w:rFonts w:hint="eastAsia" w:ascii="宋体"/>
          <w:b/>
          <w:color w:val="auto"/>
          <w:szCs w:val="21"/>
          <w:highlight w:val="none"/>
        </w:rPr>
        <w:t xml:space="preserve"> </w:t>
      </w:r>
    </w:p>
    <w:p w14:paraId="49D162D2">
      <w:pPr>
        <w:spacing w:line="440" w:lineRule="exact"/>
        <w:jc w:val="center"/>
        <w:rPr>
          <w:rFonts w:ascii="宋体"/>
          <w:b/>
          <w:color w:val="auto"/>
          <w:szCs w:val="21"/>
          <w:highlight w:val="none"/>
        </w:rPr>
      </w:pPr>
      <w:r>
        <w:rPr>
          <w:rFonts w:hint="eastAsia" w:ascii="宋体"/>
          <w:b/>
          <w:color w:val="auto"/>
          <w:szCs w:val="21"/>
          <w:highlight w:val="none"/>
        </w:rPr>
        <w:t>B4投标人一般情况表</w:t>
      </w:r>
    </w:p>
    <w:tbl>
      <w:tblPr>
        <w:tblStyle w:val="4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08C52A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4F3D710">
            <w:pPr>
              <w:spacing w:line="400" w:lineRule="exact"/>
              <w:jc w:val="center"/>
              <w:rPr>
                <w:rFonts w:ascii="宋体"/>
                <w:color w:val="auto"/>
                <w:szCs w:val="21"/>
                <w:highlight w:val="none"/>
              </w:rPr>
            </w:pPr>
            <w:r>
              <w:rPr>
                <w:rFonts w:hint="eastAsia" w:ascii="宋体"/>
                <w:color w:val="auto"/>
                <w:szCs w:val="21"/>
                <w:highlight w:val="none"/>
              </w:rPr>
              <w:t>1</w:t>
            </w:r>
          </w:p>
        </w:tc>
        <w:tc>
          <w:tcPr>
            <w:tcW w:w="8147" w:type="dxa"/>
            <w:gridSpan w:val="3"/>
            <w:vAlign w:val="center"/>
          </w:tcPr>
          <w:p w14:paraId="13E7D608">
            <w:pPr>
              <w:spacing w:line="400" w:lineRule="exact"/>
              <w:rPr>
                <w:rFonts w:ascii="宋体"/>
                <w:color w:val="auto"/>
                <w:szCs w:val="21"/>
                <w:highlight w:val="none"/>
              </w:rPr>
            </w:pPr>
            <w:r>
              <w:rPr>
                <w:rFonts w:hint="eastAsia" w:ascii="宋体"/>
                <w:color w:val="auto"/>
                <w:szCs w:val="21"/>
                <w:highlight w:val="none"/>
              </w:rPr>
              <w:t>单位名称：</w:t>
            </w:r>
          </w:p>
        </w:tc>
      </w:tr>
      <w:tr w14:paraId="5A4307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A673BE0">
            <w:pPr>
              <w:spacing w:line="400" w:lineRule="exact"/>
              <w:jc w:val="center"/>
              <w:rPr>
                <w:rFonts w:ascii="宋体"/>
                <w:color w:val="auto"/>
                <w:szCs w:val="21"/>
                <w:highlight w:val="none"/>
              </w:rPr>
            </w:pPr>
            <w:r>
              <w:rPr>
                <w:rFonts w:hint="eastAsia" w:ascii="宋体"/>
                <w:color w:val="auto"/>
                <w:szCs w:val="21"/>
                <w:highlight w:val="none"/>
              </w:rPr>
              <w:t>2</w:t>
            </w:r>
          </w:p>
        </w:tc>
        <w:tc>
          <w:tcPr>
            <w:tcW w:w="8147" w:type="dxa"/>
            <w:gridSpan w:val="3"/>
            <w:vAlign w:val="center"/>
          </w:tcPr>
          <w:p w14:paraId="261F0175">
            <w:pPr>
              <w:spacing w:line="400" w:lineRule="exact"/>
              <w:rPr>
                <w:rFonts w:ascii="宋体"/>
                <w:color w:val="auto"/>
                <w:szCs w:val="21"/>
                <w:highlight w:val="none"/>
              </w:rPr>
            </w:pPr>
            <w:r>
              <w:rPr>
                <w:rFonts w:hint="eastAsia" w:ascii="宋体"/>
                <w:color w:val="auto"/>
                <w:szCs w:val="21"/>
                <w:highlight w:val="none"/>
              </w:rPr>
              <w:t>总部地址：</w:t>
            </w:r>
          </w:p>
        </w:tc>
      </w:tr>
      <w:tr w14:paraId="3E0104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BD59782">
            <w:pPr>
              <w:spacing w:line="400" w:lineRule="exact"/>
              <w:jc w:val="center"/>
              <w:rPr>
                <w:rFonts w:ascii="宋体"/>
                <w:color w:val="auto"/>
                <w:szCs w:val="21"/>
                <w:highlight w:val="none"/>
              </w:rPr>
            </w:pPr>
            <w:r>
              <w:rPr>
                <w:rFonts w:hint="eastAsia" w:ascii="宋体"/>
                <w:color w:val="auto"/>
                <w:szCs w:val="21"/>
                <w:highlight w:val="none"/>
              </w:rPr>
              <w:t>3</w:t>
            </w:r>
          </w:p>
        </w:tc>
        <w:tc>
          <w:tcPr>
            <w:tcW w:w="8147" w:type="dxa"/>
            <w:gridSpan w:val="3"/>
            <w:vAlign w:val="center"/>
          </w:tcPr>
          <w:p w14:paraId="4FC25FA9">
            <w:pPr>
              <w:spacing w:line="400" w:lineRule="exact"/>
              <w:rPr>
                <w:rFonts w:ascii="宋体"/>
                <w:color w:val="auto"/>
                <w:szCs w:val="21"/>
                <w:highlight w:val="none"/>
              </w:rPr>
            </w:pPr>
            <w:r>
              <w:rPr>
                <w:rFonts w:hint="eastAsia" w:ascii="宋体"/>
                <w:color w:val="auto"/>
                <w:szCs w:val="21"/>
                <w:highlight w:val="none"/>
              </w:rPr>
              <w:t>当地代表处地址：</w:t>
            </w:r>
          </w:p>
        </w:tc>
      </w:tr>
      <w:tr w14:paraId="3AE30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39E3CBA">
            <w:pPr>
              <w:spacing w:line="400" w:lineRule="exact"/>
              <w:jc w:val="center"/>
              <w:rPr>
                <w:rFonts w:ascii="宋体"/>
                <w:color w:val="auto"/>
                <w:szCs w:val="21"/>
                <w:highlight w:val="none"/>
              </w:rPr>
            </w:pPr>
            <w:r>
              <w:rPr>
                <w:rFonts w:hint="eastAsia" w:ascii="宋体"/>
                <w:color w:val="auto"/>
                <w:szCs w:val="21"/>
                <w:highlight w:val="none"/>
              </w:rPr>
              <w:t>4</w:t>
            </w:r>
          </w:p>
        </w:tc>
        <w:tc>
          <w:tcPr>
            <w:tcW w:w="4305" w:type="dxa"/>
            <w:vAlign w:val="center"/>
          </w:tcPr>
          <w:p w14:paraId="31DA6127">
            <w:pPr>
              <w:spacing w:line="400" w:lineRule="exact"/>
              <w:rPr>
                <w:rFonts w:ascii="宋体"/>
                <w:color w:val="auto"/>
                <w:szCs w:val="21"/>
                <w:highlight w:val="none"/>
              </w:rPr>
            </w:pPr>
            <w:r>
              <w:rPr>
                <w:rFonts w:hint="eastAsia" w:ascii="宋体"/>
                <w:color w:val="auto"/>
                <w:szCs w:val="21"/>
                <w:highlight w:val="none"/>
              </w:rPr>
              <w:t>电  话：</w:t>
            </w:r>
          </w:p>
        </w:tc>
        <w:tc>
          <w:tcPr>
            <w:tcW w:w="3842" w:type="dxa"/>
            <w:gridSpan w:val="2"/>
            <w:vAlign w:val="center"/>
          </w:tcPr>
          <w:p w14:paraId="175F93E8">
            <w:pPr>
              <w:spacing w:line="400" w:lineRule="exact"/>
              <w:rPr>
                <w:rFonts w:ascii="宋体"/>
                <w:color w:val="auto"/>
                <w:szCs w:val="21"/>
                <w:highlight w:val="none"/>
              </w:rPr>
            </w:pPr>
            <w:r>
              <w:rPr>
                <w:rFonts w:hint="eastAsia" w:ascii="宋体"/>
                <w:color w:val="auto"/>
                <w:szCs w:val="21"/>
                <w:highlight w:val="none"/>
              </w:rPr>
              <w:t>联 系 人：</w:t>
            </w:r>
          </w:p>
        </w:tc>
      </w:tr>
      <w:tr w14:paraId="43F260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5511C5C">
            <w:pPr>
              <w:spacing w:line="400" w:lineRule="exact"/>
              <w:jc w:val="center"/>
              <w:rPr>
                <w:rFonts w:ascii="宋体"/>
                <w:color w:val="auto"/>
                <w:szCs w:val="21"/>
                <w:highlight w:val="none"/>
              </w:rPr>
            </w:pPr>
            <w:r>
              <w:rPr>
                <w:rFonts w:hint="eastAsia" w:ascii="宋体"/>
                <w:color w:val="auto"/>
                <w:szCs w:val="21"/>
                <w:highlight w:val="none"/>
              </w:rPr>
              <w:t>5</w:t>
            </w:r>
          </w:p>
        </w:tc>
        <w:tc>
          <w:tcPr>
            <w:tcW w:w="4305" w:type="dxa"/>
            <w:vAlign w:val="center"/>
          </w:tcPr>
          <w:p w14:paraId="1894701D">
            <w:pPr>
              <w:spacing w:line="400" w:lineRule="exact"/>
              <w:rPr>
                <w:rFonts w:ascii="宋体"/>
                <w:color w:val="auto"/>
                <w:szCs w:val="21"/>
                <w:highlight w:val="none"/>
              </w:rPr>
            </w:pPr>
            <w:r>
              <w:rPr>
                <w:rFonts w:hint="eastAsia" w:ascii="宋体"/>
                <w:color w:val="auto"/>
                <w:szCs w:val="21"/>
                <w:highlight w:val="none"/>
              </w:rPr>
              <w:t>传  真：</w:t>
            </w:r>
          </w:p>
        </w:tc>
        <w:tc>
          <w:tcPr>
            <w:tcW w:w="3842" w:type="dxa"/>
            <w:gridSpan w:val="2"/>
            <w:vAlign w:val="center"/>
          </w:tcPr>
          <w:p w14:paraId="495E0248">
            <w:pPr>
              <w:spacing w:line="400" w:lineRule="exact"/>
              <w:rPr>
                <w:rFonts w:ascii="宋体"/>
                <w:color w:val="auto"/>
                <w:szCs w:val="21"/>
                <w:highlight w:val="none"/>
              </w:rPr>
            </w:pPr>
            <w:r>
              <w:rPr>
                <w:rFonts w:hint="eastAsia" w:ascii="宋体"/>
                <w:color w:val="auto"/>
                <w:szCs w:val="21"/>
                <w:highlight w:val="none"/>
              </w:rPr>
              <w:t>电子信箱：</w:t>
            </w:r>
          </w:p>
        </w:tc>
      </w:tr>
      <w:tr w14:paraId="322E2A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7781771">
            <w:pPr>
              <w:spacing w:line="400" w:lineRule="exact"/>
              <w:jc w:val="center"/>
              <w:rPr>
                <w:rFonts w:ascii="宋体"/>
                <w:color w:val="auto"/>
                <w:szCs w:val="21"/>
                <w:highlight w:val="none"/>
              </w:rPr>
            </w:pPr>
            <w:r>
              <w:rPr>
                <w:rFonts w:hint="eastAsia" w:ascii="宋体"/>
                <w:color w:val="auto"/>
                <w:szCs w:val="21"/>
                <w:highlight w:val="none"/>
              </w:rPr>
              <w:t>6</w:t>
            </w:r>
          </w:p>
        </w:tc>
        <w:tc>
          <w:tcPr>
            <w:tcW w:w="4305" w:type="dxa"/>
            <w:vAlign w:val="center"/>
          </w:tcPr>
          <w:p w14:paraId="50086525">
            <w:pPr>
              <w:spacing w:line="400" w:lineRule="exact"/>
              <w:rPr>
                <w:rFonts w:ascii="宋体"/>
                <w:color w:val="auto"/>
                <w:szCs w:val="21"/>
                <w:highlight w:val="none"/>
              </w:rPr>
            </w:pPr>
            <w:r>
              <w:rPr>
                <w:rFonts w:hint="eastAsia" w:ascii="宋体"/>
                <w:color w:val="auto"/>
                <w:szCs w:val="21"/>
                <w:highlight w:val="none"/>
              </w:rPr>
              <w:t>注册地：</w:t>
            </w:r>
          </w:p>
        </w:tc>
        <w:tc>
          <w:tcPr>
            <w:tcW w:w="3842" w:type="dxa"/>
            <w:gridSpan w:val="2"/>
            <w:vAlign w:val="center"/>
          </w:tcPr>
          <w:p w14:paraId="4A80EF3B">
            <w:pPr>
              <w:spacing w:line="400" w:lineRule="exact"/>
              <w:rPr>
                <w:rFonts w:ascii="宋体"/>
                <w:color w:val="auto"/>
                <w:szCs w:val="21"/>
                <w:highlight w:val="none"/>
              </w:rPr>
            </w:pPr>
            <w:r>
              <w:rPr>
                <w:rFonts w:hint="eastAsia" w:ascii="宋体"/>
                <w:color w:val="auto"/>
                <w:szCs w:val="21"/>
                <w:highlight w:val="none"/>
              </w:rPr>
              <w:t>注册年份：</w:t>
            </w:r>
          </w:p>
        </w:tc>
      </w:tr>
      <w:tr w14:paraId="792B0E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3565CEB">
            <w:pPr>
              <w:spacing w:line="400" w:lineRule="exact"/>
              <w:jc w:val="center"/>
              <w:rPr>
                <w:rFonts w:ascii="宋体"/>
                <w:color w:val="auto"/>
                <w:szCs w:val="21"/>
                <w:highlight w:val="none"/>
              </w:rPr>
            </w:pPr>
            <w:r>
              <w:rPr>
                <w:rFonts w:hint="eastAsia" w:ascii="宋体"/>
                <w:color w:val="auto"/>
                <w:szCs w:val="21"/>
                <w:highlight w:val="none"/>
              </w:rPr>
              <w:t>7</w:t>
            </w:r>
          </w:p>
        </w:tc>
        <w:tc>
          <w:tcPr>
            <w:tcW w:w="8147" w:type="dxa"/>
            <w:gridSpan w:val="3"/>
            <w:vAlign w:val="center"/>
          </w:tcPr>
          <w:p w14:paraId="11B3E7A3">
            <w:pPr>
              <w:spacing w:line="400" w:lineRule="exact"/>
              <w:rPr>
                <w:rFonts w:ascii="宋体"/>
                <w:color w:val="auto"/>
                <w:szCs w:val="21"/>
                <w:highlight w:val="none"/>
              </w:rPr>
            </w:pPr>
            <w:r>
              <w:rPr>
                <w:rFonts w:hint="eastAsia" w:ascii="宋体"/>
                <w:color w:val="auto"/>
                <w:szCs w:val="21"/>
                <w:highlight w:val="none"/>
              </w:rPr>
              <w:t>公司的资质等级（请附上有关证书的复印件）</w:t>
            </w:r>
          </w:p>
        </w:tc>
      </w:tr>
      <w:tr w14:paraId="0C3679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FA7B79F">
            <w:pPr>
              <w:spacing w:line="400" w:lineRule="exact"/>
              <w:jc w:val="center"/>
              <w:rPr>
                <w:rFonts w:ascii="宋体"/>
                <w:color w:val="auto"/>
                <w:szCs w:val="21"/>
                <w:highlight w:val="none"/>
              </w:rPr>
            </w:pPr>
            <w:r>
              <w:rPr>
                <w:rFonts w:hint="eastAsia" w:ascii="宋体"/>
                <w:color w:val="auto"/>
                <w:szCs w:val="21"/>
                <w:highlight w:val="none"/>
              </w:rPr>
              <w:t>8</w:t>
            </w:r>
          </w:p>
        </w:tc>
        <w:tc>
          <w:tcPr>
            <w:tcW w:w="8147" w:type="dxa"/>
            <w:gridSpan w:val="3"/>
            <w:vAlign w:val="center"/>
          </w:tcPr>
          <w:p w14:paraId="34BC3F39">
            <w:pPr>
              <w:spacing w:line="400" w:lineRule="exact"/>
              <w:rPr>
                <w:rFonts w:ascii="宋体"/>
                <w:color w:val="auto"/>
                <w:szCs w:val="21"/>
                <w:highlight w:val="none"/>
              </w:rPr>
            </w:pPr>
            <w:r>
              <w:rPr>
                <w:rFonts w:hint="eastAsia" w:ascii="宋体"/>
                <w:color w:val="auto"/>
                <w:szCs w:val="21"/>
                <w:highlight w:val="none"/>
              </w:rPr>
              <w:t>公司（是否通过，何种）质量保证体系认证（如通过请附相关证书复印件，提供认证机构年审监督报告）</w:t>
            </w:r>
          </w:p>
        </w:tc>
      </w:tr>
      <w:tr w14:paraId="25BC7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9E4F9B5">
            <w:pPr>
              <w:spacing w:line="400" w:lineRule="exact"/>
              <w:jc w:val="center"/>
              <w:rPr>
                <w:rFonts w:ascii="宋体"/>
                <w:color w:val="auto"/>
                <w:szCs w:val="21"/>
                <w:highlight w:val="none"/>
              </w:rPr>
            </w:pPr>
            <w:r>
              <w:rPr>
                <w:rFonts w:hint="eastAsia" w:ascii="宋体"/>
                <w:color w:val="auto"/>
                <w:szCs w:val="21"/>
                <w:highlight w:val="none"/>
              </w:rPr>
              <w:t>9</w:t>
            </w:r>
          </w:p>
        </w:tc>
        <w:tc>
          <w:tcPr>
            <w:tcW w:w="4314" w:type="dxa"/>
            <w:gridSpan w:val="2"/>
            <w:vAlign w:val="center"/>
          </w:tcPr>
          <w:p w14:paraId="6142A051">
            <w:pPr>
              <w:spacing w:line="400" w:lineRule="exact"/>
              <w:rPr>
                <w:rFonts w:ascii="宋体"/>
                <w:color w:val="auto"/>
                <w:szCs w:val="21"/>
                <w:highlight w:val="none"/>
              </w:rPr>
            </w:pPr>
            <w:r>
              <w:rPr>
                <w:rFonts w:hint="eastAsia" w:ascii="宋体"/>
                <w:color w:val="auto"/>
                <w:szCs w:val="21"/>
                <w:highlight w:val="none"/>
              </w:rPr>
              <w:t>从业人员数量</w:t>
            </w:r>
          </w:p>
        </w:tc>
        <w:tc>
          <w:tcPr>
            <w:tcW w:w="3833" w:type="dxa"/>
            <w:vAlign w:val="center"/>
          </w:tcPr>
          <w:p w14:paraId="4C09A52A">
            <w:pPr>
              <w:spacing w:line="400" w:lineRule="exact"/>
              <w:rPr>
                <w:rFonts w:ascii="宋体"/>
                <w:color w:val="auto"/>
                <w:szCs w:val="21"/>
                <w:highlight w:val="none"/>
              </w:rPr>
            </w:pPr>
          </w:p>
        </w:tc>
      </w:tr>
      <w:tr w14:paraId="1AB505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26359BF">
            <w:pPr>
              <w:spacing w:line="400" w:lineRule="exact"/>
              <w:jc w:val="center"/>
              <w:rPr>
                <w:rFonts w:ascii="宋体"/>
                <w:color w:val="auto"/>
                <w:szCs w:val="21"/>
                <w:highlight w:val="none"/>
              </w:rPr>
            </w:pPr>
            <w:r>
              <w:rPr>
                <w:rFonts w:hint="eastAsia" w:ascii="宋体"/>
                <w:color w:val="auto"/>
                <w:szCs w:val="21"/>
                <w:highlight w:val="none"/>
              </w:rPr>
              <w:t>10</w:t>
            </w:r>
          </w:p>
        </w:tc>
        <w:tc>
          <w:tcPr>
            <w:tcW w:w="4314" w:type="dxa"/>
            <w:gridSpan w:val="2"/>
            <w:vAlign w:val="center"/>
          </w:tcPr>
          <w:p w14:paraId="7E3A21BD">
            <w:pPr>
              <w:spacing w:line="400" w:lineRule="exact"/>
              <w:rPr>
                <w:rFonts w:ascii="宋体"/>
                <w:color w:val="auto"/>
                <w:szCs w:val="21"/>
                <w:highlight w:val="none"/>
              </w:rPr>
            </w:pPr>
            <w:r>
              <w:rPr>
                <w:rFonts w:hint="eastAsia" w:ascii="宋体"/>
                <w:color w:val="auto"/>
                <w:szCs w:val="21"/>
                <w:highlight w:val="none"/>
              </w:rPr>
              <w:t>营业收入</w:t>
            </w:r>
          </w:p>
        </w:tc>
        <w:tc>
          <w:tcPr>
            <w:tcW w:w="3833" w:type="dxa"/>
            <w:vAlign w:val="center"/>
          </w:tcPr>
          <w:p w14:paraId="50DC082A">
            <w:pPr>
              <w:spacing w:line="400" w:lineRule="exact"/>
              <w:rPr>
                <w:rFonts w:ascii="宋体"/>
                <w:color w:val="auto"/>
                <w:szCs w:val="21"/>
                <w:highlight w:val="none"/>
              </w:rPr>
            </w:pPr>
          </w:p>
        </w:tc>
      </w:tr>
      <w:tr w14:paraId="268B1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58FCE98">
            <w:pPr>
              <w:spacing w:line="400" w:lineRule="exact"/>
              <w:jc w:val="center"/>
              <w:rPr>
                <w:rFonts w:ascii="宋体"/>
                <w:color w:val="auto"/>
                <w:szCs w:val="21"/>
                <w:highlight w:val="none"/>
              </w:rPr>
            </w:pPr>
            <w:r>
              <w:rPr>
                <w:rFonts w:hint="eastAsia" w:ascii="宋体"/>
                <w:color w:val="auto"/>
                <w:szCs w:val="21"/>
                <w:highlight w:val="none"/>
              </w:rPr>
              <w:t>11</w:t>
            </w:r>
          </w:p>
        </w:tc>
        <w:tc>
          <w:tcPr>
            <w:tcW w:w="4314" w:type="dxa"/>
            <w:gridSpan w:val="2"/>
            <w:vAlign w:val="center"/>
          </w:tcPr>
          <w:p w14:paraId="1F8A914B">
            <w:pPr>
              <w:spacing w:line="400" w:lineRule="exact"/>
              <w:rPr>
                <w:rFonts w:ascii="宋体"/>
                <w:color w:val="auto"/>
                <w:szCs w:val="21"/>
                <w:highlight w:val="none"/>
              </w:rPr>
            </w:pPr>
            <w:r>
              <w:rPr>
                <w:rFonts w:hint="eastAsia" w:ascii="宋体"/>
                <w:color w:val="auto"/>
                <w:szCs w:val="21"/>
                <w:highlight w:val="none"/>
              </w:rPr>
              <w:t>其他需要说明的情况</w:t>
            </w:r>
          </w:p>
        </w:tc>
        <w:tc>
          <w:tcPr>
            <w:tcW w:w="3833" w:type="dxa"/>
            <w:vAlign w:val="center"/>
          </w:tcPr>
          <w:p w14:paraId="214411F3">
            <w:pPr>
              <w:spacing w:line="400" w:lineRule="exact"/>
              <w:rPr>
                <w:rFonts w:ascii="宋体"/>
                <w:color w:val="auto"/>
                <w:szCs w:val="21"/>
                <w:highlight w:val="none"/>
              </w:rPr>
            </w:pPr>
          </w:p>
        </w:tc>
      </w:tr>
    </w:tbl>
    <w:p w14:paraId="6A10FB44">
      <w:pPr>
        <w:spacing w:line="400" w:lineRule="atLeast"/>
        <w:rPr>
          <w:rFonts w:ascii="宋体"/>
          <w:color w:val="auto"/>
          <w:szCs w:val="21"/>
          <w:highlight w:val="none"/>
        </w:rPr>
      </w:pPr>
    </w:p>
    <w:p w14:paraId="0A255756">
      <w:pPr>
        <w:spacing w:line="400" w:lineRule="atLeast"/>
        <w:rPr>
          <w:rFonts w:ascii="宋体"/>
          <w:color w:val="auto"/>
          <w:szCs w:val="21"/>
          <w:highlight w:val="none"/>
        </w:rPr>
      </w:pPr>
    </w:p>
    <w:p w14:paraId="799CAB7B">
      <w:pPr>
        <w:spacing w:line="400" w:lineRule="atLeast"/>
        <w:rPr>
          <w:rFonts w:ascii="宋体"/>
          <w:color w:val="auto"/>
          <w:szCs w:val="21"/>
          <w:highlight w:val="none"/>
        </w:rPr>
      </w:pPr>
      <w:r>
        <w:rPr>
          <w:rFonts w:hint="eastAsia" w:ascii="宋体"/>
          <w:color w:val="auto"/>
          <w:szCs w:val="21"/>
          <w:highlight w:val="none"/>
        </w:rPr>
        <w:t>投标人（盖章）：</w:t>
      </w:r>
    </w:p>
    <w:p w14:paraId="477617AB">
      <w:pPr>
        <w:spacing w:line="400" w:lineRule="atLeast"/>
        <w:rPr>
          <w:rFonts w:ascii="宋体"/>
          <w:color w:val="auto"/>
          <w:szCs w:val="21"/>
          <w:highlight w:val="none"/>
          <w:u w:val="single"/>
        </w:rPr>
      </w:pPr>
      <w:r>
        <w:rPr>
          <w:rFonts w:hint="eastAsia" w:ascii="宋体"/>
          <w:color w:val="auto"/>
          <w:szCs w:val="21"/>
          <w:highlight w:val="none"/>
        </w:rPr>
        <w:t>日          期：</w:t>
      </w:r>
    </w:p>
    <w:p w14:paraId="1E25163C">
      <w:pPr>
        <w:spacing w:line="360" w:lineRule="auto"/>
        <w:rPr>
          <w:rFonts w:ascii="宋体"/>
          <w:color w:val="auto"/>
          <w:szCs w:val="21"/>
          <w:highlight w:val="none"/>
        </w:rPr>
      </w:pPr>
      <w:r>
        <w:rPr>
          <w:rFonts w:hint="eastAsia" w:ascii="宋体"/>
          <w:color w:val="auto"/>
          <w:szCs w:val="21"/>
          <w:highlight w:val="none"/>
        </w:rPr>
        <w:br w:type="page"/>
      </w:r>
    </w:p>
    <w:p w14:paraId="6767E1E2">
      <w:pPr>
        <w:spacing w:line="400" w:lineRule="exact"/>
        <w:jc w:val="center"/>
        <w:rPr>
          <w:rFonts w:ascii="宋体"/>
          <w:b/>
          <w:color w:val="auto"/>
          <w:szCs w:val="21"/>
          <w:highlight w:val="none"/>
        </w:rPr>
      </w:pPr>
      <w:bookmarkStart w:id="146" w:name="_Toc10852"/>
      <w:r>
        <w:rPr>
          <w:rFonts w:hint="eastAsia" w:ascii="宋体"/>
          <w:b/>
          <w:color w:val="auto"/>
          <w:szCs w:val="21"/>
          <w:highlight w:val="none"/>
        </w:rPr>
        <w:t>B5技术条款</w:t>
      </w:r>
      <w:r>
        <w:rPr>
          <w:rFonts w:hint="eastAsia" w:ascii="宋体"/>
          <w:b/>
          <w:color w:val="auto"/>
          <w:szCs w:val="21"/>
          <w:highlight w:val="none"/>
          <w:lang w:val="en-US" w:eastAsia="zh-CN"/>
        </w:rPr>
        <w:t>偏离</w:t>
      </w:r>
      <w:r>
        <w:rPr>
          <w:rFonts w:hint="eastAsia" w:ascii="宋体"/>
          <w:b/>
          <w:color w:val="auto"/>
          <w:szCs w:val="21"/>
          <w:highlight w:val="none"/>
        </w:rPr>
        <w:t>表</w:t>
      </w:r>
      <w:bookmarkEnd w:id="146"/>
    </w:p>
    <w:p w14:paraId="11A6D556">
      <w:pPr>
        <w:snapToGrid w:val="0"/>
        <w:spacing w:line="360" w:lineRule="auto"/>
        <w:rPr>
          <w:rFonts w:ascii="宋体"/>
          <w:color w:val="auto"/>
          <w:szCs w:val="21"/>
          <w:highlight w:val="none"/>
        </w:rPr>
      </w:pPr>
    </w:p>
    <w:p w14:paraId="5FFEF364">
      <w:pPr>
        <w:snapToGrid w:val="0"/>
        <w:spacing w:line="360" w:lineRule="auto"/>
        <w:rPr>
          <w:rFonts w:hint="eastAsia" w:ascii="宋体" w:eastAsia="宋体"/>
          <w:color w:val="auto"/>
          <w:szCs w:val="21"/>
          <w:highlight w:val="none"/>
          <w:lang w:eastAsia="zh-CN"/>
        </w:rPr>
      </w:pPr>
      <w:r>
        <w:rPr>
          <w:rFonts w:hint="eastAsia" w:ascii="宋体"/>
          <w:color w:val="auto"/>
          <w:szCs w:val="21"/>
          <w:highlight w:val="none"/>
        </w:rPr>
        <w:t>项目名称：</w:t>
      </w:r>
      <w:r>
        <w:rPr>
          <w:rFonts w:hint="eastAsia" w:ascii="宋体"/>
          <w:color w:val="auto"/>
          <w:szCs w:val="21"/>
          <w:highlight w:val="none"/>
          <w:u w:val="single"/>
          <w:lang w:eastAsia="zh-CN"/>
        </w:rPr>
        <w:t>宁波高新区求精书院智慧图书阅读空间采购项目</w:t>
      </w:r>
    </w:p>
    <w:p w14:paraId="6B0778BE">
      <w:pPr>
        <w:snapToGrid w:val="0"/>
        <w:spacing w:line="400" w:lineRule="exact"/>
        <w:rPr>
          <w:rFonts w:ascii="宋体"/>
          <w:color w:val="auto"/>
          <w:szCs w:val="21"/>
          <w:highlight w:val="none"/>
        </w:rPr>
      </w:pPr>
      <w:r>
        <w:rPr>
          <w:rFonts w:hint="eastAsia" w:ascii="宋体"/>
          <w:color w:val="auto"/>
          <w:szCs w:val="21"/>
          <w:highlight w:val="none"/>
          <w:lang w:eastAsia="zh-CN"/>
        </w:rPr>
        <w:t>招标编号</w:t>
      </w:r>
      <w:r>
        <w:rPr>
          <w:rFonts w:hint="eastAsia" w:ascii="宋体"/>
          <w:color w:val="auto"/>
          <w:szCs w:val="21"/>
          <w:highlight w:val="none"/>
        </w:rPr>
        <w:t>：</w:t>
      </w:r>
      <w:r>
        <w:rPr>
          <w:rFonts w:hint="eastAsia" w:ascii="宋体"/>
          <w:color w:val="auto"/>
          <w:szCs w:val="21"/>
          <w:highlight w:val="none"/>
          <w:u w:val="single"/>
          <w:lang w:eastAsia="zh-CN"/>
        </w:rPr>
        <w:t>NBITC-202530768G</w:t>
      </w:r>
      <w:r>
        <w:rPr>
          <w:rFonts w:hint="eastAsia" w:ascii="宋体"/>
          <w:color w:val="auto"/>
          <w:szCs w:val="21"/>
          <w:highlight w:val="none"/>
        </w:rPr>
        <w:t xml:space="preserve">                                </w:t>
      </w:r>
    </w:p>
    <w:p w14:paraId="39F79792">
      <w:pPr>
        <w:snapToGrid w:val="0"/>
        <w:spacing w:line="400" w:lineRule="exact"/>
        <w:rPr>
          <w:rFonts w:ascii="宋体"/>
          <w:color w:val="auto"/>
          <w:szCs w:val="21"/>
          <w:highlight w:val="none"/>
        </w:rPr>
      </w:pPr>
    </w:p>
    <w:tbl>
      <w:tblPr>
        <w:tblStyle w:val="41"/>
        <w:tblW w:w="9441" w:type="dxa"/>
        <w:tblInd w:w="-2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743"/>
        <w:gridCol w:w="1985"/>
        <w:gridCol w:w="1477"/>
      </w:tblGrid>
      <w:tr w14:paraId="104E3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32DE2FCC">
            <w:pPr>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序号</w:t>
            </w:r>
          </w:p>
        </w:tc>
        <w:tc>
          <w:tcPr>
            <w:tcW w:w="4743" w:type="dxa"/>
            <w:vAlign w:val="center"/>
          </w:tcPr>
          <w:p w14:paraId="30574B9E">
            <w:pPr>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招标要求</w:t>
            </w:r>
          </w:p>
        </w:tc>
        <w:tc>
          <w:tcPr>
            <w:tcW w:w="1985" w:type="dxa"/>
            <w:vAlign w:val="center"/>
          </w:tcPr>
          <w:p w14:paraId="4DE0B359">
            <w:pPr>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投标响应</w:t>
            </w:r>
          </w:p>
        </w:tc>
        <w:tc>
          <w:tcPr>
            <w:tcW w:w="1477" w:type="dxa"/>
            <w:vAlign w:val="center"/>
          </w:tcPr>
          <w:p w14:paraId="069EDAC7">
            <w:pPr>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偏离说明</w:t>
            </w:r>
          </w:p>
        </w:tc>
      </w:tr>
      <w:tr w14:paraId="575BC6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1405CDE2">
            <w:pPr>
              <w:snapToGrid w:val="0"/>
              <w:spacing w:line="400" w:lineRule="exact"/>
              <w:jc w:val="center"/>
              <w:rPr>
                <w:rFonts w:ascii="宋体"/>
                <w:color w:val="auto"/>
                <w:spacing w:val="20"/>
                <w:szCs w:val="21"/>
                <w:highlight w:val="none"/>
              </w:rPr>
            </w:pPr>
          </w:p>
        </w:tc>
        <w:tc>
          <w:tcPr>
            <w:tcW w:w="4743" w:type="dxa"/>
          </w:tcPr>
          <w:p w14:paraId="6A5002D0">
            <w:pPr>
              <w:spacing w:line="360" w:lineRule="auto"/>
              <w:rPr>
                <w:b/>
                <w:bCs/>
                <w:color w:val="auto"/>
                <w:highlight w:val="none"/>
              </w:rPr>
            </w:pPr>
          </w:p>
        </w:tc>
        <w:tc>
          <w:tcPr>
            <w:tcW w:w="1985" w:type="dxa"/>
            <w:vAlign w:val="center"/>
          </w:tcPr>
          <w:p w14:paraId="5972EDF0">
            <w:pPr>
              <w:snapToGrid w:val="0"/>
              <w:spacing w:line="400" w:lineRule="exact"/>
              <w:jc w:val="center"/>
              <w:rPr>
                <w:rFonts w:ascii="宋体"/>
                <w:color w:val="auto"/>
                <w:spacing w:val="20"/>
                <w:szCs w:val="21"/>
                <w:highlight w:val="none"/>
              </w:rPr>
            </w:pPr>
          </w:p>
        </w:tc>
        <w:tc>
          <w:tcPr>
            <w:tcW w:w="1477" w:type="dxa"/>
            <w:vAlign w:val="center"/>
          </w:tcPr>
          <w:p w14:paraId="227C4893">
            <w:pPr>
              <w:snapToGrid w:val="0"/>
              <w:spacing w:line="400" w:lineRule="exact"/>
              <w:jc w:val="center"/>
              <w:rPr>
                <w:rFonts w:ascii="宋体"/>
                <w:color w:val="auto"/>
                <w:spacing w:val="20"/>
                <w:szCs w:val="21"/>
                <w:highlight w:val="none"/>
              </w:rPr>
            </w:pPr>
          </w:p>
        </w:tc>
      </w:tr>
      <w:tr w14:paraId="3F361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18431ADC">
            <w:pPr>
              <w:snapToGrid w:val="0"/>
              <w:spacing w:line="400" w:lineRule="exact"/>
              <w:jc w:val="center"/>
              <w:rPr>
                <w:rFonts w:ascii="宋体"/>
                <w:color w:val="auto"/>
                <w:spacing w:val="20"/>
                <w:szCs w:val="21"/>
                <w:highlight w:val="none"/>
              </w:rPr>
            </w:pPr>
          </w:p>
        </w:tc>
        <w:tc>
          <w:tcPr>
            <w:tcW w:w="4743" w:type="dxa"/>
          </w:tcPr>
          <w:p w14:paraId="6C3C094F">
            <w:pPr>
              <w:spacing w:line="360" w:lineRule="auto"/>
              <w:rPr>
                <w:color w:val="auto"/>
                <w:highlight w:val="none"/>
              </w:rPr>
            </w:pPr>
          </w:p>
        </w:tc>
        <w:tc>
          <w:tcPr>
            <w:tcW w:w="1985" w:type="dxa"/>
            <w:vAlign w:val="center"/>
          </w:tcPr>
          <w:p w14:paraId="3C3F2175">
            <w:pPr>
              <w:snapToGrid w:val="0"/>
              <w:spacing w:line="400" w:lineRule="exact"/>
              <w:jc w:val="center"/>
              <w:rPr>
                <w:rFonts w:ascii="宋体"/>
                <w:color w:val="auto"/>
                <w:spacing w:val="20"/>
                <w:szCs w:val="21"/>
                <w:highlight w:val="none"/>
              </w:rPr>
            </w:pPr>
          </w:p>
        </w:tc>
        <w:tc>
          <w:tcPr>
            <w:tcW w:w="1477" w:type="dxa"/>
            <w:vAlign w:val="center"/>
          </w:tcPr>
          <w:p w14:paraId="4773A30F">
            <w:pPr>
              <w:snapToGrid w:val="0"/>
              <w:spacing w:line="400" w:lineRule="exact"/>
              <w:jc w:val="center"/>
              <w:rPr>
                <w:rFonts w:ascii="宋体"/>
                <w:color w:val="auto"/>
                <w:spacing w:val="20"/>
                <w:szCs w:val="21"/>
                <w:highlight w:val="none"/>
              </w:rPr>
            </w:pPr>
          </w:p>
        </w:tc>
      </w:tr>
      <w:tr w14:paraId="3F858C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05F9B253">
            <w:pPr>
              <w:snapToGrid w:val="0"/>
              <w:spacing w:line="400" w:lineRule="exact"/>
              <w:jc w:val="center"/>
              <w:rPr>
                <w:rFonts w:ascii="宋体"/>
                <w:color w:val="auto"/>
                <w:spacing w:val="20"/>
                <w:szCs w:val="21"/>
                <w:highlight w:val="none"/>
              </w:rPr>
            </w:pPr>
          </w:p>
        </w:tc>
        <w:tc>
          <w:tcPr>
            <w:tcW w:w="4743" w:type="dxa"/>
          </w:tcPr>
          <w:p w14:paraId="20182E62">
            <w:pPr>
              <w:spacing w:line="360" w:lineRule="auto"/>
              <w:rPr>
                <w:color w:val="auto"/>
                <w:highlight w:val="none"/>
              </w:rPr>
            </w:pPr>
          </w:p>
        </w:tc>
        <w:tc>
          <w:tcPr>
            <w:tcW w:w="1985" w:type="dxa"/>
            <w:vAlign w:val="center"/>
          </w:tcPr>
          <w:p w14:paraId="77D741E2">
            <w:pPr>
              <w:snapToGrid w:val="0"/>
              <w:spacing w:line="400" w:lineRule="exact"/>
              <w:jc w:val="center"/>
              <w:rPr>
                <w:rFonts w:ascii="宋体"/>
                <w:color w:val="auto"/>
                <w:spacing w:val="20"/>
                <w:szCs w:val="21"/>
                <w:highlight w:val="none"/>
              </w:rPr>
            </w:pPr>
          </w:p>
        </w:tc>
        <w:tc>
          <w:tcPr>
            <w:tcW w:w="1477" w:type="dxa"/>
            <w:vAlign w:val="center"/>
          </w:tcPr>
          <w:p w14:paraId="5402A0DD">
            <w:pPr>
              <w:snapToGrid w:val="0"/>
              <w:spacing w:line="400" w:lineRule="exact"/>
              <w:jc w:val="center"/>
              <w:rPr>
                <w:rFonts w:ascii="宋体"/>
                <w:color w:val="auto"/>
                <w:spacing w:val="20"/>
                <w:szCs w:val="21"/>
                <w:highlight w:val="none"/>
              </w:rPr>
            </w:pPr>
          </w:p>
        </w:tc>
      </w:tr>
      <w:tr w14:paraId="58F316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21F0E263">
            <w:pPr>
              <w:snapToGrid w:val="0"/>
              <w:spacing w:line="400" w:lineRule="exact"/>
              <w:jc w:val="center"/>
              <w:rPr>
                <w:rFonts w:ascii="宋体"/>
                <w:color w:val="auto"/>
                <w:spacing w:val="20"/>
                <w:szCs w:val="21"/>
                <w:highlight w:val="none"/>
              </w:rPr>
            </w:pPr>
          </w:p>
        </w:tc>
        <w:tc>
          <w:tcPr>
            <w:tcW w:w="4743" w:type="dxa"/>
          </w:tcPr>
          <w:p w14:paraId="62C165BE">
            <w:pPr>
              <w:spacing w:line="360" w:lineRule="auto"/>
              <w:rPr>
                <w:color w:val="auto"/>
                <w:highlight w:val="none"/>
              </w:rPr>
            </w:pPr>
          </w:p>
        </w:tc>
        <w:tc>
          <w:tcPr>
            <w:tcW w:w="1985" w:type="dxa"/>
            <w:vAlign w:val="center"/>
          </w:tcPr>
          <w:p w14:paraId="0555284A">
            <w:pPr>
              <w:snapToGrid w:val="0"/>
              <w:spacing w:line="400" w:lineRule="exact"/>
              <w:jc w:val="center"/>
              <w:rPr>
                <w:rFonts w:ascii="宋体"/>
                <w:color w:val="auto"/>
                <w:spacing w:val="20"/>
                <w:szCs w:val="21"/>
                <w:highlight w:val="none"/>
              </w:rPr>
            </w:pPr>
          </w:p>
        </w:tc>
        <w:tc>
          <w:tcPr>
            <w:tcW w:w="1477" w:type="dxa"/>
            <w:vAlign w:val="center"/>
          </w:tcPr>
          <w:p w14:paraId="1C34F536">
            <w:pPr>
              <w:snapToGrid w:val="0"/>
              <w:spacing w:line="400" w:lineRule="exact"/>
              <w:jc w:val="center"/>
              <w:rPr>
                <w:rFonts w:ascii="宋体"/>
                <w:color w:val="auto"/>
                <w:spacing w:val="20"/>
                <w:szCs w:val="21"/>
                <w:highlight w:val="none"/>
              </w:rPr>
            </w:pPr>
          </w:p>
        </w:tc>
      </w:tr>
      <w:tr w14:paraId="0BEF50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70BF29A4">
            <w:pPr>
              <w:snapToGrid w:val="0"/>
              <w:spacing w:line="400" w:lineRule="exact"/>
              <w:jc w:val="center"/>
              <w:rPr>
                <w:rFonts w:ascii="宋体"/>
                <w:color w:val="auto"/>
                <w:spacing w:val="20"/>
                <w:szCs w:val="21"/>
                <w:highlight w:val="none"/>
              </w:rPr>
            </w:pPr>
          </w:p>
        </w:tc>
        <w:tc>
          <w:tcPr>
            <w:tcW w:w="4743" w:type="dxa"/>
          </w:tcPr>
          <w:p w14:paraId="3E4280D1">
            <w:pPr>
              <w:spacing w:line="360" w:lineRule="auto"/>
              <w:rPr>
                <w:color w:val="auto"/>
                <w:highlight w:val="none"/>
              </w:rPr>
            </w:pPr>
          </w:p>
        </w:tc>
        <w:tc>
          <w:tcPr>
            <w:tcW w:w="1985" w:type="dxa"/>
            <w:vAlign w:val="center"/>
          </w:tcPr>
          <w:p w14:paraId="2D6B611A">
            <w:pPr>
              <w:snapToGrid w:val="0"/>
              <w:spacing w:line="400" w:lineRule="exact"/>
              <w:jc w:val="center"/>
              <w:rPr>
                <w:rFonts w:ascii="宋体"/>
                <w:color w:val="auto"/>
                <w:spacing w:val="20"/>
                <w:szCs w:val="21"/>
                <w:highlight w:val="none"/>
              </w:rPr>
            </w:pPr>
          </w:p>
        </w:tc>
        <w:tc>
          <w:tcPr>
            <w:tcW w:w="1477" w:type="dxa"/>
            <w:vAlign w:val="center"/>
          </w:tcPr>
          <w:p w14:paraId="63F086ED">
            <w:pPr>
              <w:snapToGrid w:val="0"/>
              <w:spacing w:line="400" w:lineRule="exact"/>
              <w:jc w:val="center"/>
              <w:rPr>
                <w:rFonts w:ascii="宋体"/>
                <w:color w:val="auto"/>
                <w:spacing w:val="20"/>
                <w:szCs w:val="21"/>
                <w:highlight w:val="none"/>
              </w:rPr>
            </w:pPr>
          </w:p>
        </w:tc>
      </w:tr>
    </w:tbl>
    <w:p w14:paraId="700D21BC">
      <w:pPr>
        <w:snapToGrid w:val="0"/>
        <w:spacing w:line="400" w:lineRule="exact"/>
        <w:rPr>
          <w:rFonts w:ascii="宋体"/>
          <w:color w:val="auto"/>
          <w:spacing w:val="20"/>
          <w:szCs w:val="21"/>
          <w:highlight w:val="none"/>
        </w:rPr>
      </w:pPr>
      <w:r>
        <w:rPr>
          <w:rFonts w:hint="eastAsia" w:ascii="宋体"/>
          <w:color w:val="auto"/>
          <w:szCs w:val="21"/>
          <w:highlight w:val="none"/>
        </w:rPr>
        <w:t>注：须与“第四章</w:t>
      </w:r>
      <w:r>
        <w:rPr>
          <w:rFonts w:hint="eastAsia"/>
          <w:color w:val="auto"/>
          <w:highlight w:val="none"/>
        </w:rPr>
        <w:t>招标内容及技术需求</w:t>
      </w:r>
      <w:r>
        <w:rPr>
          <w:rFonts w:hint="eastAsia" w:ascii="宋体"/>
          <w:color w:val="auto"/>
          <w:szCs w:val="21"/>
          <w:highlight w:val="none"/>
        </w:rPr>
        <w:t>”逐项比较，如有偏离的，须在本表中列明，并提供详细的偏离说明。如投标人未在本表中列出偏离说明，即使其在投标文件的其他部分说明与采购文件要求有所不同或回避不答，亦视为完全符合采购文件中所要求的最佳值并写入合同。若</w:t>
      </w:r>
      <w:r>
        <w:rPr>
          <w:rFonts w:hint="eastAsia" w:ascii="宋体"/>
          <w:color w:val="auto"/>
          <w:szCs w:val="21"/>
          <w:highlight w:val="none"/>
          <w:lang w:eastAsia="zh-CN"/>
        </w:rPr>
        <w:t>中标供应商</w:t>
      </w:r>
      <w:r>
        <w:rPr>
          <w:rFonts w:hint="eastAsia" w:ascii="宋体"/>
          <w:color w:val="auto"/>
          <w:szCs w:val="21"/>
          <w:highlight w:val="none"/>
        </w:rPr>
        <w:t>在定标及合同签订前，以上述事项为借口而不履行合同签订手续及执行合同，则视作其放弃中标资格。</w:t>
      </w:r>
    </w:p>
    <w:p w14:paraId="0776348D">
      <w:pPr>
        <w:snapToGrid w:val="0"/>
        <w:spacing w:line="400" w:lineRule="exact"/>
        <w:rPr>
          <w:rFonts w:ascii="宋体"/>
          <w:color w:val="auto"/>
          <w:spacing w:val="20"/>
          <w:szCs w:val="21"/>
          <w:highlight w:val="none"/>
        </w:rPr>
      </w:pPr>
    </w:p>
    <w:p w14:paraId="53DB4725">
      <w:pPr>
        <w:spacing w:line="400" w:lineRule="atLeast"/>
        <w:rPr>
          <w:rFonts w:ascii="宋体"/>
          <w:color w:val="auto"/>
          <w:szCs w:val="21"/>
          <w:highlight w:val="none"/>
        </w:rPr>
      </w:pPr>
      <w:r>
        <w:rPr>
          <w:rFonts w:hint="eastAsia" w:ascii="宋体"/>
          <w:color w:val="auto"/>
          <w:szCs w:val="21"/>
          <w:highlight w:val="none"/>
        </w:rPr>
        <w:t>投标人（盖章）：</w:t>
      </w:r>
    </w:p>
    <w:p w14:paraId="665D1CDB">
      <w:pPr>
        <w:spacing w:line="400" w:lineRule="atLeast"/>
        <w:rPr>
          <w:rFonts w:ascii="宋体"/>
          <w:color w:val="auto"/>
          <w:szCs w:val="21"/>
          <w:highlight w:val="none"/>
        </w:rPr>
      </w:pPr>
      <w:r>
        <w:rPr>
          <w:rFonts w:hint="eastAsia" w:ascii="宋体"/>
          <w:color w:val="auto"/>
          <w:szCs w:val="21"/>
          <w:highlight w:val="none"/>
        </w:rPr>
        <w:t>日          期：</w:t>
      </w:r>
    </w:p>
    <w:p w14:paraId="43BFC027">
      <w:pPr>
        <w:snapToGrid w:val="0"/>
        <w:spacing w:line="400" w:lineRule="exact"/>
        <w:ind w:firstLine="4680" w:firstLineChars="1950"/>
        <w:rPr>
          <w:rFonts w:ascii="宋体"/>
          <w:color w:val="auto"/>
          <w:szCs w:val="21"/>
          <w:highlight w:val="none"/>
        </w:rPr>
      </w:pPr>
    </w:p>
    <w:p w14:paraId="3B65A541">
      <w:pPr>
        <w:spacing w:line="400" w:lineRule="exact"/>
        <w:ind w:firstLine="4680" w:firstLineChars="1950"/>
        <w:rPr>
          <w:rFonts w:ascii="宋体"/>
          <w:color w:val="auto"/>
          <w:szCs w:val="21"/>
          <w:highlight w:val="none"/>
        </w:rPr>
      </w:pPr>
    </w:p>
    <w:p w14:paraId="10505372">
      <w:pPr>
        <w:snapToGrid w:val="0"/>
        <w:spacing w:line="400" w:lineRule="exact"/>
        <w:rPr>
          <w:rFonts w:ascii="宋体"/>
          <w:color w:val="auto"/>
          <w:szCs w:val="21"/>
          <w:highlight w:val="none"/>
          <w:u w:val="single"/>
        </w:rPr>
      </w:pPr>
    </w:p>
    <w:p w14:paraId="27397DF2">
      <w:pPr>
        <w:spacing w:line="360" w:lineRule="auto"/>
        <w:rPr>
          <w:rFonts w:ascii="宋体"/>
          <w:color w:val="auto"/>
          <w:szCs w:val="21"/>
          <w:highlight w:val="none"/>
        </w:rPr>
      </w:pPr>
    </w:p>
    <w:p w14:paraId="122F1369">
      <w:pPr>
        <w:spacing w:line="360" w:lineRule="auto"/>
        <w:rPr>
          <w:rFonts w:ascii="宋体"/>
          <w:color w:val="auto"/>
          <w:szCs w:val="21"/>
          <w:highlight w:val="none"/>
        </w:rPr>
      </w:pPr>
    </w:p>
    <w:p w14:paraId="5F5C1469">
      <w:pPr>
        <w:spacing w:line="360" w:lineRule="auto"/>
        <w:jc w:val="center"/>
        <w:rPr>
          <w:rFonts w:ascii="宋体"/>
          <w:color w:val="auto"/>
          <w:szCs w:val="21"/>
          <w:highlight w:val="none"/>
        </w:rPr>
      </w:pPr>
      <w:r>
        <w:rPr>
          <w:rFonts w:hint="eastAsia" w:ascii="宋体"/>
          <w:color w:val="auto"/>
          <w:szCs w:val="21"/>
          <w:highlight w:val="none"/>
        </w:rPr>
        <w:br w:type="page"/>
      </w:r>
    </w:p>
    <w:p w14:paraId="10D6C93F">
      <w:pPr>
        <w:spacing w:line="360" w:lineRule="auto"/>
        <w:jc w:val="center"/>
        <w:rPr>
          <w:rFonts w:ascii="宋体"/>
          <w:b/>
          <w:color w:val="auto"/>
          <w:szCs w:val="21"/>
          <w:highlight w:val="none"/>
        </w:rPr>
      </w:pPr>
      <w:r>
        <w:rPr>
          <w:rFonts w:hint="eastAsia" w:ascii="宋体"/>
          <w:b/>
          <w:color w:val="auto"/>
          <w:szCs w:val="21"/>
          <w:highlight w:val="none"/>
        </w:rPr>
        <w:t>B6商务条款</w:t>
      </w:r>
      <w:r>
        <w:rPr>
          <w:rFonts w:hint="eastAsia" w:ascii="宋体"/>
          <w:b/>
          <w:color w:val="auto"/>
          <w:szCs w:val="21"/>
          <w:highlight w:val="none"/>
          <w:lang w:val="en-US" w:eastAsia="zh-CN"/>
        </w:rPr>
        <w:t>偏离</w:t>
      </w:r>
      <w:r>
        <w:rPr>
          <w:rFonts w:hint="eastAsia" w:ascii="宋体"/>
          <w:b/>
          <w:color w:val="auto"/>
          <w:szCs w:val="21"/>
          <w:highlight w:val="none"/>
        </w:rPr>
        <w:t>表</w:t>
      </w:r>
    </w:p>
    <w:p w14:paraId="65D0A148">
      <w:pPr>
        <w:snapToGrid w:val="0"/>
        <w:spacing w:line="360" w:lineRule="auto"/>
        <w:rPr>
          <w:rFonts w:ascii="宋体"/>
          <w:color w:val="auto"/>
          <w:szCs w:val="21"/>
          <w:highlight w:val="none"/>
        </w:rPr>
      </w:pPr>
    </w:p>
    <w:p w14:paraId="5AEF73AD">
      <w:pPr>
        <w:snapToGrid w:val="0"/>
        <w:spacing w:line="360" w:lineRule="auto"/>
        <w:rPr>
          <w:rFonts w:hint="eastAsia" w:ascii="宋体" w:eastAsia="宋体"/>
          <w:color w:val="auto"/>
          <w:szCs w:val="21"/>
          <w:highlight w:val="none"/>
          <w:lang w:eastAsia="zh-CN"/>
        </w:rPr>
      </w:pPr>
      <w:r>
        <w:rPr>
          <w:rFonts w:hint="eastAsia" w:ascii="宋体"/>
          <w:color w:val="auto"/>
          <w:szCs w:val="21"/>
          <w:highlight w:val="none"/>
        </w:rPr>
        <w:t>项目名称：</w:t>
      </w:r>
      <w:r>
        <w:rPr>
          <w:rFonts w:hint="eastAsia" w:ascii="宋体"/>
          <w:color w:val="auto"/>
          <w:szCs w:val="21"/>
          <w:highlight w:val="none"/>
          <w:u w:val="single"/>
          <w:lang w:eastAsia="zh-CN"/>
        </w:rPr>
        <w:t>宁波高新区求精书院智慧图书阅读空间采购项目</w:t>
      </w:r>
    </w:p>
    <w:p w14:paraId="0B7F0085">
      <w:pPr>
        <w:snapToGrid w:val="0"/>
        <w:spacing w:line="400" w:lineRule="exact"/>
        <w:rPr>
          <w:rFonts w:ascii="宋体"/>
          <w:color w:val="auto"/>
          <w:szCs w:val="21"/>
          <w:highlight w:val="none"/>
        </w:rPr>
      </w:pPr>
      <w:r>
        <w:rPr>
          <w:rFonts w:hint="eastAsia" w:ascii="宋体"/>
          <w:color w:val="auto"/>
          <w:szCs w:val="21"/>
          <w:highlight w:val="none"/>
          <w:lang w:eastAsia="zh-CN"/>
        </w:rPr>
        <w:t>招标编号</w:t>
      </w:r>
      <w:r>
        <w:rPr>
          <w:rFonts w:hint="eastAsia" w:ascii="宋体"/>
          <w:color w:val="auto"/>
          <w:szCs w:val="21"/>
          <w:highlight w:val="none"/>
        </w:rPr>
        <w:t>：</w:t>
      </w:r>
      <w:r>
        <w:rPr>
          <w:rFonts w:hint="eastAsia" w:ascii="宋体"/>
          <w:color w:val="auto"/>
          <w:szCs w:val="21"/>
          <w:highlight w:val="none"/>
          <w:u w:val="single"/>
          <w:lang w:eastAsia="zh-CN"/>
        </w:rPr>
        <w:t>NBITC-202530768G</w:t>
      </w:r>
      <w:r>
        <w:rPr>
          <w:rFonts w:hint="eastAsia" w:ascii="宋体"/>
          <w:color w:val="auto"/>
          <w:szCs w:val="21"/>
          <w:highlight w:val="none"/>
        </w:rPr>
        <w:t xml:space="preserve">  </w:t>
      </w:r>
    </w:p>
    <w:tbl>
      <w:tblPr>
        <w:tblStyle w:val="41"/>
        <w:tblW w:w="9781" w:type="dxa"/>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1422"/>
        <w:gridCol w:w="5240"/>
        <w:gridCol w:w="1418"/>
        <w:gridCol w:w="992"/>
      </w:tblGrid>
      <w:tr w14:paraId="2289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36D2C04B">
            <w:pPr>
              <w:spacing w:line="240" w:lineRule="auto"/>
              <w:ind w:left="-36" w:leftChars="-15"/>
              <w:jc w:val="center"/>
              <w:rPr>
                <w:rFonts w:ascii="宋体"/>
                <w:color w:val="auto"/>
                <w:sz w:val="21"/>
                <w:szCs w:val="21"/>
                <w:highlight w:val="none"/>
              </w:rPr>
            </w:pPr>
            <w:r>
              <w:rPr>
                <w:rFonts w:hint="eastAsia" w:ascii="宋体"/>
                <w:color w:val="auto"/>
                <w:sz w:val="21"/>
                <w:szCs w:val="21"/>
                <w:highlight w:val="none"/>
              </w:rPr>
              <w:t>序号</w:t>
            </w:r>
          </w:p>
        </w:tc>
        <w:tc>
          <w:tcPr>
            <w:tcW w:w="1422" w:type="dxa"/>
            <w:vAlign w:val="center"/>
          </w:tcPr>
          <w:p w14:paraId="0BF1BA1E">
            <w:pPr>
              <w:spacing w:line="240" w:lineRule="auto"/>
              <w:jc w:val="center"/>
              <w:rPr>
                <w:rFonts w:ascii="宋体"/>
                <w:color w:val="auto"/>
                <w:sz w:val="21"/>
                <w:szCs w:val="21"/>
                <w:highlight w:val="none"/>
              </w:rPr>
            </w:pPr>
            <w:r>
              <w:rPr>
                <w:rFonts w:hint="eastAsia" w:ascii="宋体"/>
                <w:color w:val="auto"/>
                <w:sz w:val="21"/>
                <w:szCs w:val="21"/>
                <w:highlight w:val="none"/>
              </w:rPr>
              <w:t>招标文件条目</w:t>
            </w:r>
          </w:p>
        </w:tc>
        <w:tc>
          <w:tcPr>
            <w:tcW w:w="5240" w:type="dxa"/>
            <w:vAlign w:val="center"/>
          </w:tcPr>
          <w:p w14:paraId="49315AF4">
            <w:pPr>
              <w:spacing w:line="240" w:lineRule="auto"/>
              <w:jc w:val="center"/>
              <w:rPr>
                <w:rFonts w:ascii="宋体"/>
                <w:color w:val="auto"/>
                <w:sz w:val="21"/>
                <w:szCs w:val="21"/>
                <w:highlight w:val="none"/>
              </w:rPr>
            </w:pPr>
            <w:r>
              <w:rPr>
                <w:rFonts w:hint="eastAsia" w:ascii="宋体"/>
                <w:color w:val="auto"/>
                <w:sz w:val="21"/>
                <w:szCs w:val="21"/>
                <w:highlight w:val="none"/>
              </w:rPr>
              <w:t>招标文件的商务条款</w:t>
            </w:r>
          </w:p>
        </w:tc>
        <w:tc>
          <w:tcPr>
            <w:tcW w:w="1418" w:type="dxa"/>
            <w:vAlign w:val="center"/>
          </w:tcPr>
          <w:p w14:paraId="52BBCBAA">
            <w:pPr>
              <w:spacing w:line="240" w:lineRule="auto"/>
              <w:jc w:val="center"/>
              <w:rPr>
                <w:rFonts w:ascii="宋体"/>
                <w:color w:val="auto"/>
                <w:sz w:val="21"/>
                <w:szCs w:val="21"/>
                <w:highlight w:val="none"/>
              </w:rPr>
            </w:pPr>
            <w:r>
              <w:rPr>
                <w:rFonts w:hint="eastAsia" w:ascii="宋体"/>
                <w:color w:val="auto"/>
                <w:sz w:val="21"/>
                <w:szCs w:val="21"/>
                <w:highlight w:val="none"/>
              </w:rPr>
              <w:t>投标文件的应答与偏离</w:t>
            </w:r>
          </w:p>
        </w:tc>
        <w:tc>
          <w:tcPr>
            <w:tcW w:w="992" w:type="dxa"/>
            <w:vAlign w:val="center"/>
          </w:tcPr>
          <w:p w14:paraId="30822106">
            <w:pPr>
              <w:spacing w:line="240" w:lineRule="auto"/>
              <w:jc w:val="center"/>
              <w:rPr>
                <w:rFonts w:ascii="宋体"/>
                <w:color w:val="auto"/>
                <w:sz w:val="21"/>
                <w:szCs w:val="21"/>
                <w:highlight w:val="none"/>
              </w:rPr>
            </w:pPr>
            <w:r>
              <w:rPr>
                <w:rFonts w:hint="eastAsia" w:ascii="宋体"/>
                <w:color w:val="auto"/>
                <w:sz w:val="21"/>
                <w:szCs w:val="21"/>
                <w:highlight w:val="none"/>
              </w:rPr>
              <w:t>说明</w:t>
            </w:r>
          </w:p>
        </w:tc>
      </w:tr>
      <w:tr w14:paraId="2C2F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535227AF">
            <w:pPr>
              <w:spacing w:line="240" w:lineRule="auto"/>
              <w:ind w:left="-36" w:leftChars="-15"/>
              <w:jc w:val="center"/>
              <w:rPr>
                <w:rFonts w:ascii="宋体"/>
                <w:color w:val="auto"/>
                <w:sz w:val="21"/>
                <w:szCs w:val="21"/>
                <w:highlight w:val="none"/>
              </w:rPr>
            </w:pPr>
            <w:r>
              <w:rPr>
                <w:rFonts w:ascii="宋体"/>
                <w:color w:val="auto"/>
                <w:sz w:val="21"/>
                <w:szCs w:val="21"/>
                <w:highlight w:val="none"/>
              </w:rPr>
              <w:t>1</w:t>
            </w:r>
          </w:p>
        </w:tc>
        <w:tc>
          <w:tcPr>
            <w:tcW w:w="1422" w:type="dxa"/>
            <w:vAlign w:val="center"/>
          </w:tcPr>
          <w:p w14:paraId="6B8FFAB7">
            <w:pPr>
              <w:snapToGrid w:val="0"/>
              <w:spacing w:line="400" w:lineRule="exact"/>
              <w:jc w:val="center"/>
              <w:rPr>
                <w:rFonts w:ascii="宋体"/>
                <w:color w:val="auto"/>
                <w:sz w:val="21"/>
                <w:szCs w:val="21"/>
                <w:highlight w:val="none"/>
              </w:rPr>
            </w:pPr>
          </w:p>
        </w:tc>
        <w:tc>
          <w:tcPr>
            <w:tcW w:w="5240" w:type="dxa"/>
            <w:vAlign w:val="center"/>
          </w:tcPr>
          <w:p w14:paraId="1D6C49D8">
            <w:pPr>
              <w:spacing w:line="400" w:lineRule="exact"/>
              <w:rPr>
                <w:rFonts w:ascii="宋体"/>
                <w:color w:val="auto"/>
                <w:sz w:val="21"/>
                <w:szCs w:val="21"/>
                <w:highlight w:val="none"/>
              </w:rPr>
            </w:pPr>
          </w:p>
        </w:tc>
        <w:tc>
          <w:tcPr>
            <w:tcW w:w="1418" w:type="dxa"/>
            <w:vAlign w:val="center"/>
          </w:tcPr>
          <w:p w14:paraId="2C8D5FBF">
            <w:pPr>
              <w:spacing w:line="240" w:lineRule="auto"/>
              <w:jc w:val="center"/>
              <w:rPr>
                <w:rFonts w:ascii="宋体"/>
                <w:color w:val="auto"/>
                <w:sz w:val="21"/>
                <w:szCs w:val="21"/>
                <w:highlight w:val="none"/>
              </w:rPr>
            </w:pPr>
          </w:p>
        </w:tc>
        <w:tc>
          <w:tcPr>
            <w:tcW w:w="992" w:type="dxa"/>
            <w:vAlign w:val="center"/>
          </w:tcPr>
          <w:p w14:paraId="6AEF91B5">
            <w:pPr>
              <w:spacing w:line="240" w:lineRule="auto"/>
              <w:jc w:val="center"/>
              <w:rPr>
                <w:rFonts w:ascii="宋体"/>
                <w:color w:val="auto"/>
                <w:sz w:val="21"/>
                <w:szCs w:val="21"/>
                <w:highlight w:val="none"/>
              </w:rPr>
            </w:pPr>
          </w:p>
        </w:tc>
      </w:tr>
      <w:tr w14:paraId="61E3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3CAE773E">
            <w:pPr>
              <w:spacing w:line="240" w:lineRule="auto"/>
              <w:ind w:left="-36" w:leftChars="-15"/>
              <w:jc w:val="center"/>
              <w:rPr>
                <w:rFonts w:ascii="宋体"/>
                <w:color w:val="auto"/>
                <w:sz w:val="21"/>
                <w:szCs w:val="21"/>
                <w:highlight w:val="none"/>
              </w:rPr>
            </w:pPr>
            <w:r>
              <w:rPr>
                <w:rFonts w:ascii="宋体"/>
                <w:color w:val="auto"/>
                <w:sz w:val="21"/>
                <w:szCs w:val="21"/>
                <w:highlight w:val="none"/>
              </w:rPr>
              <w:t>2</w:t>
            </w:r>
          </w:p>
        </w:tc>
        <w:tc>
          <w:tcPr>
            <w:tcW w:w="1422" w:type="dxa"/>
            <w:vAlign w:val="center"/>
          </w:tcPr>
          <w:p w14:paraId="4EC58BBA">
            <w:pPr>
              <w:snapToGrid w:val="0"/>
              <w:spacing w:line="400" w:lineRule="exact"/>
              <w:jc w:val="center"/>
              <w:rPr>
                <w:rFonts w:ascii="宋体"/>
                <w:color w:val="auto"/>
                <w:kern w:val="2"/>
                <w:sz w:val="21"/>
                <w:szCs w:val="21"/>
                <w:highlight w:val="none"/>
              </w:rPr>
            </w:pPr>
          </w:p>
        </w:tc>
        <w:tc>
          <w:tcPr>
            <w:tcW w:w="5240" w:type="dxa"/>
            <w:vAlign w:val="center"/>
          </w:tcPr>
          <w:p w14:paraId="06B51994">
            <w:pPr>
              <w:pStyle w:val="17"/>
              <w:spacing w:line="360" w:lineRule="auto"/>
              <w:rPr>
                <w:rFonts w:ascii="宋体" w:hAnsi="宋体"/>
                <w:color w:val="auto"/>
                <w:sz w:val="21"/>
                <w:szCs w:val="21"/>
                <w:highlight w:val="none"/>
              </w:rPr>
            </w:pPr>
          </w:p>
        </w:tc>
        <w:tc>
          <w:tcPr>
            <w:tcW w:w="1418" w:type="dxa"/>
            <w:vAlign w:val="center"/>
          </w:tcPr>
          <w:p w14:paraId="3CADFF8F">
            <w:pPr>
              <w:spacing w:line="240" w:lineRule="auto"/>
              <w:jc w:val="center"/>
              <w:rPr>
                <w:rFonts w:ascii="宋体"/>
                <w:color w:val="auto"/>
                <w:sz w:val="21"/>
                <w:szCs w:val="21"/>
                <w:highlight w:val="none"/>
              </w:rPr>
            </w:pPr>
          </w:p>
        </w:tc>
        <w:tc>
          <w:tcPr>
            <w:tcW w:w="992" w:type="dxa"/>
            <w:vAlign w:val="center"/>
          </w:tcPr>
          <w:p w14:paraId="25B16470">
            <w:pPr>
              <w:spacing w:line="240" w:lineRule="auto"/>
              <w:jc w:val="center"/>
              <w:rPr>
                <w:rFonts w:ascii="宋体"/>
                <w:color w:val="auto"/>
                <w:sz w:val="21"/>
                <w:szCs w:val="21"/>
                <w:highlight w:val="none"/>
              </w:rPr>
            </w:pPr>
          </w:p>
        </w:tc>
      </w:tr>
      <w:tr w14:paraId="64EA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3755C8AA">
            <w:pPr>
              <w:spacing w:line="240" w:lineRule="auto"/>
              <w:ind w:left="-36" w:leftChars="-15"/>
              <w:jc w:val="center"/>
              <w:rPr>
                <w:rFonts w:ascii="宋体"/>
                <w:color w:val="auto"/>
                <w:sz w:val="21"/>
                <w:szCs w:val="21"/>
                <w:highlight w:val="none"/>
              </w:rPr>
            </w:pPr>
            <w:r>
              <w:rPr>
                <w:rFonts w:hint="eastAsia" w:ascii="宋体"/>
                <w:color w:val="auto"/>
                <w:sz w:val="21"/>
                <w:szCs w:val="21"/>
                <w:highlight w:val="none"/>
              </w:rPr>
              <w:t>3</w:t>
            </w:r>
          </w:p>
        </w:tc>
        <w:tc>
          <w:tcPr>
            <w:tcW w:w="1422" w:type="dxa"/>
            <w:vAlign w:val="center"/>
          </w:tcPr>
          <w:p w14:paraId="2F6614EB">
            <w:pPr>
              <w:snapToGrid w:val="0"/>
              <w:spacing w:line="400" w:lineRule="exact"/>
              <w:jc w:val="center"/>
              <w:rPr>
                <w:rFonts w:ascii="宋体"/>
                <w:color w:val="auto"/>
                <w:sz w:val="21"/>
                <w:szCs w:val="21"/>
                <w:highlight w:val="none"/>
              </w:rPr>
            </w:pPr>
          </w:p>
        </w:tc>
        <w:tc>
          <w:tcPr>
            <w:tcW w:w="5240" w:type="dxa"/>
            <w:vAlign w:val="center"/>
          </w:tcPr>
          <w:p w14:paraId="65401CB9">
            <w:pPr>
              <w:spacing w:line="360" w:lineRule="auto"/>
              <w:rPr>
                <w:rFonts w:ascii="宋体"/>
                <w:color w:val="auto"/>
                <w:sz w:val="21"/>
                <w:szCs w:val="21"/>
                <w:highlight w:val="none"/>
              </w:rPr>
            </w:pPr>
          </w:p>
        </w:tc>
        <w:tc>
          <w:tcPr>
            <w:tcW w:w="1418" w:type="dxa"/>
            <w:vAlign w:val="center"/>
          </w:tcPr>
          <w:p w14:paraId="54038251">
            <w:pPr>
              <w:spacing w:line="240" w:lineRule="auto"/>
              <w:jc w:val="center"/>
              <w:rPr>
                <w:rFonts w:ascii="宋体"/>
                <w:color w:val="auto"/>
                <w:sz w:val="21"/>
                <w:szCs w:val="21"/>
                <w:highlight w:val="none"/>
              </w:rPr>
            </w:pPr>
          </w:p>
        </w:tc>
        <w:tc>
          <w:tcPr>
            <w:tcW w:w="992" w:type="dxa"/>
            <w:vAlign w:val="center"/>
          </w:tcPr>
          <w:p w14:paraId="04042A3D">
            <w:pPr>
              <w:spacing w:line="240" w:lineRule="auto"/>
              <w:jc w:val="center"/>
              <w:rPr>
                <w:rFonts w:ascii="宋体"/>
                <w:color w:val="auto"/>
                <w:sz w:val="21"/>
                <w:szCs w:val="21"/>
                <w:highlight w:val="none"/>
              </w:rPr>
            </w:pPr>
          </w:p>
        </w:tc>
      </w:tr>
      <w:tr w14:paraId="6124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4ABC00B2">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4</w:t>
            </w:r>
          </w:p>
        </w:tc>
        <w:tc>
          <w:tcPr>
            <w:tcW w:w="1422" w:type="dxa"/>
            <w:vAlign w:val="center"/>
          </w:tcPr>
          <w:p w14:paraId="78E8E7F0">
            <w:pPr>
              <w:snapToGrid w:val="0"/>
              <w:spacing w:line="400" w:lineRule="exact"/>
              <w:jc w:val="center"/>
              <w:rPr>
                <w:rFonts w:ascii="宋体"/>
                <w:color w:val="auto"/>
                <w:sz w:val="21"/>
                <w:szCs w:val="21"/>
                <w:highlight w:val="none"/>
              </w:rPr>
            </w:pPr>
          </w:p>
        </w:tc>
        <w:tc>
          <w:tcPr>
            <w:tcW w:w="5240" w:type="dxa"/>
            <w:vAlign w:val="center"/>
          </w:tcPr>
          <w:p w14:paraId="64C7773A">
            <w:pPr>
              <w:pStyle w:val="17"/>
              <w:spacing w:line="400" w:lineRule="exact"/>
              <w:rPr>
                <w:rFonts w:ascii="宋体"/>
                <w:color w:val="auto"/>
                <w:sz w:val="21"/>
                <w:szCs w:val="21"/>
                <w:highlight w:val="none"/>
              </w:rPr>
            </w:pPr>
          </w:p>
        </w:tc>
        <w:tc>
          <w:tcPr>
            <w:tcW w:w="1418" w:type="dxa"/>
            <w:vAlign w:val="center"/>
          </w:tcPr>
          <w:p w14:paraId="47DD359D">
            <w:pPr>
              <w:spacing w:line="240" w:lineRule="auto"/>
              <w:jc w:val="center"/>
              <w:rPr>
                <w:rFonts w:ascii="宋体"/>
                <w:color w:val="auto"/>
                <w:sz w:val="21"/>
                <w:szCs w:val="21"/>
                <w:highlight w:val="none"/>
              </w:rPr>
            </w:pPr>
          </w:p>
        </w:tc>
        <w:tc>
          <w:tcPr>
            <w:tcW w:w="992" w:type="dxa"/>
            <w:vAlign w:val="center"/>
          </w:tcPr>
          <w:p w14:paraId="1880C9C0">
            <w:pPr>
              <w:spacing w:line="240" w:lineRule="auto"/>
              <w:jc w:val="center"/>
              <w:rPr>
                <w:rFonts w:ascii="宋体"/>
                <w:color w:val="auto"/>
                <w:sz w:val="21"/>
                <w:szCs w:val="21"/>
                <w:highlight w:val="none"/>
              </w:rPr>
            </w:pPr>
          </w:p>
        </w:tc>
      </w:tr>
      <w:tr w14:paraId="207C6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710BCF97">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5</w:t>
            </w:r>
          </w:p>
        </w:tc>
        <w:tc>
          <w:tcPr>
            <w:tcW w:w="1422" w:type="dxa"/>
            <w:vAlign w:val="center"/>
          </w:tcPr>
          <w:p w14:paraId="07ED9ADC">
            <w:pPr>
              <w:snapToGrid w:val="0"/>
              <w:spacing w:line="400" w:lineRule="exact"/>
              <w:jc w:val="center"/>
              <w:rPr>
                <w:rFonts w:ascii="宋体"/>
                <w:color w:val="auto"/>
                <w:sz w:val="21"/>
                <w:szCs w:val="21"/>
                <w:highlight w:val="none"/>
              </w:rPr>
            </w:pPr>
          </w:p>
        </w:tc>
        <w:tc>
          <w:tcPr>
            <w:tcW w:w="5240" w:type="dxa"/>
            <w:vAlign w:val="center"/>
          </w:tcPr>
          <w:p w14:paraId="7FC9B827">
            <w:pPr>
              <w:spacing w:line="400" w:lineRule="exact"/>
              <w:jc w:val="both"/>
              <w:rPr>
                <w:rFonts w:ascii="宋体"/>
                <w:color w:val="auto"/>
                <w:sz w:val="21"/>
                <w:szCs w:val="21"/>
                <w:highlight w:val="none"/>
              </w:rPr>
            </w:pPr>
          </w:p>
        </w:tc>
        <w:tc>
          <w:tcPr>
            <w:tcW w:w="1418" w:type="dxa"/>
            <w:vAlign w:val="center"/>
          </w:tcPr>
          <w:p w14:paraId="725A5D1A">
            <w:pPr>
              <w:spacing w:line="240" w:lineRule="auto"/>
              <w:jc w:val="center"/>
              <w:rPr>
                <w:rFonts w:ascii="宋体"/>
                <w:color w:val="auto"/>
                <w:sz w:val="21"/>
                <w:szCs w:val="21"/>
                <w:highlight w:val="none"/>
              </w:rPr>
            </w:pPr>
          </w:p>
        </w:tc>
        <w:tc>
          <w:tcPr>
            <w:tcW w:w="992" w:type="dxa"/>
            <w:vAlign w:val="center"/>
          </w:tcPr>
          <w:p w14:paraId="11638D11">
            <w:pPr>
              <w:spacing w:line="240" w:lineRule="auto"/>
              <w:jc w:val="center"/>
              <w:rPr>
                <w:rFonts w:ascii="宋体"/>
                <w:color w:val="auto"/>
                <w:sz w:val="21"/>
                <w:szCs w:val="21"/>
                <w:highlight w:val="none"/>
              </w:rPr>
            </w:pPr>
          </w:p>
        </w:tc>
      </w:tr>
      <w:tr w14:paraId="425B9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2F0D8D9C">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6</w:t>
            </w:r>
          </w:p>
        </w:tc>
        <w:tc>
          <w:tcPr>
            <w:tcW w:w="1422" w:type="dxa"/>
            <w:vAlign w:val="center"/>
          </w:tcPr>
          <w:p w14:paraId="3F2306C0">
            <w:pPr>
              <w:snapToGrid w:val="0"/>
              <w:spacing w:line="400" w:lineRule="exact"/>
              <w:jc w:val="center"/>
              <w:rPr>
                <w:rFonts w:ascii="宋体"/>
                <w:color w:val="auto"/>
                <w:kern w:val="2"/>
                <w:sz w:val="21"/>
                <w:szCs w:val="21"/>
                <w:highlight w:val="none"/>
              </w:rPr>
            </w:pPr>
          </w:p>
        </w:tc>
        <w:tc>
          <w:tcPr>
            <w:tcW w:w="5240" w:type="dxa"/>
            <w:vAlign w:val="center"/>
          </w:tcPr>
          <w:p w14:paraId="06E5803B">
            <w:pPr>
              <w:spacing w:line="400" w:lineRule="exact"/>
              <w:jc w:val="both"/>
              <w:rPr>
                <w:rFonts w:ascii="宋体"/>
                <w:color w:val="auto"/>
                <w:sz w:val="21"/>
                <w:szCs w:val="21"/>
                <w:highlight w:val="none"/>
              </w:rPr>
            </w:pPr>
          </w:p>
        </w:tc>
        <w:tc>
          <w:tcPr>
            <w:tcW w:w="1418" w:type="dxa"/>
            <w:vAlign w:val="center"/>
          </w:tcPr>
          <w:p w14:paraId="07D14CC8">
            <w:pPr>
              <w:spacing w:line="240" w:lineRule="auto"/>
              <w:jc w:val="center"/>
              <w:rPr>
                <w:rFonts w:ascii="宋体"/>
                <w:color w:val="auto"/>
                <w:sz w:val="21"/>
                <w:szCs w:val="21"/>
                <w:highlight w:val="none"/>
              </w:rPr>
            </w:pPr>
          </w:p>
        </w:tc>
        <w:tc>
          <w:tcPr>
            <w:tcW w:w="992" w:type="dxa"/>
            <w:vAlign w:val="center"/>
          </w:tcPr>
          <w:p w14:paraId="1419FB07">
            <w:pPr>
              <w:spacing w:line="240" w:lineRule="auto"/>
              <w:jc w:val="center"/>
              <w:rPr>
                <w:rFonts w:ascii="宋体"/>
                <w:color w:val="auto"/>
                <w:sz w:val="21"/>
                <w:szCs w:val="21"/>
                <w:highlight w:val="none"/>
              </w:rPr>
            </w:pPr>
          </w:p>
        </w:tc>
      </w:tr>
      <w:tr w14:paraId="0DF2D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54153C99">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7</w:t>
            </w:r>
          </w:p>
        </w:tc>
        <w:tc>
          <w:tcPr>
            <w:tcW w:w="1422" w:type="dxa"/>
            <w:vAlign w:val="center"/>
          </w:tcPr>
          <w:p w14:paraId="19BC66CF">
            <w:pPr>
              <w:snapToGrid w:val="0"/>
              <w:spacing w:line="400" w:lineRule="exact"/>
              <w:jc w:val="center"/>
              <w:rPr>
                <w:rFonts w:ascii="宋体"/>
                <w:color w:val="auto"/>
                <w:kern w:val="2"/>
                <w:sz w:val="21"/>
                <w:szCs w:val="21"/>
                <w:highlight w:val="none"/>
              </w:rPr>
            </w:pPr>
          </w:p>
        </w:tc>
        <w:tc>
          <w:tcPr>
            <w:tcW w:w="5240" w:type="dxa"/>
            <w:vAlign w:val="center"/>
          </w:tcPr>
          <w:p w14:paraId="610D1AD4">
            <w:pPr>
              <w:spacing w:line="400" w:lineRule="exact"/>
              <w:jc w:val="both"/>
              <w:rPr>
                <w:rFonts w:ascii="宋体"/>
                <w:color w:val="auto"/>
                <w:sz w:val="21"/>
                <w:szCs w:val="21"/>
                <w:highlight w:val="none"/>
              </w:rPr>
            </w:pPr>
          </w:p>
        </w:tc>
        <w:tc>
          <w:tcPr>
            <w:tcW w:w="1418" w:type="dxa"/>
            <w:vAlign w:val="center"/>
          </w:tcPr>
          <w:p w14:paraId="64CDBA05">
            <w:pPr>
              <w:spacing w:line="240" w:lineRule="auto"/>
              <w:jc w:val="center"/>
              <w:rPr>
                <w:rFonts w:ascii="宋体"/>
                <w:color w:val="auto"/>
                <w:sz w:val="21"/>
                <w:szCs w:val="21"/>
                <w:highlight w:val="none"/>
              </w:rPr>
            </w:pPr>
          </w:p>
        </w:tc>
        <w:tc>
          <w:tcPr>
            <w:tcW w:w="992" w:type="dxa"/>
            <w:vAlign w:val="center"/>
          </w:tcPr>
          <w:p w14:paraId="5F74A713">
            <w:pPr>
              <w:spacing w:line="240" w:lineRule="auto"/>
              <w:jc w:val="center"/>
              <w:rPr>
                <w:rFonts w:ascii="宋体"/>
                <w:color w:val="auto"/>
                <w:sz w:val="21"/>
                <w:szCs w:val="21"/>
                <w:highlight w:val="none"/>
              </w:rPr>
            </w:pPr>
          </w:p>
        </w:tc>
      </w:tr>
      <w:tr w14:paraId="5C71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5031175B">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8</w:t>
            </w:r>
          </w:p>
        </w:tc>
        <w:tc>
          <w:tcPr>
            <w:tcW w:w="1422" w:type="dxa"/>
            <w:vAlign w:val="center"/>
          </w:tcPr>
          <w:p w14:paraId="451A66A7">
            <w:pPr>
              <w:snapToGrid w:val="0"/>
              <w:spacing w:line="240" w:lineRule="auto"/>
              <w:jc w:val="center"/>
              <w:rPr>
                <w:rFonts w:ascii="宋体"/>
                <w:color w:val="auto"/>
                <w:kern w:val="2"/>
                <w:sz w:val="21"/>
                <w:szCs w:val="21"/>
                <w:highlight w:val="none"/>
              </w:rPr>
            </w:pPr>
          </w:p>
        </w:tc>
        <w:tc>
          <w:tcPr>
            <w:tcW w:w="5240" w:type="dxa"/>
            <w:vAlign w:val="center"/>
          </w:tcPr>
          <w:p w14:paraId="1DAB7253">
            <w:pPr>
              <w:tabs>
                <w:tab w:val="left" w:pos="105"/>
                <w:tab w:val="left" w:pos="735"/>
                <w:tab w:val="left" w:pos="945"/>
                <w:tab w:val="left" w:pos="3360"/>
              </w:tabs>
              <w:spacing w:line="240" w:lineRule="auto"/>
              <w:jc w:val="both"/>
              <w:rPr>
                <w:rFonts w:ascii="宋体"/>
                <w:color w:val="auto"/>
                <w:sz w:val="21"/>
                <w:szCs w:val="21"/>
                <w:highlight w:val="none"/>
              </w:rPr>
            </w:pPr>
          </w:p>
        </w:tc>
        <w:tc>
          <w:tcPr>
            <w:tcW w:w="1418" w:type="dxa"/>
            <w:vAlign w:val="center"/>
          </w:tcPr>
          <w:p w14:paraId="6E11FC66">
            <w:pPr>
              <w:spacing w:line="240" w:lineRule="auto"/>
              <w:jc w:val="center"/>
              <w:rPr>
                <w:rFonts w:ascii="宋体"/>
                <w:color w:val="auto"/>
                <w:sz w:val="21"/>
                <w:szCs w:val="21"/>
                <w:highlight w:val="none"/>
              </w:rPr>
            </w:pPr>
          </w:p>
        </w:tc>
        <w:tc>
          <w:tcPr>
            <w:tcW w:w="992" w:type="dxa"/>
            <w:vAlign w:val="center"/>
          </w:tcPr>
          <w:p w14:paraId="22A4ED58">
            <w:pPr>
              <w:spacing w:line="240" w:lineRule="auto"/>
              <w:jc w:val="center"/>
              <w:rPr>
                <w:rFonts w:ascii="宋体"/>
                <w:color w:val="auto"/>
                <w:sz w:val="21"/>
                <w:szCs w:val="21"/>
                <w:highlight w:val="none"/>
              </w:rPr>
            </w:pPr>
          </w:p>
        </w:tc>
      </w:tr>
    </w:tbl>
    <w:p w14:paraId="59A2570B">
      <w:pPr>
        <w:snapToGrid w:val="0"/>
        <w:spacing w:line="400" w:lineRule="exact"/>
        <w:rPr>
          <w:rFonts w:hint="eastAsia" w:ascii="宋体"/>
          <w:color w:val="auto"/>
          <w:szCs w:val="21"/>
          <w:highlight w:val="none"/>
        </w:rPr>
      </w:pPr>
      <w:r>
        <w:rPr>
          <w:rFonts w:hint="eastAsia" w:ascii="宋体"/>
          <w:color w:val="auto"/>
          <w:szCs w:val="21"/>
          <w:highlight w:val="none"/>
        </w:rPr>
        <w:t xml:space="preserve">                              </w:t>
      </w:r>
    </w:p>
    <w:p w14:paraId="75F24075">
      <w:pPr>
        <w:snapToGrid w:val="0"/>
        <w:spacing w:line="400" w:lineRule="exact"/>
        <w:rPr>
          <w:rFonts w:hint="eastAsia" w:ascii="宋体"/>
          <w:color w:val="auto"/>
          <w:szCs w:val="21"/>
          <w:highlight w:val="none"/>
        </w:rPr>
      </w:pPr>
      <w:r>
        <w:rPr>
          <w:rFonts w:hint="eastAsia" w:ascii="宋体"/>
          <w:color w:val="auto"/>
          <w:szCs w:val="21"/>
          <w:highlight w:val="none"/>
        </w:rPr>
        <w:t>注：1、如有商务偏离，在填写此表时，应做到投标商务应答与招标文件的商务条款一一对应。</w:t>
      </w:r>
    </w:p>
    <w:p w14:paraId="197619A7">
      <w:pPr>
        <w:snapToGrid w:val="0"/>
        <w:spacing w:line="400" w:lineRule="exact"/>
        <w:ind w:firstLine="480" w:firstLineChars="200"/>
        <w:rPr>
          <w:rFonts w:hint="eastAsia" w:ascii="宋体"/>
          <w:color w:val="auto"/>
          <w:szCs w:val="21"/>
          <w:highlight w:val="none"/>
        </w:rPr>
      </w:pPr>
      <w:r>
        <w:rPr>
          <w:rFonts w:hint="eastAsia" w:ascii="宋体"/>
          <w:color w:val="auto"/>
          <w:szCs w:val="21"/>
          <w:highlight w:val="none"/>
        </w:rPr>
        <w:t>2、如全部响应招标文件商务条款，则在本表中注明“商务无偏离”。</w:t>
      </w:r>
    </w:p>
    <w:p w14:paraId="6D2A30BA">
      <w:pPr>
        <w:spacing w:line="400" w:lineRule="atLeast"/>
        <w:rPr>
          <w:rFonts w:hint="eastAsia" w:ascii="宋体"/>
          <w:color w:val="auto"/>
          <w:szCs w:val="21"/>
          <w:highlight w:val="none"/>
        </w:rPr>
      </w:pPr>
      <w:bookmarkStart w:id="147" w:name="_Toc436408720"/>
      <w:bookmarkStart w:id="148" w:name="_Toc441316563"/>
    </w:p>
    <w:p w14:paraId="4405BF3F">
      <w:pPr>
        <w:spacing w:line="400" w:lineRule="atLeast"/>
        <w:rPr>
          <w:rFonts w:hint="eastAsia" w:ascii="宋体"/>
          <w:color w:val="auto"/>
          <w:szCs w:val="21"/>
          <w:highlight w:val="none"/>
        </w:rPr>
      </w:pPr>
    </w:p>
    <w:p w14:paraId="23B54EC6">
      <w:pPr>
        <w:spacing w:line="400" w:lineRule="atLeast"/>
        <w:rPr>
          <w:rFonts w:ascii="宋体"/>
          <w:color w:val="auto"/>
          <w:szCs w:val="21"/>
          <w:highlight w:val="none"/>
        </w:rPr>
      </w:pPr>
      <w:r>
        <w:rPr>
          <w:rFonts w:hint="eastAsia" w:ascii="宋体"/>
          <w:color w:val="auto"/>
          <w:szCs w:val="21"/>
          <w:highlight w:val="none"/>
        </w:rPr>
        <w:t>投标人（盖章）：</w:t>
      </w:r>
    </w:p>
    <w:p w14:paraId="138C63AE">
      <w:pPr>
        <w:spacing w:line="400" w:lineRule="atLeast"/>
        <w:rPr>
          <w:rFonts w:ascii="宋体"/>
          <w:color w:val="auto"/>
          <w:szCs w:val="21"/>
          <w:highlight w:val="none"/>
        </w:rPr>
      </w:pPr>
      <w:r>
        <w:rPr>
          <w:rFonts w:hint="eastAsia" w:ascii="宋体"/>
          <w:color w:val="auto"/>
          <w:szCs w:val="21"/>
          <w:highlight w:val="none"/>
        </w:rPr>
        <w:t>日          期：</w:t>
      </w:r>
    </w:p>
    <w:p w14:paraId="082460CA">
      <w:pPr>
        <w:spacing w:line="400" w:lineRule="exact"/>
        <w:jc w:val="both"/>
        <w:rPr>
          <w:rFonts w:hint="eastAsia" w:ascii="宋体"/>
          <w:color w:val="auto"/>
          <w:szCs w:val="21"/>
          <w:highlight w:val="none"/>
        </w:rPr>
      </w:pPr>
      <w:r>
        <w:rPr>
          <w:rFonts w:hint="eastAsia" w:ascii="宋体"/>
          <w:color w:val="auto"/>
          <w:szCs w:val="21"/>
          <w:highlight w:val="none"/>
        </w:rPr>
        <w:br w:type="page"/>
      </w:r>
      <w:bookmarkEnd w:id="147"/>
      <w:bookmarkStart w:id="149" w:name="_Toc441316564"/>
    </w:p>
    <w:p w14:paraId="03E6D618">
      <w:pPr>
        <w:spacing w:line="240" w:lineRule="auto"/>
        <w:jc w:val="left"/>
        <w:rPr>
          <w:rStyle w:val="175"/>
          <w:b w:val="0"/>
          <w:color w:val="auto"/>
          <w:sz w:val="32"/>
          <w:szCs w:val="32"/>
          <w:highlight w:val="none"/>
        </w:rPr>
      </w:pPr>
      <w:bookmarkStart w:id="150" w:name="_Toc443468293"/>
      <w:bookmarkStart w:id="151" w:name="_Toc21541028"/>
      <w:bookmarkStart w:id="152" w:name="_Toc8677"/>
      <w:bookmarkStart w:id="153" w:name="_Toc44162159"/>
    </w:p>
    <w:p w14:paraId="021C79EC">
      <w:pPr>
        <w:rPr>
          <w:rFonts w:hint="eastAsia" w:ascii="宋体" w:hAnsi="宋体"/>
          <w:b/>
          <w:color w:val="auto"/>
          <w:highlight w:val="none"/>
        </w:rPr>
      </w:pPr>
    </w:p>
    <w:p w14:paraId="72AA1D1B">
      <w:pPr>
        <w:wordWrap w:val="0"/>
        <w:spacing w:line="400" w:lineRule="exact"/>
        <w:jc w:val="center"/>
        <w:rPr>
          <w:rFonts w:hint="eastAsia" w:ascii="宋体" w:hAnsi="宋体" w:eastAsia="宋体" w:cs="Times New Roman"/>
          <w:b/>
          <w:color w:val="auto"/>
          <w:highlight w:val="none"/>
        </w:rPr>
      </w:pPr>
      <w:r>
        <w:rPr>
          <w:rFonts w:hint="eastAsia" w:ascii="宋体" w:hAnsi="宋体" w:eastAsia="宋体" w:cs="Times New Roman"/>
          <w:b/>
          <w:color w:val="auto"/>
          <w:highlight w:val="none"/>
        </w:rPr>
        <w:t>B7、采购清单及技术要求响应表</w:t>
      </w:r>
    </w:p>
    <w:p w14:paraId="29C88FD2">
      <w:pPr>
        <w:pStyle w:val="12"/>
        <w:ind w:left="0" w:leftChars="0" w:firstLine="0" w:firstLineChars="0"/>
        <w:jc w:val="center"/>
        <w:rPr>
          <w:rFonts w:hint="eastAsia"/>
          <w:color w:val="auto"/>
          <w:highlight w:val="none"/>
        </w:rPr>
      </w:pPr>
      <w:r>
        <w:rPr>
          <w:rFonts w:hint="eastAsia"/>
          <w:color w:val="auto"/>
          <w:highlight w:val="none"/>
        </w:rPr>
        <w:t>要求对照第四部分《招标内容及技术需求》中“</w:t>
      </w: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招标货物清单及</w:t>
      </w:r>
      <w:r>
        <w:rPr>
          <w:rFonts w:hint="eastAsia"/>
          <w:color w:val="auto"/>
          <w:highlight w:val="none"/>
        </w:rPr>
        <w:t>技术要求表”</w:t>
      </w:r>
      <w:r>
        <w:rPr>
          <w:rFonts w:hint="eastAsia"/>
          <w:color w:val="auto"/>
          <w:highlight w:val="none"/>
          <w:lang w:eastAsia="zh-CN"/>
        </w:rPr>
        <w:t>“</w:t>
      </w:r>
      <w:r>
        <w:rPr>
          <w:rFonts w:hint="eastAsia"/>
          <w:color w:val="auto"/>
          <w:highlight w:val="none"/>
          <w:lang w:val="en-US" w:eastAsia="zh-CN"/>
        </w:rPr>
        <w:t>二、其它要求”</w:t>
      </w:r>
      <w:r>
        <w:rPr>
          <w:rFonts w:hint="eastAsia"/>
          <w:color w:val="auto"/>
          <w:highlight w:val="none"/>
        </w:rPr>
        <w:t>进行响应，投标人视需要可以在表格以外自行扩展内容对产品型号规格及系列及性能特点进行补充说明；</w:t>
      </w:r>
    </w:p>
    <w:p w14:paraId="0DD086E2">
      <w:pPr>
        <w:wordWrap w:val="0"/>
        <w:spacing w:line="400" w:lineRule="exact"/>
        <w:jc w:val="center"/>
        <w:rPr>
          <w:rFonts w:hint="eastAsia" w:ascii="宋体" w:hAnsi="宋体" w:eastAsia="宋体" w:cs="Times New Roman"/>
          <w:b/>
          <w:color w:val="auto"/>
          <w:highlight w:val="none"/>
        </w:rPr>
      </w:pPr>
    </w:p>
    <w:p w14:paraId="298BAA76">
      <w:pPr>
        <w:wordWrap w:val="0"/>
        <w:spacing w:line="400" w:lineRule="exact"/>
        <w:jc w:val="left"/>
        <w:rPr>
          <w:rFonts w:hint="eastAsia" w:ascii="宋体" w:hAnsi="宋体"/>
          <w:b/>
          <w:color w:val="auto"/>
          <w:highlight w:val="none"/>
        </w:rPr>
      </w:pPr>
    </w:p>
    <w:p w14:paraId="38610D61">
      <w:pPr>
        <w:wordWrap w:val="0"/>
        <w:spacing w:line="400" w:lineRule="exact"/>
        <w:jc w:val="center"/>
        <w:rPr>
          <w:rFonts w:hint="eastAsia" w:ascii="宋体" w:hAnsi="宋体"/>
          <w:b/>
          <w:color w:val="auto"/>
          <w:highlight w:val="none"/>
        </w:rPr>
      </w:pPr>
      <w:r>
        <w:rPr>
          <w:rFonts w:hint="eastAsia" w:ascii="宋体" w:hAnsi="宋体"/>
          <w:b/>
          <w:color w:val="auto"/>
          <w:highlight w:val="none"/>
        </w:rPr>
        <w:t>B</w:t>
      </w:r>
      <w:r>
        <w:rPr>
          <w:rFonts w:hint="eastAsia" w:ascii="宋体" w:hAnsi="宋体"/>
          <w:b/>
          <w:color w:val="auto"/>
          <w:highlight w:val="none"/>
          <w:lang w:val="en-US" w:eastAsia="zh-CN"/>
        </w:rPr>
        <w:t>8</w:t>
      </w:r>
      <w:r>
        <w:rPr>
          <w:rFonts w:hint="eastAsia" w:ascii="宋体" w:hAnsi="宋体"/>
          <w:b/>
          <w:color w:val="auto"/>
          <w:highlight w:val="none"/>
        </w:rPr>
        <w:t>、第五章“评标办法及标准”中商务和技术评分表要求提供的资料</w:t>
      </w:r>
    </w:p>
    <w:p w14:paraId="22C5A2BA">
      <w:pPr>
        <w:wordWrap w:val="0"/>
        <w:spacing w:line="400" w:lineRule="exact"/>
        <w:jc w:val="center"/>
        <w:rPr>
          <w:rFonts w:hint="eastAsia" w:ascii="宋体" w:hAnsi="宋体"/>
          <w:b/>
          <w:color w:val="auto"/>
          <w:highlight w:val="none"/>
        </w:rPr>
      </w:pPr>
      <w:r>
        <w:rPr>
          <w:rFonts w:hint="eastAsia" w:ascii="宋体" w:hAnsi="宋体"/>
          <w:b/>
          <w:color w:val="auto"/>
          <w:highlight w:val="none"/>
        </w:rPr>
        <w:t>（如有需提供</w:t>
      </w:r>
      <w:r>
        <w:rPr>
          <w:rFonts w:hint="eastAsia" w:ascii="宋体" w:hAnsi="宋体"/>
          <w:b/>
          <w:color w:val="auto"/>
          <w:highlight w:val="none"/>
          <w:lang w:eastAsia="zh-CN"/>
        </w:rPr>
        <w:t>，</w:t>
      </w:r>
      <w:r>
        <w:rPr>
          <w:rFonts w:hint="eastAsia" w:ascii="宋体" w:hAnsi="宋体"/>
          <w:b/>
          <w:color w:val="auto"/>
          <w:highlight w:val="none"/>
          <w:lang w:val="en-US" w:eastAsia="zh-CN"/>
        </w:rPr>
        <w:t>格式自拟</w:t>
      </w:r>
      <w:r>
        <w:rPr>
          <w:rFonts w:hint="eastAsia" w:ascii="宋体" w:hAnsi="宋体"/>
          <w:b/>
          <w:color w:val="auto"/>
          <w:highlight w:val="none"/>
        </w:rPr>
        <w:t>）</w:t>
      </w:r>
    </w:p>
    <w:p w14:paraId="6B59CDE0">
      <w:pPr>
        <w:pStyle w:val="177"/>
        <w:ind w:left="0" w:leftChars="0" w:firstLine="1440" w:firstLineChars="600"/>
        <w:jc w:val="left"/>
        <w:rPr>
          <w:rFonts w:hint="eastAsia" w:ascii="Times New Roman" w:hAnsi="Times New Roman" w:eastAsia="宋体" w:cs="Times New Roman"/>
          <w:color w:val="auto"/>
          <w:highlight w:val="none"/>
          <w:lang w:val="en-US" w:eastAsia="zh-CN"/>
        </w:rPr>
      </w:pPr>
    </w:p>
    <w:p w14:paraId="70F9973C">
      <w:pPr>
        <w:pStyle w:val="203"/>
        <w:ind w:left="0" w:leftChars="0" w:firstLine="0" w:firstLineChars="0"/>
        <w:jc w:val="center"/>
        <w:rPr>
          <w:rStyle w:val="175"/>
          <w:b w:val="0"/>
          <w:color w:val="auto"/>
          <w:sz w:val="32"/>
          <w:szCs w:val="32"/>
          <w:highlight w:val="none"/>
        </w:rPr>
      </w:pPr>
    </w:p>
    <w:p w14:paraId="318D5498">
      <w:pPr>
        <w:wordWrap w:val="0"/>
        <w:spacing w:line="400" w:lineRule="exact"/>
        <w:jc w:val="left"/>
        <w:rPr>
          <w:rFonts w:hint="eastAsia" w:ascii="宋体" w:hAnsi="宋体"/>
          <w:b/>
          <w:color w:val="auto"/>
          <w:highlight w:val="none"/>
        </w:rPr>
      </w:pPr>
    </w:p>
    <w:p w14:paraId="5DDA7127">
      <w:pPr>
        <w:wordWrap w:val="0"/>
        <w:spacing w:line="400" w:lineRule="exact"/>
        <w:jc w:val="left"/>
        <w:rPr>
          <w:rFonts w:hint="eastAsia" w:ascii="宋体" w:hAnsi="宋体"/>
          <w:b/>
          <w:color w:val="auto"/>
          <w:highlight w:val="none"/>
        </w:rPr>
      </w:pPr>
    </w:p>
    <w:p w14:paraId="27ACB7C1">
      <w:pPr>
        <w:wordWrap w:val="0"/>
        <w:spacing w:line="400" w:lineRule="exact"/>
        <w:jc w:val="left"/>
        <w:rPr>
          <w:rFonts w:hint="eastAsia" w:ascii="宋体" w:hAnsi="宋体"/>
          <w:b/>
          <w:color w:val="auto"/>
          <w:highlight w:val="none"/>
        </w:rPr>
      </w:pPr>
    </w:p>
    <w:p w14:paraId="20EB7F60">
      <w:pPr>
        <w:wordWrap w:val="0"/>
        <w:spacing w:line="400" w:lineRule="exact"/>
        <w:jc w:val="center"/>
        <w:rPr>
          <w:rFonts w:hint="eastAsia" w:ascii="宋体" w:hAnsi="宋体"/>
          <w:b/>
          <w:color w:val="auto"/>
          <w:highlight w:val="none"/>
        </w:rPr>
      </w:pPr>
      <w:r>
        <w:rPr>
          <w:rFonts w:hint="eastAsia" w:ascii="宋体" w:hAnsi="宋体"/>
          <w:b/>
          <w:color w:val="auto"/>
          <w:highlight w:val="none"/>
        </w:rPr>
        <w:t>B</w:t>
      </w:r>
      <w:r>
        <w:rPr>
          <w:rFonts w:hint="eastAsia" w:ascii="宋体" w:hAnsi="宋体"/>
          <w:b/>
          <w:color w:val="auto"/>
          <w:highlight w:val="none"/>
          <w:lang w:val="en-US" w:eastAsia="zh-CN"/>
        </w:rPr>
        <w:t>9</w:t>
      </w:r>
      <w:r>
        <w:rPr>
          <w:rFonts w:hint="eastAsia" w:ascii="宋体" w:hAnsi="宋体"/>
          <w:b/>
          <w:color w:val="auto"/>
          <w:highlight w:val="none"/>
        </w:rPr>
        <w:t>、</w:t>
      </w:r>
      <w:r>
        <w:rPr>
          <w:rFonts w:hint="eastAsia" w:ascii="宋体" w:hAnsi="宋体"/>
          <w:b/>
          <w:color w:val="auto"/>
          <w:highlight w:val="none"/>
          <w:lang w:val="en-US" w:eastAsia="zh-CN"/>
        </w:rPr>
        <w:t>投标人</w:t>
      </w:r>
      <w:r>
        <w:rPr>
          <w:rFonts w:hint="eastAsia" w:ascii="宋体" w:hAnsi="宋体"/>
          <w:b/>
          <w:color w:val="auto"/>
          <w:highlight w:val="none"/>
        </w:rPr>
        <w:t>认为需要的其他资料（如有需提供）。</w:t>
      </w:r>
    </w:p>
    <w:p w14:paraId="5600792A">
      <w:pPr>
        <w:pStyle w:val="203"/>
        <w:ind w:left="0" w:leftChars="0" w:firstLine="0" w:firstLineChars="0"/>
        <w:jc w:val="center"/>
        <w:rPr>
          <w:rStyle w:val="175"/>
          <w:rFonts w:ascii="宋体"/>
          <w:color w:val="auto"/>
          <w:sz w:val="32"/>
          <w:szCs w:val="32"/>
          <w:highlight w:val="none"/>
        </w:rPr>
      </w:pPr>
      <w:r>
        <w:rPr>
          <w:rStyle w:val="175"/>
          <w:b w:val="0"/>
          <w:color w:val="auto"/>
          <w:sz w:val="32"/>
          <w:szCs w:val="32"/>
          <w:highlight w:val="none"/>
        </w:rPr>
        <w:br w:type="page"/>
      </w:r>
      <w:r>
        <w:rPr>
          <w:rStyle w:val="175"/>
          <w:b w:val="0"/>
          <w:color w:val="auto"/>
          <w:sz w:val="32"/>
          <w:szCs w:val="32"/>
          <w:highlight w:val="none"/>
        </w:rPr>
        <w:t>C.</w:t>
      </w:r>
      <w:r>
        <w:rPr>
          <w:rStyle w:val="175"/>
          <w:rFonts w:hint="eastAsia"/>
          <w:b w:val="0"/>
          <w:color w:val="auto"/>
          <w:sz w:val="32"/>
          <w:szCs w:val="32"/>
          <w:highlight w:val="none"/>
        </w:rPr>
        <w:t>报价文件</w:t>
      </w:r>
      <w:bookmarkEnd w:id="150"/>
      <w:bookmarkEnd w:id="151"/>
      <w:bookmarkEnd w:id="152"/>
      <w:bookmarkEnd w:id="153"/>
    </w:p>
    <w:p w14:paraId="5CD1503A">
      <w:pPr>
        <w:autoSpaceDE w:val="0"/>
        <w:autoSpaceDN w:val="0"/>
        <w:spacing w:line="420" w:lineRule="exact"/>
        <w:rPr>
          <w:rStyle w:val="175"/>
          <w:rFonts w:ascii="宋体"/>
          <w:b w:val="0"/>
          <w:color w:val="auto"/>
          <w:highlight w:val="none"/>
          <w:lang w:val="zh-CN"/>
        </w:rPr>
      </w:pPr>
      <w:r>
        <w:rPr>
          <w:rStyle w:val="175"/>
          <w:rFonts w:hint="eastAsia" w:ascii="宋体"/>
          <w:color w:val="auto"/>
          <w:sz w:val="32"/>
          <w:szCs w:val="32"/>
          <w:highlight w:val="none"/>
        </w:rPr>
        <w:br w:type="page"/>
      </w:r>
      <w:r>
        <w:rPr>
          <w:rStyle w:val="175"/>
          <w:rFonts w:hint="eastAsia" w:ascii="宋体"/>
          <w:color w:val="auto"/>
          <w:szCs w:val="21"/>
          <w:highlight w:val="none"/>
        </w:rPr>
        <w:t>封面</w:t>
      </w:r>
    </w:p>
    <w:p w14:paraId="260D7FB7">
      <w:pPr>
        <w:spacing w:line="360" w:lineRule="auto"/>
        <w:ind w:firstLine="1285" w:firstLineChars="400"/>
        <w:jc w:val="right"/>
        <w:rPr>
          <w:rFonts w:ascii="宋体"/>
          <w:b/>
          <w:color w:val="auto"/>
          <w:sz w:val="32"/>
          <w:szCs w:val="32"/>
          <w:highlight w:val="none"/>
        </w:rPr>
      </w:pPr>
    </w:p>
    <w:p w14:paraId="37E73908">
      <w:pPr>
        <w:spacing w:line="360" w:lineRule="auto"/>
        <w:rPr>
          <w:rFonts w:ascii="宋体"/>
          <w:color w:val="auto"/>
          <w:sz w:val="28"/>
          <w:szCs w:val="28"/>
          <w:highlight w:val="none"/>
        </w:rPr>
      </w:pPr>
    </w:p>
    <w:p w14:paraId="33C81040">
      <w:pPr>
        <w:spacing w:line="360" w:lineRule="auto"/>
        <w:jc w:val="center"/>
        <w:rPr>
          <w:rFonts w:hint="eastAsia" w:ascii="宋体" w:eastAsia="宋体"/>
          <w:color w:val="auto"/>
          <w:sz w:val="40"/>
          <w:szCs w:val="40"/>
          <w:highlight w:val="none"/>
          <w:u w:val="none"/>
          <w:lang w:eastAsia="zh-CN"/>
        </w:rPr>
      </w:pPr>
      <w:r>
        <w:rPr>
          <w:rFonts w:hint="eastAsia" w:ascii="宋体"/>
          <w:color w:val="auto"/>
          <w:sz w:val="40"/>
          <w:szCs w:val="40"/>
          <w:highlight w:val="none"/>
          <w:u w:val="none"/>
          <w:lang w:eastAsia="zh-CN"/>
        </w:rPr>
        <w:t>宁波高新区求精书院智慧图书阅读空间采购项目</w:t>
      </w:r>
    </w:p>
    <w:p w14:paraId="283A9C1B">
      <w:pPr>
        <w:spacing w:line="360" w:lineRule="auto"/>
        <w:jc w:val="center"/>
        <w:rPr>
          <w:rFonts w:ascii="宋体"/>
          <w:color w:val="auto"/>
          <w:sz w:val="36"/>
          <w:szCs w:val="36"/>
          <w:highlight w:val="none"/>
          <w:u w:val="single"/>
        </w:rPr>
      </w:pPr>
    </w:p>
    <w:p w14:paraId="073593E9">
      <w:pPr>
        <w:spacing w:line="360" w:lineRule="auto"/>
        <w:jc w:val="center"/>
        <w:rPr>
          <w:rFonts w:hint="eastAsia" w:ascii="宋体" w:eastAsia="宋体"/>
          <w:color w:val="auto"/>
          <w:sz w:val="36"/>
          <w:szCs w:val="36"/>
          <w:highlight w:val="none"/>
          <w:u w:val="single"/>
          <w:lang w:eastAsia="zh-CN"/>
        </w:rPr>
      </w:pPr>
      <w:r>
        <w:rPr>
          <w:rFonts w:hint="eastAsia" w:ascii="宋体"/>
          <w:color w:val="auto"/>
          <w:sz w:val="36"/>
          <w:szCs w:val="36"/>
          <w:highlight w:val="none"/>
          <w:u w:val="single"/>
          <w:lang w:eastAsia="zh-CN"/>
        </w:rPr>
        <w:t>招标编号</w:t>
      </w:r>
      <w:r>
        <w:rPr>
          <w:rFonts w:hint="eastAsia" w:ascii="宋体"/>
          <w:color w:val="auto"/>
          <w:sz w:val="36"/>
          <w:szCs w:val="36"/>
          <w:highlight w:val="none"/>
          <w:u w:val="single"/>
        </w:rPr>
        <w:t>：</w:t>
      </w:r>
      <w:r>
        <w:rPr>
          <w:rFonts w:hint="eastAsia" w:ascii="宋体"/>
          <w:color w:val="auto"/>
          <w:sz w:val="36"/>
          <w:szCs w:val="36"/>
          <w:highlight w:val="none"/>
          <w:u w:val="single"/>
          <w:lang w:eastAsia="zh-CN"/>
        </w:rPr>
        <w:t>NBITC-202530768G</w:t>
      </w:r>
    </w:p>
    <w:p w14:paraId="7826A5DE">
      <w:pPr>
        <w:spacing w:line="360" w:lineRule="auto"/>
        <w:jc w:val="center"/>
        <w:rPr>
          <w:rFonts w:ascii="宋体"/>
          <w:color w:val="auto"/>
          <w:sz w:val="36"/>
          <w:szCs w:val="36"/>
          <w:highlight w:val="none"/>
        </w:rPr>
      </w:pPr>
      <w:r>
        <w:rPr>
          <w:rFonts w:hint="eastAsia" w:ascii="宋体"/>
          <w:color w:val="auto"/>
          <w:sz w:val="36"/>
          <w:szCs w:val="36"/>
          <w:highlight w:val="none"/>
          <w:u w:val="single"/>
        </w:rPr>
        <w:t>标  项  号：（如有多个标项）</w:t>
      </w:r>
    </w:p>
    <w:p w14:paraId="1346037A">
      <w:pPr>
        <w:rPr>
          <w:rFonts w:ascii="宋体"/>
          <w:color w:val="auto"/>
          <w:sz w:val="28"/>
          <w:szCs w:val="28"/>
          <w:highlight w:val="none"/>
        </w:rPr>
      </w:pPr>
    </w:p>
    <w:p w14:paraId="61A864AC">
      <w:pPr>
        <w:spacing w:line="360" w:lineRule="auto"/>
        <w:jc w:val="center"/>
        <w:rPr>
          <w:rFonts w:ascii="宋体"/>
          <w:color w:val="auto"/>
          <w:sz w:val="36"/>
          <w:szCs w:val="36"/>
          <w:highlight w:val="none"/>
        </w:rPr>
      </w:pPr>
      <w:r>
        <w:rPr>
          <w:rFonts w:hint="eastAsia" w:ascii="宋体"/>
          <w:color w:val="auto"/>
          <w:sz w:val="36"/>
          <w:szCs w:val="36"/>
          <w:highlight w:val="none"/>
        </w:rPr>
        <w:t>（报价文件）</w:t>
      </w:r>
    </w:p>
    <w:p w14:paraId="637DAF64">
      <w:pPr>
        <w:jc w:val="center"/>
        <w:rPr>
          <w:rFonts w:ascii="宋体"/>
          <w:color w:val="auto"/>
          <w:sz w:val="28"/>
          <w:szCs w:val="28"/>
          <w:highlight w:val="none"/>
        </w:rPr>
      </w:pPr>
    </w:p>
    <w:p w14:paraId="51F754D2">
      <w:pPr>
        <w:spacing w:line="360" w:lineRule="auto"/>
        <w:jc w:val="center"/>
        <w:rPr>
          <w:rFonts w:ascii="宋体"/>
          <w:b/>
          <w:color w:val="auto"/>
          <w:sz w:val="72"/>
          <w:szCs w:val="72"/>
          <w:highlight w:val="none"/>
        </w:rPr>
      </w:pPr>
    </w:p>
    <w:p w14:paraId="2E4846AB">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6343CA36">
      <w:pPr>
        <w:spacing w:line="360" w:lineRule="auto"/>
        <w:jc w:val="center"/>
        <w:rPr>
          <w:rFonts w:ascii="宋体"/>
          <w:color w:val="auto"/>
          <w:sz w:val="36"/>
          <w:szCs w:val="36"/>
          <w:highlight w:val="none"/>
        </w:rPr>
      </w:pPr>
    </w:p>
    <w:p w14:paraId="74AD015F">
      <w:pPr>
        <w:spacing w:line="360" w:lineRule="auto"/>
        <w:jc w:val="center"/>
        <w:rPr>
          <w:rFonts w:ascii="宋体"/>
          <w:color w:val="auto"/>
          <w:sz w:val="36"/>
          <w:szCs w:val="36"/>
          <w:highlight w:val="none"/>
        </w:rPr>
      </w:pPr>
    </w:p>
    <w:p w14:paraId="16C82E64">
      <w:pPr>
        <w:spacing w:line="360" w:lineRule="auto"/>
        <w:jc w:val="center"/>
        <w:rPr>
          <w:rFonts w:ascii="宋体"/>
          <w:color w:val="auto"/>
          <w:sz w:val="36"/>
          <w:szCs w:val="36"/>
          <w:highlight w:val="none"/>
        </w:rPr>
      </w:pPr>
    </w:p>
    <w:p w14:paraId="721E48A6">
      <w:pPr>
        <w:spacing w:line="360" w:lineRule="auto"/>
        <w:jc w:val="center"/>
        <w:rPr>
          <w:rFonts w:ascii="宋体"/>
          <w:color w:val="auto"/>
          <w:sz w:val="36"/>
          <w:szCs w:val="36"/>
          <w:highlight w:val="none"/>
        </w:rPr>
      </w:pPr>
    </w:p>
    <w:p w14:paraId="41E980DF">
      <w:pPr>
        <w:spacing w:line="360" w:lineRule="auto"/>
        <w:jc w:val="center"/>
        <w:rPr>
          <w:rFonts w:ascii="宋体"/>
          <w:color w:val="auto"/>
          <w:sz w:val="36"/>
          <w:szCs w:val="36"/>
          <w:highlight w:val="none"/>
          <w:u w:val="single"/>
        </w:rPr>
      </w:pPr>
      <w:r>
        <w:rPr>
          <w:rFonts w:hint="eastAsia" w:ascii="宋体"/>
          <w:color w:val="auto"/>
          <w:sz w:val="36"/>
          <w:szCs w:val="36"/>
          <w:highlight w:val="none"/>
        </w:rPr>
        <w:t>投标人全称：</w:t>
      </w:r>
      <w:r>
        <w:rPr>
          <w:rFonts w:hint="eastAsia" w:ascii="宋体"/>
          <w:color w:val="auto"/>
          <w:sz w:val="36"/>
          <w:szCs w:val="36"/>
          <w:highlight w:val="none"/>
          <w:u w:val="single"/>
        </w:rPr>
        <w:t>（加盖单位公章）</w:t>
      </w:r>
    </w:p>
    <w:p w14:paraId="28B9152A">
      <w:pPr>
        <w:pStyle w:val="26"/>
        <w:ind w:left="115" w:leftChars="48" w:firstLine="1680" w:firstLineChars="800"/>
        <w:jc w:val="left"/>
        <w:rPr>
          <w:color w:val="auto"/>
          <w:szCs w:val="28"/>
          <w:highlight w:val="none"/>
          <w:u w:val="single"/>
        </w:rPr>
      </w:pPr>
    </w:p>
    <w:p w14:paraId="29FD1076">
      <w:pPr>
        <w:pStyle w:val="203"/>
        <w:jc w:val="center"/>
        <w:rPr>
          <w:rStyle w:val="175"/>
          <w:b w:val="0"/>
          <w:color w:val="auto"/>
          <w:sz w:val="32"/>
          <w:szCs w:val="32"/>
          <w:highlight w:val="none"/>
        </w:rPr>
      </w:pPr>
      <w:bookmarkStart w:id="154" w:name="_Toc21541029"/>
      <w:bookmarkStart w:id="155" w:name="_Toc443468294"/>
      <w:bookmarkStart w:id="156" w:name="_Toc4975"/>
      <w:bookmarkStart w:id="157" w:name="_Toc44162160"/>
      <w:r>
        <w:rPr>
          <w:rStyle w:val="175"/>
          <w:rFonts w:hint="eastAsia"/>
          <w:b w:val="0"/>
          <w:color w:val="auto"/>
          <w:sz w:val="32"/>
          <w:szCs w:val="32"/>
          <w:highlight w:val="none"/>
        </w:rPr>
        <w:t>年</w:t>
      </w:r>
      <w:r>
        <w:rPr>
          <w:rStyle w:val="175"/>
          <w:b w:val="0"/>
          <w:color w:val="auto"/>
          <w:sz w:val="32"/>
          <w:szCs w:val="32"/>
          <w:highlight w:val="none"/>
        </w:rPr>
        <w:t xml:space="preserve">  </w:t>
      </w:r>
      <w:r>
        <w:rPr>
          <w:rStyle w:val="175"/>
          <w:rFonts w:hint="eastAsia"/>
          <w:b w:val="0"/>
          <w:color w:val="auto"/>
          <w:sz w:val="32"/>
          <w:szCs w:val="32"/>
          <w:highlight w:val="none"/>
        </w:rPr>
        <w:t>月</w:t>
      </w:r>
      <w:r>
        <w:rPr>
          <w:rStyle w:val="175"/>
          <w:b w:val="0"/>
          <w:color w:val="auto"/>
          <w:sz w:val="32"/>
          <w:szCs w:val="32"/>
          <w:highlight w:val="none"/>
        </w:rPr>
        <w:t xml:space="preserve">  </w:t>
      </w:r>
      <w:r>
        <w:rPr>
          <w:rStyle w:val="175"/>
          <w:rFonts w:hint="eastAsia"/>
          <w:b w:val="0"/>
          <w:color w:val="auto"/>
          <w:sz w:val="32"/>
          <w:szCs w:val="32"/>
          <w:highlight w:val="none"/>
        </w:rPr>
        <w:t>日</w:t>
      </w:r>
      <w:bookmarkEnd w:id="154"/>
      <w:bookmarkEnd w:id="155"/>
      <w:bookmarkEnd w:id="156"/>
      <w:bookmarkEnd w:id="157"/>
    </w:p>
    <w:p w14:paraId="47B34C25">
      <w:pPr>
        <w:spacing w:line="400" w:lineRule="exact"/>
        <w:jc w:val="center"/>
        <w:rPr>
          <w:rFonts w:hint="eastAsia" w:ascii="宋体"/>
          <w:b/>
          <w:color w:val="auto"/>
          <w:szCs w:val="21"/>
          <w:highlight w:val="none"/>
        </w:rPr>
      </w:pPr>
    </w:p>
    <w:p w14:paraId="4198CC58">
      <w:pPr>
        <w:spacing w:line="400" w:lineRule="exact"/>
        <w:jc w:val="center"/>
        <w:rPr>
          <w:rFonts w:hint="eastAsia" w:ascii="宋体"/>
          <w:b/>
          <w:color w:val="auto"/>
          <w:szCs w:val="21"/>
          <w:highlight w:val="none"/>
        </w:rPr>
      </w:pPr>
    </w:p>
    <w:p w14:paraId="27131D45">
      <w:pPr>
        <w:spacing w:line="400" w:lineRule="exact"/>
        <w:jc w:val="center"/>
        <w:rPr>
          <w:rFonts w:hint="eastAsia" w:ascii="宋体"/>
          <w:b/>
          <w:color w:val="auto"/>
          <w:szCs w:val="21"/>
          <w:highlight w:val="none"/>
        </w:rPr>
      </w:pPr>
    </w:p>
    <w:p w14:paraId="5A81C184">
      <w:pPr>
        <w:spacing w:line="400" w:lineRule="exact"/>
        <w:jc w:val="center"/>
        <w:rPr>
          <w:rFonts w:ascii="宋体"/>
          <w:b/>
          <w:color w:val="auto"/>
          <w:szCs w:val="21"/>
          <w:highlight w:val="none"/>
        </w:rPr>
      </w:pPr>
      <w:r>
        <w:rPr>
          <w:rFonts w:hint="eastAsia" w:ascii="宋体"/>
          <w:b/>
          <w:color w:val="auto"/>
          <w:szCs w:val="21"/>
          <w:highlight w:val="none"/>
        </w:rPr>
        <w:t>C1、开标一览表</w:t>
      </w:r>
    </w:p>
    <w:p w14:paraId="4345294D">
      <w:pPr>
        <w:pStyle w:val="20"/>
        <w:spacing w:line="400" w:lineRule="exact"/>
        <w:ind w:left="1104"/>
        <w:rPr>
          <w:color w:val="auto"/>
          <w:sz w:val="21"/>
          <w:highlight w:val="none"/>
        </w:rPr>
      </w:pPr>
    </w:p>
    <w:p w14:paraId="58A9C5CF">
      <w:pPr>
        <w:pStyle w:val="20"/>
        <w:spacing w:line="400" w:lineRule="exact"/>
        <w:ind w:left="0" w:leftChars="0" w:firstLine="0" w:firstLineChars="0"/>
        <w:rPr>
          <w:rFonts w:hint="eastAsia" w:eastAsia="宋体"/>
          <w:color w:val="auto"/>
          <w:sz w:val="21"/>
          <w:highlight w:val="none"/>
          <w:u w:val="single"/>
          <w:lang w:eastAsia="zh-CN"/>
        </w:rPr>
      </w:pPr>
      <w:r>
        <w:rPr>
          <w:rFonts w:hint="eastAsia"/>
          <w:color w:val="auto"/>
          <w:sz w:val="21"/>
          <w:highlight w:val="none"/>
        </w:rPr>
        <w:t>项目名称：</w:t>
      </w:r>
      <w:r>
        <w:rPr>
          <w:rFonts w:hint="eastAsia"/>
          <w:color w:val="auto"/>
          <w:sz w:val="21"/>
          <w:highlight w:val="none"/>
          <w:u w:val="single"/>
          <w:lang w:eastAsia="zh-CN"/>
        </w:rPr>
        <w:t>宁波高新区求精书院智慧图书阅读空间采购项目</w:t>
      </w:r>
    </w:p>
    <w:p w14:paraId="3935D3D9">
      <w:pPr>
        <w:pStyle w:val="20"/>
        <w:spacing w:line="400" w:lineRule="exact"/>
        <w:ind w:left="0" w:leftChars="0" w:firstLine="0" w:firstLineChars="0"/>
        <w:rPr>
          <w:rFonts w:hint="eastAsia"/>
          <w:color w:val="auto"/>
          <w:sz w:val="21"/>
          <w:highlight w:val="none"/>
          <w:u w:val="single"/>
          <w:lang w:eastAsia="zh-CN"/>
        </w:rPr>
      </w:pPr>
      <w:r>
        <w:rPr>
          <w:rFonts w:hint="eastAsia"/>
          <w:color w:val="auto"/>
          <w:sz w:val="21"/>
          <w:highlight w:val="none"/>
          <w:lang w:eastAsia="zh-CN"/>
        </w:rPr>
        <w:t>招标编号</w:t>
      </w:r>
      <w:r>
        <w:rPr>
          <w:rFonts w:hint="eastAsia"/>
          <w:color w:val="auto"/>
          <w:sz w:val="21"/>
          <w:highlight w:val="none"/>
        </w:rPr>
        <w:t>：</w:t>
      </w:r>
      <w:r>
        <w:rPr>
          <w:rFonts w:hint="eastAsia"/>
          <w:color w:val="auto"/>
          <w:sz w:val="21"/>
          <w:highlight w:val="none"/>
          <w:u w:val="single"/>
          <w:lang w:eastAsia="zh-CN"/>
        </w:rPr>
        <w:t>NBITC-202530768G</w:t>
      </w:r>
    </w:p>
    <w:p w14:paraId="133CE311">
      <w:pPr>
        <w:pStyle w:val="20"/>
        <w:wordWrap w:val="0"/>
        <w:spacing w:line="400" w:lineRule="exact"/>
        <w:ind w:firstLine="0"/>
        <w:jc w:val="right"/>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货币单位：人民币元</w:t>
      </w:r>
    </w:p>
    <w:tbl>
      <w:tblPr>
        <w:tblStyle w:val="4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352"/>
        <w:gridCol w:w="2463"/>
        <w:gridCol w:w="1270"/>
        <w:gridCol w:w="1006"/>
      </w:tblGrid>
      <w:tr w14:paraId="4A4B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76" w:type="pct"/>
            <w:noWrap w:val="0"/>
            <w:vAlign w:val="center"/>
          </w:tcPr>
          <w:p w14:paraId="3BB06500">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标项</w:t>
            </w:r>
          </w:p>
        </w:tc>
        <w:tc>
          <w:tcPr>
            <w:tcW w:w="1874" w:type="pct"/>
            <w:noWrap w:val="0"/>
            <w:vAlign w:val="center"/>
          </w:tcPr>
          <w:p w14:paraId="18D2E64E">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标项名称</w:t>
            </w:r>
          </w:p>
        </w:tc>
        <w:tc>
          <w:tcPr>
            <w:tcW w:w="1377" w:type="pct"/>
            <w:noWrap w:val="0"/>
            <w:vAlign w:val="center"/>
          </w:tcPr>
          <w:p w14:paraId="0085FF26">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投标报价</w:t>
            </w:r>
          </w:p>
        </w:tc>
        <w:tc>
          <w:tcPr>
            <w:tcW w:w="710" w:type="pct"/>
            <w:noWrap w:val="0"/>
            <w:vAlign w:val="center"/>
          </w:tcPr>
          <w:p w14:paraId="73E4F0AC">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交货期</w:t>
            </w:r>
          </w:p>
        </w:tc>
        <w:tc>
          <w:tcPr>
            <w:tcW w:w="560" w:type="pct"/>
            <w:noWrap w:val="0"/>
            <w:vAlign w:val="center"/>
          </w:tcPr>
          <w:p w14:paraId="77DA7FF5">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eastAsia="zh-CN"/>
              </w:rPr>
              <w:t>产地</w:t>
            </w:r>
            <w:r>
              <w:rPr>
                <w:rFonts w:hint="eastAsia" w:ascii="宋体" w:hAnsi="宋体"/>
                <w:color w:val="auto"/>
                <w:sz w:val="21"/>
                <w:szCs w:val="21"/>
                <w:highlight w:val="none"/>
              </w:rPr>
              <w:t>品牌</w:t>
            </w:r>
          </w:p>
        </w:tc>
      </w:tr>
      <w:tr w14:paraId="02EC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76" w:type="pct"/>
            <w:noWrap w:val="0"/>
            <w:vAlign w:val="center"/>
          </w:tcPr>
          <w:p w14:paraId="297292CD">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1874" w:type="pct"/>
            <w:noWrap w:val="0"/>
            <w:vAlign w:val="center"/>
          </w:tcPr>
          <w:p w14:paraId="0CBD6AC4">
            <w:pPr>
              <w:wordWrap w:val="0"/>
              <w:snapToGrid w:val="0"/>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宁波高新区求精书院智慧图书阅读空间采购项目</w:t>
            </w:r>
          </w:p>
        </w:tc>
        <w:tc>
          <w:tcPr>
            <w:tcW w:w="1377" w:type="pct"/>
            <w:noWrap w:val="0"/>
            <w:vAlign w:val="center"/>
          </w:tcPr>
          <w:p w14:paraId="5E96000E">
            <w:pPr>
              <w:wordWrap w:val="0"/>
              <w:rPr>
                <w:rFonts w:hint="eastAsia"/>
                <w:color w:val="auto"/>
                <w:sz w:val="21"/>
                <w:szCs w:val="21"/>
                <w:highlight w:val="none"/>
              </w:rPr>
            </w:pPr>
            <w:r>
              <w:rPr>
                <w:rFonts w:hint="eastAsia"/>
                <w:color w:val="auto"/>
                <w:sz w:val="21"/>
                <w:szCs w:val="21"/>
                <w:highlight w:val="none"/>
              </w:rPr>
              <w:t>人民币：</w:t>
            </w:r>
            <w:r>
              <w:rPr>
                <w:rFonts w:hint="eastAsia"/>
                <w:color w:val="auto"/>
                <w:sz w:val="21"/>
                <w:szCs w:val="21"/>
                <w:highlight w:val="none"/>
                <w:lang w:val="en-US" w:eastAsia="zh-CN"/>
              </w:rPr>
              <w:t xml:space="preserve">   </w:t>
            </w:r>
            <w:r>
              <w:rPr>
                <w:rFonts w:hint="eastAsia"/>
                <w:color w:val="auto"/>
                <w:sz w:val="21"/>
                <w:szCs w:val="21"/>
                <w:highlight w:val="none"/>
              </w:rPr>
              <w:t>（小写）</w:t>
            </w:r>
          </w:p>
        </w:tc>
        <w:tc>
          <w:tcPr>
            <w:tcW w:w="710" w:type="pct"/>
            <w:noWrap w:val="0"/>
            <w:vAlign w:val="center"/>
          </w:tcPr>
          <w:p w14:paraId="1E3BD548">
            <w:pPr>
              <w:wordWrap w:val="0"/>
              <w:snapToGrid w:val="0"/>
              <w:spacing w:line="400" w:lineRule="exact"/>
              <w:jc w:val="center"/>
              <w:rPr>
                <w:rFonts w:hint="eastAsia" w:ascii="宋体" w:hAnsi="宋体"/>
                <w:color w:val="auto"/>
                <w:sz w:val="21"/>
                <w:szCs w:val="21"/>
                <w:highlight w:val="none"/>
              </w:rPr>
            </w:pPr>
          </w:p>
        </w:tc>
        <w:tc>
          <w:tcPr>
            <w:tcW w:w="560" w:type="pct"/>
            <w:noWrap w:val="0"/>
            <w:vAlign w:val="center"/>
          </w:tcPr>
          <w:p w14:paraId="1265DA82">
            <w:pPr>
              <w:wordWrap w:val="0"/>
              <w:snapToGrid w:val="0"/>
              <w:spacing w:line="400" w:lineRule="exact"/>
              <w:jc w:val="center"/>
              <w:rPr>
                <w:rFonts w:hint="eastAsia" w:ascii="宋体" w:hAnsi="宋体"/>
                <w:color w:val="auto"/>
                <w:sz w:val="21"/>
                <w:szCs w:val="21"/>
                <w:highlight w:val="none"/>
              </w:rPr>
            </w:pPr>
          </w:p>
        </w:tc>
      </w:tr>
      <w:tr w14:paraId="3CBA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350" w:type="pct"/>
            <w:gridSpan w:val="2"/>
            <w:noWrap w:val="0"/>
            <w:vAlign w:val="center"/>
          </w:tcPr>
          <w:p w14:paraId="51B972DB">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投标报价（大写）</w:t>
            </w:r>
          </w:p>
        </w:tc>
        <w:tc>
          <w:tcPr>
            <w:tcW w:w="2649" w:type="pct"/>
            <w:gridSpan w:val="3"/>
            <w:noWrap w:val="0"/>
            <w:vAlign w:val="center"/>
          </w:tcPr>
          <w:p w14:paraId="37846820">
            <w:pPr>
              <w:wordWrap w:val="0"/>
              <w:snapToGrid w:val="0"/>
              <w:spacing w:line="400" w:lineRule="exact"/>
              <w:jc w:val="center"/>
              <w:rPr>
                <w:rFonts w:hint="eastAsia" w:ascii="宋体" w:hAnsi="宋体"/>
                <w:color w:val="auto"/>
                <w:sz w:val="21"/>
                <w:szCs w:val="21"/>
                <w:highlight w:val="none"/>
              </w:rPr>
            </w:pPr>
          </w:p>
        </w:tc>
      </w:tr>
      <w:tr w14:paraId="2B0F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350" w:type="pct"/>
            <w:gridSpan w:val="2"/>
            <w:noWrap w:val="0"/>
            <w:vAlign w:val="center"/>
          </w:tcPr>
          <w:p w14:paraId="4B3115A4">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w:t>
            </w:r>
            <w:r>
              <w:rPr>
                <w:rFonts w:ascii="宋体" w:hAnsi="宋体"/>
                <w:color w:val="auto"/>
                <w:sz w:val="21"/>
                <w:szCs w:val="21"/>
                <w:highlight w:val="none"/>
              </w:rPr>
              <w:t>声明</w:t>
            </w:r>
          </w:p>
        </w:tc>
        <w:tc>
          <w:tcPr>
            <w:tcW w:w="2649" w:type="pct"/>
            <w:gridSpan w:val="3"/>
            <w:noWrap w:val="0"/>
            <w:vAlign w:val="center"/>
          </w:tcPr>
          <w:p w14:paraId="53393EA0">
            <w:pPr>
              <w:wordWrap w:val="0"/>
              <w:snapToGrid w:val="0"/>
              <w:spacing w:line="400" w:lineRule="exact"/>
              <w:jc w:val="center"/>
              <w:rPr>
                <w:rFonts w:hint="eastAsia" w:ascii="宋体" w:hAnsi="宋体"/>
                <w:color w:val="auto"/>
                <w:sz w:val="21"/>
                <w:szCs w:val="21"/>
                <w:highlight w:val="none"/>
              </w:rPr>
            </w:pPr>
          </w:p>
        </w:tc>
      </w:tr>
    </w:tbl>
    <w:p w14:paraId="58225F9E">
      <w:pPr>
        <w:pStyle w:val="20"/>
        <w:spacing w:line="400" w:lineRule="exact"/>
        <w:ind w:left="0" w:leftChars="0" w:firstLine="0" w:firstLineChars="0"/>
        <w:rPr>
          <w:rFonts w:hint="eastAsia"/>
          <w:color w:val="auto"/>
          <w:sz w:val="21"/>
          <w:highlight w:val="none"/>
          <w:u w:val="single"/>
          <w:lang w:eastAsia="zh-CN"/>
        </w:rPr>
      </w:pPr>
    </w:p>
    <w:p w14:paraId="52C97F1D">
      <w:pPr>
        <w:snapToGrid w:val="0"/>
        <w:spacing w:line="400" w:lineRule="exact"/>
        <w:rPr>
          <w:rFonts w:ascii="宋体"/>
          <w:color w:val="auto"/>
          <w:highlight w:val="none"/>
        </w:rPr>
      </w:pPr>
      <w:r>
        <w:rPr>
          <w:rFonts w:hint="eastAsia" w:ascii="宋体" w:cs="宋体"/>
          <w:color w:val="auto"/>
          <w:highlight w:val="none"/>
        </w:rPr>
        <w:t>注:</w:t>
      </w:r>
      <w:r>
        <w:rPr>
          <w:rFonts w:hint="eastAsia" w:ascii="宋体"/>
          <w:color w:val="auto"/>
          <w:szCs w:val="21"/>
          <w:highlight w:val="none"/>
        </w:rPr>
        <w:t>投标文件中开标一览表内容与政采云系统“开标一览表”中录入的报价内容不一致的，以投标文件中开标一览表为准。</w:t>
      </w:r>
    </w:p>
    <w:p w14:paraId="305984F9">
      <w:pPr>
        <w:snapToGrid w:val="0"/>
        <w:spacing w:line="400" w:lineRule="exact"/>
        <w:rPr>
          <w:rFonts w:ascii="宋体"/>
          <w:color w:val="auto"/>
          <w:szCs w:val="21"/>
          <w:highlight w:val="none"/>
          <w:u w:val="single"/>
        </w:rPr>
      </w:pPr>
    </w:p>
    <w:p w14:paraId="68E454AF">
      <w:pPr>
        <w:spacing w:line="400" w:lineRule="exact"/>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0AD90C42">
      <w:pPr>
        <w:spacing w:line="400" w:lineRule="exact"/>
        <w:rPr>
          <w:rFonts w:ascii="宋体"/>
          <w:color w:val="auto"/>
          <w:szCs w:val="21"/>
          <w:highlight w:val="none"/>
        </w:rPr>
      </w:pPr>
    </w:p>
    <w:p w14:paraId="1D7EF1B0">
      <w:pPr>
        <w:spacing w:line="400" w:lineRule="exact"/>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76245CFF">
      <w:pPr>
        <w:pStyle w:val="24"/>
        <w:snapToGrid w:val="0"/>
        <w:spacing w:line="400" w:lineRule="exact"/>
        <w:jc w:val="center"/>
        <w:rPr>
          <w:b/>
          <w:color w:val="auto"/>
          <w:highlight w:val="none"/>
        </w:rPr>
      </w:pPr>
      <w:r>
        <w:rPr>
          <w:b/>
          <w:color w:val="auto"/>
          <w:highlight w:val="none"/>
        </w:rPr>
        <w:br w:type="page"/>
      </w:r>
      <w:r>
        <w:rPr>
          <w:rFonts w:hint="eastAsia"/>
          <w:b/>
          <w:color w:val="auto"/>
          <w:highlight w:val="none"/>
        </w:rPr>
        <w:t>C2、投标分项报价表</w:t>
      </w:r>
    </w:p>
    <w:p w14:paraId="271FB8E0">
      <w:pPr>
        <w:pStyle w:val="20"/>
        <w:spacing w:line="400" w:lineRule="exact"/>
        <w:ind w:left="1104"/>
        <w:rPr>
          <w:rFonts w:hint="eastAsia" w:eastAsia="宋体"/>
          <w:color w:val="auto"/>
          <w:sz w:val="21"/>
          <w:highlight w:val="none"/>
          <w:u w:val="single"/>
          <w:lang w:eastAsia="zh-CN"/>
        </w:rPr>
      </w:pPr>
      <w:r>
        <w:rPr>
          <w:rFonts w:hint="eastAsia"/>
          <w:color w:val="auto"/>
          <w:sz w:val="21"/>
          <w:highlight w:val="none"/>
        </w:rPr>
        <w:t>项目名称：</w:t>
      </w:r>
      <w:r>
        <w:rPr>
          <w:rFonts w:hint="eastAsia"/>
          <w:color w:val="auto"/>
          <w:sz w:val="21"/>
          <w:highlight w:val="none"/>
          <w:u w:val="single"/>
          <w:lang w:eastAsia="zh-CN"/>
        </w:rPr>
        <w:t>宁波高新区求精书院智慧图书阅读空间采购项目</w:t>
      </w:r>
    </w:p>
    <w:p w14:paraId="114307EC">
      <w:pPr>
        <w:pStyle w:val="20"/>
        <w:spacing w:line="400" w:lineRule="exact"/>
        <w:ind w:left="1104"/>
        <w:rPr>
          <w:rFonts w:hint="eastAsia" w:eastAsia="宋体"/>
          <w:color w:val="auto"/>
          <w:sz w:val="21"/>
          <w:highlight w:val="none"/>
          <w:u w:val="single"/>
          <w:lang w:eastAsia="zh-CN"/>
        </w:rPr>
      </w:pPr>
      <w:r>
        <w:rPr>
          <w:rFonts w:hint="eastAsia"/>
          <w:color w:val="auto"/>
          <w:sz w:val="21"/>
          <w:highlight w:val="none"/>
          <w:lang w:eastAsia="zh-CN"/>
        </w:rPr>
        <w:t>招标编号</w:t>
      </w:r>
      <w:r>
        <w:rPr>
          <w:rFonts w:hint="eastAsia"/>
          <w:color w:val="auto"/>
          <w:sz w:val="21"/>
          <w:highlight w:val="none"/>
        </w:rPr>
        <w:t>：</w:t>
      </w:r>
      <w:r>
        <w:rPr>
          <w:rFonts w:hint="eastAsia"/>
          <w:color w:val="auto"/>
          <w:sz w:val="21"/>
          <w:highlight w:val="none"/>
          <w:u w:val="single"/>
          <w:lang w:eastAsia="zh-CN"/>
        </w:rPr>
        <w:t>NBITC-202530768G</w:t>
      </w:r>
    </w:p>
    <w:p w14:paraId="1AA7F10C">
      <w:pPr>
        <w:pStyle w:val="20"/>
        <w:spacing w:line="400" w:lineRule="exact"/>
        <w:ind w:left="1104"/>
        <w:rPr>
          <w:rFonts w:hint="eastAsia"/>
          <w:color w:val="auto"/>
          <w:sz w:val="21"/>
          <w:highlight w:val="none"/>
        </w:rPr>
      </w:pPr>
      <w:r>
        <w:rPr>
          <w:rFonts w:hint="eastAsia"/>
          <w:color w:val="auto"/>
          <w:sz w:val="21"/>
          <w:highlight w:val="none"/>
        </w:rPr>
        <w:t xml:space="preserve">                                                       货币单位：人民币元</w:t>
      </w:r>
    </w:p>
    <w:tbl>
      <w:tblPr>
        <w:tblStyle w:val="4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709"/>
        <w:gridCol w:w="851"/>
        <w:gridCol w:w="1417"/>
        <w:gridCol w:w="1417"/>
        <w:gridCol w:w="992"/>
      </w:tblGrid>
      <w:tr w14:paraId="4318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noWrap w:val="0"/>
            <w:vAlign w:val="center"/>
          </w:tcPr>
          <w:p w14:paraId="7F82A1CC">
            <w:pPr>
              <w:wordWrap w:val="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701" w:type="dxa"/>
            <w:noWrap w:val="0"/>
            <w:vAlign w:val="center"/>
          </w:tcPr>
          <w:p w14:paraId="11257CA6">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产品名称</w:t>
            </w:r>
          </w:p>
        </w:tc>
        <w:tc>
          <w:tcPr>
            <w:tcW w:w="1701" w:type="dxa"/>
            <w:noWrap w:val="0"/>
            <w:vAlign w:val="center"/>
          </w:tcPr>
          <w:p w14:paraId="651AE0FD">
            <w:pPr>
              <w:wordWrap w:val="0"/>
              <w:jc w:val="center"/>
              <w:rPr>
                <w:rFonts w:ascii="宋体" w:hAnsi="宋体" w:cs="宋体"/>
                <w:bCs/>
                <w:color w:val="auto"/>
                <w:spacing w:val="-6"/>
                <w:kern w:val="0"/>
                <w:sz w:val="21"/>
                <w:szCs w:val="21"/>
                <w:highlight w:val="none"/>
                <w:lang w:val="zh-CN"/>
              </w:rPr>
            </w:pPr>
            <w:r>
              <w:rPr>
                <w:rFonts w:hint="eastAsia" w:ascii="宋体" w:hAnsi="宋体"/>
                <w:b/>
                <w:color w:val="auto"/>
                <w:sz w:val="21"/>
                <w:szCs w:val="21"/>
                <w:highlight w:val="none"/>
              </w:rPr>
              <w:t>规格、型号</w:t>
            </w:r>
          </w:p>
        </w:tc>
        <w:tc>
          <w:tcPr>
            <w:tcW w:w="709" w:type="dxa"/>
            <w:noWrap w:val="0"/>
            <w:vAlign w:val="center"/>
          </w:tcPr>
          <w:p w14:paraId="4887104A">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数量</w:t>
            </w:r>
          </w:p>
        </w:tc>
        <w:tc>
          <w:tcPr>
            <w:tcW w:w="851" w:type="dxa"/>
            <w:noWrap w:val="0"/>
            <w:vAlign w:val="center"/>
          </w:tcPr>
          <w:p w14:paraId="469A2503">
            <w:pPr>
              <w:wordWrap w:val="0"/>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1417" w:type="dxa"/>
            <w:noWrap w:val="0"/>
            <w:vAlign w:val="center"/>
          </w:tcPr>
          <w:p w14:paraId="70CE4627">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产地品牌</w:t>
            </w:r>
          </w:p>
        </w:tc>
        <w:tc>
          <w:tcPr>
            <w:tcW w:w="1417" w:type="dxa"/>
            <w:noWrap w:val="0"/>
            <w:vAlign w:val="center"/>
          </w:tcPr>
          <w:p w14:paraId="6E1A0DC9">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综合单价</w:t>
            </w:r>
          </w:p>
        </w:tc>
        <w:tc>
          <w:tcPr>
            <w:tcW w:w="992" w:type="dxa"/>
            <w:noWrap w:val="0"/>
            <w:vAlign w:val="center"/>
          </w:tcPr>
          <w:p w14:paraId="3C6896CD">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合价</w:t>
            </w:r>
          </w:p>
        </w:tc>
      </w:tr>
      <w:tr w14:paraId="2AD0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noWrap w:val="0"/>
            <w:vAlign w:val="center"/>
          </w:tcPr>
          <w:p w14:paraId="28B798DB">
            <w:pPr>
              <w:widowControl/>
              <w:wordWrap w:val="0"/>
              <w:spacing w:line="360" w:lineRule="auto"/>
              <w:jc w:val="center"/>
              <w:textAlignment w:val="center"/>
              <w:rPr>
                <w:rFonts w:hint="eastAsia" w:ascii="宋体" w:hAnsi="宋体" w:cs="宋体"/>
                <w:bCs/>
                <w:color w:val="auto"/>
                <w:spacing w:val="-6"/>
                <w:kern w:val="0"/>
                <w:sz w:val="21"/>
                <w:szCs w:val="21"/>
                <w:highlight w:val="none"/>
                <w:lang w:val="zh-CN"/>
              </w:rPr>
            </w:pPr>
            <w:r>
              <w:rPr>
                <w:rFonts w:hint="eastAsia" w:ascii="宋体" w:hAnsi="宋体" w:cs="宋体"/>
                <w:bCs/>
                <w:color w:val="auto"/>
                <w:spacing w:val="-6"/>
                <w:kern w:val="0"/>
                <w:sz w:val="21"/>
                <w:szCs w:val="21"/>
                <w:highlight w:val="none"/>
                <w:lang w:val="zh-CN"/>
              </w:rPr>
              <w:t>1</w:t>
            </w:r>
          </w:p>
        </w:tc>
        <w:tc>
          <w:tcPr>
            <w:tcW w:w="1701" w:type="dxa"/>
            <w:noWrap w:val="0"/>
            <w:vAlign w:val="center"/>
          </w:tcPr>
          <w:p w14:paraId="6F4C61D3">
            <w:pPr>
              <w:widowControl/>
              <w:jc w:val="center"/>
              <w:textAlignment w:val="center"/>
              <w:rPr>
                <w:rFonts w:hint="eastAsia" w:ascii="宋体" w:hAnsi="宋体"/>
                <w:b/>
                <w:color w:val="auto"/>
                <w:sz w:val="21"/>
                <w:szCs w:val="21"/>
                <w:highlight w:val="none"/>
              </w:rPr>
            </w:pPr>
          </w:p>
        </w:tc>
        <w:tc>
          <w:tcPr>
            <w:tcW w:w="1701" w:type="dxa"/>
            <w:noWrap w:val="0"/>
            <w:vAlign w:val="center"/>
          </w:tcPr>
          <w:p w14:paraId="7AC81ED8">
            <w:pPr>
              <w:wordWrap w:val="0"/>
              <w:jc w:val="center"/>
              <w:rPr>
                <w:rFonts w:hint="eastAsia" w:ascii="宋体" w:hAnsi="宋体"/>
                <w:b/>
                <w:color w:val="auto"/>
                <w:sz w:val="21"/>
                <w:szCs w:val="21"/>
                <w:highlight w:val="none"/>
              </w:rPr>
            </w:pPr>
          </w:p>
        </w:tc>
        <w:tc>
          <w:tcPr>
            <w:tcW w:w="709" w:type="dxa"/>
            <w:noWrap w:val="0"/>
            <w:vAlign w:val="center"/>
          </w:tcPr>
          <w:p w14:paraId="49E77CE8">
            <w:pPr>
              <w:wordWrap w:val="0"/>
              <w:jc w:val="center"/>
              <w:rPr>
                <w:rFonts w:hint="eastAsia" w:ascii="宋体" w:hAnsi="宋体"/>
                <w:b/>
                <w:color w:val="auto"/>
                <w:sz w:val="21"/>
                <w:szCs w:val="21"/>
                <w:highlight w:val="none"/>
              </w:rPr>
            </w:pPr>
          </w:p>
        </w:tc>
        <w:tc>
          <w:tcPr>
            <w:tcW w:w="851" w:type="dxa"/>
            <w:noWrap w:val="0"/>
            <w:vAlign w:val="center"/>
          </w:tcPr>
          <w:p w14:paraId="4A6210B4">
            <w:pPr>
              <w:wordWrap w:val="0"/>
              <w:jc w:val="center"/>
              <w:rPr>
                <w:rFonts w:hint="eastAsia" w:ascii="宋体" w:hAnsi="宋体"/>
                <w:b/>
                <w:color w:val="auto"/>
                <w:sz w:val="21"/>
                <w:szCs w:val="21"/>
                <w:highlight w:val="none"/>
              </w:rPr>
            </w:pPr>
          </w:p>
        </w:tc>
        <w:tc>
          <w:tcPr>
            <w:tcW w:w="1417" w:type="dxa"/>
            <w:noWrap w:val="0"/>
            <w:vAlign w:val="center"/>
          </w:tcPr>
          <w:p w14:paraId="6290FAAC">
            <w:pPr>
              <w:wordWrap w:val="0"/>
              <w:jc w:val="center"/>
              <w:rPr>
                <w:rFonts w:hint="eastAsia" w:ascii="宋体" w:hAnsi="宋体"/>
                <w:b/>
                <w:color w:val="auto"/>
                <w:sz w:val="21"/>
                <w:szCs w:val="21"/>
                <w:highlight w:val="none"/>
              </w:rPr>
            </w:pPr>
          </w:p>
        </w:tc>
        <w:tc>
          <w:tcPr>
            <w:tcW w:w="1417" w:type="dxa"/>
            <w:noWrap w:val="0"/>
            <w:vAlign w:val="center"/>
          </w:tcPr>
          <w:p w14:paraId="7C221C68">
            <w:pPr>
              <w:wordWrap w:val="0"/>
              <w:jc w:val="center"/>
              <w:rPr>
                <w:rFonts w:hint="eastAsia" w:ascii="宋体" w:hAnsi="宋体"/>
                <w:b/>
                <w:color w:val="auto"/>
                <w:sz w:val="21"/>
                <w:szCs w:val="21"/>
                <w:highlight w:val="none"/>
              </w:rPr>
            </w:pPr>
          </w:p>
        </w:tc>
        <w:tc>
          <w:tcPr>
            <w:tcW w:w="992" w:type="dxa"/>
            <w:noWrap w:val="0"/>
            <w:vAlign w:val="center"/>
          </w:tcPr>
          <w:p w14:paraId="1FB173AC">
            <w:pPr>
              <w:wordWrap w:val="0"/>
              <w:jc w:val="center"/>
              <w:rPr>
                <w:rFonts w:hint="eastAsia" w:ascii="宋体" w:hAnsi="宋体"/>
                <w:b/>
                <w:color w:val="auto"/>
                <w:sz w:val="21"/>
                <w:szCs w:val="21"/>
                <w:highlight w:val="none"/>
              </w:rPr>
            </w:pPr>
          </w:p>
        </w:tc>
      </w:tr>
      <w:tr w14:paraId="68CD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noWrap w:val="0"/>
            <w:vAlign w:val="center"/>
          </w:tcPr>
          <w:p w14:paraId="14E5227F">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hint="eastAsia" w:ascii="宋体" w:hAnsi="宋体" w:cs="宋体"/>
                <w:bCs/>
                <w:color w:val="auto"/>
                <w:spacing w:val="-6"/>
                <w:kern w:val="0"/>
                <w:sz w:val="21"/>
                <w:szCs w:val="21"/>
                <w:highlight w:val="none"/>
                <w:lang w:val="zh-CN"/>
              </w:rPr>
              <w:t>2</w:t>
            </w:r>
          </w:p>
        </w:tc>
        <w:tc>
          <w:tcPr>
            <w:tcW w:w="1701" w:type="dxa"/>
            <w:noWrap w:val="0"/>
            <w:vAlign w:val="center"/>
          </w:tcPr>
          <w:p w14:paraId="57852376">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7CDED3A7">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65471547">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198D932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2FFCFA9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4BD4568E">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5C3CF98C">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186C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noWrap w:val="0"/>
            <w:vAlign w:val="center"/>
          </w:tcPr>
          <w:p w14:paraId="3DC0B561">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hint="eastAsia" w:ascii="宋体" w:hAnsi="宋体" w:cs="宋体"/>
                <w:bCs/>
                <w:color w:val="auto"/>
                <w:spacing w:val="-6"/>
                <w:kern w:val="0"/>
                <w:sz w:val="21"/>
                <w:szCs w:val="21"/>
                <w:highlight w:val="none"/>
                <w:lang w:val="zh-CN"/>
              </w:rPr>
              <w:t>3</w:t>
            </w:r>
          </w:p>
        </w:tc>
        <w:tc>
          <w:tcPr>
            <w:tcW w:w="1701" w:type="dxa"/>
            <w:noWrap w:val="0"/>
            <w:vAlign w:val="center"/>
          </w:tcPr>
          <w:p w14:paraId="2BB4AD57">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3923F479">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4357AA69">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4FEF03D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7F70613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2A320C0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425DDCB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6A29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noWrap w:val="0"/>
            <w:vAlign w:val="center"/>
          </w:tcPr>
          <w:p w14:paraId="60F4A467">
            <w:pPr>
              <w:widowControl/>
              <w:wordWrap w:val="0"/>
              <w:spacing w:line="360" w:lineRule="auto"/>
              <w:jc w:val="center"/>
              <w:textAlignment w:val="center"/>
              <w:rPr>
                <w:rFonts w:hint="eastAsia" w:ascii="宋体" w:hAnsi="宋体" w:cs="宋体"/>
                <w:bCs/>
                <w:color w:val="auto"/>
                <w:spacing w:val="-6"/>
                <w:kern w:val="0"/>
                <w:sz w:val="21"/>
                <w:szCs w:val="21"/>
                <w:highlight w:val="none"/>
                <w:lang w:val="zh-CN"/>
              </w:rPr>
            </w:pPr>
            <w:r>
              <w:rPr>
                <w:rFonts w:hint="eastAsia" w:ascii="宋体" w:hAnsi="宋体" w:cs="宋体"/>
                <w:bCs/>
                <w:color w:val="auto"/>
                <w:spacing w:val="-6"/>
                <w:kern w:val="0"/>
                <w:sz w:val="21"/>
                <w:szCs w:val="21"/>
                <w:highlight w:val="none"/>
              </w:rPr>
              <w:t>4</w:t>
            </w:r>
          </w:p>
        </w:tc>
        <w:tc>
          <w:tcPr>
            <w:tcW w:w="1701" w:type="dxa"/>
            <w:noWrap w:val="0"/>
            <w:vAlign w:val="center"/>
          </w:tcPr>
          <w:p w14:paraId="5FEDB832">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6E1B1EDF">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7E72EFCB">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74572769">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4DB0FBF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61D569A7">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3CAD0A8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2723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noWrap w:val="0"/>
            <w:vAlign w:val="center"/>
          </w:tcPr>
          <w:p w14:paraId="5784C5F9">
            <w:pPr>
              <w:widowControl/>
              <w:wordWrap w:val="0"/>
              <w:spacing w:line="360" w:lineRule="auto"/>
              <w:jc w:val="center"/>
              <w:textAlignment w:val="center"/>
              <w:rPr>
                <w:rFonts w:hint="eastAsia" w:ascii="宋体" w:hAnsi="宋体" w:cs="宋体"/>
                <w:bCs/>
                <w:color w:val="auto"/>
                <w:spacing w:val="-6"/>
                <w:kern w:val="0"/>
                <w:sz w:val="21"/>
                <w:szCs w:val="21"/>
                <w:highlight w:val="none"/>
              </w:rPr>
            </w:pPr>
            <w:r>
              <w:rPr>
                <w:rFonts w:hint="eastAsia" w:ascii="宋体" w:hAnsi="宋体" w:cs="宋体"/>
                <w:bCs/>
                <w:color w:val="auto"/>
                <w:spacing w:val="-6"/>
                <w:kern w:val="0"/>
                <w:sz w:val="21"/>
                <w:szCs w:val="21"/>
                <w:highlight w:val="none"/>
              </w:rPr>
              <w:t>5</w:t>
            </w:r>
          </w:p>
        </w:tc>
        <w:tc>
          <w:tcPr>
            <w:tcW w:w="1701" w:type="dxa"/>
            <w:noWrap w:val="0"/>
            <w:vAlign w:val="center"/>
          </w:tcPr>
          <w:p w14:paraId="5A8A71E8">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5DAA01A2">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5754F31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2133BA7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6CB57BE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77FDC2D6">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5B8DF10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5FFC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noWrap w:val="0"/>
            <w:vAlign w:val="center"/>
          </w:tcPr>
          <w:p w14:paraId="47416A92">
            <w:pPr>
              <w:widowControl/>
              <w:wordWrap w:val="0"/>
              <w:spacing w:line="360" w:lineRule="auto"/>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cs="宋体"/>
                <w:bCs/>
                <w:color w:val="auto"/>
                <w:spacing w:val="-6"/>
                <w:kern w:val="0"/>
                <w:sz w:val="21"/>
                <w:szCs w:val="21"/>
                <w:highlight w:val="none"/>
                <w:lang w:eastAsia="zh-CN"/>
              </w:rPr>
              <w:t>……</w:t>
            </w:r>
          </w:p>
        </w:tc>
        <w:tc>
          <w:tcPr>
            <w:tcW w:w="1701" w:type="dxa"/>
            <w:noWrap w:val="0"/>
            <w:vAlign w:val="center"/>
          </w:tcPr>
          <w:p w14:paraId="0F27F92E">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4BACFBEB">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2AD50E4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5A1C35E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3B870A69">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7EEC520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261B2495">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2051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8"/>
            <w:noWrap w:val="0"/>
            <w:vAlign w:val="center"/>
          </w:tcPr>
          <w:p w14:paraId="7AAD02AB">
            <w:pPr>
              <w:widowControl/>
              <w:wordWrap w:val="0"/>
              <w:spacing w:line="360" w:lineRule="auto"/>
              <w:jc w:val="left"/>
              <w:textAlignment w:val="center"/>
              <w:rPr>
                <w:rFonts w:ascii="宋体" w:hAnsi="宋体" w:cs="宋体"/>
                <w:bCs/>
                <w:color w:val="auto"/>
                <w:spacing w:val="-6"/>
                <w:kern w:val="0"/>
                <w:sz w:val="21"/>
                <w:szCs w:val="21"/>
                <w:highlight w:val="none"/>
                <w:lang w:val="zh-CN"/>
              </w:rPr>
            </w:pPr>
            <w:r>
              <w:rPr>
                <w:rFonts w:hint="eastAsia" w:ascii="宋体" w:hAnsi="宋体"/>
                <w:color w:val="auto"/>
                <w:sz w:val="21"/>
                <w:szCs w:val="21"/>
                <w:highlight w:val="none"/>
              </w:rPr>
              <w:t>合计（大写 人民币          元</w:t>
            </w:r>
            <w:r>
              <w:rPr>
                <w:rFonts w:ascii="宋体" w:hAnsi="宋体"/>
                <w:color w:val="auto"/>
                <w:sz w:val="21"/>
                <w:szCs w:val="21"/>
                <w:highlight w:val="none"/>
              </w:rPr>
              <w:t>，</w:t>
            </w:r>
            <w:r>
              <w:rPr>
                <w:rFonts w:hint="eastAsia" w:ascii="宋体" w:hAnsi="宋体"/>
                <w:color w:val="auto"/>
                <w:sz w:val="21"/>
                <w:szCs w:val="21"/>
                <w:highlight w:val="none"/>
              </w:rPr>
              <w:t>小写：人民币        元）：</w:t>
            </w:r>
          </w:p>
        </w:tc>
      </w:tr>
    </w:tbl>
    <w:p w14:paraId="28B13530">
      <w:pPr>
        <w:pStyle w:val="20"/>
        <w:spacing w:line="400" w:lineRule="exact"/>
        <w:ind w:left="0" w:leftChars="0" w:firstLine="0" w:firstLineChars="0"/>
        <w:rPr>
          <w:rFonts w:hint="eastAsia"/>
          <w:color w:val="auto"/>
          <w:sz w:val="21"/>
          <w:highlight w:val="none"/>
        </w:rPr>
      </w:pPr>
    </w:p>
    <w:p w14:paraId="0E152B2E">
      <w:pPr>
        <w:spacing w:line="400" w:lineRule="exact"/>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1698B13D">
      <w:pPr>
        <w:spacing w:line="400" w:lineRule="exact"/>
        <w:rPr>
          <w:rFonts w:hint="eastAsia" w:ascii="宋体"/>
          <w:color w:val="auto"/>
          <w:szCs w:val="21"/>
          <w:highlight w:val="none"/>
        </w:rPr>
      </w:pPr>
    </w:p>
    <w:p w14:paraId="61E245DD">
      <w:pPr>
        <w:spacing w:line="400" w:lineRule="exact"/>
        <w:rPr>
          <w:rFonts w:ascii="宋体"/>
          <w:color w:val="auto"/>
          <w:szCs w:val="21"/>
          <w:highlight w:val="none"/>
        </w:rPr>
      </w:pPr>
      <w:r>
        <w:rPr>
          <w:rFonts w:hint="eastAsia" w:ascii="宋体"/>
          <w:color w:val="auto"/>
          <w:szCs w:val="21"/>
          <w:highlight w:val="none"/>
        </w:rPr>
        <w:t xml:space="preserve">日          期：  </w:t>
      </w:r>
    </w:p>
    <w:bookmarkEnd w:id="148"/>
    <w:bookmarkEnd w:id="149"/>
    <w:p w14:paraId="31E2046A">
      <w:pPr>
        <w:rPr>
          <w:rFonts w:hint="eastAsia" w:ascii="宋体"/>
          <w:b/>
          <w:color w:val="auto"/>
          <w:szCs w:val="21"/>
          <w:highlight w:val="none"/>
        </w:rPr>
      </w:pPr>
      <w:bookmarkStart w:id="158" w:name="_Toc26806"/>
      <w:bookmarkStart w:id="159" w:name="_Toc44162163"/>
      <w:bookmarkStart w:id="160" w:name="_Toc21541033"/>
      <w:r>
        <w:rPr>
          <w:rFonts w:hint="eastAsia" w:ascii="宋体"/>
          <w:b/>
          <w:color w:val="auto"/>
          <w:szCs w:val="21"/>
          <w:highlight w:val="none"/>
        </w:rPr>
        <w:br w:type="page"/>
      </w:r>
    </w:p>
    <w:p w14:paraId="56A2D4EB">
      <w:pPr>
        <w:spacing w:line="400" w:lineRule="exact"/>
        <w:rPr>
          <w:rFonts w:ascii="宋体"/>
          <w:b/>
          <w:color w:val="auto"/>
          <w:szCs w:val="21"/>
          <w:highlight w:val="none"/>
        </w:rPr>
        <w:sectPr>
          <w:headerReference r:id="rId13" w:type="default"/>
          <w:footerReference r:id="rId14" w:type="default"/>
          <w:pgSz w:w="11905" w:h="16838"/>
          <w:pgMar w:top="1417" w:right="1587" w:bottom="1417" w:left="1587" w:header="850" w:footer="850" w:gutter="0"/>
          <w:pgBorders>
            <w:top w:val="none" w:sz="0" w:space="0"/>
            <w:left w:val="none" w:sz="0" w:space="0"/>
            <w:bottom w:val="none" w:sz="0" w:space="0"/>
            <w:right w:val="none" w:sz="0" w:space="0"/>
          </w:pgBorders>
          <w:cols w:space="0" w:num="1"/>
          <w:rtlGutter w:val="0"/>
          <w:docGrid w:linePitch="285" w:charSpace="0"/>
        </w:sectPr>
      </w:pPr>
    </w:p>
    <w:p w14:paraId="303E7625">
      <w:pPr>
        <w:spacing w:line="400" w:lineRule="exact"/>
        <w:jc w:val="center"/>
        <w:rPr>
          <w:rFonts w:ascii="宋体" w:hAnsi="宋体"/>
          <w:b/>
          <w:color w:val="auto"/>
          <w:highlight w:val="none"/>
        </w:rPr>
      </w:pPr>
      <w:r>
        <w:rPr>
          <w:rFonts w:hint="eastAsia" w:ascii="宋体"/>
          <w:b/>
          <w:color w:val="auto"/>
          <w:kern w:val="2"/>
          <w:sz w:val="21"/>
          <w:szCs w:val="21"/>
          <w:highlight w:val="none"/>
          <w:lang w:val="en-US" w:eastAsia="zh-CN"/>
        </w:rPr>
        <w:t>C</w:t>
      </w:r>
      <w:r>
        <w:rPr>
          <w:rFonts w:ascii="宋体"/>
          <w:b/>
          <w:color w:val="auto"/>
          <w:kern w:val="2"/>
          <w:sz w:val="21"/>
          <w:szCs w:val="21"/>
          <w:highlight w:val="none"/>
        </w:rPr>
        <w:t>3、</w:t>
      </w:r>
      <w:r>
        <w:rPr>
          <w:rFonts w:hint="eastAsia" w:ascii="宋体"/>
          <w:b/>
          <w:color w:val="auto"/>
          <w:kern w:val="2"/>
          <w:sz w:val="21"/>
          <w:szCs w:val="21"/>
          <w:highlight w:val="none"/>
        </w:rPr>
        <w:t>中小企业声明函</w:t>
      </w:r>
    </w:p>
    <w:p w14:paraId="739AABCB">
      <w:pPr>
        <w:spacing w:line="360" w:lineRule="auto"/>
        <w:ind w:firstLine="444" w:firstLineChars="200"/>
        <w:rPr>
          <w:rFonts w:hint="eastAsia"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olor w:val="auto"/>
          <w:spacing w:val="6"/>
          <w:sz w:val="21"/>
          <w:szCs w:val="21"/>
          <w:highlight w:val="none"/>
          <w:u w:val="single"/>
          <w:lang w:eastAsia="zh-CN"/>
        </w:rPr>
        <w:t>宁波高新区求精书院智慧图书阅读空间采购</w:t>
      </w:r>
      <w:r>
        <w:rPr>
          <w:rFonts w:hint="eastAsia" w:asciiTheme="minorEastAsia" w:hAnsiTheme="minorEastAsia" w:eastAsiaTheme="minorEastAsia"/>
          <w:color w:val="auto"/>
          <w:spacing w:val="6"/>
          <w:sz w:val="21"/>
          <w:szCs w:val="21"/>
          <w:highlight w:val="none"/>
          <w:u w:val="single"/>
        </w:rPr>
        <w:t>项目</w:t>
      </w:r>
      <w:r>
        <w:rPr>
          <w:rFonts w:hint="eastAsia" w:asciiTheme="minorEastAsia" w:hAnsiTheme="minorEastAsia" w:eastAsiaTheme="minorEastAsia"/>
          <w:color w:val="auto"/>
          <w:spacing w:val="6"/>
          <w:sz w:val="21"/>
          <w:szCs w:val="21"/>
          <w:highlight w:val="none"/>
        </w:rPr>
        <w:t>的采购活动，提供的货物全部由符合政策要求的中小企业制造。相关企业（含联合体中的中小企业、签订分包意向协议的中小企业）的具体情况如下：</w:t>
      </w:r>
    </w:p>
    <w:p w14:paraId="1FF84C07">
      <w:pPr>
        <w:pStyle w:val="12"/>
        <w:numPr>
          <w:ilvl w:val="0"/>
          <w:numId w:val="12"/>
        </w:numPr>
        <w:rPr>
          <w:rFonts w:hint="eastAsia" w:asciiTheme="minorEastAsia" w:hAnsiTheme="minorEastAsia" w:eastAsiaTheme="minorEastAsia"/>
          <w:color w:val="auto"/>
          <w:spacing w:val="6"/>
          <w:sz w:val="21"/>
          <w:szCs w:val="21"/>
          <w:highlight w:val="none"/>
          <w:lang w:eastAsia="zh-CN"/>
        </w:rPr>
      </w:pPr>
      <w:r>
        <w:rPr>
          <w:rFonts w:hint="eastAsia" w:asciiTheme="minorEastAsia" w:hAnsiTheme="minorEastAsia" w:eastAsiaTheme="minorEastAsia"/>
          <w:color w:val="auto"/>
          <w:spacing w:val="6"/>
          <w:sz w:val="21"/>
          <w:szCs w:val="21"/>
          <w:highlight w:val="none"/>
          <w:u w:val="single"/>
        </w:rPr>
        <w:t>图书管理系统</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3BFD650A">
      <w:pPr>
        <w:pStyle w:val="12"/>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rPr>
        <w:t>RFID电子标签</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772357B0">
      <w:pPr>
        <w:pStyle w:val="12"/>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rPr>
        <w:t>分体式馆员工作站</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005B6503">
      <w:pPr>
        <w:pStyle w:val="12"/>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rPr>
        <w:t>自助借还书机</w:t>
      </w:r>
      <w:r>
        <w:rPr>
          <w:rFonts w:hint="eastAsia" w:asciiTheme="minorEastAsia" w:hAnsiTheme="minorEastAsia" w:eastAsiaTheme="minorEastAsia"/>
          <w:color w:val="auto"/>
          <w:spacing w:val="6"/>
          <w:sz w:val="21"/>
          <w:szCs w:val="21"/>
          <w:highlight w:val="none"/>
          <w:u w:val="single"/>
          <w:lang w:val="en-US" w:eastAsia="zh-CN"/>
        </w:rPr>
        <w:t>1</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31067E27">
      <w:pPr>
        <w:pStyle w:val="12"/>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rPr>
        <w:t>自助借还书机</w:t>
      </w:r>
      <w:r>
        <w:rPr>
          <w:rFonts w:hint="eastAsia" w:asciiTheme="minorEastAsia" w:hAnsiTheme="minorEastAsia" w:eastAsiaTheme="minorEastAsia"/>
          <w:color w:val="auto"/>
          <w:spacing w:val="6"/>
          <w:sz w:val="21"/>
          <w:szCs w:val="21"/>
          <w:highlight w:val="none"/>
          <w:u w:val="single"/>
          <w:lang w:val="en-US" w:eastAsia="zh-CN"/>
        </w:rPr>
        <w:t>2</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5CD05FEF">
      <w:pPr>
        <w:pStyle w:val="12"/>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rPr>
        <w:t>升降式移动还书箱</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538A0116">
      <w:pPr>
        <w:pStyle w:val="12"/>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rPr>
        <w:t>校园阅读系统</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177E903F">
      <w:pPr>
        <w:pStyle w:val="12"/>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rPr>
        <w:t>墨水屏阅读器</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3D22B357">
      <w:pPr>
        <w:pStyle w:val="12"/>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rPr>
        <w:t>支架</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417C1515">
      <w:pPr>
        <w:pStyle w:val="12"/>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rPr>
        <w:t>充电柜</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4E7517E9">
      <w:pPr>
        <w:rPr>
          <w:rFonts w:hint="eastAsia"/>
          <w:color w:val="auto"/>
          <w:highlight w:val="none"/>
          <w:lang w:eastAsia="zh-CN"/>
        </w:rPr>
      </w:pPr>
    </w:p>
    <w:p w14:paraId="181BCCA2">
      <w:pPr>
        <w:spacing w:line="360" w:lineRule="auto"/>
        <w:ind w:firstLine="444" w:firstLineChars="200"/>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以上企业，不属于大企业的分支机构，不存在控股股东为大企业的情形，也不存在与大企业的负责人为同一人的情形。</w:t>
      </w:r>
    </w:p>
    <w:p w14:paraId="3693D650">
      <w:pPr>
        <w:spacing w:line="360" w:lineRule="auto"/>
        <w:ind w:firstLine="444" w:firstLineChars="200"/>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本企业对上述声明内容的真实性负责。如有虚假，将依法承担相应责任。</w:t>
      </w:r>
    </w:p>
    <w:p w14:paraId="49596A5D">
      <w:pPr>
        <w:tabs>
          <w:tab w:val="left" w:pos="4860"/>
        </w:tabs>
        <w:spacing w:line="360" w:lineRule="auto"/>
        <w:ind w:right="-58" w:firstLine="999" w:firstLineChars="450"/>
        <w:rPr>
          <w:rFonts w:asciiTheme="minorEastAsia" w:hAnsiTheme="minorEastAsia" w:eastAsiaTheme="minorEastAsia"/>
          <w:color w:val="auto"/>
          <w:spacing w:val="6"/>
          <w:sz w:val="21"/>
          <w:szCs w:val="21"/>
          <w:highlight w:val="none"/>
        </w:rPr>
      </w:pPr>
    </w:p>
    <w:p w14:paraId="457A0C32">
      <w:pPr>
        <w:tabs>
          <w:tab w:val="left" w:pos="4860"/>
        </w:tabs>
        <w:spacing w:line="360" w:lineRule="auto"/>
        <w:ind w:right="-58" w:firstLine="4773" w:firstLineChars="2150"/>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 xml:space="preserve">企业名称（公章）：                </w:t>
      </w:r>
    </w:p>
    <w:p w14:paraId="7D818FF3">
      <w:pPr>
        <w:tabs>
          <w:tab w:val="left" w:pos="4860"/>
        </w:tabs>
        <w:spacing w:line="360" w:lineRule="auto"/>
        <w:ind w:right="-58" w:firstLine="4773" w:firstLineChars="2150"/>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 xml:space="preserve">日期：  </w:t>
      </w:r>
    </w:p>
    <w:p w14:paraId="05654C44">
      <w:pPr>
        <w:spacing w:line="360" w:lineRule="auto"/>
        <w:ind w:right="420" w:firstLine="444" w:firstLineChars="200"/>
        <w:rPr>
          <w:rFonts w:hint="eastAsia"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注：</w:t>
      </w:r>
      <w:r>
        <w:rPr>
          <w:rFonts w:hint="eastAsia" w:asciiTheme="minorEastAsia" w:hAnsiTheme="minorEastAsia" w:eastAsiaTheme="minorEastAsia"/>
          <w:color w:val="auto"/>
          <w:spacing w:val="6"/>
          <w:sz w:val="21"/>
          <w:szCs w:val="21"/>
          <w:highlight w:val="none"/>
          <w:lang w:val="en-US" w:eastAsia="zh-CN"/>
        </w:rPr>
        <w:t>1）</w:t>
      </w:r>
      <w:r>
        <w:rPr>
          <w:rFonts w:hint="eastAsia" w:asciiTheme="minorEastAsia" w:hAnsiTheme="minorEastAsia" w:eastAsiaTheme="minorEastAsia"/>
          <w:color w:val="auto"/>
          <w:spacing w:val="6"/>
          <w:sz w:val="21"/>
          <w:szCs w:val="21"/>
          <w:highlight w:val="none"/>
        </w:rPr>
        <w:t>从业人员、营业收入、资产总额填报上一年度数据，无上一年度数据的新成立企业可不填报；</w:t>
      </w:r>
    </w:p>
    <w:p w14:paraId="306E796F">
      <w:pPr>
        <w:spacing w:line="360" w:lineRule="auto"/>
        <w:ind w:right="420" w:firstLine="444" w:firstLineChars="200"/>
        <w:jc w:val="both"/>
        <w:rPr>
          <w:rFonts w:hint="eastAsia" w:asciiTheme="minorEastAsia" w:hAnsiTheme="minorEastAsia" w:eastAsiaTheme="minorEastAsia"/>
          <w:color w:val="auto"/>
          <w:spacing w:val="6"/>
          <w:sz w:val="21"/>
          <w:szCs w:val="21"/>
          <w:highlight w:val="none"/>
        </w:rPr>
        <w:sectPr>
          <w:headerReference r:id="rId15" w:type="default"/>
          <w:footerReference r:id="rId16" w:type="default"/>
          <w:pgSz w:w="11905" w:h="16838"/>
          <w:pgMar w:top="1417" w:right="1587" w:bottom="1417" w:left="1587" w:header="850" w:footer="850" w:gutter="0"/>
          <w:pgBorders>
            <w:top w:val="none" w:sz="0" w:space="0"/>
            <w:left w:val="none" w:sz="0" w:space="0"/>
            <w:bottom w:val="none" w:sz="0" w:space="0"/>
            <w:right w:val="none" w:sz="0" w:space="0"/>
          </w:pgBorders>
          <w:cols w:space="0" w:num="1"/>
          <w:rtlGutter w:val="0"/>
          <w:docGrid w:linePitch="285" w:charSpace="0"/>
        </w:sectPr>
      </w:pPr>
      <w:r>
        <w:rPr>
          <w:rFonts w:hint="eastAsia" w:asciiTheme="minorEastAsia" w:hAnsiTheme="minorEastAsia" w:eastAsiaTheme="minorEastAsia"/>
          <w:color w:val="auto"/>
          <w:spacing w:val="6"/>
          <w:sz w:val="21"/>
          <w:szCs w:val="21"/>
          <w:highlight w:val="none"/>
          <w:lang w:val="en-US" w:eastAsia="zh-CN"/>
        </w:rPr>
        <w:t>2）投标人</w:t>
      </w:r>
      <w:r>
        <w:rPr>
          <w:rFonts w:hint="eastAsia" w:asciiTheme="minorEastAsia" w:hAnsiTheme="minorEastAsia" w:eastAsiaTheme="minorEastAsia"/>
          <w:color w:val="auto"/>
          <w:spacing w:val="6"/>
          <w:sz w:val="21"/>
          <w:szCs w:val="21"/>
          <w:highlight w:val="none"/>
        </w:rPr>
        <w:t>需按</w:t>
      </w:r>
      <w:r>
        <w:rPr>
          <w:rFonts w:hint="eastAsia" w:asciiTheme="minorEastAsia" w:hAnsiTheme="minorEastAsia" w:eastAsiaTheme="minorEastAsia"/>
          <w:color w:val="auto"/>
          <w:spacing w:val="6"/>
          <w:sz w:val="21"/>
          <w:szCs w:val="21"/>
          <w:highlight w:val="none"/>
          <w:lang w:val="en-US" w:eastAsia="zh-CN"/>
        </w:rPr>
        <w:t>招标</w:t>
      </w:r>
      <w:r>
        <w:rPr>
          <w:rFonts w:hint="eastAsia" w:asciiTheme="minorEastAsia" w:hAnsiTheme="minorEastAsia" w:eastAsiaTheme="minorEastAsia"/>
          <w:color w:val="auto"/>
          <w:spacing w:val="6"/>
          <w:sz w:val="21"/>
          <w:szCs w:val="21"/>
          <w:highlight w:val="none"/>
        </w:rPr>
        <w:t>文件第</w:t>
      </w:r>
      <w:r>
        <w:rPr>
          <w:rFonts w:hint="eastAsia" w:asciiTheme="minorEastAsia" w:hAnsiTheme="minorEastAsia" w:eastAsiaTheme="minorEastAsia"/>
          <w:color w:val="auto"/>
          <w:spacing w:val="6"/>
          <w:sz w:val="21"/>
          <w:szCs w:val="21"/>
          <w:highlight w:val="none"/>
          <w:lang w:val="en-US" w:eastAsia="zh-CN"/>
        </w:rPr>
        <w:t>四</w:t>
      </w:r>
      <w:r>
        <w:rPr>
          <w:rFonts w:hint="eastAsia" w:asciiTheme="minorEastAsia" w:hAnsiTheme="minorEastAsia" w:eastAsiaTheme="minorEastAsia"/>
          <w:color w:val="auto"/>
          <w:spacing w:val="6"/>
          <w:sz w:val="21"/>
          <w:szCs w:val="21"/>
          <w:highlight w:val="none"/>
        </w:rPr>
        <w:t>章招标内容及技术需求“二、招标货物清单及技术要求表”中的每一类设备逐项列明。若投标产品的制造商为大型企业的，本表可无须提供。</w:t>
      </w:r>
    </w:p>
    <w:p w14:paraId="18886EA3">
      <w:pPr>
        <w:spacing w:line="360" w:lineRule="auto"/>
        <w:ind w:right="420" w:firstLine="482" w:firstLineChars="200"/>
        <w:jc w:val="center"/>
        <w:rPr>
          <w:rFonts w:ascii="宋体"/>
          <w:b/>
          <w:color w:val="auto"/>
          <w:szCs w:val="21"/>
          <w:highlight w:val="none"/>
        </w:rPr>
      </w:pPr>
      <w:r>
        <w:rPr>
          <w:rFonts w:hint="eastAsia" w:ascii="宋体"/>
          <w:b/>
          <w:bCs/>
          <w:color w:val="auto"/>
          <w:szCs w:val="21"/>
          <w:highlight w:val="none"/>
          <w:lang w:val="en-US" w:eastAsia="zh-CN"/>
        </w:rPr>
        <w:t>C</w:t>
      </w:r>
      <w:r>
        <w:rPr>
          <w:rFonts w:hint="eastAsia" w:ascii="宋体"/>
          <w:b/>
          <w:color w:val="auto"/>
          <w:szCs w:val="21"/>
          <w:highlight w:val="none"/>
        </w:rPr>
        <w:t>4、残疾人福利性单位声明函（如有需提供）</w:t>
      </w:r>
    </w:p>
    <w:p w14:paraId="59A49796">
      <w:pPr>
        <w:spacing w:line="588" w:lineRule="exact"/>
        <w:ind w:firstLine="480" w:firstLineChars="200"/>
        <w:rPr>
          <w:rFonts w:ascii="宋体"/>
          <w:color w:val="auto"/>
          <w:szCs w:val="21"/>
          <w:highlight w:val="none"/>
        </w:rPr>
      </w:pPr>
      <w:r>
        <w:rPr>
          <w:rFonts w:hint="eastAsia" w:asci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65C742">
      <w:pPr>
        <w:spacing w:line="588" w:lineRule="exact"/>
        <w:ind w:firstLine="480" w:firstLineChars="200"/>
        <w:rPr>
          <w:rFonts w:ascii="宋体"/>
          <w:color w:val="auto"/>
          <w:szCs w:val="21"/>
          <w:highlight w:val="none"/>
        </w:rPr>
      </w:pPr>
      <w:r>
        <w:rPr>
          <w:rFonts w:hint="eastAsia" w:ascii="宋体"/>
          <w:color w:val="auto"/>
          <w:szCs w:val="21"/>
          <w:highlight w:val="none"/>
        </w:rPr>
        <w:t>本单位对上述声明的真实性负责。如有虚假，将依法承担相应责任。</w:t>
      </w:r>
    </w:p>
    <w:p w14:paraId="78EA8B73">
      <w:pPr>
        <w:spacing w:line="588" w:lineRule="exact"/>
        <w:ind w:firstLine="480" w:firstLineChars="200"/>
        <w:rPr>
          <w:rFonts w:ascii="宋体"/>
          <w:color w:val="auto"/>
          <w:szCs w:val="21"/>
          <w:highlight w:val="none"/>
        </w:rPr>
      </w:pPr>
    </w:p>
    <w:p w14:paraId="1AE3A5DA">
      <w:pPr>
        <w:spacing w:line="588" w:lineRule="exact"/>
        <w:ind w:firstLine="480" w:firstLineChars="200"/>
        <w:rPr>
          <w:rFonts w:ascii="宋体"/>
          <w:color w:val="auto"/>
          <w:szCs w:val="21"/>
          <w:highlight w:val="none"/>
        </w:rPr>
      </w:pPr>
    </w:p>
    <w:p w14:paraId="1DBB2DB2">
      <w:pPr>
        <w:tabs>
          <w:tab w:val="left" w:pos="4860"/>
        </w:tabs>
        <w:spacing w:line="588" w:lineRule="exact"/>
        <w:ind w:right="1560" w:firstLine="480" w:firstLineChars="200"/>
        <w:jc w:val="center"/>
        <w:rPr>
          <w:rFonts w:ascii="宋体"/>
          <w:color w:val="auto"/>
          <w:szCs w:val="21"/>
          <w:highlight w:val="none"/>
        </w:rPr>
      </w:pPr>
      <w:r>
        <w:rPr>
          <w:rFonts w:hint="eastAsia" w:ascii="宋体"/>
          <w:color w:val="auto"/>
          <w:szCs w:val="21"/>
          <w:highlight w:val="none"/>
        </w:rPr>
        <w:t xml:space="preserve">               单位名称（盖章）：</w:t>
      </w:r>
    </w:p>
    <w:p w14:paraId="500C3498">
      <w:pPr>
        <w:tabs>
          <w:tab w:val="left" w:pos="4860"/>
        </w:tabs>
        <w:spacing w:line="588" w:lineRule="exact"/>
        <w:ind w:right="1560" w:firstLine="480" w:firstLineChars="200"/>
        <w:jc w:val="center"/>
        <w:rPr>
          <w:rFonts w:ascii="宋体"/>
          <w:color w:val="auto"/>
          <w:szCs w:val="21"/>
          <w:highlight w:val="none"/>
        </w:rPr>
      </w:pPr>
      <w:r>
        <w:rPr>
          <w:rFonts w:hint="eastAsia" w:ascii="宋体"/>
          <w:color w:val="auto"/>
          <w:szCs w:val="21"/>
          <w:highlight w:val="none"/>
        </w:rPr>
        <w:t xml:space="preserve">       日  期：</w:t>
      </w:r>
    </w:p>
    <w:p w14:paraId="663D507E">
      <w:pPr>
        <w:spacing w:line="400" w:lineRule="exact"/>
        <w:ind w:firstLine="482" w:firstLineChars="200"/>
        <w:rPr>
          <w:rFonts w:ascii="宋体"/>
          <w:b/>
          <w:color w:val="auto"/>
          <w:szCs w:val="21"/>
          <w:highlight w:val="none"/>
        </w:rPr>
      </w:pPr>
    </w:p>
    <w:p w14:paraId="48D48C2E">
      <w:pPr>
        <w:spacing w:line="400" w:lineRule="exact"/>
        <w:ind w:firstLine="480" w:firstLineChars="200"/>
        <w:rPr>
          <w:rFonts w:ascii="宋体"/>
          <w:color w:val="auto"/>
          <w:szCs w:val="21"/>
          <w:highlight w:val="none"/>
        </w:rPr>
      </w:pPr>
      <w:r>
        <w:rPr>
          <w:rFonts w:hint="eastAsia" w:ascii="宋体"/>
          <w:color w:val="auto"/>
          <w:szCs w:val="21"/>
          <w:highlight w:val="none"/>
        </w:rPr>
        <w:t>注：</w:t>
      </w:r>
    </w:p>
    <w:p w14:paraId="0CE4E4A9">
      <w:pPr>
        <w:spacing w:line="400" w:lineRule="exact"/>
        <w:ind w:firstLine="480" w:firstLineChars="200"/>
        <w:rPr>
          <w:rFonts w:ascii="宋体"/>
          <w:color w:val="auto"/>
          <w:szCs w:val="21"/>
          <w:highlight w:val="none"/>
        </w:rPr>
      </w:pPr>
      <w:r>
        <w:rPr>
          <w:rFonts w:hint="eastAsia" w:ascii="宋体"/>
          <w:color w:val="auto"/>
          <w:szCs w:val="21"/>
          <w:highlight w:val="none"/>
        </w:rPr>
        <w:t>享受政府采购支持政策的残疾人福利性单位应当同时满足以下条件：</w:t>
      </w:r>
    </w:p>
    <w:p w14:paraId="6FC12077">
      <w:pPr>
        <w:spacing w:line="400" w:lineRule="exact"/>
        <w:ind w:firstLine="480" w:firstLineChars="200"/>
        <w:rPr>
          <w:rFonts w:ascii="宋体"/>
          <w:color w:val="auto"/>
          <w:szCs w:val="21"/>
          <w:highlight w:val="none"/>
        </w:rPr>
      </w:pPr>
      <w:r>
        <w:rPr>
          <w:rFonts w:hint="eastAsia" w:ascii="宋体"/>
          <w:color w:val="auto"/>
          <w:szCs w:val="21"/>
          <w:highlight w:val="none"/>
        </w:rPr>
        <w:t>（一）安置的残疾人占本单位在职职工人数的比例不低于25%（含25%），并且安置的残疾人人数不少于10人（含10人）；</w:t>
      </w:r>
    </w:p>
    <w:p w14:paraId="71E63F36">
      <w:pPr>
        <w:spacing w:line="400" w:lineRule="exact"/>
        <w:ind w:firstLine="480" w:firstLineChars="200"/>
        <w:rPr>
          <w:rFonts w:ascii="宋体"/>
          <w:color w:val="auto"/>
          <w:szCs w:val="21"/>
          <w:highlight w:val="none"/>
        </w:rPr>
      </w:pPr>
      <w:r>
        <w:rPr>
          <w:rFonts w:hint="eastAsia" w:ascii="宋体"/>
          <w:color w:val="auto"/>
          <w:szCs w:val="21"/>
          <w:highlight w:val="none"/>
        </w:rPr>
        <w:t>（二）依法与安置的每位残疾人签订了一年以上（含一年）的劳动合同或服务协议；</w:t>
      </w:r>
    </w:p>
    <w:p w14:paraId="09937F3E">
      <w:pPr>
        <w:spacing w:line="400" w:lineRule="exact"/>
        <w:ind w:firstLine="480" w:firstLineChars="200"/>
        <w:rPr>
          <w:rFonts w:ascii="宋体"/>
          <w:color w:val="auto"/>
          <w:szCs w:val="21"/>
          <w:highlight w:val="none"/>
        </w:rPr>
      </w:pPr>
      <w:r>
        <w:rPr>
          <w:rFonts w:hint="eastAsia" w:ascii="宋体"/>
          <w:color w:val="auto"/>
          <w:szCs w:val="21"/>
          <w:highlight w:val="none"/>
        </w:rPr>
        <w:t>（三）为安置的每位残疾人按月足额缴纳了基本养老保险、基本医疗保险、失业保险、工伤保险和生育保险等社会保险费；</w:t>
      </w:r>
    </w:p>
    <w:p w14:paraId="1E1B2999">
      <w:pPr>
        <w:spacing w:line="400" w:lineRule="exact"/>
        <w:ind w:firstLine="480" w:firstLineChars="200"/>
        <w:rPr>
          <w:rFonts w:ascii="宋体"/>
          <w:color w:val="auto"/>
          <w:szCs w:val="21"/>
          <w:highlight w:val="none"/>
        </w:rPr>
      </w:pPr>
      <w:r>
        <w:rPr>
          <w:rFonts w:hint="eastAsia" w:ascii="宋体"/>
          <w:color w:val="auto"/>
          <w:szCs w:val="21"/>
          <w:highlight w:val="none"/>
        </w:rPr>
        <w:t>（四）通过银行等金融机构向安置的每位残疾人，按月支付了不低于单位所在区县适用的经省级人民政府批准的月最低工资标准的工资；</w:t>
      </w:r>
    </w:p>
    <w:p w14:paraId="05756A1E">
      <w:pPr>
        <w:spacing w:line="400" w:lineRule="exact"/>
        <w:ind w:firstLine="480" w:firstLineChars="200"/>
        <w:rPr>
          <w:rFonts w:ascii="宋体"/>
          <w:color w:val="auto"/>
          <w:szCs w:val="21"/>
          <w:highlight w:val="none"/>
        </w:rPr>
      </w:pPr>
      <w:r>
        <w:rPr>
          <w:rFonts w:hint="eastAsia" w:asci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0AC642DB">
      <w:pPr>
        <w:spacing w:line="400" w:lineRule="exact"/>
        <w:ind w:firstLine="480" w:firstLineChars="200"/>
        <w:rPr>
          <w:rFonts w:ascii="宋体"/>
          <w:color w:val="auto"/>
          <w:szCs w:val="21"/>
          <w:highlight w:val="none"/>
        </w:rPr>
      </w:pPr>
      <w:r>
        <w:rPr>
          <w:rFonts w:hint="eastAsia" w:ascii="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AA3B56">
      <w:pPr>
        <w:pStyle w:val="18"/>
        <w:ind w:firstLine="0" w:firstLineChars="0"/>
        <w:rPr>
          <w:color w:val="auto"/>
          <w:highlight w:val="none"/>
        </w:rPr>
      </w:pPr>
    </w:p>
    <w:p w14:paraId="64250A62">
      <w:pPr>
        <w:pStyle w:val="26"/>
        <w:spacing w:line="360" w:lineRule="auto"/>
        <w:ind w:left="115" w:leftChars="48" w:firstLine="2880" w:firstLineChars="800"/>
        <w:jc w:val="left"/>
        <w:rPr>
          <w:color w:val="auto"/>
          <w:sz w:val="36"/>
          <w:szCs w:val="36"/>
          <w:highlight w:val="none"/>
        </w:rPr>
        <w:sectPr>
          <w:pgSz w:w="11905" w:h="16838"/>
          <w:pgMar w:top="1417" w:right="1587" w:bottom="1417" w:left="1587" w:header="850" w:footer="850" w:gutter="0"/>
          <w:pgBorders>
            <w:top w:val="none" w:sz="0" w:space="0"/>
            <w:left w:val="none" w:sz="0" w:space="0"/>
            <w:bottom w:val="none" w:sz="0" w:space="0"/>
            <w:right w:val="none" w:sz="0" w:space="0"/>
          </w:pgBorders>
          <w:cols w:space="0" w:num="1"/>
          <w:rtlGutter w:val="0"/>
          <w:docGrid w:linePitch="285" w:charSpace="0"/>
        </w:sectPr>
      </w:pPr>
    </w:p>
    <w:tbl>
      <w:tblPr>
        <w:tblStyle w:val="41"/>
        <w:tblW w:w="15080"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9"/>
      </w:tblGrid>
      <w:tr w14:paraId="1177C3B5">
        <w:tblPrEx>
          <w:tblCellMar>
            <w:top w:w="0" w:type="dxa"/>
            <w:left w:w="108" w:type="dxa"/>
            <w:bottom w:w="0" w:type="dxa"/>
            <w:right w:w="108" w:type="dxa"/>
          </w:tblCellMar>
        </w:tblPrEx>
        <w:trPr>
          <w:trHeight w:val="90" w:hRule="atLeast"/>
        </w:trPr>
        <w:tc>
          <w:tcPr>
            <w:tcW w:w="15080" w:type="dxa"/>
            <w:gridSpan w:val="11"/>
            <w:tcBorders>
              <w:top w:val="nil"/>
              <w:left w:val="nil"/>
              <w:bottom w:val="nil"/>
              <w:right w:val="nil"/>
            </w:tcBorders>
            <w:vAlign w:val="bottom"/>
          </w:tcPr>
          <w:p w14:paraId="0C222F16">
            <w:pPr>
              <w:widowControl/>
              <w:spacing w:line="240" w:lineRule="auto"/>
              <w:jc w:val="center"/>
              <w:rPr>
                <w:rFonts w:ascii="宋体" w:cs="宋体"/>
                <w:b/>
                <w:bCs/>
                <w:color w:val="auto"/>
                <w:sz w:val="32"/>
                <w:szCs w:val="32"/>
                <w:highlight w:val="none"/>
              </w:rPr>
            </w:pPr>
            <w:r>
              <w:rPr>
                <w:rFonts w:hint="eastAsia" w:ascii="宋体" w:cs="宋体"/>
                <w:b/>
                <w:bCs/>
                <w:color w:val="auto"/>
                <w:highlight w:val="none"/>
              </w:rPr>
              <w:t>中小微行业划型标准规定（根据工信部联企业〔2011〕300号制定）</w:t>
            </w:r>
          </w:p>
        </w:tc>
      </w:tr>
      <w:tr w14:paraId="467AE0B7">
        <w:tblPrEx>
          <w:tblCellMar>
            <w:top w:w="0" w:type="dxa"/>
            <w:left w:w="108" w:type="dxa"/>
            <w:bottom w:w="0" w:type="dxa"/>
            <w:right w:w="108" w:type="dxa"/>
          </w:tblCellMar>
        </w:tblPrEx>
        <w:trPr>
          <w:gridAfter w:val="1"/>
          <w:wAfter w:w="9" w:type="dxa"/>
          <w:trHeight w:val="112"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588BC269">
            <w:pPr>
              <w:widowControl/>
              <w:spacing w:line="240" w:lineRule="auto"/>
              <w:jc w:val="center"/>
              <w:rPr>
                <w:rFonts w:ascii="宋体" w:cs="宋体"/>
                <w:b/>
                <w:bCs/>
                <w:color w:val="auto"/>
                <w:highlight w:val="none"/>
              </w:rPr>
            </w:pPr>
            <w:r>
              <w:rPr>
                <w:rFonts w:hint="eastAsia" w:ascii="宋体" w:cs="宋体"/>
                <w:b/>
                <w:bCs/>
                <w:color w:val="auto"/>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14:paraId="3CB7F9C0">
            <w:pPr>
              <w:widowControl/>
              <w:spacing w:line="240" w:lineRule="auto"/>
              <w:jc w:val="center"/>
              <w:rPr>
                <w:rFonts w:ascii="宋体" w:cs="宋体"/>
                <w:b/>
                <w:bCs/>
                <w:color w:val="auto"/>
                <w:highlight w:val="none"/>
              </w:rPr>
            </w:pPr>
            <w:r>
              <w:rPr>
                <w:rFonts w:hint="eastAsia" w:ascii="宋体" w:cs="宋体"/>
                <w:b/>
                <w:bCs/>
                <w:color w:val="auto"/>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7CEFD8A5">
            <w:pPr>
              <w:widowControl/>
              <w:spacing w:line="240" w:lineRule="auto"/>
              <w:jc w:val="center"/>
              <w:rPr>
                <w:rFonts w:ascii="宋体" w:cs="宋体"/>
                <w:b/>
                <w:bCs/>
                <w:color w:val="auto"/>
                <w:highlight w:val="none"/>
              </w:rPr>
            </w:pPr>
            <w:r>
              <w:rPr>
                <w:rFonts w:hint="eastAsia" w:ascii="宋体" w:cs="宋体"/>
                <w:b/>
                <w:bCs/>
                <w:color w:val="auto"/>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053FC122">
            <w:pPr>
              <w:widowControl/>
              <w:spacing w:line="240" w:lineRule="auto"/>
              <w:jc w:val="center"/>
              <w:rPr>
                <w:rFonts w:ascii="宋体" w:cs="宋体"/>
                <w:b/>
                <w:bCs/>
                <w:color w:val="auto"/>
                <w:highlight w:val="none"/>
              </w:rPr>
            </w:pPr>
            <w:r>
              <w:rPr>
                <w:rFonts w:hint="eastAsia" w:ascii="宋体" w:cs="宋体"/>
                <w:b/>
                <w:bCs/>
                <w:color w:val="auto"/>
                <w:highlight w:val="none"/>
              </w:rPr>
              <w:t>微型企业</w:t>
            </w:r>
          </w:p>
        </w:tc>
      </w:tr>
      <w:tr w14:paraId="7BA8837B">
        <w:tblPrEx>
          <w:tblCellMar>
            <w:top w:w="0" w:type="dxa"/>
            <w:left w:w="108" w:type="dxa"/>
            <w:bottom w:w="0" w:type="dxa"/>
            <w:right w:w="108" w:type="dxa"/>
          </w:tblCellMar>
        </w:tblPrEx>
        <w:trPr>
          <w:gridAfter w:val="1"/>
          <w:wAfter w:w="9" w:type="dxa"/>
          <w:trHeight w:val="126"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5A578CA7">
            <w:pPr>
              <w:spacing w:line="240" w:lineRule="auto"/>
              <w:rPr>
                <w:color w:val="auto"/>
                <w:highlight w:val="none"/>
              </w:rPr>
            </w:pPr>
          </w:p>
        </w:tc>
        <w:tc>
          <w:tcPr>
            <w:tcW w:w="1512" w:type="dxa"/>
            <w:tcBorders>
              <w:top w:val="nil"/>
              <w:left w:val="nil"/>
              <w:bottom w:val="single" w:color="auto" w:sz="4" w:space="0"/>
              <w:right w:val="single" w:color="auto" w:sz="4" w:space="0"/>
            </w:tcBorders>
            <w:vAlign w:val="bottom"/>
          </w:tcPr>
          <w:p w14:paraId="6A5E66EA">
            <w:pPr>
              <w:widowControl/>
              <w:spacing w:line="240" w:lineRule="auto"/>
              <w:jc w:val="center"/>
              <w:rPr>
                <w:rFonts w:ascii="宋体" w:cs="宋体"/>
                <w:color w:val="auto"/>
                <w:sz w:val="20"/>
                <w:highlight w:val="none"/>
              </w:rPr>
            </w:pPr>
            <w:r>
              <w:rPr>
                <w:rFonts w:hint="eastAsia" w:ascii="宋体" w:cs="宋体"/>
                <w:color w:val="auto"/>
                <w:sz w:val="20"/>
                <w:highlight w:val="none"/>
              </w:rPr>
              <w:t>从业人员X（人）</w:t>
            </w:r>
          </w:p>
        </w:tc>
        <w:tc>
          <w:tcPr>
            <w:tcW w:w="1779" w:type="dxa"/>
            <w:tcBorders>
              <w:top w:val="nil"/>
              <w:left w:val="nil"/>
              <w:bottom w:val="single" w:color="auto" w:sz="4" w:space="0"/>
              <w:right w:val="single" w:color="auto" w:sz="4" w:space="0"/>
            </w:tcBorders>
            <w:vAlign w:val="bottom"/>
          </w:tcPr>
          <w:p w14:paraId="660D6C43">
            <w:pPr>
              <w:widowControl/>
              <w:spacing w:line="240" w:lineRule="auto"/>
              <w:jc w:val="center"/>
              <w:rPr>
                <w:rFonts w:ascii="宋体" w:cs="宋体"/>
                <w:color w:val="auto"/>
                <w:sz w:val="20"/>
                <w:highlight w:val="none"/>
              </w:rPr>
            </w:pPr>
            <w:r>
              <w:rPr>
                <w:rFonts w:hint="eastAsia" w:ascii="宋体" w:cs="宋体"/>
                <w:color w:val="auto"/>
                <w:sz w:val="20"/>
                <w:highlight w:val="none"/>
              </w:rPr>
              <w:t>营业收入Y</w:t>
            </w:r>
          </w:p>
          <w:p w14:paraId="0FF96830">
            <w:pPr>
              <w:widowControl/>
              <w:spacing w:line="240" w:lineRule="auto"/>
              <w:jc w:val="center"/>
              <w:rPr>
                <w:rFonts w:ascii="宋体" w:cs="宋体"/>
                <w:color w:val="auto"/>
                <w:sz w:val="20"/>
                <w:highlight w:val="none"/>
              </w:rPr>
            </w:pPr>
            <w:r>
              <w:rPr>
                <w:rFonts w:hint="eastAsia" w:ascii="宋体" w:cs="宋体"/>
                <w:color w:val="auto"/>
                <w:sz w:val="20"/>
                <w:highlight w:val="none"/>
              </w:rPr>
              <w:t>（万元）</w:t>
            </w:r>
          </w:p>
        </w:tc>
        <w:tc>
          <w:tcPr>
            <w:tcW w:w="1677" w:type="dxa"/>
            <w:tcBorders>
              <w:top w:val="nil"/>
              <w:left w:val="nil"/>
              <w:bottom w:val="single" w:color="auto" w:sz="4" w:space="0"/>
              <w:right w:val="single" w:color="auto" w:sz="8" w:space="0"/>
            </w:tcBorders>
            <w:vAlign w:val="bottom"/>
          </w:tcPr>
          <w:p w14:paraId="46B56568">
            <w:pPr>
              <w:widowControl/>
              <w:spacing w:line="240" w:lineRule="auto"/>
              <w:jc w:val="center"/>
              <w:rPr>
                <w:rFonts w:ascii="宋体" w:cs="宋体"/>
                <w:color w:val="auto"/>
                <w:sz w:val="20"/>
                <w:highlight w:val="none"/>
              </w:rPr>
            </w:pPr>
            <w:r>
              <w:rPr>
                <w:rFonts w:hint="eastAsia" w:ascii="宋体" w:cs="宋体"/>
                <w:color w:val="auto"/>
                <w:sz w:val="20"/>
                <w:highlight w:val="none"/>
              </w:rPr>
              <w:t>资产总额Z</w:t>
            </w:r>
          </w:p>
          <w:p w14:paraId="0D5E0AF9">
            <w:pPr>
              <w:widowControl/>
              <w:spacing w:line="240" w:lineRule="auto"/>
              <w:jc w:val="center"/>
              <w:rPr>
                <w:rFonts w:ascii="宋体" w:cs="宋体"/>
                <w:color w:val="auto"/>
                <w:sz w:val="20"/>
                <w:highlight w:val="none"/>
              </w:rPr>
            </w:pPr>
            <w:r>
              <w:rPr>
                <w:rFonts w:hint="eastAsia" w:ascii="宋体" w:cs="宋体"/>
                <w:color w:val="auto"/>
                <w:sz w:val="20"/>
                <w:highlight w:val="none"/>
              </w:rPr>
              <w:t>（万元）</w:t>
            </w:r>
          </w:p>
        </w:tc>
        <w:tc>
          <w:tcPr>
            <w:tcW w:w="1252" w:type="dxa"/>
            <w:tcBorders>
              <w:top w:val="nil"/>
              <w:left w:val="nil"/>
              <w:bottom w:val="single" w:color="auto" w:sz="4" w:space="0"/>
              <w:right w:val="single" w:color="auto" w:sz="4" w:space="0"/>
            </w:tcBorders>
            <w:vAlign w:val="bottom"/>
          </w:tcPr>
          <w:p w14:paraId="156F4661">
            <w:pPr>
              <w:widowControl/>
              <w:spacing w:line="240" w:lineRule="auto"/>
              <w:jc w:val="center"/>
              <w:rPr>
                <w:rFonts w:ascii="宋体" w:cs="宋体"/>
                <w:color w:val="auto"/>
                <w:sz w:val="20"/>
                <w:highlight w:val="none"/>
              </w:rPr>
            </w:pPr>
            <w:r>
              <w:rPr>
                <w:rFonts w:hint="eastAsia" w:ascii="宋体" w:cs="宋体"/>
                <w:color w:val="auto"/>
                <w:sz w:val="20"/>
                <w:highlight w:val="none"/>
              </w:rPr>
              <w:t>从业人员X（人）</w:t>
            </w:r>
          </w:p>
        </w:tc>
        <w:tc>
          <w:tcPr>
            <w:tcW w:w="1494" w:type="dxa"/>
            <w:tcBorders>
              <w:top w:val="nil"/>
              <w:left w:val="nil"/>
              <w:bottom w:val="single" w:color="auto" w:sz="4" w:space="0"/>
              <w:right w:val="single" w:color="auto" w:sz="4" w:space="0"/>
            </w:tcBorders>
            <w:vAlign w:val="bottom"/>
          </w:tcPr>
          <w:p w14:paraId="736C3E8F">
            <w:pPr>
              <w:widowControl/>
              <w:spacing w:line="240" w:lineRule="auto"/>
              <w:jc w:val="center"/>
              <w:rPr>
                <w:rFonts w:ascii="宋体" w:cs="宋体"/>
                <w:color w:val="auto"/>
                <w:sz w:val="20"/>
                <w:highlight w:val="none"/>
              </w:rPr>
            </w:pPr>
            <w:r>
              <w:rPr>
                <w:rFonts w:hint="eastAsia" w:ascii="宋体" w:cs="宋体"/>
                <w:color w:val="auto"/>
                <w:sz w:val="20"/>
                <w:highlight w:val="none"/>
              </w:rPr>
              <w:t>营业收入Y</w:t>
            </w:r>
          </w:p>
          <w:p w14:paraId="0F6C5A2A">
            <w:pPr>
              <w:widowControl/>
              <w:spacing w:line="240" w:lineRule="auto"/>
              <w:jc w:val="center"/>
              <w:rPr>
                <w:rFonts w:ascii="宋体" w:cs="宋体"/>
                <w:color w:val="auto"/>
                <w:sz w:val="20"/>
                <w:highlight w:val="none"/>
              </w:rPr>
            </w:pPr>
            <w:r>
              <w:rPr>
                <w:rFonts w:hint="eastAsia" w:ascii="宋体" w:cs="宋体"/>
                <w:color w:val="auto"/>
                <w:sz w:val="20"/>
                <w:highlight w:val="none"/>
              </w:rPr>
              <w:t>（万元）</w:t>
            </w:r>
          </w:p>
        </w:tc>
        <w:tc>
          <w:tcPr>
            <w:tcW w:w="1536" w:type="dxa"/>
            <w:tcBorders>
              <w:top w:val="nil"/>
              <w:left w:val="nil"/>
              <w:bottom w:val="single" w:color="auto" w:sz="4" w:space="0"/>
              <w:right w:val="single" w:color="auto" w:sz="8" w:space="0"/>
            </w:tcBorders>
            <w:vAlign w:val="bottom"/>
          </w:tcPr>
          <w:p w14:paraId="3720599B">
            <w:pPr>
              <w:widowControl/>
              <w:spacing w:line="240" w:lineRule="auto"/>
              <w:jc w:val="center"/>
              <w:rPr>
                <w:rFonts w:ascii="宋体" w:cs="宋体"/>
                <w:color w:val="auto"/>
                <w:sz w:val="20"/>
                <w:highlight w:val="none"/>
              </w:rPr>
            </w:pPr>
            <w:r>
              <w:rPr>
                <w:rFonts w:hint="eastAsia" w:ascii="宋体" w:cs="宋体"/>
                <w:color w:val="auto"/>
                <w:sz w:val="20"/>
                <w:highlight w:val="none"/>
              </w:rPr>
              <w:t>资产总额Z</w:t>
            </w:r>
          </w:p>
          <w:p w14:paraId="351C4C4F">
            <w:pPr>
              <w:widowControl/>
              <w:spacing w:line="240" w:lineRule="auto"/>
              <w:jc w:val="center"/>
              <w:rPr>
                <w:rFonts w:ascii="宋体" w:cs="宋体"/>
                <w:color w:val="auto"/>
                <w:sz w:val="20"/>
                <w:highlight w:val="none"/>
              </w:rPr>
            </w:pPr>
            <w:r>
              <w:rPr>
                <w:rFonts w:hint="eastAsia" w:ascii="宋体" w:cs="宋体"/>
                <w:color w:val="auto"/>
                <w:sz w:val="20"/>
                <w:highlight w:val="none"/>
              </w:rPr>
              <w:t>（万元）</w:t>
            </w:r>
          </w:p>
        </w:tc>
        <w:tc>
          <w:tcPr>
            <w:tcW w:w="1297" w:type="dxa"/>
            <w:tcBorders>
              <w:top w:val="nil"/>
              <w:left w:val="nil"/>
              <w:bottom w:val="single" w:color="auto" w:sz="4" w:space="0"/>
              <w:right w:val="single" w:color="auto" w:sz="4" w:space="0"/>
            </w:tcBorders>
            <w:vAlign w:val="bottom"/>
          </w:tcPr>
          <w:p w14:paraId="4654A3E7">
            <w:pPr>
              <w:widowControl/>
              <w:spacing w:line="240" w:lineRule="auto"/>
              <w:jc w:val="center"/>
              <w:rPr>
                <w:rFonts w:ascii="宋体" w:cs="宋体"/>
                <w:color w:val="auto"/>
                <w:sz w:val="20"/>
                <w:highlight w:val="none"/>
              </w:rPr>
            </w:pPr>
            <w:r>
              <w:rPr>
                <w:rFonts w:hint="eastAsia" w:ascii="宋体" w:cs="宋体"/>
                <w:color w:val="auto"/>
                <w:sz w:val="20"/>
                <w:highlight w:val="none"/>
              </w:rPr>
              <w:t>从业人员X（人）</w:t>
            </w:r>
          </w:p>
        </w:tc>
        <w:tc>
          <w:tcPr>
            <w:tcW w:w="1287" w:type="dxa"/>
            <w:tcBorders>
              <w:top w:val="nil"/>
              <w:left w:val="nil"/>
              <w:bottom w:val="single" w:color="auto" w:sz="4" w:space="0"/>
              <w:right w:val="single" w:color="auto" w:sz="4" w:space="0"/>
            </w:tcBorders>
            <w:vAlign w:val="bottom"/>
          </w:tcPr>
          <w:p w14:paraId="1953D0C3">
            <w:pPr>
              <w:widowControl/>
              <w:spacing w:line="240" w:lineRule="auto"/>
              <w:jc w:val="center"/>
              <w:rPr>
                <w:rFonts w:ascii="宋体" w:cs="宋体"/>
                <w:color w:val="auto"/>
                <w:sz w:val="20"/>
                <w:highlight w:val="none"/>
              </w:rPr>
            </w:pPr>
            <w:r>
              <w:rPr>
                <w:rFonts w:hint="eastAsia" w:ascii="宋体" w:cs="宋体"/>
                <w:color w:val="auto"/>
                <w:sz w:val="20"/>
                <w:highlight w:val="none"/>
              </w:rPr>
              <w:t>营业收入Y（万元）</w:t>
            </w:r>
          </w:p>
        </w:tc>
        <w:tc>
          <w:tcPr>
            <w:tcW w:w="1234" w:type="dxa"/>
            <w:tcBorders>
              <w:top w:val="nil"/>
              <w:left w:val="nil"/>
              <w:bottom w:val="single" w:color="auto" w:sz="4" w:space="0"/>
              <w:right w:val="single" w:color="auto" w:sz="8" w:space="0"/>
            </w:tcBorders>
            <w:vAlign w:val="bottom"/>
          </w:tcPr>
          <w:p w14:paraId="4991037C">
            <w:pPr>
              <w:widowControl/>
              <w:spacing w:line="240" w:lineRule="auto"/>
              <w:jc w:val="center"/>
              <w:rPr>
                <w:rFonts w:ascii="宋体" w:cs="宋体"/>
                <w:color w:val="auto"/>
                <w:sz w:val="20"/>
                <w:highlight w:val="none"/>
              </w:rPr>
            </w:pPr>
            <w:r>
              <w:rPr>
                <w:rFonts w:hint="eastAsia" w:ascii="宋体" w:cs="宋体"/>
                <w:color w:val="auto"/>
                <w:sz w:val="20"/>
                <w:highlight w:val="none"/>
              </w:rPr>
              <w:t>资产总额Z（万元）</w:t>
            </w:r>
          </w:p>
        </w:tc>
      </w:tr>
      <w:tr w14:paraId="4BB80117">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334DF2DA">
            <w:pPr>
              <w:widowControl/>
              <w:spacing w:line="240" w:lineRule="auto"/>
              <w:rPr>
                <w:rFonts w:ascii="宋体" w:cs="宋体"/>
                <w:color w:val="auto"/>
                <w:sz w:val="20"/>
                <w:highlight w:val="none"/>
              </w:rPr>
            </w:pPr>
            <w:r>
              <w:rPr>
                <w:rFonts w:hint="eastAsia" w:ascii="宋体" w:cs="宋体"/>
                <w:color w:val="auto"/>
                <w:sz w:val="20"/>
                <w:highlight w:val="none"/>
              </w:rPr>
              <w:t xml:space="preserve"> 1、农林牧渔业</w:t>
            </w:r>
          </w:p>
        </w:tc>
        <w:tc>
          <w:tcPr>
            <w:tcW w:w="1512" w:type="dxa"/>
            <w:tcBorders>
              <w:top w:val="nil"/>
              <w:left w:val="nil"/>
              <w:bottom w:val="single" w:color="auto" w:sz="4" w:space="0"/>
              <w:right w:val="single" w:color="auto" w:sz="4" w:space="0"/>
            </w:tcBorders>
            <w:vAlign w:val="center"/>
          </w:tcPr>
          <w:p w14:paraId="316B39C0">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779" w:type="dxa"/>
            <w:tcBorders>
              <w:top w:val="nil"/>
              <w:left w:val="nil"/>
              <w:bottom w:val="single" w:color="auto" w:sz="4" w:space="0"/>
              <w:right w:val="single" w:color="auto" w:sz="4" w:space="0"/>
            </w:tcBorders>
            <w:vAlign w:val="center"/>
          </w:tcPr>
          <w:p w14:paraId="65D65EFE">
            <w:pPr>
              <w:widowControl/>
              <w:spacing w:line="240" w:lineRule="auto"/>
              <w:rPr>
                <w:rFonts w:ascii="宋体" w:cs="宋体"/>
                <w:color w:val="auto"/>
                <w:sz w:val="20"/>
                <w:highlight w:val="none"/>
              </w:rPr>
            </w:pPr>
            <w:r>
              <w:rPr>
                <w:rFonts w:hint="eastAsia" w:ascii="宋体" w:cs="宋体"/>
                <w:color w:val="auto"/>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0F3BC3C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5A15FF3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494" w:type="dxa"/>
            <w:tcBorders>
              <w:top w:val="nil"/>
              <w:left w:val="nil"/>
              <w:bottom w:val="single" w:color="auto" w:sz="4" w:space="0"/>
              <w:right w:val="single" w:color="auto" w:sz="4" w:space="0"/>
            </w:tcBorders>
            <w:vAlign w:val="center"/>
          </w:tcPr>
          <w:p w14:paraId="57C961C9">
            <w:pPr>
              <w:widowControl/>
              <w:spacing w:line="240" w:lineRule="auto"/>
              <w:rPr>
                <w:rFonts w:ascii="宋体" w:cs="宋体"/>
                <w:color w:val="auto"/>
                <w:sz w:val="20"/>
                <w:highlight w:val="none"/>
              </w:rPr>
            </w:pPr>
            <w:r>
              <w:rPr>
                <w:rFonts w:hint="eastAsia" w:ascii="宋体" w:cs="宋体"/>
                <w:color w:val="auto"/>
                <w:sz w:val="20"/>
                <w:highlight w:val="none"/>
              </w:rPr>
              <w:t xml:space="preserve"> 50≤Y＜500</w:t>
            </w:r>
          </w:p>
        </w:tc>
        <w:tc>
          <w:tcPr>
            <w:tcW w:w="1536" w:type="dxa"/>
            <w:tcBorders>
              <w:top w:val="nil"/>
              <w:left w:val="nil"/>
              <w:bottom w:val="single" w:color="auto" w:sz="4" w:space="0"/>
              <w:right w:val="single" w:color="auto" w:sz="8" w:space="0"/>
            </w:tcBorders>
            <w:vAlign w:val="center"/>
          </w:tcPr>
          <w:p w14:paraId="223D0DC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60F1BBD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87" w:type="dxa"/>
            <w:tcBorders>
              <w:top w:val="nil"/>
              <w:left w:val="nil"/>
              <w:bottom w:val="single" w:color="auto" w:sz="4" w:space="0"/>
              <w:right w:val="single" w:color="auto" w:sz="4" w:space="0"/>
            </w:tcBorders>
            <w:vAlign w:val="center"/>
          </w:tcPr>
          <w:p w14:paraId="55587C3C">
            <w:pPr>
              <w:widowControl/>
              <w:spacing w:line="240" w:lineRule="auto"/>
              <w:rPr>
                <w:rFonts w:ascii="宋体" w:cs="宋体"/>
                <w:color w:val="auto"/>
                <w:sz w:val="20"/>
                <w:highlight w:val="none"/>
              </w:rPr>
            </w:pPr>
            <w:r>
              <w:rPr>
                <w:rFonts w:hint="eastAsia" w:ascii="宋体" w:cs="宋体"/>
                <w:color w:val="auto"/>
                <w:sz w:val="20"/>
                <w:highlight w:val="none"/>
              </w:rPr>
              <w:t>Y＜50</w:t>
            </w:r>
          </w:p>
        </w:tc>
        <w:tc>
          <w:tcPr>
            <w:tcW w:w="1234" w:type="dxa"/>
            <w:tcBorders>
              <w:top w:val="nil"/>
              <w:left w:val="nil"/>
              <w:bottom w:val="single" w:color="auto" w:sz="4" w:space="0"/>
              <w:right w:val="single" w:color="auto" w:sz="8" w:space="0"/>
            </w:tcBorders>
            <w:vAlign w:val="center"/>
          </w:tcPr>
          <w:p w14:paraId="4F59F781">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5B39E5FB">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2FFE520D">
            <w:pPr>
              <w:widowControl/>
              <w:spacing w:line="240" w:lineRule="auto"/>
              <w:rPr>
                <w:rFonts w:ascii="宋体" w:cs="宋体"/>
                <w:color w:val="auto"/>
                <w:sz w:val="20"/>
                <w:highlight w:val="none"/>
              </w:rPr>
            </w:pPr>
            <w:r>
              <w:rPr>
                <w:rFonts w:hint="eastAsia" w:ascii="宋体" w:cs="宋体"/>
                <w:color w:val="auto"/>
                <w:sz w:val="20"/>
                <w:highlight w:val="none"/>
              </w:rPr>
              <w:t xml:space="preserve"> 2、工业</w:t>
            </w:r>
          </w:p>
        </w:tc>
        <w:tc>
          <w:tcPr>
            <w:tcW w:w="1512" w:type="dxa"/>
            <w:tcBorders>
              <w:top w:val="nil"/>
              <w:left w:val="nil"/>
              <w:bottom w:val="single" w:color="auto" w:sz="4" w:space="0"/>
              <w:right w:val="single" w:color="auto" w:sz="4" w:space="0"/>
            </w:tcBorders>
            <w:vAlign w:val="center"/>
          </w:tcPr>
          <w:p w14:paraId="360EDA82">
            <w:pPr>
              <w:widowControl/>
              <w:spacing w:line="240" w:lineRule="auto"/>
              <w:rPr>
                <w:rFonts w:ascii="宋体" w:cs="宋体"/>
                <w:color w:val="auto"/>
                <w:sz w:val="20"/>
                <w:highlight w:val="none"/>
              </w:rPr>
            </w:pPr>
            <w:r>
              <w:rPr>
                <w:rFonts w:hint="eastAsia" w:ascii="宋体" w:cs="宋体"/>
                <w:color w:val="auto"/>
                <w:sz w:val="20"/>
                <w:highlight w:val="none"/>
              </w:rPr>
              <w:t>300≤X＜1000</w:t>
            </w:r>
          </w:p>
        </w:tc>
        <w:tc>
          <w:tcPr>
            <w:tcW w:w="1779" w:type="dxa"/>
            <w:tcBorders>
              <w:top w:val="nil"/>
              <w:left w:val="nil"/>
              <w:bottom w:val="single" w:color="auto" w:sz="4" w:space="0"/>
              <w:right w:val="single" w:color="auto" w:sz="4" w:space="0"/>
            </w:tcBorders>
            <w:vAlign w:val="center"/>
          </w:tcPr>
          <w:p w14:paraId="51DF96A3">
            <w:pPr>
              <w:widowControl/>
              <w:spacing w:line="240" w:lineRule="auto"/>
              <w:rPr>
                <w:rFonts w:ascii="宋体" w:cs="宋体"/>
                <w:color w:val="auto"/>
                <w:sz w:val="20"/>
                <w:highlight w:val="none"/>
              </w:rPr>
            </w:pPr>
            <w:r>
              <w:rPr>
                <w:rFonts w:hint="eastAsia" w:ascii="宋体" w:cs="宋体"/>
                <w:color w:val="auto"/>
                <w:sz w:val="20"/>
                <w:highlight w:val="none"/>
              </w:rPr>
              <w:t>2000≤Y＜40000</w:t>
            </w:r>
          </w:p>
        </w:tc>
        <w:tc>
          <w:tcPr>
            <w:tcW w:w="1677" w:type="dxa"/>
            <w:tcBorders>
              <w:top w:val="nil"/>
              <w:left w:val="nil"/>
              <w:bottom w:val="single" w:color="auto" w:sz="4" w:space="0"/>
              <w:right w:val="single" w:color="auto" w:sz="8" w:space="0"/>
            </w:tcBorders>
            <w:vAlign w:val="center"/>
          </w:tcPr>
          <w:p w14:paraId="01057489">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033791A0">
            <w:pPr>
              <w:widowControl/>
              <w:spacing w:line="240" w:lineRule="auto"/>
              <w:rPr>
                <w:rFonts w:ascii="宋体" w:cs="宋体"/>
                <w:color w:val="auto"/>
                <w:sz w:val="20"/>
                <w:highlight w:val="none"/>
              </w:rPr>
            </w:pPr>
            <w:r>
              <w:rPr>
                <w:rFonts w:hint="eastAsia" w:ascii="宋体" w:cs="宋体"/>
                <w:color w:val="auto"/>
                <w:sz w:val="20"/>
                <w:highlight w:val="none"/>
              </w:rPr>
              <w:t>20≤X＜300</w:t>
            </w:r>
          </w:p>
        </w:tc>
        <w:tc>
          <w:tcPr>
            <w:tcW w:w="1494" w:type="dxa"/>
            <w:tcBorders>
              <w:top w:val="nil"/>
              <w:left w:val="nil"/>
              <w:bottom w:val="single" w:color="auto" w:sz="4" w:space="0"/>
              <w:right w:val="single" w:color="auto" w:sz="4" w:space="0"/>
            </w:tcBorders>
            <w:vAlign w:val="center"/>
          </w:tcPr>
          <w:p w14:paraId="611700B8">
            <w:pPr>
              <w:widowControl/>
              <w:spacing w:line="240" w:lineRule="auto"/>
              <w:rPr>
                <w:rFonts w:ascii="宋体" w:cs="宋体"/>
                <w:color w:val="auto"/>
                <w:sz w:val="20"/>
                <w:highlight w:val="none"/>
              </w:rPr>
            </w:pPr>
            <w:r>
              <w:rPr>
                <w:rFonts w:hint="eastAsia" w:ascii="宋体" w:cs="宋体"/>
                <w:color w:val="auto"/>
                <w:sz w:val="20"/>
                <w:highlight w:val="none"/>
              </w:rPr>
              <w:t>300≤Y＜2000</w:t>
            </w:r>
          </w:p>
        </w:tc>
        <w:tc>
          <w:tcPr>
            <w:tcW w:w="1536" w:type="dxa"/>
            <w:tcBorders>
              <w:top w:val="nil"/>
              <w:left w:val="nil"/>
              <w:bottom w:val="single" w:color="auto" w:sz="4" w:space="0"/>
              <w:right w:val="single" w:color="auto" w:sz="8" w:space="0"/>
            </w:tcBorders>
            <w:vAlign w:val="center"/>
          </w:tcPr>
          <w:p w14:paraId="200746C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3E4D8CAA">
            <w:pPr>
              <w:widowControl/>
              <w:spacing w:line="240" w:lineRule="auto"/>
              <w:rPr>
                <w:rFonts w:ascii="宋体" w:cs="宋体"/>
                <w:color w:val="auto"/>
                <w:sz w:val="20"/>
                <w:highlight w:val="none"/>
              </w:rPr>
            </w:pPr>
            <w:r>
              <w:rPr>
                <w:rFonts w:hint="eastAsia" w:ascii="宋体" w:cs="宋体"/>
                <w:color w:val="auto"/>
                <w:sz w:val="20"/>
                <w:highlight w:val="none"/>
              </w:rPr>
              <w:t>X＜20</w:t>
            </w:r>
          </w:p>
        </w:tc>
        <w:tc>
          <w:tcPr>
            <w:tcW w:w="1287" w:type="dxa"/>
            <w:tcBorders>
              <w:top w:val="nil"/>
              <w:left w:val="nil"/>
              <w:bottom w:val="single" w:color="auto" w:sz="4" w:space="0"/>
              <w:right w:val="single" w:color="auto" w:sz="4" w:space="0"/>
            </w:tcBorders>
            <w:vAlign w:val="center"/>
          </w:tcPr>
          <w:p w14:paraId="41D99C5F">
            <w:pPr>
              <w:widowControl/>
              <w:spacing w:line="240" w:lineRule="auto"/>
              <w:rPr>
                <w:rFonts w:ascii="宋体" w:cs="宋体"/>
                <w:color w:val="auto"/>
                <w:sz w:val="20"/>
                <w:highlight w:val="none"/>
              </w:rPr>
            </w:pPr>
            <w:r>
              <w:rPr>
                <w:rFonts w:hint="eastAsia" w:ascii="宋体" w:cs="宋体"/>
                <w:color w:val="auto"/>
                <w:sz w:val="20"/>
                <w:highlight w:val="none"/>
              </w:rPr>
              <w:t>Y＜300</w:t>
            </w:r>
          </w:p>
        </w:tc>
        <w:tc>
          <w:tcPr>
            <w:tcW w:w="1234" w:type="dxa"/>
            <w:tcBorders>
              <w:top w:val="nil"/>
              <w:left w:val="nil"/>
              <w:bottom w:val="single" w:color="auto" w:sz="4" w:space="0"/>
              <w:right w:val="single" w:color="auto" w:sz="8" w:space="0"/>
            </w:tcBorders>
            <w:vAlign w:val="center"/>
          </w:tcPr>
          <w:p w14:paraId="61E7CF7F">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409906DA">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1CCC097F">
            <w:pPr>
              <w:widowControl/>
              <w:spacing w:line="240" w:lineRule="auto"/>
              <w:rPr>
                <w:rFonts w:ascii="宋体" w:cs="宋体"/>
                <w:color w:val="auto"/>
                <w:sz w:val="20"/>
                <w:highlight w:val="none"/>
              </w:rPr>
            </w:pPr>
            <w:r>
              <w:rPr>
                <w:rFonts w:hint="eastAsia" w:ascii="宋体" w:cs="宋体"/>
                <w:color w:val="auto"/>
                <w:sz w:val="20"/>
                <w:highlight w:val="none"/>
              </w:rPr>
              <w:t xml:space="preserve"> 3、建筑业</w:t>
            </w:r>
          </w:p>
        </w:tc>
        <w:tc>
          <w:tcPr>
            <w:tcW w:w="1512" w:type="dxa"/>
            <w:tcBorders>
              <w:top w:val="nil"/>
              <w:left w:val="nil"/>
              <w:bottom w:val="single" w:color="auto" w:sz="4" w:space="0"/>
              <w:right w:val="single" w:color="auto" w:sz="4" w:space="0"/>
            </w:tcBorders>
            <w:vAlign w:val="center"/>
          </w:tcPr>
          <w:p w14:paraId="13E57F8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779" w:type="dxa"/>
            <w:tcBorders>
              <w:top w:val="nil"/>
              <w:left w:val="nil"/>
              <w:bottom w:val="single" w:color="auto" w:sz="4" w:space="0"/>
              <w:right w:val="single" w:color="auto" w:sz="4" w:space="0"/>
            </w:tcBorders>
            <w:vAlign w:val="center"/>
          </w:tcPr>
          <w:p w14:paraId="13E8A1FC">
            <w:pPr>
              <w:widowControl/>
              <w:spacing w:line="240" w:lineRule="auto"/>
              <w:rPr>
                <w:rFonts w:ascii="宋体" w:cs="宋体"/>
                <w:color w:val="auto"/>
                <w:sz w:val="20"/>
                <w:highlight w:val="none"/>
              </w:rPr>
            </w:pPr>
            <w:r>
              <w:rPr>
                <w:rFonts w:hint="eastAsia" w:ascii="宋体" w:cs="宋体"/>
                <w:color w:val="auto"/>
                <w:sz w:val="20"/>
                <w:highlight w:val="none"/>
              </w:rPr>
              <w:t>9400≤Y＜80000</w:t>
            </w:r>
          </w:p>
        </w:tc>
        <w:tc>
          <w:tcPr>
            <w:tcW w:w="1677" w:type="dxa"/>
            <w:tcBorders>
              <w:top w:val="nil"/>
              <w:left w:val="nil"/>
              <w:bottom w:val="single" w:color="auto" w:sz="4" w:space="0"/>
              <w:right w:val="single" w:color="auto" w:sz="8" w:space="0"/>
            </w:tcBorders>
            <w:vAlign w:val="center"/>
          </w:tcPr>
          <w:p w14:paraId="66FA42F0">
            <w:pPr>
              <w:widowControl/>
              <w:spacing w:line="240" w:lineRule="auto"/>
              <w:rPr>
                <w:rFonts w:ascii="宋体" w:cs="宋体"/>
                <w:color w:val="auto"/>
                <w:sz w:val="20"/>
                <w:highlight w:val="none"/>
              </w:rPr>
            </w:pPr>
            <w:r>
              <w:rPr>
                <w:rFonts w:hint="eastAsia" w:ascii="宋体" w:cs="宋体"/>
                <w:color w:val="auto"/>
                <w:sz w:val="20"/>
                <w:highlight w:val="none"/>
              </w:rPr>
              <w:t>5000≤Z＜80000</w:t>
            </w:r>
          </w:p>
        </w:tc>
        <w:tc>
          <w:tcPr>
            <w:tcW w:w="1252" w:type="dxa"/>
            <w:tcBorders>
              <w:top w:val="nil"/>
              <w:left w:val="nil"/>
              <w:bottom w:val="single" w:color="auto" w:sz="4" w:space="0"/>
              <w:right w:val="single" w:color="auto" w:sz="4" w:space="0"/>
            </w:tcBorders>
            <w:vAlign w:val="center"/>
          </w:tcPr>
          <w:p w14:paraId="005B1BD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494" w:type="dxa"/>
            <w:tcBorders>
              <w:top w:val="nil"/>
              <w:left w:val="nil"/>
              <w:bottom w:val="single" w:color="auto" w:sz="4" w:space="0"/>
              <w:right w:val="single" w:color="auto" w:sz="4" w:space="0"/>
            </w:tcBorders>
            <w:vAlign w:val="center"/>
          </w:tcPr>
          <w:p w14:paraId="3D0091A1">
            <w:pPr>
              <w:widowControl/>
              <w:spacing w:line="240" w:lineRule="auto"/>
              <w:rPr>
                <w:rFonts w:ascii="宋体" w:cs="宋体"/>
                <w:color w:val="auto"/>
                <w:sz w:val="20"/>
                <w:highlight w:val="none"/>
              </w:rPr>
            </w:pPr>
            <w:r>
              <w:rPr>
                <w:rFonts w:hint="eastAsia" w:ascii="宋体" w:cs="宋体"/>
                <w:color w:val="auto"/>
                <w:sz w:val="20"/>
                <w:highlight w:val="none"/>
              </w:rPr>
              <w:t>300≤Y＜9400</w:t>
            </w:r>
          </w:p>
        </w:tc>
        <w:tc>
          <w:tcPr>
            <w:tcW w:w="1536" w:type="dxa"/>
            <w:tcBorders>
              <w:top w:val="nil"/>
              <w:left w:val="nil"/>
              <w:bottom w:val="single" w:color="auto" w:sz="4" w:space="0"/>
              <w:right w:val="single" w:color="auto" w:sz="8" w:space="0"/>
            </w:tcBorders>
            <w:vAlign w:val="center"/>
          </w:tcPr>
          <w:p w14:paraId="52A67B69">
            <w:pPr>
              <w:widowControl/>
              <w:spacing w:line="240" w:lineRule="auto"/>
              <w:rPr>
                <w:rFonts w:ascii="宋体" w:cs="宋体"/>
                <w:color w:val="auto"/>
                <w:sz w:val="20"/>
                <w:highlight w:val="none"/>
              </w:rPr>
            </w:pPr>
            <w:r>
              <w:rPr>
                <w:rFonts w:hint="eastAsia" w:ascii="宋体" w:cs="宋体"/>
                <w:color w:val="auto"/>
                <w:sz w:val="20"/>
                <w:highlight w:val="none"/>
              </w:rPr>
              <w:t xml:space="preserve"> 300≤Z＜5000</w:t>
            </w:r>
          </w:p>
        </w:tc>
        <w:tc>
          <w:tcPr>
            <w:tcW w:w="1297" w:type="dxa"/>
            <w:tcBorders>
              <w:top w:val="nil"/>
              <w:left w:val="nil"/>
              <w:bottom w:val="single" w:color="auto" w:sz="4" w:space="0"/>
              <w:right w:val="single" w:color="auto" w:sz="4" w:space="0"/>
            </w:tcBorders>
            <w:vAlign w:val="center"/>
          </w:tcPr>
          <w:p w14:paraId="081776A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87" w:type="dxa"/>
            <w:tcBorders>
              <w:top w:val="nil"/>
              <w:left w:val="nil"/>
              <w:bottom w:val="single" w:color="auto" w:sz="4" w:space="0"/>
              <w:right w:val="single" w:color="auto" w:sz="4" w:space="0"/>
            </w:tcBorders>
            <w:vAlign w:val="center"/>
          </w:tcPr>
          <w:p w14:paraId="30BAC784">
            <w:pPr>
              <w:widowControl/>
              <w:spacing w:line="240" w:lineRule="auto"/>
              <w:rPr>
                <w:rFonts w:ascii="宋体" w:cs="宋体"/>
                <w:color w:val="auto"/>
                <w:sz w:val="20"/>
                <w:highlight w:val="none"/>
              </w:rPr>
            </w:pPr>
            <w:r>
              <w:rPr>
                <w:rFonts w:hint="eastAsia" w:ascii="宋体" w:cs="宋体"/>
                <w:color w:val="auto"/>
                <w:sz w:val="20"/>
                <w:highlight w:val="none"/>
              </w:rPr>
              <w:t>Y＜300</w:t>
            </w:r>
          </w:p>
        </w:tc>
        <w:tc>
          <w:tcPr>
            <w:tcW w:w="1234" w:type="dxa"/>
            <w:tcBorders>
              <w:top w:val="nil"/>
              <w:left w:val="nil"/>
              <w:bottom w:val="single" w:color="auto" w:sz="4" w:space="0"/>
              <w:right w:val="single" w:color="auto" w:sz="8" w:space="0"/>
            </w:tcBorders>
            <w:vAlign w:val="center"/>
          </w:tcPr>
          <w:p w14:paraId="26ACC9DB">
            <w:pPr>
              <w:widowControl/>
              <w:spacing w:line="240" w:lineRule="auto"/>
              <w:rPr>
                <w:rFonts w:ascii="宋体" w:cs="宋体"/>
                <w:color w:val="auto"/>
                <w:sz w:val="20"/>
                <w:highlight w:val="none"/>
              </w:rPr>
            </w:pPr>
            <w:r>
              <w:rPr>
                <w:rFonts w:hint="eastAsia" w:ascii="宋体" w:cs="宋体"/>
                <w:color w:val="auto"/>
                <w:sz w:val="20"/>
                <w:highlight w:val="none"/>
              </w:rPr>
              <w:t>Z＜300</w:t>
            </w:r>
          </w:p>
        </w:tc>
      </w:tr>
      <w:tr w14:paraId="2ECDC108">
        <w:tblPrEx>
          <w:tblCellMar>
            <w:top w:w="0" w:type="dxa"/>
            <w:left w:w="108" w:type="dxa"/>
            <w:bottom w:w="0" w:type="dxa"/>
            <w:right w:w="108" w:type="dxa"/>
          </w:tblCellMar>
        </w:tblPrEx>
        <w:trPr>
          <w:gridAfter w:val="1"/>
          <w:wAfter w:w="9" w:type="dxa"/>
          <w:trHeight w:val="124" w:hRule="atLeast"/>
        </w:trPr>
        <w:tc>
          <w:tcPr>
            <w:tcW w:w="2003" w:type="dxa"/>
            <w:tcBorders>
              <w:top w:val="nil"/>
              <w:left w:val="single" w:color="auto" w:sz="8" w:space="0"/>
              <w:bottom w:val="single" w:color="auto" w:sz="4" w:space="0"/>
              <w:right w:val="single" w:color="auto" w:sz="8" w:space="0"/>
            </w:tcBorders>
            <w:vAlign w:val="bottom"/>
          </w:tcPr>
          <w:p w14:paraId="65ABC32F">
            <w:pPr>
              <w:widowControl/>
              <w:spacing w:line="240" w:lineRule="auto"/>
              <w:rPr>
                <w:rFonts w:ascii="宋体" w:cs="宋体"/>
                <w:color w:val="auto"/>
                <w:sz w:val="20"/>
                <w:highlight w:val="none"/>
              </w:rPr>
            </w:pPr>
            <w:r>
              <w:rPr>
                <w:rFonts w:hint="eastAsia" w:ascii="宋体" w:cs="宋体"/>
                <w:color w:val="auto"/>
                <w:sz w:val="20"/>
                <w:highlight w:val="none"/>
              </w:rPr>
              <w:t xml:space="preserve"> 4、批发业</w:t>
            </w:r>
          </w:p>
        </w:tc>
        <w:tc>
          <w:tcPr>
            <w:tcW w:w="1512" w:type="dxa"/>
            <w:tcBorders>
              <w:top w:val="nil"/>
              <w:left w:val="nil"/>
              <w:bottom w:val="single" w:color="auto" w:sz="4" w:space="0"/>
              <w:right w:val="single" w:color="auto" w:sz="4" w:space="0"/>
            </w:tcBorders>
            <w:vAlign w:val="center"/>
          </w:tcPr>
          <w:p w14:paraId="35D07123">
            <w:pPr>
              <w:widowControl/>
              <w:spacing w:line="240" w:lineRule="auto"/>
              <w:rPr>
                <w:rFonts w:ascii="宋体" w:cs="宋体"/>
                <w:color w:val="auto"/>
                <w:sz w:val="20"/>
                <w:highlight w:val="none"/>
              </w:rPr>
            </w:pPr>
            <w:r>
              <w:rPr>
                <w:rFonts w:hint="eastAsia" w:ascii="宋体" w:cs="宋体"/>
                <w:color w:val="auto"/>
                <w:sz w:val="20"/>
                <w:highlight w:val="none"/>
              </w:rPr>
              <w:t xml:space="preserve"> 20≤X＜200</w:t>
            </w:r>
          </w:p>
        </w:tc>
        <w:tc>
          <w:tcPr>
            <w:tcW w:w="1779" w:type="dxa"/>
            <w:tcBorders>
              <w:top w:val="nil"/>
              <w:left w:val="nil"/>
              <w:bottom w:val="single" w:color="auto" w:sz="4" w:space="0"/>
              <w:right w:val="single" w:color="auto" w:sz="4" w:space="0"/>
            </w:tcBorders>
            <w:vAlign w:val="center"/>
          </w:tcPr>
          <w:p w14:paraId="24EE8C39">
            <w:pPr>
              <w:widowControl/>
              <w:spacing w:line="240" w:lineRule="auto"/>
              <w:rPr>
                <w:rFonts w:ascii="宋体" w:cs="宋体"/>
                <w:color w:val="auto"/>
                <w:sz w:val="20"/>
                <w:highlight w:val="none"/>
              </w:rPr>
            </w:pPr>
            <w:r>
              <w:rPr>
                <w:rFonts w:hint="eastAsia" w:ascii="宋体" w:cs="宋体"/>
                <w:color w:val="auto"/>
                <w:sz w:val="20"/>
                <w:highlight w:val="none"/>
              </w:rPr>
              <w:t>5000≤Y＜40000</w:t>
            </w:r>
          </w:p>
        </w:tc>
        <w:tc>
          <w:tcPr>
            <w:tcW w:w="1677" w:type="dxa"/>
            <w:tcBorders>
              <w:top w:val="nil"/>
              <w:left w:val="nil"/>
              <w:bottom w:val="single" w:color="auto" w:sz="4" w:space="0"/>
              <w:right w:val="single" w:color="auto" w:sz="8" w:space="0"/>
            </w:tcBorders>
            <w:vAlign w:val="center"/>
          </w:tcPr>
          <w:p w14:paraId="397AA51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62B6136C">
            <w:pPr>
              <w:widowControl/>
              <w:spacing w:line="240" w:lineRule="auto"/>
              <w:rPr>
                <w:rFonts w:ascii="宋体" w:cs="宋体"/>
                <w:color w:val="auto"/>
                <w:sz w:val="20"/>
                <w:highlight w:val="none"/>
              </w:rPr>
            </w:pPr>
            <w:r>
              <w:rPr>
                <w:rFonts w:hint="eastAsia" w:ascii="宋体" w:cs="宋体"/>
                <w:color w:val="auto"/>
                <w:sz w:val="20"/>
                <w:highlight w:val="none"/>
              </w:rPr>
              <w:t xml:space="preserve"> 5≤X＜20</w:t>
            </w:r>
          </w:p>
        </w:tc>
        <w:tc>
          <w:tcPr>
            <w:tcW w:w="1494" w:type="dxa"/>
            <w:tcBorders>
              <w:top w:val="nil"/>
              <w:left w:val="nil"/>
              <w:bottom w:val="single" w:color="auto" w:sz="4" w:space="0"/>
              <w:right w:val="single" w:color="auto" w:sz="4" w:space="0"/>
            </w:tcBorders>
            <w:vAlign w:val="center"/>
          </w:tcPr>
          <w:p w14:paraId="4D12ACC7">
            <w:pPr>
              <w:widowControl/>
              <w:spacing w:line="240" w:lineRule="auto"/>
              <w:rPr>
                <w:rFonts w:ascii="宋体" w:cs="宋体"/>
                <w:color w:val="auto"/>
                <w:sz w:val="20"/>
                <w:highlight w:val="none"/>
              </w:rPr>
            </w:pPr>
            <w:r>
              <w:rPr>
                <w:rFonts w:hint="eastAsia" w:ascii="宋体" w:cs="宋体"/>
                <w:color w:val="auto"/>
                <w:sz w:val="20"/>
                <w:highlight w:val="none"/>
              </w:rPr>
              <w:t>1000≤Y＜5000</w:t>
            </w:r>
          </w:p>
        </w:tc>
        <w:tc>
          <w:tcPr>
            <w:tcW w:w="1536" w:type="dxa"/>
            <w:tcBorders>
              <w:top w:val="nil"/>
              <w:left w:val="nil"/>
              <w:bottom w:val="single" w:color="auto" w:sz="4" w:space="0"/>
              <w:right w:val="single" w:color="auto" w:sz="8" w:space="0"/>
            </w:tcBorders>
            <w:vAlign w:val="center"/>
          </w:tcPr>
          <w:p w14:paraId="5D9FDE3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5FF3681B">
            <w:pPr>
              <w:widowControl/>
              <w:spacing w:line="240" w:lineRule="auto"/>
              <w:rPr>
                <w:rFonts w:ascii="宋体" w:cs="宋体"/>
                <w:color w:val="auto"/>
                <w:sz w:val="20"/>
                <w:highlight w:val="none"/>
              </w:rPr>
            </w:pPr>
            <w:r>
              <w:rPr>
                <w:rFonts w:hint="eastAsia" w:ascii="宋体" w:cs="宋体"/>
                <w:color w:val="auto"/>
                <w:sz w:val="20"/>
                <w:highlight w:val="none"/>
              </w:rPr>
              <w:t>X＜5</w:t>
            </w:r>
          </w:p>
        </w:tc>
        <w:tc>
          <w:tcPr>
            <w:tcW w:w="1287" w:type="dxa"/>
            <w:tcBorders>
              <w:top w:val="nil"/>
              <w:left w:val="nil"/>
              <w:bottom w:val="single" w:color="auto" w:sz="4" w:space="0"/>
              <w:right w:val="single" w:color="auto" w:sz="4" w:space="0"/>
            </w:tcBorders>
            <w:vAlign w:val="center"/>
          </w:tcPr>
          <w:p w14:paraId="09C9C0E5">
            <w:pPr>
              <w:widowControl/>
              <w:spacing w:line="240" w:lineRule="auto"/>
              <w:rPr>
                <w:rFonts w:ascii="宋体" w:cs="宋体"/>
                <w:color w:val="auto"/>
                <w:sz w:val="20"/>
                <w:highlight w:val="none"/>
              </w:rPr>
            </w:pPr>
            <w:r>
              <w:rPr>
                <w:rFonts w:hint="eastAsia" w:ascii="宋体" w:cs="宋体"/>
                <w:color w:val="auto"/>
                <w:sz w:val="20"/>
                <w:highlight w:val="none"/>
              </w:rPr>
              <w:t>Y＜1000</w:t>
            </w:r>
          </w:p>
        </w:tc>
        <w:tc>
          <w:tcPr>
            <w:tcW w:w="1234" w:type="dxa"/>
            <w:tcBorders>
              <w:top w:val="nil"/>
              <w:left w:val="nil"/>
              <w:bottom w:val="single" w:color="auto" w:sz="4" w:space="0"/>
              <w:right w:val="single" w:color="auto" w:sz="8" w:space="0"/>
            </w:tcBorders>
            <w:vAlign w:val="center"/>
          </w:tcPr>
          <w:p w14:paraId="6A58D17E">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7C8AA0EE">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1F11BC92">
            <w:pPr>
              <w:widowControl/>
              <w:spacing w:line="240" w:lineRule="auto"/>
              <w:rPr>
                <w:rFonts w:ascii="宋体" w:cs="宋体"/>
                <w:color w:val="auto"/>
                <w:sz w:val="20"/>
                <w:highlight w:val="none"/>
              </w:rPr>
            </w:pPr>
            <w:r>
              <w:rPr>
                <w:rFonts w:hint="eastAsia" w:ascii="宋体" w:cs="宋体"/>
                <w:color w:val="auto"/>
                <w:sz w:val="20"/>
                <w:highlight w:val="none"/>
              </w:rPr>
              <w:t xml:space="preserve"> 5、零售业</w:t>
            </w:r>
          </w:p>
        </w:tc>
        <w:tc>
          <w:tcPr>
            <w:tcW w:w="1512" w:type="dxa"/>
            <w:tcBorders>
              <w:top w:val="nil"/>
              <w:left w:val="nil"/>
              <w:bottom w:val="single" w:color="auto" w:sz="4" w:space="0"/>
              <w:right w:val="single" w:color="auto" w:sz="4" w:space="0"/>
            </w:tcBorders>
            <w:vAlign w:val="center"/>
          </w:tcPr>
          <w:p w14:paraId="08B1D6E6">
            <w:pPr>
              <w:widowControl/>
              <w:spacing w:line="240" w:lineRule="auto"/>
              <w:rPr>
                <w:rFonts w:ascii="宋体" w:cs="宋体"/>
                <w:color w:val="auto"/>
                <w:sz w:val="20"/>
                <w:highlight w:val="none"/>
              </w:rPr>
            </w:pPr>
            <w:r>
              <w:rPr>
                <w:rFonts w:hint="eastAsia" w:ascii="宋体" w:cs="宋体"/>
                <w:color w:val="auto"/>
                <w:sz w:val="20"/>
                <w:highlight w:val="none"/>
              </w:rPr>
              <w:t xml:space="preserve"> 50≤X＜300</w:t>
            </w:r>
          </w:p>
        </w:tc>
        <w:tc>
          <w:tcPr>
            <w:tcW w:w="1779" w:type="dxa"/>
            <w:tcBorders>
              <w:top w:val="nil"/>
              <w:left w:val="nil"/>
              <w:bottom w:val="single" w:color="auto" w:sz="4" w:space="0"/>
              <w:right w:val="single" w:color="auto" w:sz="4" w:space="0"/>
            </w:tcBorders>
            <w:vAlign w:val="center"/>
          </w:tcPr>
          <w:p w14:paraId="37B17EC9">
            <w:pPr>
              <w:widowControl/>
              <w:spacing w:line="240" w:lineRule="auto"/>
              <w:rPr>
                <w:rFonts w:ascii="宋体" w:cs="宋体"/>
                <w:color w:val="auto"/>
                <w:sz w:val="20"/>
                <w:highlight w:val="none"/>
              </w:rPr>
            </w:pPr>
            <w:r>
              <w:rPr>
                <w:rFonts w:hint="eastAsia" w:ascii="宋体" w:cs="宋体"/>
                <w:color w:val="auto"/>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19098492">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02955C5A">
            <w:pPr>
              <w:widowControl/>
              <w:spacing w:line="240" w:lineRule="auto"/>
              <w:rPr>
                <w:rFonts w:ascii="宋体" w:cs="宋体"/>
                <w:color w:val="auto"/>
                <w:sz w:val="20"/>
                <w:highlight w:val="none"/>
              </w:rPr>
            </w:pPr>
            <w:r>
              <w:rPr>
                <w:rFonts w:hint="eastAsia" w:ascii="宋体" w:cs="宋体"/>
                <w:color w:val="auto"/>
                <w:sz w:val="20"/>
                <w:highlight w:val="none"/>
              </w:rPr>
              <w:t>10≤X＜50</w:t>
            </w:r>
          </w:p>
        </w:tc>
        <w:tc>
          <w:tcPr>
            <w:tcW w:w="1494" w:type="dxa"/>
            <w:tcBorders>
              <w:top w:val="nil"/>
              <w:left w:val="nil"/>
              <w:bottom w:val="single" w:color="auto" w:sz="4" w:space="0"/>
              <w:right w:val="single" w:color="auto" w:sz="4" w:space="0"/>
            </w:tcBorders>
            <w:vAlign w:val="center"/>
          </w:tcPr>
          <w:p w14:paraId="427EEE5E">
            <w:pPr>
              <w:widowControl/>
              <w:spacing w:line="240" w:lineRule="auto"/>
              <w:rPr>
                <w:rFonts w:ascii="宋体" w:cs="宋体"/>
                <w:color w:val="auto"/>
                <w:sz w:val="20"/>
                <w:highlight w:val="none"/>
              </w:rPr>
            </w:pPr>
            <w:r>
              <w:rPr>
                <w:rFonts w:hint="eastAsia" w:ascii="宋体" w:cs="宋体"/>
                <w:color w:val="auto"/>
                <w:sz w:val="20"/>
                <w:highlight w:val="none"/>
              </w:rPr>
              <w:t>100≤Y＜500</w:t>
            </w:r>
          </w:p>
        </w:tc>
        <w:tc>
          <w:tcPr>
            <w:tcW w:w="1536" w:type="dxa"/>
            <w:tcBorders>
              <w:top w:val="nil"/>
              <w:left w:val="nil"/>
              <w:bottom w:val="single" w:color="auto" w:sz="4" w:space="0"/>
              <w:right w:val="single" w:color="auto" w:sz="8" w:space="0"/>
            </w:tcBorders>
            <w:vAlign w:val="center"/>
          </w:tcPr>
          <w:p w14:paraId="21154B77">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70159227">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456CBF34">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6277C677">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5090D0FE">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573A63F5">
            <w:pPr>
              <w:widowControl/>
              <w:spacing w:line="240" w:lineRule="auto"/>
              <w:rPr>
                <w:rFonts w:ascii="宋体" w:cs="宋体"/>
                <w:color w:val="auto"/>
                <w:sz w:val="20"/>
                <w:highlight w:val="none"/>
              </w:rPr>
            </w:pPr>
            <w:r>
              <w:rPr>
                <w:rFonts w:hint="eastAsia" w:ascii="宋体" w:cs="宋体"/>
                <w:color w:val="auto"/>
                <w:sz w:val="20"/>
                <w:highlight w:val="none"/>
              </w:rPr>
              <w:t xml:space="preserve"> 6、交通运输业</w:t>
            </w:r>
          </w:p>
        </w:tc>
        <w:tc>
          <w:tcPr>
            <w:tcW w:w="1512" w:type="dxa"/>
            <w:tcBorders>
              <w:top w:val="nil"/>
              <w:left w:val="nil"/>
              <w:bottom w:val="single" w:color="auto" w:sz="4" w:space="0"/>
              <w:right w:val="single" w:color="auto" w:sz="4" w:space="0"/>
            </w:tcBorders>
            <w:vAlign w:val="center"/>
          </w:tcPr>
          <w:p w14:paraId="6A8C5065">
            <w:pPr>
              <w:widowControl/>
              <w:spacing w:line="240" w:lineRule="auto"/>
              <w:rPr>
                <w:rFonts w:ascii="宋体" w:cs="宋体"/>
                <w:color w:val="auto"/>
                <w:sz w:val="20"/>
                <w:highlight w:val="none"/>
              </w:rPr>
            </w:pPr>
            <w:r>
              <w:rPr>
                <w:rFonts w:hint="eastAsia" w:ascii="宋体" w:cs="宋体"/>
                <w:color w:val="auto"/>
                <w:sz w:val="20"/>
                <w:highlight w:val="none"/>
              </w:rPr>
              <w:t>300≤X＜1000</w:t>
            </w:r>
          </w:p>
        </w:tc>
        <w:tc>
          <w:tcPr>
            <w:tcW w:w="1779" w:type="dxa"/>
            <w:tcBorders>
              <w:top w:val="nil"/>
              <w:left w:val="nil"/>
              <w:bottom w:val="single" w:color="auto" w:sz="4" w:space="0"/>
              <w:right w:val="single" w:color="auto" w:sz="4" w:space="0"/>
            </w:tcBorders>
            <w:vAlign w:val="center"/>
          </w:tcPr>
          <w:p w14:paraId="5D38EE40">
            <w:pPr>
              <w:widowControl/>
              <w:spacing w:line="240" w:lineRule="auto"/>
              <w:rPr>
                <w:rFonts w:ascii="宋体" w:cs="宋体"/>
                <w:color w:val="auto"/>
                <w:sz w:val="20"/>
                <w:highlight w:val="none"/>
              </w:rPr>
            </w:pPr>
            <w:r>
              <w:rPr>
                <w:rFonts w:hint="eastAsia" w:ascii="宋体" w:cs="宋体"/>
                <w:color w:val="auto"/>
                <w:sz w:val="20"/>
                <w:highlight w:val="none"/>
              </w:rPr>
              <w:t>3000≤Y＜30000</w:t>
            </w:r>
          </w:p>
        </w:tc>
        <w:tc>
          <w:tcPr>
            <w:tcW w:w="1677" w:type="dxa"/>
            <w:tcBorders>
              <w:top w:val="nil"/>
              <w:left w:val="nil"/>
              <w:bottom w:val="single" w:color="auto" w:sz="4" w:space="0"/>
              <w:right w:val="single" w:color="auto" w:sz="8" w:space="0"/>
            </w:tcBorders>
            <w:vAlign w:val="center"/>
          </w:tcPr>
          <w:p w14:paraId="2B165D0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3D4E57D2">
            <w:pPr>
              <w:widowControl/>
              <w:spacing w:line="240" w:lineRule="auto"/>
              <w:rPr>
                <w:rFonts w:ascii="宋体" w:cs="宋体"/>
                <w:color w:val="auto"/>
                <w:sz w:val="20"/>
                <w:highlight w:val="none"/>
              </w:rPr>
            </w:pPr>
            <w:r>
              <w:rPr>
                <w:rFonts w:hint="eastAsia" w:ascii="宋体" w:cs="宋体"/>
                <w:color w:val="auto"/>
                <w:sz w:val="20"/>
                <w:highlight w:val="none"/>
              </w:rPr>
              <w:t>20≤X＜300</w:t>
            </w:r>
          </w:p>
        </w:tc>
        <w:tc>
          <w:tcPr>
            <w:tcW w:w="1494" w:type="dxa"/>
            <w:tcBorders>
              <w:top w:val="nil"/>
              <w:left w:val="nil"/>
              <w:bottom w:val="single" w:color="auto" w:sz="4" w:space="0"/>
              <w:right w:val="single" w:color="auto" w:sz="4" w:space="0"/>
            </w:tcBorders>
            <w:vAlign w:val="center"/>
          </w:tcPr>
          <w:p w14:paraId="5F2FB8C2">
            <w:pPr>
              <w:widowControl/>
              <w:spacing w:line="240" w:lineRule="auto"/>
              <w:rPr>
                <w:rFonts w:ascii="宋体" w:cs="宋体"/>
                <w:color w:val="auto"/>
                <w:sz w:val="20"/>
                <w:highlight w:val="none"/>
              </w:rPr>
            </w:pPr>
            <w:r>
              <w:rPr>
                <w:rFonts w:hint="eastAsia" w:ascii="宋体" w:cs="宋体"/>
                <w:color w:val="auto"/>
                <w:sz w:val="20"/>
                <w:highlight w:val="none"/>
              </w:rPr>
              <w:t>200≤Y＜3000</w:t>
            </w:r>
          </w:p>
        </w:tc>
        <w:tc>
          <w:tcPr>
            <w:tcW w:w="1536" w:type="dxa"/>
            <w:tcBorders>
              <w:top w:val="nil"/>
              <w:left w:val="nil"/>
              <w:bottom w:val="single" w:color="auto" w:sz="4" w:space="0"/>
              <w:right w:val="single" w:color="auto" w:sz="8" w:space="0"/>
            </w:tcBorders>
            <w:vAlign w:val="center"/>
          </w:tcPr>
          <w:p w14:paraId="54D93C0D">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69FBFE16">
            <w:pPr>
              <w:widowControl/>
              <w:spacing w:line="240" w:lineRule="auto"/>
              <w:rPr>
                <w:rFonts w:ascii="宋体" w:cs="宋体"/>
                <w:color w:val="auto"/>
                <w:sz w:val="20"/>
                <w:highlight w:val="none"/>
              </w:rPr>
            </w:pPr>
            <w:r>
              <w:rPr>
                <w:rFonts w:hint="eastAsia" w:ascii="宋体" w:cs="宋体"/>
                <w:color w:val="auto"/>
                <w:sz w:val="20"/>
                <w:highlight w:val="none"/>
              </w:rPr>
              <w:t>X＜20</w:t>
            </w:r>
          </w:p>
        </w:tc>
        <w:tc>
          <w:tcPr>
            <w:tcW w:w="1287" w:type="dxa"/>
            <w:tcBorders>
              <w:top w:val="nil"/>
              <w:left w:val="nil"/>
              <w:bottom w:val="single" w:color="auto" w:sz="4" w:space="0"/>
              <w:right w:val="single" w:color="auto" w:sz="4" w:space="0"/>
            </w:tcBorders>
            <w:vAlign w:val="center"/>
          </w:tcPr>
          <w:p w14:paraId="5CC6D074">
            <w:pPr>
              <w:widowControl/>
              <w:spacing w:line="240" w:lineRule="auto"/>
              <w:rPr>
                <w:rFonts w:ascii="宋体" w:cs="宋体"/>
                <w:color w:val="auto"/>
                <w:sz w:val="20"/>
                <w:highlight w:val="none"/>
              </w:rPr>
            </w:pPr>
            <w:r>
              <w:rPr>
                <w:rFonts w:hint="eastAsia" w:ascii="宋体" w:cs="宋体"/>
                <w:color w:val="auto"/>
                <w:sz w:val="20"/>
                <w:highlight w:val="none"/>
              </w:rPr>
              <w:t>V＜200</w:t>
            </w:r>
          </w:p>
        </w:tc>
        <w:tc>
          <w:tcPr>
            <w:tcW w:w="1234" w:type="dxa"/>
            <w:tcBorders>
              <w:top w:val="nil"/>
              <w:left w:val="nil"/>
              <w:bottom w:val="single" w:color="auto" w:sz="4" w:space="0"/>
              <w:right w:val="single" w:color="auto" w:sz="8" w:space="0"/>
            </w:tcBorders>
            <w:vAlign w:val="center"/>
          </w:tcPr>
          <w:p w14:paraId="1D7BC781">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2B55CEB4">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445E975B">
            <w:pPr>
              <w:widowControl/>
              <w:spacing w:line="240" w:lineRule="auto"/>
              <w:rPr>
                <w:rFonts w:ascii="宋体" w:cs="宋体"/>
                <w:color w:val="auto"/>
                <w:sz w:val="20"/>
                <w:highlight w:val="none"/>
              </w:rPr>
            </w:pPr>
            <w:r>
              <w:rPr>
                <w:rFonts w:hint="eastAsia" w:ascii="宋体" w:cs="宋体"/>
                <w:color w:val="auto"/>
                <w:sz w:val="20"/>
                <w:highlight w:val="none"/>
              </w:rPr>
              <w:t xml:space="preserve"> 7、仓储业</w:t>
            </w:r>
          </w:p>
        </w:tc>
        <w:tc>
          <w:tcPr>
            <w:tcW w:w="1512" w:type="dxa"/>
            <w:tcBorders>
              <w:top w:val="nil"/>
              <w:left w:val="nil"/>
              <w:bottom w:val="single" w:color="auto" w:sz="4" w:space="0"/>
              <w:right w:val="single" w:color="auto" w:sz="4" w:space="0"/>
            </w:tcBorders>
            <w:vAlign w:val="center"/>
          </w:tcPr>
          <w:p w14:paraId="6AF60965">
            <w:pPr>
              <w:widowControl/>
              <w:spacing w:line="240" w:lineRule="auto"/>
              <w:rPr>
                <w:rFonts w:ascii="宋体" w:cs="宋体"/>
                <w:color w:val="auto"/>
                <w:sz w:val="20"/>
                <w:highlight w:val="none"/>
              </w:rPr>
            </w:pPr>
            <w:r>
              <w:rPr>
                <w:rFonts w:hint="eastAsia" w:ascii="宋体" w:cs="宋体"/>
                <w:color w:val="auto"/>
                <w:sz w:val="20"/>
                <w:highlight w:val="none"/>
              </w:rPr>
              <w:t>100≤X＜200</w:t>
            </w:r>
          </w:p>
        </w:tc>
        <w:tc>
          <w:tcPr>
            <w:tcW w:w="1779" w:type="dxa"/>
            <w:tcBorders>
              <w:top w:val="nil"/>
              <w:left w:val="nil"/>
              <w:bottom w:val="single" w:color="auto" w:sz="4" w:space="0"/>
              <w:right w:val="single" w:color="auto" w:sz="4" w:space="0"/>
            </w:tcBorders>
            <w:vAlign w:val="center"/>
          </w:tcPr>
          <w:p w14:paraId="780F3ACC">
            <w:pPr>
              <w:widowControl/>
              <w:spacing w:line="240" w:lineRule="auto"/>
              <w:rPr>
                <w:rFonts w:ascii="宋体" w:cs="宋体"/>
                <w:color w:val="auto"/>
                <w:sz w:val="20"/>
                <w:highlight w:val="none"/>
              </w:rPr>
            </w:pPr>
            <w:r>
              <w:rPr>
                <w:rFonts w:hint="eastAsia" w:ascii="宋体" w:cs="宋体"/>
                <w:color w:val="auto"/>
                <w:sz w:val="20"/>
                <w:highlight w:val="none"/>
              </w:rPr>
              <w:t>1000≤Y＜30000</w:t>
            </w:r>
          </w:p>
        </w:tc>
        <w:tc>
          <w:tcPr>
            <w:tcW w:w="1677" w:type="dxa"/>
            <w:tcBorders>
              <w:top w:val="nil"/>
              <w:left w:val="nil"/>
              <w:bottom w:val="single" w:color="auto" w:sz="4" w:space="0"/>
              <w:right w:val="single" w:color="auto" w:sz="8" w:space="0"/>
            </w:tcBorders>
            <w:vAlign w:val="center"/>
          </w:tcPr>
          <w:p w14:paraId="72F5A18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4132FD32">
            <w:pPr>
              <w:widowControl/>
              <w:spacing w:line="240" w:lineRule="auto"/>
              <w:rPr>
                <w:rFonts w:ascii="宋体" w:cs="宋体"/>
                <w:color w:val="auto"/>
                <w:sz w:val="20"/>
                <w:highlight w:val="none"/>
              </w:rPr>
            </w:pPr>
            <w:r>
              <w:rPr>
                <w:rFonts w:hint="eastAsia" w:ascii="宋体" w:cs="宋体"/>
                <w:color w:val="auto"/>
                <w:sz w:val="20"/>
                <w:highlight w:val="none"/>
              </w:rPr>
              <w:t>20≤X＜100</w:t>
            </w:r>
          </w:p>
        </w:tc>
        <w:tc>
          <w:tcPr>
            <w:tcW w:w="1494" w:type="dxa"/>
            <w:tcBorders>
              <w:top w:val="nil"/>
              <w:left w:val="nil"/>
              <w:bottom w:val="single" w:color="auto" w:sz="4" w:space="0"/>
              <w:right w:val="single" w:color="auto" w:sz="4" w:space="0"/>
            </w:tcBorders>
            <w:vAlign w:val="center"/>
          </w:tcPr>
          <w:p w14:paraId="0B2BF2EE">
            <w:pPr>
              <w:widowControl/>
              <w:spacing w:line="240" w:lineRule="auto"/>
              <w:rPr>
                <w:rFonts w:ascii="宋体" w:cs="宋体"/>
                <w:color w:val="auto"/>
                <w:sz w:val="20"/>
                <w:highlight w:val="none"/>
              </w:rPr>
            </w:pPr>
            <w:r>
              <w:rPr>
                <w:rFonts w:hint="eastAsia" w:ascii="宋体" w:cs="宋体"/>
                <w:color w:val="auto"/>
                <w:sz w:val="20"/>
                <w:highlight w:val="none"/>
              </w:rPr>
              <w:t>100≤Y＜1000</w:t>
            </w:r>
          </w:p>
        </w:tc>
        <w:tc>
          <w:tcPr>
            <w:tcW w:w="1536" w:type="dxa"/>
            <w:tcBorders>
              <w:top w:val="nil"/>
              <w:left w:val="nil"/>
              <w:bottom w:val="single" w:color="auto" w:sz="4" w:space="0"/>
              <w:right w:val="single" w:color="auto" w:sz="8" w:space="0"/>
            </w:tcBorders>
            <w:vAlign w:val="center"/>
          </w:tcPr>
          <w:p w14:paraId="2998915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63BACDE6">
            <w:pPr>
              <w:widowControl/>
              <w:spacing w:line="240" w:lineRule="auto"/>
              <w:rPr>
                <w:rFonts w:ascii="宋体" w:cs="宋体"/>
                <w:color w:val="auto"/>
                <w:sz w:val="20"/>
                <w:highlight w:val="none"/>
              </w:rPr>
            </w:pPr>
            <w:r>
              <w:rPr>
                <w:rFonts w:hint="eastAsia" w:ascii="宋体" w:cs="宋体"/>
                <w:color w:val="auto"/>
                <w:sz w:val="20"/>
                <w:highlight w:val="none"/>
              </w:rPr>
              <w:t>X＜20</w:t>
            </w:r>
          </w:p>
        </w:tc>
        <w:tc>
          <w:tcPr>
            <w:tcW w:w="1287" w:type="dxa"/>
            <w:tcBorders>
              <w:top w:val="nil"/>
              <w:left w:val="nil"/>
              <w:bottom w:val="single" w:color="auto" w:sz="4" w:space="0"/>
              <w:right w:val="single" w:color="auto" w:sz="4" w:space="0"/>
            </w:tcBorders>
            <w:vAlign w:val="center"/>
          </w:tcPr>
          <w:p w14:paraId="12C51DC0">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7B4FEC2B">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142DFC3A">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2D1E3721">
            <w:pPr>
              <w:widowControl/>
              <w:spacing w:line="240" w:lineRule="auto"/>
              <w:rPr>
                <w:rFonts w:ascii="宋体" w:cs="宋体"/>
                <w:color w:val="auto"/>
                <w:sz w:val="20"/>
                <w:highlight w:val="none"/>
              </w:rPr>
            </w:pPr>
            <w:r>
              <w:rPr>
                <w:rFonts w:hint="eastAsia" w:ascii="宋体" w:cs="宋体"/>
                <w:color w:val="auto"/>
                <w:sz w:val="20"/>
                <w:highlight w:val="none"/>
              </w:rPr>
              <w:t xml:space="preserve"> 8、邮政业</w:t>
            </w:r>
          </w:p>
        </w:tc>
        <w:tc>
          <w:tcPr>
            <w:tcW w:w="1512" w:type="dxa"/>
            <w:tcBorders>
              <w:top w:val="nil"/>
              <w:left w:val="nil"/>
              <w:bottom w:val="single" w:color="auto" w:sz="4" w:space="0"/>
              <w:right w:val="single" w:color="auto" w:sz="4" w:space="0"/>
            </w:tcBorders>
            <w:vAlign w:val="center"/>
          </w:tcPr>
          <w:p w14:paraId="3A443F45">
            <w:pPr>
              <w:widowControl/>
              <w:spacing w:line="240" w:lineRule="auto"/>
              <w:rPr>
                <w:rFonts w:ascii="宋体" w:cs="宋体"/>
                <w:color w:val="auto"/>
                <w:sz w:val="20"/>
                <w:highlight w:val="none"/>
              </w:rPr>
            </w:pPr>
            <w:r>
              <w:rPr>
                <w:rFonts w:hint="eastAsia" w:ascii="宋体" w:cs="宋体"/>
                <w:color w:val="auto"/>
                <w:sz w:val="20"/>
                <w:highlight w:val="none"/>
              </w:rPr>
              <w:t>300≤X＜1000</w:t>
            </w:r>
          </w:p>
        </w:tc>
        <w:tc>
          <w:tcPr>
            <w:tcW w:w="1779" w:type="dxa"/>
            <w:tcBorders>
              <w:top w:val="nil"/>
              <w:left w:val="nil"/>
              <w:bottom w:val="single" w:color="auto" w:sz="4" w:space="0"/>
              <w:right w:val="single" w:color="auto" w:sz="4" w:space="0"/>
            </w:tcBorders>
            <w:vAlign w:val="center"/>
          </w:tcPr>
          <w:p w14:paraId="7BB8EE39">
            <w:pPr>
              <w:widowControl/>
              <w:spacing w:line="240" w:lineRule="auto"/>
              <w:rPr>
                <w:rFonts w:ascii="宋体" w:cs="宋体"/>
                <w:color w:val="auto"/>
                <w:sz w:val="20"/>
                <w:highlight w:val="none"/>
              </w:rPr>
            </w:pPr>
            <w:r>
              <w:rPr>
                <w:rFonts w:hint="eastAsia" w:ascii="宋体" w:cs="宋体"/>
                <w:color w:val="auto"/>
                <w:sz w:val="20"/>
                <w:highlight w:val="none"/>
              </w:rPr>
              <w:t>2000≤Y＜30000</w:t>
            </w:r>
          </w:p>
        </w:tc>
        <w:tc>
          <w:tcPr>
            <w:tcW w:w="1677" w:type="dxa"/>
            <w:tcBorders>
              <w:top w:val="nil"/>
              <w:left w:val="nil"/>
              <w:bottom w:val="single" w:color="auto" w:sz="4" w:space="0"/>
              <w:right w:val="single" w:color="auto" w:sz="8" w:space="0"/>
            </w:tcBorders>
            <w:vAlign w:val="center"/>
          </w:tcPr>
          <w:p w14:paraId="58EBD1C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6D204760">
            <w:pPr>
              <w:widowControl/>
              <w:spacing w:line="240" w:lineRule="auto"/>
              <w:rPr>
                <w:rFonts w:ascii="宋体" w:cs="宋体"/>
                <w:color w:val="auto"/>
                <w:sz w:val="20"/>
                <w:highlight w:val="none"/>
              </w:rPr>
            </w:pPr>
            <w:r>
              <w:rPr>
                <w:rFonts w:hint="eastAsia" w:ascii="宋体" w:cs="宋体"/>
                <w:color w:val="auto"/>
                <w:sz w:val="20"/>
                <w:highlight w:val="none"/>
              </w:rPr>
              <w:t>20≤X＜300</w:t>
            </w:r>
          </w:p>
        </w:tc>
        <w:tc>
          <w:tcPr>
            <w:tcW w:w="1494" w:type="dxa"/>
            <w:tcBorders>
              <w:top w:val="nil"/>
              <w:left w:val="nil"/>
              <w:bottom w:val="single" w:color="auto" w:sz="4" w:space="0"/>
              <w:right w:val="single" w:color="auto" w:sz="4" w:space="0"/>
            </w:tcBorders>
            <w:vAlign w:val="center"/>
          </w:tcPr>
          <w:p w14:paraId="5FF8C852">
            <w:pPr>
              <w:widowControl/>
              <w:spacing w:line="240" w:lineRule="auto"/>
              <w:rPr>
                <w:rFonts w:ascii="宋体" w:cs="宋体"/>
                <w:color w:val="auto"/>
                <w:sz w:val="20"/>
                <w:highlight w:val="none"/>
              </w:rPr>
            </w:pPr>
            <w:r>
              <w:rPr>
                <w:rFonts w:hint="eastAsia" w:ascii="宋体" w:cs="宋体"/>
                <w:color w:val="auto"/>
                <w:sz w:val="20"/>
                <w:highlight w:val="none"/>
              </w:rPr>
              <w:t>100≤Y＜2000</w:t>
            </w:r>
          </w:p>
        </w:tc>
        <w:tc>
          <w:tcPr>
            <w:tcW w:w="1536" w:type="dxa"/>
            <w:tcBorders>
              <w:top w:val="nil"/>
              <w:left w:val="nil"/>
              <w:bottom w:val="single" w:color="auto" w:sz="4" w:space="0"/>
              <w:right w:val="single" w:color="auto" w:sz="8" w:space="0"/>
            </w:tcBorders>
            <w:vAlign w:val="center"/>
          </w:tcPr>
          <w:p w14:paraId="4AE8D18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2FD557F0">
            <w:pPr>
              <w:widowControl/>
              <w:spacing w:line="240" w:lineRule="auto"/>
              <w:rPr>
                <w:rFonts w:ascii="宋体" w:cs="宋体"/>
                <w:color w:val="auto"/>
                <w:sz w:val="20"/>
                <w:highlight w:val="none"/>
              </w:rPr>
            </w:pPr>
            <w:r>
              <w:rPr>
                <w:rFonts w:hint="eastAsia" w:ascii="宋体" w:cs="宋体"/>
                <w:color w:val="auto"/>
                <w:sz w:val="20"/>
                <w:highlight w:val="none"/>
              </w:rPr>
              <w:t>X＜20</w:t>
            </w:r>
          </w:p>
        </w:tc>
        <w:tc>
          <w:tcPr>
            <w:tcW w:w="1287" w:type="dxa"/>
            <w:tcBorders>
              <w:top w:val="nil"/>
              <w:left w:val="nil"/>
              <w:bottom w:val="single" w:color="auto" w:sz="4" w:space="0"/>
              <w:right w:val="single" w:color="auto" w:sz="4" w:space="0"/>
            </w:tcBorders>
            <w:vAlign w:val="center"/>
          </w:tcPr>
          <w:p w14:paraId="2CA461F1">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472EC06D">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5A2BCC0E">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7C233AD0">
            <w:pPr>
              <w:widowControl/>
              <w:spacing w:line="240" w:lineRule="auto"/>
              <w:rPr>
                <w:rFonts w:ascii="宋体" w:cs="宋体"/>
                <w:color w:val="auto"/>
                <w:sz w:val="20"/>
                <w:highlight w:val="none"/>
              </w:rPr>
            </w:pPr>
            <w:r>
              <w:rPr>
                <w:rFonts w:hint="eastAsia" w:ascii="宋体" w:cs="宋体"/>
                <w:color w:val="auto"/>
                <w:sz w:val="20"/>
                <w:highlight w:val="none"/>
              </w:rPr>
              <w:t xml:space="preserve"> 9、住宿业</w:t>
            </w:r>
          </w:p>
        </w:tc>
        <w:tc>
          <w:tcPr>
            <w:tcW w:w="1512" w:type="dxa"/>
            <w:tcBorders>
              <w:top w:val="nil"/>
              <w:left w:val="nil"/>
              <w:bottom w:val="single" w:color="auto" w:sz="4" w:space="0"/>
              <w:right w:val="single" w:color="auto" w:sz="4" w:space="0"/>
            </w:tcBorders>
            <w:vAlign w:val="center"/>
          </w:tcPr>
          <w:p w14:paraId="23402BBF">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4" w:space="0"/>
              <w:right w:val="single" w:color="auto" w:sz="4" w:space="0"/>
            </w:tcBorders>
            <w:vAlign w:val="center"/>
          </w:tcPr>
          <w:p w14:paraId="07A4ED17">
            <w:pPr>
              <w:widowControl/>
              <w:spacing w:line="240" w:lineRule="auto"/>
              <w:rPr>
                <w:rFonts w:ascii="宋体" w:cs="宋体"/>
                <w:color w:val="auto"/>
                <w:sz w:val="20"/>
                <w:highlight w:val="none"/>
              </w:rPr>
            </w:pPr>
            <w:r>
              <w:rPr>
                <w:rFonts w:hint="eastAsia" w:ascii="宋体" w:cs="宋体"/>
                <w:color w:val="auto"/>
                <w:sz w:val="20"/>
                <w:highlight w:val="none"/>
              </w:rPr>
              <w:t>2000≤Y＜10000</w:t>
            </w:r>
          </w:p>
        </w:tc>
        <w:tc>
          <w:tcPr>
            <w:tcW w:w="1677" w:type="dxa"/>
            <w:tcBorders>
              <w:top w:val="nil"/>
              <w:left w:val="nil"/>
              <w:bottom w:val="single" w:color="auto" w:sz="4" w:space="0"/>
              <w:right w:val="single" w:color="auto" w:sz="8" w:space="0"/>
            </w:tcBorders>
            <w:vAlign w:val="center"/>
          </w:tcPr>
          <w:p w14:paraId="0F541E3F">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4D027B00">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3E2F93FD">
            <w:pPr>
              <w:widowControl/>
              <w:spacing w:line="240" w:lineRule="auto"/>
              <w:rPr>
                <w:rFonts w:ascii="宋体" w:cs="宋体"/>
                <w:color w:val="auto"/>
                <w:sz w:val="20"/>
                <w:highlight w:val="none"/>
              </w:rPr>
            </w:pPr>
            <w:r>
              <w:rPr>
                <w:rFonts w:hint="eastAsia" w:ascii="宋体" w:cs="宋体"/>
                <w:color w:val="auto"/>
                <w:sz w:val="20"/>
                <w:highlight w:val="none"/>
              </w:rPr>
              <w:t>100≤Y＜2000</w:t>
            </w:r>
          </w:p>
        </w:tc>
        <w:tc>
          <w:tcPr>
            <w:tcW w:w="1536" w:type="dxa"/>
            <w:tcBorders>
              <w:top w:val="nil"/>
              <w:left w:val="nil"/>
              <w:bottom w:val="single" w:color="auto" w:sz="4" w:space="0"/>
              <w:right w:val="single" w:color="auto" w:sz="8" w:space="0"/>
            </w:tcBorders>
            <w:vAlign w:val="center"/>
          </w:tcPr>
          <w:p w14:paraId="0D34C31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2549B9D6">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3753B720">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325D6F61">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547F995D">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3A63F836">
            <w:pPr>
              <w:widowControl/>
              <w:spacing w:line="240" w:lineRule="auto"/>
              <w:rPr>
                <w:rFonts w:ascii="宋体" w:cs="宋体"/>
                <w:color w:val="auto"/>
                <w:sz w:val="20"/>
                <w:highlight w:val="none"/>
              </w:rPr>
            </w:pPr>
            <w:r>
              <w:rPr>
                <w:rFonts w:hint="eastAsia" w:ascii="宋体" w:cs="宋体"/>
                <w:color w:val="auto"/>
                <w:sz w:val="20"/>
                <w:highlight w:val="none"/>
              </w:rPr>
              <w:t>10、餐饮业</w:t>
            </w:r>
          </w:p>
        </w:tc>
        <w:tc>
          <w:tcPr>
            <w:tcW w:w="1512" w:type="dxa"/>
            <w:tcBorders>
              <w:top w:val="nil"/>
              <w:left w:val="nil"/>
              <w:bottom w:val="single" w:color="auto" w:sz="4" w:space="0"/>
              <w:right w:val="single" w:color="auto" w:sz="4" w:space="0"/>
            </w:tcBorders>
            <w:vAlign w:val="center"/>
          </w:tcPr>
          <w:p w14:paraId="4B74EAF5">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4" w:space="0"/>
              <w:right w:val="single" w:color="auto" w:sz="4" w:space="0"/>
            </w:tcBorders>
            <w:vAlign w:val="center"/>
          </w:tcPr>
          <w:p w14:paraId="23CA403C">
            <w:pPr>
              <w:widowControl/>
              <w:spacing w:line="240" w:lineRule="auto"/>
              <w:rPr>
                <w:rFonts w:ascii="宋体" w:cs="宋体"/>
                <w:color w:val="auto"/>
                <w:sz w:val="20"/>
                <w:highlight w:val="none"/>
              </w:rPr>
            </w:pPr>
            <w:r>
              <w:rPr>
                <w:rFonts w:hint="eastAsia" w:ascii="宋体" w:cs="宋体"/>
                <w:color w:val="auto"/>
                <w:sz w:val="20"/>
                <w:highlight w:val="none"/>
              </w:rPr>
              <w:t>2000≤Y＜10000</w:t>
            </w:r>
          </w:p>
        </w:tc>
        <w:tc>
          <w:tcPr>
            <w:tcW w:w="1677" w:type="dxa"/>
            <w:tcBorders>
              <w:top w:val="nil"/>
              <w:left w:val="nil"/>
              <w:bottom w:val="single" w:color="auto" w:sz="4" w:space="0"/>
              <w:right w:val="single" w:color="auto" w:sz="8" w:space="0"/>
            </w:tcBorders>
            <w:vAlign w:val="center"/>
          </w:tcPr>
          <w:p w14:paraId="689EF52A">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25020DB1">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5B4C7D93">
            <w:pPr>
              <w:widowControl/>
              <w:spacing w:line="240" w:lineRule="auto"/>
              <w:rPr>
                <w:rFonts w:ascii="宋体" w:cs="宋体"/>
                <w:color w:val="auto"/>
                <w:sz w:val="20"/>
                <w:highlight w:val="none"/>
              </w:rPr>
            </w:pPr>
            <w:r>
              <w:rPr>
                <w:rFonts w:hint="eastAsia" w:ascii="宋体" w:cs="宋体"/>
                <w:color w:val="auto"/>
                <w:sz w:val="20"/>
                <w:highlight w:val="none"/>
              </w:rPr>
              <w:t>100≤Y＜2000</w:t>
            </w:r>
          </w:p>
        </w:tc>
        <w:tc>
          <w:tcPr>
            <w:tcW w:w="1536" w:type="dxa"/>
            <w:tcBorders>
              <w:top w:val="nil"/>
              <w:left w:val="nil"/>
              <w:bottom w:val="single" w:color="auto" w:sz="4" w:space="0"/>
              <w:right w:val="single" w:color="auto" w:sz="8" w:space="0"/>
            </w:tcBorders>
            <w:vAlign w:val="center"/>
          </w:tcPr>
          <w:p w14:paraId="0EF69FE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45FBD641">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5AD71DA4">
            <w:pPr>
              <w:widowControl/>
              <w:spacing w:line="240" w:lineRule="auto"/>
              <w:rPr>
                <w:rFonts w:ascii="宋体" w:cs="宋体"/>
                <w:color w:val="auto"/>
                <w:sz w:val="20"/>
                <w:highlight w:val="none"/>
              </w:rPr>
            </w:pPr>
            <w:r>
              <w:rPr>
                <w:rFonts w:hint="eastAsia" w:ascii="宋体" w:cs="宋体"/>
                <w:color w:val="auto"/>
                <w:sz w:val="20"/>
                <w:highlight w:val="none"/>
              </w:rPr>
              <w:t>V＜100</w:t>
            </w:r>
          </w:p>
        </w:tc>
        <w:tc>
          <w:tcPr>
            <w:tcW w:w="1234" w:type="dxa"/>
            <w:tcBorders>
              <w:top w:val="nil"/>
              <w:left w:val="nil"/>
              <w:bottom w:val="single" w:color="auto" w:sz="4" w:space="0"/>
              <w:right w:val="single" w:color="auto" w:sz="8" w:space="0"/>
            </w:tcBorders>
            <w:vAlign w:val="center"/>
          </w:tcPr>
          <w:p w14:paraId="7DD3A728">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678EB523">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34DFBA22">
            <w:pPr>
              <w:widowControl/>
              <w:spacing w:line="240" w:lineRule="auto"/>
              <w:rPr>
                <w:rFonts w:ascii="宋体" w:cs="宋体"/>
                <w:color w:val="auto"/>
                <w:sz w:val="20"/>
                <w:highlight w:val="none"/>
              </w:rPr>
            </w:pPr>
            <w:r>
              <w:rPr>
                <w:rFonts w:hint="eastAsia" w:ascii="宋体" w:cs="宋体"/>
                <w:color w:val="auto"/>
                <w:sz w:val="20"/>
                <w:highlight w:val="none"/>
              </w:rPr>
              <w:t>11、信息传输业</w:t>
            </w:r>
          </w:p>
        </w:tc>
        <w:tc>
          <w:tcPr>
            <w:tcW w:w="1512" w:type="dxa"/>
            <w:tcBorders>
              <w:top w:val="nil"/>
              <w:left w:val="nil"/>
              <w:bottom w:val="single" w:color="auto" w:sz="4" w:space="0"/>
              <w:right w:val="single" w:color="auto" w:sz="4" w:space="0"/>
            </w:tcBorders>
            <w:vAlign w:val="center"/>
          </w:tcPr>
          <w:p w14:paraId="28552B3E">
            <w:pPr>
              <w:widowControl/>
              <w:spacing w:line="240" w:lineRule="auto"/>
              <w:rPr>
                <w:rFonts w:ascii="宋体" w:cs="宋体"/>
                <w:color w:val="auto"/>
                <w:sz w:val="20"/>
                <w:highlight w:val="none"/>
              </w:rPr>
            </w:pPr>
            <w:r>
              <w:rPr>
                <w:rFonts w:hint="eastAsia" w:ascii="宋体" w:cs="宋体"/>
                <w:color w:val="auto"/>
                <w:sz w:val="20"/>
                <w:highlight w:val="none"/>
              </w:rPr>
              <w:t>100≤X＜2000</w:t>
            </w:r>
          </w:p>
        </w:tc>
        <w:tc>
          <w:tcPr>
            <w:tcW w:w="1779" w:type="dxa"/>
            <w:tcBorders>
              <w:top w:val="nil"/>
              <w:left w:val="nil"/>
              <w:bottom w:val="single" w:color="auto" w:sz="4" w:space="0"/>
              <w:right w:val="single" w:color="auto" w:sz="4" w:space="0"/>
            </w:tcBorders>
            <w:vAlign w:val="center"/>
          </w:tcPr>
          <w:p w14:paraId="4F173BB0">
            <w:pPr>
              <w:widowControl/>
              <w:spacing w:line="240" w:lineRule="auto"/>
              <w:rPr>
                <w:rFonts w:ascii="宋体" w:cs="宋体"/>
                <w:color w:val="auto"/>
                <w:sz w:val="20"/>
                <w:highlight w:val="none"/>
              </w:rPr>
            </w:pPr>
            <w:r>
              <w:rPr>
                <w:rFonts w:hint="eastAsia" w:ascii="宋体" w:cs="宋体"/>
                <w:color w:val="auto"/>
                <w:sz w:val="20"/>
                <w:highlight w:val="none"/>
              </w:rPr>
              <w:t>1000≤Y＜100000</w:t>
            </w:r>
          </w:p>
        </w:tc>
        <w:tc>
          <w:tcPr>
            <w:tcW w:w="1677" w:type="dxa"/>
            <w:tcBorders>
              <w:top w:val="nil"/>
              <w:left w:val="nil"/>
              <w:bottom w:val="single" w:color="auto" w:sz="4" w:space="0"/>
              <w:right w:val="single" w:color="auto" w:sz="8" w:space="0"/>
            </w:tcBorders>
            <w:vAlign w:val="center"/>
          </w:tcPr>
          <w:p w14:paraId="0C91E8C7">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0EBFA7E4">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1C80EF35">
            <w:pPr>
              <w:widowControl/>
              <w:spacing w:line="240" w:lineRule="auto"/>
              <w:rPr>
                <w:rFonts w:ascii="宋体" w:cs="宋体"/>
                <w:color w:val="auto"/>
                <w:sz w:val="20"/>
                <w:highlight w:val="none"/>
              </w:rPr>
            </w:pPr>
            <w:r>
              <w:rPr>
                <w:rFonts w:hint="eastAsia" w:ascii="宋体" w:cs="宋体"/>
                <w:color w:val="auto"/>
                <w:sz w:val="20"/>
                <w:highlight w:val="none"/>
              </w:rPr>
              <w:t>100≤Y＜1000</w:t>
            </w:r>
          </w:p>
        </w:tc>
        <w:tc>
          <w:tcPr>
            <w:tcW w:w="1536" w:type="dxa"/>
            <w:tcBorders>
              <w:top w:val="nil"/>
              <w:left w:val="nil"/>
              <w:bottom w:val="single" w:color="auto" w:sz="4" w:space="0"/>
              <w:right w:val="single" w:color="auto" w:sz="8" w:space="0"/>
            </w:tcBorders>
            <w:vAlign w:val="center"/>
          </w:tcPr>
          <w:p w14:paraId="798F11D7">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6C650F6C">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19899C90">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2DA115E9">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171E4C4E">
        <w:tblPrEx>
          <w:tblCellMar>
            <w:top w:w="0" w:type="dxa"/>
            <w:left w:w="108" w:type="dxa"/>
            <w:bottom w:w="0" w:type="dxa"/>
            <w:right w:w="108" w:type="dxa"/>
          </w:tblCellMar>
        </w:tblPrEx>
        <w:trPr>
          <w:gridAfter w:val="1"/>
          <w:wAfter w:w="9" w:type="dxa"/>
          <w:trHeight w:val="124" w:hRule="atLeast"/>
        </w:trPr>
        <w:tc>
          <w:tcPr>
            <w:tcW w:w="2003" w:type="dxa"/>
            <w:tcBorders>
              <w:top w:val="nil"/>
              <w:left w:val="single" w:color="auto" w:sz="8" w:space="0"/>
              <w:bottom w:val="single" w:color="auto" w:sz="4" w:space="0"/>
              <w:right w:val="single" w:color="auto" w:sz="8" w:space="0"/>
            </w:tcBorders>
            <w:vAlign w:val="bottom"/>
          </w:tcPr>
          <w:p w14:paraId="7E16AFA7">
            <w:pPr>
              <w:widowControl/>
              <w:spacing w:line="240" w:lineRule="auto"/>
              <w:rPr>
                <w:rFonts w:ascii="宋体" w:cs="宋体"/>
                <w:color w:val="auto"/>
                <w:sz w:val="20"/>
                <w:highlight w:val="none"/>
              </w:rPr>
            </w:pPr>
            <w:r>
              <w:rPr>
                <w:rFonts w:hint="eastAsia" w:ascii="宋体" w:cs="宋体"/>
                <w:color w:val="auto"/>
                <w:sz w:val="20"/>
                <w:highlight w:val="none"/>
              </w:rPr>
              <w:t>12、软件和信息技术服务业</w:t>
            </w:r>
          </w:p>
        </w:tc>
        <w:tc>
          <w:tcPr>
            <w:tcW w:w="1512" w:type="dxa"/>
            <w:tcBorders>
              <w:top w:val="nil"/>
              <w:left w:val="nil"/>
              <w:bottom w:val="single" w:color="auto" w:sz="4" w:space="0"/>
              <w:right w:val="single" w:color="auto" w:sz="4" w:space="0"/>
            </w:tcBorders>
            <w:vAlign w:val="center"/>
          </w:tcPr>
          <w:p w14:paraId="029EFA09">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4" w:space="0"/>
              <w:right w:val="single" w:color="auto" w:sz="4" w:space="0"/>
            </w:tcBorders>
            <w:vAlign w:val="center"/>
          </w:tcPr>
          <w:p w14:paraId="39722DA1">
            <w:pPr>
              <w:widowControl/>
              <w:spacing w:line="240" w:lineRule="auto"/>
              <w:rPr>
                <w:rFonts w:ascii="宋体" w:cs="宋体"/>
                <w:color w:val="auto"/>
                <w:sz w:val="20"/>
                <w:highlight w:val="none"/>
              </w:rPr>
            </w:pPr>
            <w:r>
              <w:rPr>
                <w:rFonts w:hint="eastAsia" w:ascii="宋体" w:cs="宋体"/>
                <w:color w:val="auto"/>
                <w:sz w:val="20"/>
                <w:highlight w:val="none"/>
              </w:rPr>
              <w:t>1000≤Y＜10000</w:t>
            </w:r>
          </w:p>
        </w:tc>
        <w:tc>
          <w:tcPr>
            <w:tcW w:w="1677" w:type="dxa"/>
            <w:tcBorders>
              <w:top w:val="nil"/>
              <w:left w:val="nil"/>
              <w:bottom w:val="single" w:color="auto" w:sz="4" w:space="0"/>
              <w:right w:val="single" w:color="auto" w:sz="8" w:space="0"/>
            </w:tcBorders>
            <w:vAlign w:val="center"/>
          </w:tcPr>
          <w:p w14:paraId="21477972">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7BFADA15">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78A18D46">
            <w:pPr>
              <w:widowControl/>
              <w:spacing w:line="240" w:lineRule="auto"/>
              <w:rPr>
                <w:rFonts w:ascii="宋体" w:cs="宋体"/>
                <w:color w:val="auto"/>
                <w:sz w:val="20"/>
                <w:highlight w:val="none"/>
              </w:rPr>
            </w:pPr>
            <w:r>
              <w:rPr>
                <w:rFonts w:hint="eastAsia" w:ascii="宋体" w:cs="宋体"/>
                <w:color w:val="auto"/>
                <w:sz w:val="20"/>
                <w:highlight w:val="none"/>
              </w:rPr>
              <w:t xml:space="preserve"> 50≤Y＜1000</w:t>
            </w:r>
          </w:p>
        </w:tc>
        <w:tc>
          <w:tcPr>
            <w:tcW w:w="1536" w:type="dxa"/>
            <w:tcBorders>
              <w:top w:val="nil"/>
              <w:left w:val="nil"/>
              <w:bottom w:val="single" w:color="auto" w:sz="4" w:space="0"/>
              <w:right w:val="single" w:color="auto" w:sz="8" w:space="0"/>
            </w:tcBorders>
            <w:vAlign w:val="center"/>
          </w:tcPr>
          <w:p w14:paraId="0EFDB85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5FA2C4D0">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139407AB">
            <w:pPr>
              <w:widowControl/>
              <w:spacing w:line="240" w:lineRule="auto"/>
              <w:rPr>
                <w:rFonts w:ascii="宋体" w:cs="宋体"/>
                <w:color w:val="auto"/>
                <w:sz w:val="20"/>
                <w:highlight w:val="none"/>
              </w:rPr>
            </w:pPr>
            <w:r>
              <w:rPr>
                <w:rFonts w:hint="eastAsia" w:ascii="宋体" w:cs="宋体"/>
                <w:color w:val="auto"/>
                <w:sz w:val="20"/>
                <w:highlight w:val="none"/>
              </w:rPr>
              <w:t>Y＜50</w:t>
            </w:r>
          </w:p>
        </w:tc>
        <w:tc>
          <w:tcPr>
            <w:tcW w:w="1234" w:type="dxa"/>
            <w:tcBorders>
              <w:top w:val="nil"/>
              <w:left w:val="nil"/>
              <w:bottom w:val="single" w:color="auto" w:sz="4" w:space="0"/>
              <w:right w:val="single" w:color="auto" w:sz="8" w:space="0"/>
            </w:tcBorders>
            <w:vAlign w:val="center"/>
          </w:tcPr>
          <w:p w14:paraId="1289A1CD">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05D5CF2B">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4" w:space="0"/>
              <w:right w:val="single" w:color="auto" w:sz="8" w:space="0"/>
            </w:tcBorders>
            <w:vAlign w:val="bottom"/>
          </w:tcPr>
          <w:p w14:paraId="6B4FDE26">
            <w:pPr>
              <w:widowControl/>
              <w:spacing w:line="240" w:lineRule="auto"/>
              <w:rPr>
                <w:rFonts w:ascii="宋体" w:cs="宋体"/>
                <w:color w:val="auto"/>
                <w:sz w:val="20"/>
                <w:highlight w:val="none"/>
              </w:rPr>
            </w:pPr>
            <w:r>
              <w:rPr>
                <w:rFonts w:hint="eastAsia" w:ascii="宋体" w:cs="宋体"/>
                <w:color w:val="auto"/>
                <w:sz w:val="20"/>
                <w:highlight w:val="none"/>
              </w:rPr>
              <w:t>13、房地产开发经营</w:t>
            </w:r>
          </w:p>
        </w:tc>
        <w:tc>
          <w:tcPr>
            <w:tcW w:w="1512" w:type="dxa"/>
            <w:tcBorders>
              <w:top w:val="nil"/>
              <w:left w:val="nil"/>
              <w:bottom w:val="single" w:color="auto" w:sz="4" w:space="0"/>
              <w:right w:val="single" w:color="auto" w:sz="4" w:space="0"/>
            </w:tcBorders>
            <w:vAlign w:val="center"/>
          </w:tcPr>
          <w:p w14:paraId="648D5C03">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779" w:type="dxa"/>
            <w:tcBorders>
              <w:top w:val="nil"/>
              <w:left w:val="nil"/>
              <w:bottom w:val="single" w:color="auto" w:sz="4" w:space="0"/>
              <w:right w:val="single" w:color="auto" w:sz="4" w:space="0"/>
            </w:tcBorders>
            <w:vAlign w:val="center"/>
          </w:tcPr>
          <w:p w14:paraId="46321C87">
            <w:pPr>
              <w:widowControl/>
              <w:spacing w:line="240" w:lineRule="auto"/>
              <w:rPr>
                <w:rFonts w:ascii="宋体" w:cs="宋体"/>
                <w:color w:val="auto"/>
                <w:sz w:val="20"/>
                <w:highlight w:val="none"/>
              </w:rPr>
            </w:pPr>
            <w:r>
              <w:rPr>
                <w:rFonts w:hint="eastAsia" w:ascii="宋体" w:cs="宋体"/>
                <w:color w:val="auto"/>
                <w:sz w:val="20"/>
                <w:highlight w:val="none"/>
              </w:rPr>
              <w:t>1000≤Y＜200000</w:t>
            </w:r>
          </w:p>
        </w:tc>
        <w:tc>
          <w:tcPr>
            <w:tcW w:w="1677" w:type="dxa"/>
            <w:tcBorders>
              <w:top w:val="nil"/>
              <w:left w:val="nil"/>
              <w:bottom w:val="single" w:color="auto" w:sz="4" w:space="0"/>
              <w:right w:val="single" w:color="auto" w:sz="8" w:space="0"/>
            </w:tcBorders>
            <w:vAlign w:val="center"/>
          </w:tcPr>
          <w:p w14:paraId="4E626A69">
            <w:pPr>
              <w:widowControl/>
              <w:spacing w:line="240" w:lineRule="auto"/>
              <w:rPr>
                <w:rFonts w:ascii="宋体" w:cs="宋体"/>
                <w:color w:val="auto"/>
                <w:sz w:val="20"/>
                <w:highlight w:val="none"/>
              </w:rPr>
            </w:pPr>
            <w:r>
              <w:rPr>
                <w:rFonts w:hint="eastAsia" w:ascii="宋体" w:cs="宋体"/>
                <w:color w:val="auto"/>
                <w:sz w:val="20"/>
                <w:highlight w:val="none"/>
              </w:rPr>
              <w:t>5000≤Z＜10000</w:t>
            </w:r>
          </w:p>
        </w:tc>
        <w:tc>
          <w:tcPr>
            <w:tcW w:w="1252" w:type="dxa"/>
            <w:tcBorders>
              <w:top w:val="nil"/>
              <w:left w:val="nil"/>
              <w:bottom w:val="single" w:color="auto" w:sz="4" w:space="0"/>
              <w:right w:val="single" w:color="auto" w:sz="4" w:space="0"/>
            </w:tcBorders>
            <w:vAlign w:val="center"/>
          </w:tcPr>
          <w:p w14:paraId="4787399A">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494" w:type="dxa"/>
            <w:tcBorders>
              <w:top w:val="nil"/>
              <w:left w:val="nil"/>
              <w:bottom w:val="single" w:color="auto" w:sz="4" w:space="0"/>
              <w:right w:val="single" w:color="auto" w:sz="4" w:space="0"/>
            </w:tcBorders>
            <w:vAlign w:val="center"/>
          </w:tcPr>
          <w:p w14:paraId="34FC73C7">
            <w:pPr>
              <w:widowControl/>
              <w:spacing w:line="240" w:lineRule="auto"/>
              <w:rPr>
                <w:rFonts w:ascii="宋体" w:cs="宋体"/>
                <w:color w:val="auto"/>
                <w:sz w:val="20"/>
                <w:highlight w:val="none"/>
              </w:rPr>
            </w:pPr>
            <w:r>
              <w:rPr>
                <w:rFonts w:hint="eastAsia" w:ascii="宋体" w:cs="宋体"/>
                <w:color w:val="auto"/>
                <w:sz w:val="20"/>
                <w:highlight w:val="none"/>
              </w:rPr>
              <w:t>100≤Y＜1000</w:t>
            </w:r>
          </w:p>
        </w:tc>
        <w:tc>
          <w:tcPr>
            <w:tcW w:w="1536" w:type="dxa"/>
            <w:tcBorders>
              <w:top w:val="nil"/>
              <w:left w:val="nil"/>
              <w:bottom w:val="single" w:color="auto" w:sz="4" w:space="0"/>
              <w:right w:val="single" w:color="auto" w:sz="8" w:space="0"/>
            </w:tcBorders>
            <w:vAlign w:val="center"/>
          </w:tcPr>
          <w:p w14:paraId="49BC9439">
            <w:pPr>
              <w:widowControl/>
              <w:spacing w:line="240" w:lineRule="auto"/>
              <w:rPr>
                <w:rFonts w:ascii="宋体" w:cs="宋体"/>
                <w:color w:val="auto"/>
                <w:sz w:val="20"/>
                <w:highlight w:val="none"/>
              </w:rPr>
            </w:pPr>
            <w:r>
              <w:rPr>
                <w:rFonts w:hint="eastAsia" w:ascii="宋体" w:cs="宋体"/>
                <w:color w:val="auto"/>
                <w:sz w:val="20"/>
                <w:highlight w:val="none"/>
              </w:rPr>
              <w:t>2000≤Z＜5000</w:t>
            </w:r>
          </w:p>
        </w:tc>
        <w:tc>
          <w:tcPr>
            <w:tcW w:w="1297" w:type="dxa"/>
            <w:tcBorders>
              <w:top w:val="nil"/>
              <w:left w:val="nil"/>
              <w:bottom w:val="single" w:color="auto" w:sz="4" w:space="0"/>
              <w:right w:val="single" w:color="auto" w:sz="4" w:space="0"/>
            </w:tcBorders>
            <w:vAlign w:val="center"/>
          </w:tcPr>
          <w:p w14:paraId="324796CF">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87" w:type="dxa"/>
            <w:tcBorders>
              <w:top w:val="nil"/>
              <w:left w:val="nil"/>
              <w:bottom w:val="single" w:color="auto" w:sz="4" w:space="0"/>
              <w:right w:val="single" w:color="auto" w:sz="4" w:space="0"/>
            </w:tcBorders>
            <w:vAlign w:val="center"/>
          </w:tcPr>
          <w:p w14:paraId="51FE9411">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297BDEDD">
            <w:pPr>
              <w:widowControl/>
              <w:spacing w:line="240" w:lineRule="auto"/>
              <w:rPr>
                <w:rFonts w:ascii="宋体" w:cs="宋体"/>
                <w:color w:val="auto"/>
                <w:sz w:val="20"/>
                <w:highlight w:val="none"/>
              </w:rPr>
            </w:pPr>
            <w:r>
              <w:rPr>
                <w:rFonts w:hint="eastAsia" w:ascii="宋体" w:cs="宋体"/>
                <w:color w:val="auto"/>
                <w:sz w:val="20"/>
                <w:highlight w:val="none"/>
              </w:rPr>
              <w:t>Z＜2000</w:t>
            </w:r>
          </w:p>
        </w:tc>
      </w:tr>
      <w:tr w14:paraId="71AF2F93">
        <w:tblPrEx>
          <w:tblCellMar>
            <w:top w:w="0" w:type="dxa"/>
            <w:left w:w="108" w:type="dxa"/>
            <w:bottom w:w="0" w:type="dxa"/>
            <w:right w:w="108" w:type="dxa"/>
          </w:tblCellMar>
        </w:tblPrEx>
        <w:trPr>
          <w:gridAfter w:val="1"/>
          <w:wAfter w:w="9" w:type="dxa"/>
          <w:trHeight w:val="124" w:hRule="atLeast"/>
        </w:trPr>
        <w:tc>
          <w:tcPr>
            <w:tcW w:w="2003" w:type="dxa"/>
            <w:tcBorders>
              <w:top w:val="nil"/>
              <w:left w:val="single" w:color="auto" w:sz="8" w:space="0"/>
              <w:bottom w:val="single" w:color="auto" w:sz="4" w:space="0"/>
              <w:right w:val="single" w:color="auto" w:sz="8" w:space="0"/>
            </w:tcBorders>
            <w:vAlign w:val="bottom"/>
          </w:tcPr>
          <w:p w14:paraId="32693EC6">
            <w:pPr>
              <w:widowControl/>
              <w:spacing w:line="240" w:lineRule="auto"/>
              <w:rPr>
                <w:rFonts w:ascii="宋体" w:cs="宋体"/>
                <w:color w:val="auto"/>
                <w:sz w:val="20"/>
                <w:highlight w:val="none"/>
              </w:rPr>
            </w:pPr>
            <w:r>
              <w:rPr>
                <w:rFonts w:hint="eastAsia" w:ascii="宋体" w:cs="宋体"/>
                <w:color w:val="auto"/>
                <w:sz w:val="20"/>
                <w:highlight w:val="none"/>
              </w:rPr>
              <w:t>14、物业管理</w:t>
            </w:r>
          </w:p>
        </w:tc>
        <w:tc>
          <w:tcPr>
            <w:tcW w:w="1512" w:type="dxa"/>
            <w:tcBorders>
              <w:top w:val="nil"/>
              <w:left w:val="nil"/>
              <w:bottom w:val="single" w:color="auto" w:sz="4" w:space="0"/>
              <w:right w:val="single" w:color="auto" w:sz="4" w:space="0"/>
            </w:tcBorders>
            <w:vAlign w:val="center"/>
          </w:tcPr>
          <w:p w14:paraId="3EB6B697">
            <w:pPr>
              <w:widowControl/>
              <w:spacing w:line="240" w:lineRule="auto"/>
              <w:rPr>
                <w:rFonts w:ascii="宋体" w:cs="宋体"/>
                <w:color w:val="auto"/>
                <w:sz w:val="20"/>
                <w:highlight w:val="none"/>
              </w:rPr>
            </w:pPr>
            <w:r>
              <w:rPr>
                <w:rFonts w:hint="eastAsia" w:ascii="宋体" w:cs="宋体"/>
                <w:color w:val="auto"/>
                <w:sz w:val="20"/>
                <w:highlight w:val="none"/>
              </w:rPr>
              <w:t>300≤X＜1000</w:t>
            </w:r>
          </w:p>
        </w:tc>
        <w:tc>
          <w:tcPr>
            <w:tcW w:w="1779" w:type="dxa"/>
            <w:tcBorders>
              <w:top w:val="nil"/>
              <w:left w:val="nil"/>
              <w:bottom w:val="single" w:color="auto" w:sz="4" w:space="0"/>
              <w:right w:val="single" w:color="auto" w:sz="4" w:space="0"/>
            </w:tcBorders>
            <w:vAlign w:val="center"/>
          </w:tcPr>
          <w:p w14:paraId="69AB6C78">
            <w:pPr>
              <w:widowControl/>
              <w:spacing w:line="240" w:lineRule="auto"/>
              <w:rPr>
                <w:rFonts w:ascii="宋体" w:cs="宋体"/>
                <w:color w:val="auto"/>
                <w:sz w:val="20"/>
                <w:highlight w:val="none"/>
              </w:rPr>
            </w:pPr>
            <w:r>
              <w:rPr>
                <w:rFonts w:hint="eastAsia" w:ascii="宋体" w:cs="宋体"/>
                <w:color w:val="auto"/>
                <w:sz w:val="20"/>
                <w:highlight w:val="none"/>
              </w:rPr>
              <w:t>1000≤Y＜5000</w:t>
            </w:r>
          </w:p>
        </w:tc>
        <w:tc>
          <w:tcPr>
            <w:tcW w:w="1677" w:type="dxa"/>
            <w:tcBorders>
              <w:top w:val="nil"/>
              <w:left w:val="nil"/>
              <w:bottom w:val="single" w:color="auto" w:sz="4" w:space="0"/>
              <w:right w:val="single" w:color="auto" w:sz="8" w:space="0"/>
            </w:tcBorders>
            <w:vAlign w:val="center"/>
          </w:tcPr>
          <w:p w14:paraId="741E0B92">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1DEDBF4D">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494" w:type="dxa"/>
            <w:tcBorders>
              <w:top w:val="nil"/>
              <w:left w:val="nil"/>
              <w:bottom w:val="single" w:color="auto" w:sz="4" w:space="0"/>
              <w:right w:val="single" w:color="auto" w:sz="4" w:space="0"/>
            </w:tcBorders>
            <w:vAlign w:val="center"/>
          </w:tcPr>
          <w:p w14:paraId="3E16F1EC">
            <w:pPr>
              <w:widowControl/>
              <w:spacing w:line="240" w:lineRule="auto"/>
              <w:rPr>
                <w:rFonts w:ascii="宋体" w:cs="宋体"/>
                <w:color w:val="auto"/>
                <w:sz w:val="20"/>
                <w:highlight w:val="none"/>
              </w:rPr>
            </w:pPr>
            <w:r>
              <w:rPr>
                <w:rFonts w:hint="eastAsia" w:ascii="宋体" w:cs="宋体"/>
                <w:color w:val="auto"/>
                <w:sz w:val="20"/>
                <w:highlight w:val="none"/>
              </w:rPr>
              <w:t>500≤Y＜1000</w:t>
            </w:r>
          </w:p>
        </w:tc>
        <w:tc>
          <w:tcPr>
            <w:tcW w:w="1536" w:type="dxa"/>
            <w:tcBorders>
              <w:top w:val="nil"/>
              <w:left w:val="nil"/>
              <w:bottom w:val="single" w:color="auto" w:sz="4" w:space="0"/>
              <w:right w:val="single" w:color="auto" w:sz="8" w:space="0"/>
            </w:tcBorders>
            <w:vAlign w:val="center"/>
          </w:tcPr>
          <w:p w14:paraId="0DC11B0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7F5F3473">
            <w:pPr>
              <w:widowControl/>
              <w:spacing w:line="240" w:lineRule="auto"/>
              <w:rPr>
                <w:rFonts w:ascii="宋体" w:cs="宋体"/>
                <w:color w:val="auto"/>
                <w:sz w:val="20"/>
                <w:highlight w:val="none"/>
              </w:rPr>
            </w:pPr>
            <w:r>
              <w:rPr>
                <w:rFonts w:hint="eastAsia" w:ascii="宋体" w:cs="宋体"/>
                <w:color w:val="auto"/>
                <w:sz w:val="20"/>
                <w:highlight w:val="none"/>
              </w:rPr>
              <w:t>X＜100</w:t>
            </w:r>
          </w:p>
        </w:tc>
        <w:tc>
          <w:tcPr>
            <w:tcW w:w="1287" w:type="dxa"/>
            <w:tcBorders>
              <w:top w:val="nil"/>
              <w:left w:val="nil"/>
              <w:bottom w:val="single" w:color="auto" w:sz="4" w:space="0"/>
              <w:right w:val="single" w:color="auto" w:sz="4" w:space="0"/>
            </w:tcBorders>
            <w:vAlign w:val="center"/>
          </w:tcPr>
          <w:p w14:paraId="3C10FAFE">
            <w:pPr>
              <w:widowControl/>
              <w:spacing w:line="240" w:lineRule="auto"/>
              <w:rPr>
                <w:rFonts w:ascii="宋体" w:cs="宋体"/>
                <w:color w:val="auto"/>
                <w:sz w:val="20"/>
                <w:highlight w:val="none"/>
              </w:rPr>
            </w:pPr>
            <w:r>
              <w:rPr>
                <w:rFonts w:hint="eastAsia" w:ascii="宋体" w:cs="宋体"/>
                <w:color w:val="auto"/>
                <w:sz w:val="20"/>
                <w:highlight w:val="none"/>
              </w:rPr>
              <w:t>Y＜500</w:t>
            </w:r>
          </w:p>
        </w:tc>
        <w:tc>
          <w:tcPr>
            <w:tcW w:w="1234" w:type="dxa"/>
            <w:tcBorders>
              <w:top w:val="nil"/>
              <w:left w:val="nil"/>
              <w:bottom w:val="single" w:color="auto" w:sz="4" w:space="0"/>
              <w:right w:val="single" w:color="auto" w:sz="8" w:space="0"/>
            </w:tcBorders>
            <w:vAlign w:val="center"/>
          </w:tcPr>
          <w:p w14:paraId="02493902">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1951A698">
        <w:tblPrEx>
          <w:tblCellMar>
            <w:top w:w="0" w:type="dxa"/>
            <w:left w:w="108" w:type="dxa"/>
            <w:bottom w:w="0" w:type="dxa"/>
            <w:right w:w="108" w:type="dxa"/>
          </w:tblCellMar>
        </w:tblPrEx>
        <w:trPr>
          <w:gridAfter w:val="1"/>
          <w:wAfter w:w="9" w:type="dxa"/>
          <w:trHeight w:val="124" w:hRule="atLeast"/>
        </w:trPr>
        <w:tc>
          <w:tcPr>
            <w:tcW w:w="2003" w:type="dxa"/>
            <w:tcBorders>
              <w:top w:val="nil"/>
              <w:left w:val="single" w:color="auto" w:sz="8" w:space="0"/>
              <w:bottom w:val="single" w:color="auto" w:sz="4" w:space="0"/>
              <w:right w:val="single" w:color="auto" w:sz="8" w:space="0"/>
            </w:tcBorders>
            <w:vAlign w:val="bottom"/>
          </w:tcPr>
          <w:p w14:paraId="493BFBA8">
            <w:pPr>
              <w:widowControl/>
              <w:spacing w:line="240" w:lineRule="auto"/>
              <w:rPr>
                <w:rFonts w:ascii="宋体" w:cs="宋体"/>
                <w:color w:val="auto"/>
                <w:sz w:val="20"/>
                <w:highlight w:val="none"/>
              </w:rPr>
            </w:pPr>
            <w:r>
              <w:rPr>
                <w:rFonts w:hint="eastAsia" w:ascii="宋体" w:cs="宋体"/>
                <w:color w:val="auto"/>
                <w:sz w:val="20"/>
                <w:highlight w:val="none"/>
              </w:rPr>
              <w:t>15、租赁和商务服务业</w:t>
            </w:r>
          </w:p>
        </w:tc>
        <w:tc>
          <w:tcPr>
            <w:tcW w:w="1512" w:type="dxa"/>
            <w:tcBorders>
              <w:top w:val="nil"/>
              <w:left w:val="nil"/>
              <w:bottom w:val="single" w:color="auto" w:sz="4" w:space="0"/>
              <w:right w:val="single" w:color="auto" w:sz="4" w:space="0"/>
            </w:tcBorders>
            <w:vAlign w:val="center"/>
          </w:tcPr>
          <w:p w14:paraId="6F94EB4F">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4" w:space="0"/>
              <w:right w:val="single" w:color="auto" w:sz="4" w:space="0"/>
            </w:tcBorders>
            <w:vAlign w:val="center"/>
          </w:tcPr>
          <w:p w14:paraId="046B457F">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677" w:type="dxa"/>
            <w:tcBorders>
              <w:top w:val="nil"/>
              <w:left w:val="nil"/>
              <w:bottom w:val="single" w:color="auto" w:sz="4" w:space="0"/>
              <w:right w:val="single" w:color="auto" w:sz="8" w:space="0"/>
            </w:tcBorders>
            <w:vAlign w:val="center"/>
          </w:tcPr>
          <w:p w14:paraId="291ED691">
            <w:pPr>
              <w:widowControl/>
              <w:spacing w:line="240" w:lineRule="auto"/>
              <w:rPr>
                <w:rFonts w:ascii="宋体" w:cs="宋体"/>
                <w:color w:val="auto"/>
                <w:sz w:val="20"/>
                <w:highlight w:val="none"/>
              </w:rPr>
            </w:pPr>
            <w:r>
              <w:rPr>
                <w:rFonts w:hint="eastAsia" w:ascii="宋体" w:cs="宋体"/>
                <w:color w:val="auto"/>
                <w:sz w:val="20"/>
                <w:highlight w:val="none"/>
              </w:rPr>
              <w:t>8000≤Z＜120000</w:t>
            </w:r>
          </w:p>
        </w:tc>
        <w:tc>
          <w:tcPr>
            <w:tcW w:w="1252" w:type="dxa"/>
            <w:tcBorders>
              <w:top w:val="nil"/>
              <w:left w:val="nil"/>
              <w:bottom w:val="single" w:color="auto" w:sz="4" w:space="0"/>
              <w:right w:val="single" w:color="auto" w:sz="4" w:space="0"/>
            </w:tcBorders>
            <w:vAlign w:val="center"/>
          </w:tcPr>
          <w:p w14:paraId="411F81C7">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652AC48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536" w:type="dxa"/>
            <w:tcBorders>
              <w:top w:val="nil"/>
              <w:left w:val="nil"/>
              <w:bottom w:val="single" w:color="auto" w:sz="4" w:space="0"/>
              <w:right w:val="single" w:color="auto" w:sz="8" w:space="0"/>
            </w:tcBorders>
            <w:vAlign w:val="center"/>
          </w:tcPr>
          <w:p w14:paraId="065CB4B8">
            <w:pPr>
              <w:widowControl/>
              <w:spacing w:line="240" w:lineRule="auto"/>
              <w:rPr>
                <w:rFonts w:ascii="宋体" w:cs="宋体"/>
                <w:color w:val="auto"/>
                <w:sz w:val="20"/>
                <w:highlight w:val="none"/>
              </w:rPr>
            </w:pPr>
            <w:r>
              <w:rPr>
                <w:rFonts w:hint="eastAsia" w:ascii="宋体" w:cs="宋体"/>
                <w:color w:val="auto"/>
                <w:sz w:val="20"/>
                <w:highlight w:val="none"/>
              </w:rPr>
              <w:t xml:space="preserve"> 100≤Z＜8000</w:t>
            </w:r>
          </w:p>
        </w:tc>
        <w:tc>
          <w:tcPr>
            <w:tcW w:w="1297" w:type="dxa"/>
            <w:tcBorders>
              <w:top w:val="nil"/>
              <w:left w:val="nil"/>
              <w:bottom w:val="single" w:color="auto" w:sz="4" w:space="0"/>
              <w:right w:val="single" w:color="auto" w:sz="4" w:space="0"/>
            </w:tcBorders>
            <w:vAlign w:val="center"/>
          </w:tcPr>
          <w:p w14:paraId="7274CDD8">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35F6C84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34" w:type="dxa"/>
            <w:tcBorders>
              <w:top w:val="nil"/>
              <w:left w:val="nil"/>
              <w:bottom w:val="single" w:color="auto" w:sz="4" w:space="0"/>
              <w:right w:val="single" w:color="auto" w:sz="8" w:space="0"/>
            </w:tcBorders>
            <w:vAlign w:val="center"/>
          </w:tcPr>
          <w:p w14:paraId="3397212A">
            <w:pPr>
              <w:widowControl/>
              <w:spacing w:line="240" w:lineRule="auto"/>
              <w:rPr>
                <w:rFonts w:ascii="宋体" w:cs="宋体"/>
                <w:color w:val="auto"/>
                <w:sz w:val="20"/>
                <w:highlight w:val="none"/>
              </w:rPr>
            </w:pPr>
            <w:r>
              <w:rPr>
                <w:rFonts w:hint="eastAsia" w:ascii="宋体" w:cs="宋体"/>
                <w:color w:val="auto"/>
                <w:sz w:val="20"/>
                <w:highlight w:val="none"/>
              </w:rPr>
              <w:t>Z＜100</w:t>
            </w:r>
          </w:p>
        </w:tc>
      </w:tr>
      <w:tr w14:paraId="7F0968AA">
        <w:tblPrEx>
          <w:tblCellMar>
            <w:top w:w="0" w:type="dxa"/>
            <w:left w:w="108" w:type="dxa"/>
            <w:bottom w:w="0" w:type="dxa"/>
            <w:right w:w="108" w:type="dxa"/>
          </w:tblCellMar>
        </w:tblPrEx>
        <w:trPr>
          <w:gridAfter w:val="1"/>
          <w:wAfter w:w="9" w:type="dxa"/>
          <w:trHeight w:val="90" w:hRule="atLeast"/>
        </w:trPr>
        <w:tc>
          <w:tcPr>
            <w:tcW w:w="2003" w:type="dxa"/>
            <w:tcBorders>
              <w:top w:val="nil"/>
              <w:left w:val="single" w:color="auto" w:sz="8" w:space="0"/>
              <w:bottom w:val="single" w:color="auto" w:sz="8" w:space="0"/>
              <w:right w:val="single" w:color="auto" w:sz="8" w:space="0"/>
            </w:tcBorders>
            <w:vAlign w:val="bottom"/>
          </w:tcPr>
          <w:p w14:paraId="19D50F8E">
            <w:pPr>
              <w:widowControl/>
              <w:spacing w:line="240" w:lineRule="auto"/>
              <w:rPr>
                <w:rFonts w:ascii="宋体" w:cs="宋体"/>
                <w:color w:val="auto"/>
                <w:sz w:val="20"/>
                <w:highlight w:val="none"/>
              </w:rPr>
            </w:pPr>
            <w:r>
              <w:rPr>
                <w:rFonts w:hint="eastAsia" w:ascii="宋体" w:cs="宋体"/>
                <w:color w:val="auto"/>
                <w:sz w:val="20"/>
                <w:highlight w:val="none"/>
              </w:rPr>
              <w:t>16、其他未列明行业</w:t>
            </w:r>
          </w:p>
        </w:tc>
        <w:tc>
          <w:tcPr>
            <w:tcW w:w="1512" w:type="dxa"/>
            <w:tcBorders>
              <w:top w:val="nil"/>
              <w:left w:val="nil"/>
              <w:bottom w:val="single" w:color="auto" w:sz="8" w:space="0"/>
              <w:right w:val="single" w:color="auto" w:sz="4" w:space="0"/>
            </w:tcBorders>
            <w:vAlign w:val="center"/>
          </w:tcPr>
          <w:p w14:paraId="75561D16">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8" w:space="0"/>
              <w:right w:val="single" w:color="auto" w:sz="4" w:space="0"/>
            </w:tcBorders>
            <w:vAlign w:val="center"/>
          </w:tcPr>
          <w:p w14:paraId="50704A0A">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677" w:type="dxa"/>
            <w:tcBorders>
              <w:top w:val="nil"/>
              <w:left w:val="nil"/>
              <w:bottom w:val="single" w:color="auto" w:sz="8" w:space="0"/>
              <w:right w:val="single" w:color="auto" w:sz="8" w:space="0"/>
            </w:tcBorders>
            <w:vAlign w:val="center"/>
          </w:tcPr>
          <w:p w14:paraId="444E24E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8" w:space="0"/>
              <w:right w:val="single" w:color="auto" w:sz="4" w:space="0"/>
            </w:tcBorders>
            <w:vAlign w:val="center"/>
          </w:tcPr>
          <w:p w14:paraId="6C7E57C3">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8" w:space="0"/>
              <w:right w:val="single" w:color="auto" w:sz="4" w:space="0"/>
            </w:tcBorders>
            <w:vAlign w:val="center"/>
          </w:tcPr>
          <w:p w14:paraId="698FE689">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536" w:type="dxa"/>
            <w:tcBorders>
              <w:top w:val="nil"/>
              <w:left w:val="nil"/>
              <w:bottom w:val="single" w:color="auto" w:sz="8" w:space="0"/>
              <w:right w:val="single" w:color="auto" w:sz="8" w:space="0"/>
            </w:tcBorders>
            <w:vAlign w:val="center"/>
          </w:tcPr>
          <w:p w14:paraId="60A5253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8" w:space="0"/>
              <w:right w:val="single" w:color="auto" w:sz="4" w:space="0"/>
            </w:tcBorders>
            <w:vAlign w:val="center"/>
          </w:tcPr>
          <w:p w14:paraId="6320A5AE">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8" w:space="0"/>
              <w:right w:val="single" w:color="auto" w:sz="4" w:space="0"/>
            </w:tcBorders>
            <w:vAlign w:val="center"/>
          </w:tcPr>
          <w:p w14:paraId="344AA4F7">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34" w:type="dxa"/>
            <w:tcBorders>
              <w:top w:val="nil"/>
              <w:left w:val="nil"/>
              <w:bottom w:val="single" w:color="auto" w:sz="8" w:space="0"/>
              <w:right w:val="single" w:color="auto" w:sz="8" w:space="0"/>
            </w:tcBorders>
            <w:vAlign w:val="center"/>
          </w:tcPr>
          <w:p w14:paraId="1E13CB12">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34F8642E">
        <w:tblPrEx>
          <w:tblCellMar>
            <w:top w:w="0" w:type="dxa"/>
            <w:left w:w="108" w:type="dxa"/>
            <w:bottom w:w="0" w:type="dxa"/>
            <w:right w:w="108" w:type="dxa"/>
          </w:tblCellMar>
        </w:tblPrEx>
        <w:trPr>
          <w:trHeight w:val="267" w:hRule="atLeast"/>
        </w:trPr>
        <w:tc>
          <w:tcPr>
            <w:tcW w:w="15080" w:type="dxa"/>
            <w:gridSpan w:val="11"/>
            <w:tcBorders>
              <w:top w:val="nil"/>
              <w:left w:val="nil"/>
              <w:bottom w:val="nil"/>
              <w:right w:val="nil"/>
            </w:tcBorders>
            <w:vAlign w:val="bottom"/>
          </w:tcPr>
          <w:p w14:paraId="3DE001E6">
            <w:pPr>
              <w:widowControl/>
              <w:spacing w:line="240" w:lineRule="auto"/>
              <w:rPr>
                <w:rFonts w:ascii="宋体" w:cs="宋体"/>
                <w:color w:val="auto"/>
                <w:sz w:val="20"/>
                <w:highlight w:val="none"/>
              </w:rPr>
            </w:pPr>
            <w:r>
              <w:rPr>
                <w:rFonts w:hint="eastAsia" w:ascii="宋体" w:cs="宋体"/>
                <w:color w:val="auto"/>
                <w:sz w:val="20"/>
                <w:highlight w:val="none"/>
              </w:rPr>
              <w:t>说明　1、企业类型的划分以统计部门的统计数据为依据。</w:t>
            </w:r>
          </w:p>
          <w:p w14:paraId="76750D81">
            <w:pPr>
              <w:widowControl/>
              <w:spacing w:line="240" w:lineRule="auto"/>
              <w:ind w:firstLine="600" w:firstLineChars="300"/>
              <w:rPr>
                <w:rFonts w:ascii="宋体" w:cs="宋体"/>
                <w:color w:val="auto"/>
                <w:sz w:val="20"/>
                <w:highlight w:val="none"/>
              </w:rPr>
            </w:pPr>
            <w:r>
              <w:rPr>
                <w:rFonts w:hint="eastAsia" w:ascii="宋体" w:cs="宋体"/>
                <w:color w:val="auto"/>
                <w:sz w:val="20"/>
                <w:highlight w:val="none"/>
              </w:rPr>
              <w:t>2、个体工商户和本规定以外的行业，参照本规定进行划型。</w:t>
            </w:r>
          </w:p>
          <w:p w14:paraId="405D6194">
            <w:pPr>
              <w:widowControl/>
              <w:spacing w:line="240" w:lineRule="auto"/>
              <w:ind w:firstLine="600" w:firstLineChars="300"/>
              <w:rPr>
                <w:rFonts w:ascii="宋体" w:cs="宋体"/>
                <w:color w:val="auto"/>
                <w:sz w:val="20"/>
                <w:highlight w:val="none"/>
              </w:rPr>
            </w:pPr>
            <w:r>
              <w:rPr>
                <w:rFonts w:hint="eastAsia" w:ascii="宋体" w:cs="宋体"/>
                <w:color w:val="auto"/>
                <w:sz w:val="20"/>
                <w:highlight w:val="none"/>
              </w:rPr>
              <w:t>3、本规定的中型企业标准上限即为大型企业标准的下限。</w:t>
            </w:r>
          </w:p>
        </w:tc>
      </w:tr>
    </w:tbl>
    <w:p w14:paraId="3A36CB37">
      <w:pPr>
        <w:spacing w:line="400" w:lineRule="exact"/>
        <w:jc w:val="center"/>
        <w:rPr>
          <w:rFonts w:hint="eastAsia" w:ascii="宋体"/>
          <w:b/>
          <w:color w:val="auto"/>
          <w:szCs w:val="21"/>
          <w:highlight w:val="none"/>
        </w:rPr>
        <w:sectPr>
          <w:headerReference r:id="rId17" w:type="default"/>
          <w:footerReference r:id="rId18" w:type="default"/>
          <w:pgSz w:w="16838" w:h="11905" w:orient="landscape"/>
          <w:pgMar w:top="1587" w:right="1417" w:bottom="1587" w:left="1417" w:header="850" w:footer="850" w:gutter="0"/>
          <w:pgBorders>
            <w:top w:val="none" w:sz="0" w:space="0"/>
            <w:left w:val="none" w:sz="0" w:space="0"/>
            <w:bottom w:val="none" w:sz="0" w:space="0"/>
            <w:right w:val="none" w:sz="0" w:space="0"/>
          </w:pgBorders>
          <w:cols w:space="0" w:num="1"/>
          <w:rtlGutter w:val="0"/>
          <w:docGrid w:linePitch="285" w:charSpace="0"/>
        </w:sectPr>
      </w:pPr>
    </w:p>
    <w:p w14:paraId="0A62F903">
      <w:pPr>
        <w:rPr>
          <w:rFonts w:hint="eastAsia" w:ascii="宋体"/>
          <w:b/>
          <w:color w:val="auto"/>
          <w:szCs w:val="21"/>
          <w:highlight w:val="none"/>
        </w:rPr>
      </w:pPr>
    </w:p>
    <w:p w14:paraId="283BF705">
      <w:pPr>
        <w:rPr>
          <w:color w:val="auto"/>
          <w:highlight w:val="none"/>
        </w:rPr>
      </w:pPr>
      <w:r>
        <w:rPr>
          <w:rFonts w:hint="eastAsia" w:ascii="宋体"/>
          <w:b/>
          <w:color w:val="auto"/>
          <w:szCs w:val="21"/>
          <w:highlight w:val="none"/>
        </w:rPr>
        <w:t>C</w:t>
      </w:r>
      <w:r>
        <w:rPr>
          <w:rFonts w:hint="eastAsia" w:ascii="宋体"/>
          <w:b/>
          <w:color w:val="auto"/>
          <w:szCs w:val="21"/>
          <w:highlight w:val="none"/>
          <w:lang w:val="en-US" w:eastAsia="zh-CN"/>
        </w:rPr>
        <w:t>5</w:t>
      </w:r>
      <w:r>
        <w:rPr>
          <w:rFonts w:hint="eastAsia" w:ascii="宋体"/>
          <w:b/>
          <w:color w:val="auto"/>
          <w:szCs w:val="21"/>
          <w:highlight w:val="none"/>
        </w:rPr>
        <w:t>、</w:t>
      </w:r>
      <w:bookmarkEnd w:id="158"/>
      <w:bookmarkEnd w:id="159"/>
      <w:bookmarkEnd w:id="160"/>
      <w:r>
        <w:rPr>
          <w:rFonts w:hint="eastAsia" w:ascii="宋体"/>
          <w:b/>
          <w:color w:val="auto"/>
          <w:szCs w:val="21"/>
          <w:highlight w:val="none"/>
        </w:rPr>
        <w:t>投标人认为需要的其他资料（如有需提供）</w:t>
      </w:r>
    </w:p>
    <w:p w14:paraId="5F2A95D5">
      <w:pPr>
        <w:pStyle w:val="20"/>
        <w:spacing w:line="460" w:lineRule="exact"/>
        <w:ind w:left="0" w:leftChars="0"/>
        <w:jc w:val="center"/>
        <w:rPr>
          <w:color w:val="auto"/>
          <w:sz w:val="21"/>
          <w:highlight w:val="none"/>
        </w:rPr>
      </w:pPr>
    </w:p>
    <w:sectPr>
      <w:headerReference r:id="rId19" w:type="default"/>
      <w:footerReference r:id="rId20" w:type="default"/>
      <w:pgSz w:w="11905" w:h="16838"/>
      <w:pgMar w:top="1417" w:right="1587" w:bottom="1417" w:left="1587" w:header="850" w:footer="850" w:gutter="0"/>
      <w:pgBorders>
        <w:top w:val="none" w:sz="0" w:space="0"/>
        <w:left w:val="none" w:sz="0" w:space="0"/>
        <w:bottom w:val="none" w:sz="0" w:space="0"/>
        <w:right w:val="none" w:sz="0" w:space="0"/>
      </w:pgBorders>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长城仿宋">
    <w:altName w:val="仿宋"/>
    <w:panose1 w:val="00000000000000000000"/>
    <w:charset w:val="86"/>
    <w:family w:val="auto"/>
    <w:pitch w:val="default"/>
    <w:sig w:usb0="00000000" w:usb1="00000000" w:usb2="00000010" w:usb3="00000000" w:csb0="00040000" w:csb1="00000000"/>
  </w:font>
  <w:font w:name="方正黑体_GBK">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0CE5C">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096D">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663E8">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9F663E8">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5176">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49D9E">
                          <w:pPr>
                            <w:pStyle w:val="29"/>
                            <w:jc w:val="center"/>
                          </w:pPr>
                          <w:r>
                            <w:fldChar w:fldCharType="begin"/>
                          </w:r>
                          <w:r>
                            <w:rPr>
                              <w:rStyle w:val="45"/>
                            </w:rPr>
                            <w:instrText xml:space="preserve"> PAGE </w:instrText>
                          </w:r>
                          <w:r>
                            <w:fldChar w:fldCharType="separate"/>
                          </w:r>
                          <w:r>
                            <w:rPr>
                              <w:rStyle w:val="45"/>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F49D9E">
                    <w:pPr>
                      <w:pStyle w:val="29"/>
                      <w:jc w:val="center"/>
                    </w:pPr>
                    <w:r>
                      <w:fldChar w:fldCharType="begin"/>
                    </w:r>
                    <w:r>
                      <w:rPr>
                        <w:rStyle w:val="45"/>
                      </w:rPr>
                      <w:instrText xml:space="preserve"> PAGE </w:instrText>
                    </w:r>
                    <w:r>
                      <w:fldChar w:fldCharType="separate"/>
                    </w:r>
                    <w:r>
                      <w:rPr>
                        <w:rStyle w:val="45"/>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5CEC">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AD1EE">
                          <w:pPr>
                            <w:pStyle w:val="29"/>
                            <w:jc w:val="center"/>
                          </w:pPr>
                          <w:r>
                            <w:fldChar w:fldCharType="begin"/>
                          </w:r>
                          <w:r>
                            <w:instrText xml:space="preserve"> PAGE   \* MERGEFORMAT </w:instrText>
                          </w:r>
                          <w:r>
                            <w:fldChar w:fldCharType="separate"/>
                          </w:r>
                          <w:r>
                            <w:rPr>
                              <w:lang w:val="zh-CN"/>
                            </w:rPr>
                            <w:t>25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DAD1EE">
                    <w:pPr>
                      <w:pStyle w:val="29"/>
                      <w:jc w:val="center"/>
                    </w:pPr>
                    <w:r>
                      <w:fldChar w:fldCharType="begin"/>
                    </w:r>
                    <w:r>
                      <w:instrText xml:space="preserve"> PAGE   \* MERGEFORMAT </w:instrText>
                    </w:r>
                    <w:r>
                      <w:fldChar w:fldCharType="separate"/>
                    </w:r>
                    <w:r>
                      <w:rPr>
                        <w:lang w:val="zh-CN"/>
                      </w:rPr>
                      <w:t>25</w:t>
                    </w:r>
                    <w:r>
                      <w:rPr>
                        <w:lang w:val="zh-CN"/>
                      </w:rPr>
                      <w:fldChar w:fldCharType="end"/>
                    </w:r>
                  </w:p>
                </w:txbxContent>
              </v:textbox>
            </v:shape>
          </w:pict>
        </mc:Fallback>
      </mc:AlternateContent>
    </w:r>
  </w:p>
  <w:p w14:paraId="5DC9B362">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6963">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08485">
                          <w:pPr>
                            <w:pStyle w:val="29"/>
                            <w:jc w:val="center"/>
                            <w:rPr>
                              <w:rStyle w:val="45"/>
                            </w:rPr>
                          </w:pPr>
                          <w:r>
                            <w:fldChar w:fldCharType="begin"/>
                          </w:r>
                          <w:r>
                            <w:rPr>
                              <w:rStyle w:val="45"/>
                            </w:rPr>
                            <w:instrText xml:space="preserve">PAGE  </w:instrText>
                          </w:r>
                          <w:r>
                            <w:fldChar w:fldCharType="separate"/>
                          </w:r>
                          <w:r>
                            <w:rPr>
                              <w:rStyle w:val="45"/>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EA08485">
                    <w:pPr>
                      <w:pStyle w:val="29"/>
                      <w:jc w:val="center"/>
                      <w:rPr>
                        <w:rStyle w:val="45"/>
                      </w:rPr>
                    </w:pPr>
                    <w:r>
                      <w:fldChar w:fldCharType="begin"/>
                    </w:r>
                    <w:r>
                      <w:rPr>
                        <w:rStyle w:val="45"/>
                      </w:rPr>
                      <w:instrText xml:space="preserve">PAGE  </w:instrText>
                    </w:r>
                    <w:r>
                      <w:fldChar w:fldCharType="separate"/>
                    </w:r>
                    <w:r>
                      <w:rPr>
                        <w:rStyle w:val="45"/>
                      </w:rP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AAC4">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08058">
                          <w:pPr>
                            <w:pStyle w:val="29"/>
                            <w:jc w:val="center"/>
                            <w:rPr>
                              <w:rStyle w:val="45"/>
                            </w:rPr>
                          </w:pPr>
                          <w:r>
                            <w:fldChar w:fldCharType="begin"/>
                          </w:r>
                          <w:r>
                            <w:rPr>
                              <w:rStyle w:val="45"/>
                            </w:rPr>
                            <w:instrText xml:space="preserve">PAGE  </w:instrText>
                          </w:r>
                          <w:r>
                            <w:fldChar w:fldCharType="separate"/>
                          </w:r>
                          <w:r>
                            <w:rPr>
                              <w:rStyle w:val="45"/>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2108058">
                    <w:pPr>
                      <w:pStyle w:val="29"/>
                      <w:jc w:val="center"/>
                      <w:rPr>
                        <w:rStyle w:val="45"/>
                      </w:rPr>
                    </w:pPr>
                    <w:r>
                      <w:fldChar w:fldCharType="begin"/>
                    </w:r>
                    <w:r>
                      <w:rPr>
                        <w:rStyle w:val="45"/>
                      </w:rPr>
                      <w:instrText xml:space="preserve">PAGE  </w:instrText>
                    </w:r>
                    <w:r>
                      <w:fldChar w:fldCharType="separate"/>
                    </w:r>
                    <w:r>
                      <w:rPr>
                        <w:rStyle w:val="45"/>
                      </w:rP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DC0D">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1E544">
                          <w:pPr>
                            <w:pStyle w:val="29"/>
                            <w:jc w:val="center"/>
                            <w:rPr>
                              <w:rStyle w:val="45"/>
                            </w:rPr>
                          </w:pPr>
                          <w:r>
                            <w:fldChar w:fldCharType="begin"/>
                          </w:r>
                          <w:r>
                            <w:rPr>
                              <w:rStyle w:val="45"/>
                            </w:rPr>
                            <w:instrText xml:space="preserve">PAGE  </w:instrText>
                          </w:r>
                          <w:r>
                            <w:fldChar w:fldCharType="separate"/>
                          </w:r>
                          <w:r>
                            <w:rPr>
                              <w:rStyle w:val="45"/>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5E81E544">
                    <w:pPr>
                      <w:pStyle w:val="29"/>
                      <w:jc w:val="center"/>
                      <w:rPr>
                        <w:rStyle w:val="45"/>
                      </w:rPr>
                    </w:pPr>
                    <w:r>
                      <w:fldChar w:fldCharType="begin"/>
                    </w:r>
                    <w:r>
                      <w:rPr>
                        <w:rStyle w:val="45"/>
                      </w:rPr>
                      <w:instrText xml:space="preserve">PAGE  </w:instrText>
                    </w:r>
                    <w:r>
                      <w:fldChar w:fldCharType="separate"/>
                    </w:r>
                    <w:r>
                      <w:rPr>
                        <w:rStyle w:val="45"/>
                      </w:rP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B682">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63AE6">
                          <w:pPr>
                            <w:pStyle w:val="29"/>
                            <w:jc w:val="center"/>
                            <w:rPr>
                              <w:rStyle w:val="45"/>
                            </w:rPr>
                          </w:pPr>
                          <w:r>
                            <w:fldChar w:fldCharType="begin"/>
                          </w:r>
                          <w:r>
                            <w:rPr>
                              <w:rStyle w:val="45"/>
                            </w:rPr>
                            <w:instrText xml:space="preserve">PAGE  </w:instrText>
                          </w:r>
                          <w:r>
                            <w:fldChar w:fldCharType="separate"/>
                          </w:r>
                          <w:r>
                            <w:rPr>
                              <w:rStyle w:val="45"/>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3E63AE6">
                    <w:pPr>
                      <w:pStyle w:val="29"/>
                      <w:jc w:val="center"/>
                      <w:rPr>
                        <w:rStyle w:val="45"/>
                      </w:rPr>
                    </w:pPr>
                    <w:r>
                      <w:fldChar w:fldCharType="begin"/>
                    </w:r>
                    <w:r>
                      <w:rPr>
                        <w:rStyle w:val="45"/>
                      </w:rPr>
                      <w:instrText xml:space="preserve">PAGE  </w:instrText>
                    </w:r>
                    <w:r>
                      <w:fldChar w:fldCharType="separate"/>
                    </w:r>
                    <w:r>
                      <w:rPr>
                        <w:rStyle w:val="45"/>
                      </w:rP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177B">
    <w:pPr>
      <w:pStyle w:val="30"/>
      <w:pBdr>
        <w:bottom w:val="none" w:color="auto" w:sz="0" w:space="0"/>
      </w:pBdr>
      <w:jc w:val="both"/>
    </w:pPr>
    <w:r>
      <w:rPr>
        <w:rFonts w:hint="eastAsia" w:hAnsi="宋体" w:cs="宋体"/>
        <w:b/>
        <w:sz w:val="28"/>
        <w:szCs w:val="28"/>
      </w:rPr>
      <w:drawing>
        <wp:inline distT="0" distB="0" distL="114300" distR="114300">
          <wp:extent cx="1060450" cy="299720"/>
          <wp:effectExtent l="0" t="0" r="6350" b="5080"/>
          <wp:docPr id="6"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390D">
    <w:pPr>
      <w:pStyle w:val="3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5292">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156F">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C85C">
    <w:pPr>
      <w:pStyle w:val="3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46AA">
    <w:pPr>
      <w:pStyle w:val="3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464A0">
    <w:pPr>
      <w:pStyle w:val="3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504D">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2B47171"/>
    <w:multiLevelType w:val="singleLevel"/>
    <w:tmpl w:val="F2B47171"/>
    <w:lvl w:ilvl="0" w:tentative="0">
      <w:start w:val="1"/>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pStyle w:val="21"/>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pStyle w:val="198"/>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0000007"/>
    <w:multiLevelType w:val="multilevel"/>
    <w:tmpl w:val="00000007"/>
    <w:lvl w:ilvl="0" w:tentative="0">
      <w:start w:val="1"/>
      <w:numFmt w:val="bullet"/>
      <w:pStyle w:val="49"/>
      <w:lvlText w:val=""/>
      <w:lvlJc w:val="left"/>
      <w:pPr>
        <w:tabs>
          <w:tab w:val="left" w:pos="0"/>
        </w:tabs>
        <w:ind w:left="2520" w:hanging="420"/>
      </w:pPr>
      <w:rPr>
        <w:rFonts w:hint="default" w:ascii="Wingdings" w:hAnsi="Wingdings"/>
      </w:rPr>
    </w:lvl>
    <w:lvl w:ilvl="1" w:tentative="0">
      <w:start w:val="1"/>
      <w:numFmt w:val="bullet"/>
      <w:lvlText w:val=""/>
      <w:lvlJc w:val="left"/>
      <w:pPr>
        <w:tabs>
          <w:tab w:val="left" w:pos="0"/>
        </w:tabs>
        <w:ind w:left="2940" w:hanging="420"/>
      </w:pPr>
      <w:rPr>
        <w:rFonts w:hint="default" w:ascii="Wingdings" w:hAnsi="Wingdings"/>
      </w:rPr>
    </w:lvl>
    <w:lvl w:ilvl="2" w:tentative="0">
      <w:start w:val="1"/>
      <w:numFmt w:val="bullet"/>
      <w:lvlText w:val=""/>
      <w:lvlJc w:val="left"/>
      <w:pPr>
        <w:tabs>
          <w:tab w:val="left" w:pos="0"/>
        </w:tabs>
        <w:ind w:left="3360" w:hanging="420"/>
      </w:pPr>
      <w:rPr>
        <w:rFonts w:hint="default" w:ascii="Wingdings" w:hAnsi="Wingdings"/>
      </w:rPr>
    </w:lvl>
    <w:lvl w:ilvl="3" w:tentative="0">
      <w:start w:val="1"/>
      <w:numFmt w:val="bullet"/>
      <w:lvlText w:val=""/>
      <w:lvlJc w:val="left"/>
      <w:pPr>
        <w:tabs>
          <w:tab w:val="left" w:pos="0"/>
        </w:tabs>
        <w:ind w:left="3780" w:hanging="420"/>
      </w:pPr>
      <w:rPr>
        <w:rFonts w:hint="default" w:ascii="Wingdings" w:hAnsi="Wingdings"/>
      </w:rPr>
    </w:lvl>
    <w:lvl w:ilvl="4" w:tentative="0">
      <w:start w:val="1"/>
      <w:numFmt w:val="bullet"/>
      <w:lvlText w:val=""/>
      <w:lvlJc w:val="left"/>
      <w:pPr>
        <w:tabs>
          <w:tab w:val="left" w:pos="0"/>
        </w:tabs>
        <w:ind w:left="4200" w:hanging="420"/>
      </w:pPr>
      <w:rPr>
        <w:rFonts w:hint="default" w:ascii="Wingdings" w:hAnsi="Wingdings"/>
      </w:rPr>
    </w:lvl>
    <w:lvl w:ilvl="5" w:tentative="0">
      <w:start w:val="1"/>
      <w:numFmt w:val="bullet"/>
      <w:lvlText w:val=""/>
      <w:lvlJc w:val="left"/>
      <w:pPr>
        <w:tabs>
          <w:tab w:val="left" w:pos="0"/>
        </w:tabs>
        <w:ind w:left="4620" w:hanging="420"/>
      </w:pPr>
      <w:rPr>
        <w:rFonts w:hint="default" w:ascii="Wingdings" w:hAnsi="Wingdings"/>
      </w:rPr>
    </w:lvl>
    <w:lvl w:ilvl="6" w:tentative="0">
      <w:start w:val="1"/>
      <w:numFmt w:val="bullet"/>
      <w:lvlText w:val=""/>
      <w:lvlJc w:val="left"/>
      <w:pPr>
        <w:tabs>
          <w:tab w:val="left" w:pos="0"/>
        </w:tabs>
        <w:ind w:left="5040" w:hanging="420"/>
      </w:pPr>
      <w:rPr>
        <w:rFonts w:hint="default" w:ascii="Wingdings" w:hAnsi="Wingdings"/>
      </w:rPr>
    </w:lvl>
    <w:lvl w:ilvl="7" w:tentative="0">
      <w:start w:val="1"/>
      <w:numFmt w:val="bullet"/>
      <w:lvlText w:val=""/>
      <w:lvlJc w:val="left"/>
      <w:pPr>
        <w:tabs>
          <w:tab w:val="left" w:pos="0"/>
        </w:tabs>
        <w:ind w:left="5460" w:hanging="420"/>
      </w:pPr>
      <w:rPr>
        <w:rFonts w:hint="default" w:ascii="Wingdings" w:hAnsi="Wingdings"/>
      </w:rPr>
    </w:lvl>
    <w:lvl w:ilvl="8" w:tentative="0">
      <w:start w:val="1"/>
      <w:numFmt w:val="bullet"/>
      <w:lvlText w:val=""/>
      <w:lvlJc w:val="left"/>
      <w:pPr>
        <w:tabs>
          <w:tab w:val="left" w:pos="0"/>
        </w:tabs>
        <w:ind w:left="5880" w:hanging="420"/>
      </w:pPr>
      <w:rPr>
        <w:rFonts w:hint="default" w:ascii="Wingdings" w:hAnsi="Wingdings"/>
      </w:rPr>
    </w:lvl>
  </w:abstractNum>
  <w:abstractNum w:abstractNumId="9">
    <w:nsid w:val="00000009"/>
    <w:multiLevelType w:val="multilevel"/>
    <w:tmpl w:val="00000009"/>
    <w:lvl w:ilvl="0" w:tentative="0">
      <w:start w:val="1"/>
      <w:numFmt w:val="chineseCountingThousand"/>
      <w:pStyle w:val="68"/>
      <w:lvlText w:val="(%1)"/>
      <w:lvlJc w:val="left"/>
      <w:pPr>
        <w:tabs>
          <w:tab w:val="left" w:pos="0"/>
        </w:tabs>
        <w:ind w:left="1680" w:hanging="420"/>
      </w:pPr>
    </w:lvl>
    <w:lvl w:ilvl="1" w:tentative="0">
      <w:start w:val="1"/>
      <w:numFmt w:val="lowerLetter"/>
      <w:pStyle w:val="124"/>
      <w:lvlText w:val="%2)"/>
      <w:lvlJc w:val="left"/>
      <w:pPr>
        <w:tabs>
          <w:tab w:val="left" w:pos="0"/>
        </w:tabs>
        <w:ind w:left="2100" w:hanging="420"/>
      </w:pPr>
    </w:lvl>
    <w:lvl w:ilvl="2" w:tentative="0">
      <w:start w:val="1"/>
      <w:numFmt w:val="lowerRoman"/>
      <w:lvlText w:val="%3."/>
      <w:lvlJc w:val="right"/>
      <w:pPr>
        <w:tabs>
          <w:tab w:val="left" w:pos="0"/>
        </w:tabs>
        <w:ind w:left="2520" w:hanging="420"/>
      </w:pPr>
    </w:lvl>
    <w:lvl w:ilvl="3" w:tentative="0">
      <w:start w:val="1"/>
      <w:numFmt w:val="decimal"/>
      <w:lvlText w:val="%4."/>
      <w:lvlJc w:val="left"/>
      <w:pPr>
        <w:tabs>
          <w:tab w:val="left" w:pos="0"/>
        </w:tabs>
        <w:ind w:left="2940" w:hanging="420"/>
      </w:pPr>
    </w:lvl>
    <w:lvl w:ilvl="4" w:tentative="0">
      <w:start w:val="1"/>
      <w:numFmt w:val="lowerLetter"/>
      <w:lvlText w:val="%5)"/>
      <w:lvlJc w:val="left"/>
      <w:pPr>
        <w:tabs>
          <w:tab w:val="left" w:pos="0"/>
        </w:tabs>
        <w:ind w:left="3360" w:hanging="420"/>
      </w:pPr>
    </w:lvl>
    <w:lvl w:ilvl="5" w:tentative="0">
      <w:start w:val="1"/>
      <w:numFmt w:val="lowerRoman"/>
      <w:lvlText w:val="%6."/>
      <w:lvlJc w:val="right"/>
      <w:pPr>
        <w:tabs>
          <w:tab w:val="left" w:pos="0"/>
        </w:tabs>
        <w:ind w:left="3780" w:hanging="420"/>
      </w:pPr>
    </w:lvl>
    <w:lvl w:ilvl="6" w:tentative="0">
      <w:start w:val="1"/>
      <w:numFmt w:val="decimal"/>
      <w:lvlText w:val="%7."/>
      <w:lvlJc w:val="left"/>
      <w:pPr>
        <w:tabs>
          <w:tab w:val="left" w:pos="0"/>
        </w:tabs>
        <w:ind w:left="4200" w:hanging="420"/>
      </w:pPr>
    </w:lvl>
    <w:lvl w:ilvl="7" w:tentative="0">
      <w:start w:val="1"/>
      <w:numFmt w:val="lowerLetter"/>
      <w:lvlText w:val="%8)"/>
      <w:lvlJc w:val="left"/>
      <w:pPr>
        <w:tabs>
          <w:tab w:val="left" w:pos="0"/>
        </w:tabs>
        <w:ind w:left="4620" w:hanging="420"/>
      </w:pPr>
    </w:lvl>
    <w:lvl w:ilvl="8" w:tentative="0">
      <w:start w:val="1"/>
      <w:numFmt w:val="lowerRoman"/>
      <w:lvlText w:val="%9."/>
      <w:lvlJc w:val="right"/>
      <w:pPr>
        <w:tabs>
          <w:tab w:val="left" w:pos="0"/>
        </w:tabs>
        <w:ind w:left="5040" w:hanging="420"/>
      </w:pPr>
    </w:lvl>
  </w:abstractNum>
  <w:abstractNum w:abstractNumId="10">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1">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9"/>
  </w:num>
  <w:num w:numId="4">
    <w:abstractNumId w:val="10"/>
  </w:num>
  <w:num w:numId="5">
    <w:abstractNumId w:val="11"/>
  </w:num>
  <w:num w:numId="6">
    <w:abstractNumId w:val="1"/>
  </w:num>
  <w:num w:numId="7">
    <w:abstractNumId w:val="6"/>
  </w:num>
  <w:num w:numId="8">
    <w:abstractNumId w:val="3"/>
  </w:num>
  <w:num w:numId="9">
    <w:abstractNumId w:val="2"/>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MWJhZWNiMGQ5ZDZiNDAwMTdhNDZmMGNiOGYwM2YifQ=="/>
  </w:docVars>
  <w:rsids>
    <w:rsidRoot w:val="00172A27"/>
    <w:rsid w:val="00001E90"/>
    <w:rsid w:val="00004105"/>
    <w:rsid w:val="00004EC8"/>
    <w:rsid w:val="00006F70"/>
    <w:rsid w:val="000148A7"/>
    <w:rsid w:val="00014F6D"/>
    <w:rsid w:val="0002120A"/>
    <w:rsid w:val="000218F8"/>
    <w:rsid w:val="000244CB"/>
    <w:rsid w:val="00024831"/>
    <w:rsid w:val="000265F1"/>
    <w:rsid w:val="0002662B"/>
    <w:rsid w:val="000311D6"/>
    <w:rsid w:val="000340FF"/>
    <w:rsid w:val="00034C82"/>
    <w:rsid w:val="000360DC"/>
    <w:rsid w:val="0003655C"/>
    <w:rsid w:val="00040FF3"/>
    <w:rsid w:val="00043C14"/>
    <w:rsid w:val="000450E4"/>
    <w:rsid w:val="0004707A"/>
    <w:rsid w:val="00050823"/>
    <w:rsid w:val="00051090"/>
    <w:rsid w:val="000516C4"/>
    <w:rsid w:val="00056045"/>
    <w:rsid w:val="00056C4E"/>
    <w:rsid w:val="000611D1"/>
    <w:rsid w:val="0006312C"/>
    <w:rsid w:val="00063D96"/>
    <w:rsid w:val="00064446"/>
    <w:rsid w:val="00065476"/>
    <w:rsid w:val="00065ADA"/>
    <w:rsid w:val="0006607F"/>
    <w:rsid w:val="00066EC8"/>
    <w:rsid w:val="00067510"/>
    <w:rsid w:val="00067F45"/>
    <w:rsid w:val="0008040D"/>
    <w:rsid w:val="0008193C"/>
    <w:rsid w:val="00081F9A"/>
    <w:rsid w:val="000845B8"/>
    <w:rsid w:val="00085C29"/>
    <w:rsid w:val="00087702"/>
    <w:rsid w:val="00087AA2"/>
    <w:rsid w:val="00096C90"/>
    <w:rsid w:val="0009775A"/>
    <w:rsid w:val="000977DA"/>
    <w:rsid w:val="000A0252"/>
    <w:rsid w:val="000A2388"/>
    <w:rsid w:val="000A5B81"/>
    <w:rsid w:val="000A6F06"/>
    <w:rsid w:val="000B0650"/>
    <w:rsid w:val="000B36E8"/>
    <w:rsid w:val="000B37BB"/>
    <w:rsid w:val="000B4450"/>
    <w:rsid w:val="000B68C4"/>
    <w:rsid w:val="000B7B3A"/>
    <w:rsid w:val="000B7F9D"/>
    <w:rsid w:val="000C115B"/>
    <w:rsid w:val="000C3AA3"/>
    <w:rsid w:val="000C4186"/>
    <w:rsid w:val="000D0D18"/>
    <w:rsid w:val="000D35B6"/>
    <w:rsid w:val="000D3D1A"/>
    <w:rsid w:val="000D5EAE"/>
    <w:rsid w:val="000D7267"/>
    <w:rsid w:val="000D73E8"/>
    <w:rsid w:val="000D7BCB"/>
    <w:rsid w:val="000E475B"/>
    <w:rsid w:val="000E4FE3"/>
    <w:rsid w:val="000E5CD9"/>
    <w:rsid w:val="000E7E7C"/>
    <w:rsid w:val="000F2382"/>
    <w:rsid w:val="000F6F99"/>
    <w:rsid w:val="00104E27"/>
    <w:rsid w:val="0010742B"/>
    <w:rsid w:val="00107B11"/>
    <w:rsid w:val="00110BEB"/>
    <w:rsid w:val="001142FF"/>
    <w:rsid w:val="0011506A"/>
    <w:rsid w:val="001151E8"/>
    <w:rsid w:val="00115A2F"/>
    <w:rsid w:val="00116039"/>
    <w:rsid w:val="001170CA"/>
    <w:rsid w:val="0012342A"/>
    <w:rsid w:val="00125713"/>
    <w:rsid w:val="00126457"/>
    <w:rsid w:val="00127640"/>
    <w:rsid w:val="001312F4"/>
    <w:rsid w:val="00132693"/>
    <w:rsid w:val="001334A3"/>
    <w:rsid w:val="00133B15"/>
    <w:rsid w:val="001414A3"/>
    <w:rsid w:val="0014179D"/>
    <w:rsid w:val="00143C01"/>
    <w:rsid w:val="00146C32"/>
    <w:rsid w:val="00147043"/>
    <w:rsid w:val="00151B56"/>
    <w:rsid w:val="00152CD5"/>
    <w:rsid w:val="00153D76"/>
    <w:rsid w:val="0015707E"/>
    <w:rsid w:val="001608E3"/>
    <w:rsid w:val="00160B7C"/>
    <w:rsid w:val="00161ED3"/>
    <w:rsid w:val="00162919"/>
    <w:rsid w:val="00164BB1"/>
    <w:rsid w:val="001659DC"/>
    <w:rsid w:val="00172A27"/>
    <w:rsid w:val="0017553E"/>
    <w:rsid w:val="00177329"/>
    <w:rsid w:val="00180097"/>
    <w:rsid w:val="001807C5"/>
    <w:rsid w:val="00180E0B"/>
    <w:rsid w:val="00180EBB"/>
    <w:rsid w:val="001818F7"/>
    <w:rsid w:val="00181C6A"/>
    <w:rsid w:val="00183838"/>
    <w:rsid w:val="001858A7"/>
    <w:rsid w:val="00190470"/>
    <w:rsid w:val="00192D91"/>
    <w:rsid w:val="00197F8F"/>
    <w:rsid w:val="001A0891"/>
    <w:rsid w:val="001A4245"/>
    <w:rsid w:val="001A45A1"/>
    <w:rsid w:val="001B5EC7"/>
    <w:rsid w:val="001C7E6F"/>
    <w:rsid w:val="001D107E"/>
    <w:rsid w:val="001D22A3"/>
    <w:rsid w:val="001D2526"/>
    <w:rsid w:val="001D4829"/>
    <w:rsid w:val="001D7AAE"/>
    <w:rsid w:val="001E10A1"/>
    <w:rsid w:val="001E2581"/>
    <w:rsid w:val="001E3C0A"/>
    <w:rsid w:val="001E4256"/>
    <w:rsid w:val="001E465D"/>
    <w:rsid w:val="001E4EFF"/>
    <w:rsid w:val="001E52AE"/>
    <w:rsid w:val="001E5764"/>
    <w:rsid w:val="001E6384"/>
    <w:rsid w:val="001E67FC"/>
    <w:rsid w:val="001F1B72"/>
    <w:rsid w:val="001F351C"/>
    <w:rsid w:val="001F43BB"/>
    <w:rsid w:val="00206FE0"/>
    <w:rsid w:val="00210037"/>
    <w:rsid w:val="002136D7"/>
    <w:rsid w:val="00215D93"/>
    <w:rsid w:val="00221A10"/>
    <w:rsid w:val="00222BFD"/>
    <w:rsid w:val="00225688"/>
    <w:rsid w:val="002302F7"/>
    <w:rsid w:val="00231EEA"/>
    <w:rsid w:val="00233B4D"/>
    <w:rsid w:val="002340CA"/>
    <w:rsid w:val="00234475"/>
    <w:rsid w:val="00236502"/>
    <w:rsid w:val="00244230"/>
    <w:rsid w:val="0024615F"/>
    <w:rsid w:val="002507FD"/>
    <w:rsid w:val="0026130D"/>
    <w:rsid w:val="002622FA"/>
    <w:rsid w:val="00263828"/>
    <w:rsid w:val="00264B52"/>
    <w:rsid w:val="002701B6"/>
    <w:rsid w:val="00270BF2"/>
    <w:rsid w:val="0027437F"/>
    <w:rsid w:val="00274AC7"/>
    <w:rsid w:val="00275DC1"/>
    <w:rsid w:val="00275F7D"/>
    <w:rsid w:val="002767FE"/>
    <w:rsid w:val="00281164"/>
    <w:rsid w:val="002822DF"/>
    <w:rsid w:val="002862B3"/>
    <w:rsid w:val="00286C72"/>
    <w:rsid w:val="00290409"/>
    <w:rsid w:val="00290D9B"/>
    <w:rsid w:val="00291B54"/>
    <w:rsid w:val="0029209B"/>
    <w:rsid w:val="00292466"/>
    <w:rsid w:val="00295778"/>
    <w:rsid w:val="0029694F"/>
    <w:rsid w:val="002A0157"/>
    <w:rsid w:val="002A0F69"/>
    <w:rsid w:val="002A2221"/>
    <w:rsid w:val="002A2871"/>
    <w:rsid w:val="002A5A6C"/>
    <w:rsid w:val="002A5C91"/>
    <w:rsid w:val="002A5CFF"/>
    <w:rsid w:val="002A786E"/>
    <w:rsid w:val="002B183C"/>
    <w:rsid w:val="002B2770"/>
    <w:rsid w:val="002B4204"/>
    <w:rsid w:val="002C0EDA"/>
    <w:rsid w:val="002C32C0"/>
    <w:rsid w:val="002C3A31"/>
    <w:rsid w:val="002C51E8"/>
    <w:rsid w:val="002C5311"/>
    <w:rsid w:val="002C558B"/>
    <w:rsid w:val="002D2AE2"/>
    <w:rsid w:val="002D6979"/>
    <w:rsid w:val="002D6B00"/>
    <w:rsid w:val="002D72E1"/>
    <w:rsid w:val="002E1227"/>
    <w:rsid w:val="002E2A5C"/>
    <w:rsid w:val="002E2F23"/>
    <w:rsid w:val="002E4EE2"/>
    <w:rsid w:val="002E7597"/>
    <w:rsid w:val="002F1029"/>
    <w:rsid w:val="002F658F"/>
    <w:rsid w:val="002F79C3"/>
    <w:rsid w:val="002F7B49"/>
    <w:rsid w:val="00300FB3"/>
    <w:rsid w:val="00301C69"/>
    <w:rsid w:val="00303F39"/>
    <w:rsid w:val="0030407B"/>
    <w:rsid w:val="0030582A"/>
    <w:rsid w:val="00312A94"/>
    <w:rsid w:val="00313F92"/>
    <w:rsid w:val="00321251"/>
    <w:rsid w:val="003221C6"/>
    <w:rsid w:val="0032292A"/>
    <w:rsid w:val="00322BE5"/>
    <w:rsid w:val="003300CA"/>
    <w:rsid w:val="003332EF"/>
    <w:rsid w:val="00334984"/>
    <w:rsid w:val="00337392"/>
    <w:rsid w:val="003403AB"/>
    <w:rsid w:val="00341213"/>
    <w:rsid w:val="0034373C"/>
    <w:rsid w:val="003439B2"/>
    <w:rsid w:val="00344CBF"/>
    <w:rsid w:val="003507F6"/>
    <w:rsid w:val="00353D53"/>
    <w:rsid w:val="0035580C"/>
    <w:rsid w:val="00355AE7"/>
    <w:rsid w:val="00361653"/>
    <w:rsid w:val="003624EB"/>
    <w:rsid w:val="003638AD"/>
    <w:rsid w:val="00364870"/>
    <w:rsid w:val="00366E40"/>
    <w:rsid w:val="00367878"/>
    <w:rsid w:val="00372B55"/>
    <w:rsid w:val="00372C22"/>
    <w:rsid w:val="003735D9"/>
    <w:rsid w:val="00373E06"/>
    <w:rsid w:val="00374AE4"/>
    <w:rsid w:val="003763B9"/>
    <w:rsid w:val="0038029E"/>
    <w:rsid w:val="003804B2"/>
    <w:rsid w:val="00380898"/>
    <w:rsid w:val="00380E64"/>
    <w:rsid w:val="00382D4D"/>
    <w:rsid w:val="00386D11"/>
    <w:rsid w:val="00390339"/>
    <w:rsid w:val="00393DE7"/>
    <w:rsid w:val="00393EAF"/>
    <w:rsid w:val="0039425B"/>
    <w:rsid w:val="00395D05"/>
    <w:rsid w:val="003A1FC3"/>
    <w:rsid w:val="003A409D"/>
    <w:rsid w:val="003B23F7"/>
    <w:rsid w:val="003B4B84"/>
    <w:rsid w:val="003B684B"/>
    <w:rsid w:val="003B68EC"/>
    <w:rsid w:val="003B7160"/>
    <w:rsid w:val="003C1648"/>
    <w:rsid w:val="003C27E4"/>
    <w:rsid w:val="003C5D4A"/>
    <w:rsid w:val="003D5143"/>
    <w:rsid w:val="003D71C6"/>
    <w:rsid w:val="003D7DE6"/>
    <w:rsid w:val="003E104E"/>
    <w:rsid w:val="003E1A4F"/>
    <w:rsid w:val="003E5178"/>
    <w:rsid w:val="003E6419"/>
    <w:rsid w:val="003F2892"/>
    <w:rsid w:val="003F5DBD"/>
    <w:rsid w:val="00400A2D"/>
    <w:rsid w:val="00402C21"/>
    <w:rsid w:val="004062F2"/>
    <w:rsid w:val="0040643D"/>
    <w:rsid w:val="00406702"/>
    <w:rsid w:val="0041232F"/>
    <w:rsid w:val="00414EAD"/>
    <w:rsid w:val="004238C2"/>
    <w:rsid w:val="00423ECF"/>
    <w:rsid w:val="0042783F"/>
    <w:rsid w:val="004356D5"/>
    <w:rsid w:val="0043606D"/>
    <w:rsid w:val="0044041F"/>
    <w:rsid w:val="00447483"/>
    <w:rsid w:val="00450F5E"/>
    <w:rsid w:val="00451254"/>
    <w:rsid w:val="0045279D"/>
    <w:rsid w:val="00455F42"/>
    <w:rsid w:val="00456CED"/>
    <w:rsid w:val="004624B6"/>
    <w:rsid w:val="004647BD"/>
    <w:rsid w:val="00465128"/>
    <w:rsid w:val="00466ABA"/>
    <w:rsid w:val="0047061D"/>
    <w:rsid w:val="00474AEB"/>
    <w:rsid w:val="00475209"/>
    <w:rsid w:val="00475BAB"/>
    <w:rsid w:val="00477CEA"/>
    <w:rsid w:val="00481073"/>
    <w:rsid w:val="004901B8"/>
    <w:rsid w:val="0049034D"/>
    <w:rsid w:val="00490C74"/>
    <w:rsid w:val="00490F58"/>
    <w:rsid w:val="00491DD0"/>
    <w:rsid w:val="00493E02"/>
    <w:rsid w:val="004949AA"/>
    <w:rsid w:val="004A0348"/>
    <w:rsid w:val="004A03C5"/>
    <w:rsid w:val="004A54AE"/>
    <w:rsid w:val="004A6592"/>
    <w:rsid w:val="004B1EAE"/>
    <w:rsid w:val="004B391D"/>
    <w:rsid w:val="004C2998"/>
    <w:rsid w:val="004C3206"/>
    <w:rsid w:val="004C52E1"/>
    <w:rsid w:val="004D0400"/>
    <w:rsid w:val="004D0DFB"/>
    <w:rsid w:val="004D0E89"/>
    <w:rsid w:val="004D68E2"/>
    <w:rsid w:val="004D700E"/>
    <w:rsid w:val="004E0899"/>
    <w:rsid w:val="004E2865"/>
    <w:rsid w:val="004E2C31"/>
    <w:rsid w:val="004E38B7"/>
    <w:rsid w:val="004E57B3"/>
    <w:rsid w:val="004E69E4"/>
    <w:rsid w:val="004F17DC"/>
    <w:rsid w:val="004F35D4"/>
    <w:rsid w:val="004F4993"/>
    <w:rsid w:val="004F4E77"/>
    <w:rsid w:val="004F58EA"/>
    <w:rsid w:val="004F64E5"/>
    <w:rsid w:val="004F6FB5"/>
    <w:rsid w:val="00501927"/>
    <w:rsid w:val="00505FE8"/>
    <w:rsid w:val="00506A8F"/>
    <w:rsid w:val="00511ABC"/>
    <w:rsid w:val="00513B1B"/>
    <w:rsid w:val="00514A9D"/>
    <w:rsid w:val="0051549D"/>
    <w:rsid w:val="005156ED"/>
    <w:rsid w:val="00515FD9"/>
    <w:rsid w:val="00517938"/>
    <w:rsid w:val="00520884"/>
    <w:rsid w:val="00522FFA"/>
    <w:rsid w:val="00523913"/>
    <w:rsid w:val="00525165"/>
    <w:rsid w:val="00526874"/>
    <w:rsid w:val="00527220"/>
    <w:rsid w:val="00530B4F"/>
    <w:rsid w:val="005354F4"/>
    <w:rsid w:val="0054117A"/>
    <w:rsid w:val="00541466"/>
    <w:rsid w:val="005426C2"/>
    <w:rsid w:val="005427B0"/>
    <w:rsid w:val="00542EC3"/>
    <w:rsid w:val="00547B0F"/>
    <w:rsid w:val="005506D7"/>
    <w:rsid w:val="00552CDB"/>
    <w:rsid w:val="00553B6E"/>
    <w:rsid w:val="005576F4"/>
    <w:rsid w:val="0056097A"/>
    <w:rsid w:val="00561B17"/>
    <w:rsid w:val="00562D05"/>
    <w:rsid w:val="00562DC9"/>
    <w:rsid w:val="00562E21"/>
    <w:rsid w:val="00565B7F"/>
    <w:rsid w:val="00570A36"/>
    <w:rsid w:val="00580347"/>
    <w:rsid w:val="00581C16"/>
    <w:rsid w:val="0058255B"/>
    <w:rsid w:val="00585DEB"/>
    <w:rsid w:val="00586BA8"/>
    <w:rsid w:val="00587CA1"/>
    <w:rsid w:val="00590423"/>
    <w:rsid w:val="00594907"/>
    <w:rsid w:val="00596B45"/>
    <w:rsid w:val="00597C2A"/>
    <w:rsid w:val="00597D6C"/>
    <w:rsid w:val="005A367A"/>
    <w:rsid w:val="005B33B6"/>
    <w:rsid w:val="005B5580"/>
    <w:rsid w:val="005B558F"/>
    <w:rsid w:val="005B62EB"/>
    <w:rsid w:val="005B79F2"/>
    <w:rsid w:val="005C01D0"/>
    <w:rsid w:val="005C158A"/>
    <w:rsid w:val="005C6F72"/>
    <w:rsid w:val="005C70B9"/>
    <w:rsid w:val="005D1158"/>
    <w:rsid w:val="005D2556"/>
    <w:rsid w:val="005D381D"/>
    <w:rsid w:val="005D3F71"/>
    <w:rsid w:val="005D5F9F"/>
    <w:rsid w:val="005D6ABF"/>
    <w:rsid w:val="005D7BD2"/>
    <w:rsid w:val="005E7C2E"/>
    <w:rsid w:val="005F0C18"/>
    <w:rsid w:val="005F0F37"/>
    <w:rsid w:val="005F1ADE"/>
    <w:rsid w:val="005F31EE"/>
    <w:rsid w:val="005F3850"/>
    <w:rsid w:val="005F3C71"/>
    <w:rsid w:val="005F5AC9"/>
    <w:rsid w:val="005F6B07"/>
    <w:rsid w:val="00604B11"/>
    <w:rsid w:val="006068FE"/>
    <w:rsid w:val="00611691"/>
    <w:rsid w:val="006125C1"/>
    <w:rsid w:val="00613EA4"/>
    <w:rsid w:val="006158DC"/>
    <w:rsid w:val="00617352"/>
    <w:rsid w:val="0062290F"/>
    <w:rsid w:val="006255F3"/>
    <w:rsid w:val="00625A1E"/>
    <w:rsid w:val="0062775E"/>
    <w:rsid w:val="00627B7E"/>
    <w:rsid w:val="006330A9"/>
    <w:rsid w:val="006344F0"/>
    <w:rsid w:val="006351D4"/>
    <w:rsid w:val="00635D16"/>
    <w:rsid w:val="00637D8B"/>
    <w:rsid w:val="006405CA"/>
    <w:rsid w:val="00640DDD"/>
    <w:rsid w:val="006440B6"/>
    <w:rsid w:val="00644852"/>
    <w:rsid w:val="00645AD7"/>
    <w:rsid w:val="00646B8D"/>
    <w:rsid w:val="00653672"/>
    <w:rsid w:val="00654F03"/>
    <w:rsid w:val="00654F46"/>
    <w:rsid w:val="00655105"/>
    <w:rsid w:val="006557D1"/>
    <w:rsid w:val="0065768C"/>
    <w:rsid w:val="00665230"/>
    <w:rsid w:val="00667925"/>
    <w:rsid w:val="00674482"/>
    <w:rsid w:val="00675812"/>
    <w:rsid w:val="006773E7"/>
    <w:rsid w:val="00681038"/>
    <w:rsid w:val="00681B6F"/>
    <w:rsid w:val="006937E9"/>
    <w:rsid w:val="00693B53"/>
    <w:rsid w:val="00694399"/>
    <w:rsid w:val="00695A0A"/>
    <w:rsid w:val="00695F94"/>
    <w:rsid w:val="00696FA7"/>
    <w:rsid w:val="006A1B02"/>
    <w:rsid w:val="006A255B"/>
    <w:rsid w:val="006A418E"/>
    <w:rsid w:val="006A590C"/>
    <w:rsid w:val="006B213B"/>
    <w:rsid w:val="006B27F8"/>
    <w:rsid w:val="006B41E5"/>
    <w:rsid w:val="006B47A5"/>
    <w:rsid w:val="006B5D47"/>
    <w:rsid w:val="006B60D1"/>
    <w:rsid w:val="006B66B4"/>
    <w:rsid w:val="006B7213"/>
    <w:rsid w:val="006B741B"/>
    <w:rsid w:val="006C10C2"/>
    <w:rsid w:val="006C303B"/>
    <w:rsid w:val="006C54CC"/>
    <w:rsid w:val="006C6DB3"/>
    <w:rsid w:val="006D099C"/>
    <w:rsid w:val="006D1643"/>
    <w:rsid w:val="006D367E"/>
    <w:rsid w:val="006D3D6D"/>
    <w:rsid w:val="006E3A31"/>
    <w:rsid w:val="006E7E41"/>
    <w:rsid w:val="006F0C7F"/>
    <w:rsid w:val="006F13E4"/>
    <w:rsid w:val="006F142E"/>
    <w:rsid w:val="006F1CCB"/>
    <w:rsid w:val="006F2CA1"/>
    <w:rsid w:val="006F2F6A"/>
    <w:rsid w:val="006F62B4"/>
    <w:rsid w:val="007032B0"/>
    <w:rsid w:val="00705B5C"/>
    <w:rsid w:val="007100E3"/>
    <w:rsid w:val="00710B68"/>
    <w:rsid w:val="0071154E"/>
    <w:rsid w:val="00712BAC"/>
    <w:rsid w:val="00714A4A"/>
    <w:rsid w:val="00715074"/>
    <w:rsid w:val="007152F2"/>
    <w:rsid w:val="007152F5"/>
    <w:rsid w:val="00715922"/>
    <w:rsid w:val="0071665F"/>
    <w:rsid w:val="0072082E"/>
    <w:rsid w:val="00720E58"/>
    <w:rsid w:val="00720E70"/>
    <w:rsid w:val="00721290"/>
    <w:rsid w:val="00723B21"/>
    <w:rsid w:val="0073122D"/>
    <w:rsid w:val="0073382B"/>
    <w:rsid w:val="0073518F"/>
    <w:rsid w:val="0073549F"/>
    <w:rsid w:val="00735749"/>
    <w:rsid w:val="00735EBA"/>
    <w:rsid w:val="00741FF1"/>
    <w:rsid w:val="00743912"/>
    <w:rsid w:val="00743FEB"/>
    <w:rsid w:val="00744456"/>
    <w:rsid w:val="00746BF0"/>
    <w:rsid w:val="00750219"/>
    <w:rsid w:val="00753218"/>
    <w:rsid w:val="007564FC"/>
    <w:rsid w:val="00757186"/>
    <w:rsid w:val="007578CF"/>
    <w:rsid w:val="0076010C"/>
    <w:rsid w:val="0076077A"/>
    <w:rsid w:val="00764B0C"/>
    <w:rsid w:val="00766B9E"/>
    <w:rsid w:val="007670FD"/>
    <w:rsid w:val="00767CD6"/>
    <w:rsid w:val="00770556"/>
    <w:rsid w:val="00770758"/>
    <w:rsid w:val="007752E5"/>
    <w:rsid w:val="00775372"/>
    <w:rsid w:val="00775657"/>
    <w:rsid w:val="00776E23"/>
    <w:rsid w:val="0077759C"/>
    <w:rsid w:val="0078068F"/>
    <w:rsid w:val="0078322A"/>
    <w:rsid w:val="0078395A"/>
    <w:rsid w:val="00783B42"/>
    <w:rsid w:val="00787FBB"/>
    <w:rsid w:val="00793C6A"/>
    <w:rsid w:val="007947F9"/>
    <w:rsid w:val="0079719E"/>
    <w:rsid w:val="00797CB2"/>
    <w:rsid w:val="007A03A2"/>
    <w:rsid w:val="007A0E5C"/>
    <w:rsid w:val="007A20E6"/>
    <w:rsid w:val="007A5167"/>
    <w:rsid w:val="007A5228"/>
    <w:rsid w:val="007B1415"/>
    <w:rsid w:val="007B195D"/>
    <w:rsid w:val="007B1A5A"/>
    <w:rsid w:val="007B25EB"/>
    <w:rsid w:val="007B4391"/>
    <w:rsid w:val="007B4801"/>
    <w:rsid w:val="007C6D49"/>
    <w:rsid w:val="007D037B"/>
    <w:rsid w:val="007D7DE4"/>
    <w:rsid w:val="007E17DC"/>
    <w:rsid w:val="007E3965"/>
    <w:rsid w:val="007F03FA"/>
    <w:rsid w:val="007F2C5A"/>
    <w:rsid w:val="007F2D9C"/>
    <w:rsid w:val="007F606A"/>
    <w:rsid w:val="0080083F"/>
    <w:rsid w:val="008015D1"/>
    <w:rsid w:val="00802A4C"/>
    <w:rsid w:val="00802E5C"/>
    <w:rsid w:val="00805197"/>
    <w:rsid w:val="00806023"/>
    <w:rsid w:val="00806E61"/>
    <w:rsid w:val="00810656"/>
    <w:rsid w:val="00813D13"/>
    <w:rsid w:val="0081423D"/>
    <w:rsid w:val="0082125C"/>
    <w:rsid w:val="00821BEF"/>
    <w:rsid w:val="00821FCB"/>
    <w:rsid w:val="0082632D"/>
    <w:rsid w:val="00836E4C"/>
    <w:rsid w:val="00837A4C"/>
    <w:rsid w:val="00841EF3"/>
    <w:rsid w:val="00843404"/>
    <w:rsid w:val="00847B6B"/>
    <w:rsid w:val="0085641F"/>
    <w:rsid w:val="00856FBA"/>
    <w:rsid w:val="00860CE5"/>
    <w:rsid w:val="00861495"/>
    <w:rsid w:val="00861BB9"/>
    <w:rsid w:val="00863DCD"/>
    <w:rsid w:val="00865162"/>
    <w:rsid w:val="0087254B"/>
    <w:rsid w:val="00872D54"/>
    <w:rsid w:val="00877B1D"/>
    <w:rsid w:val="00883F78"/>
    <w:rsid w:val="00884879"/>
    <w:rsid w:val="008914A4"/>
    <w:rsid w:val="008914CC"/>
    <w:rsid w:val="0089204E"/>
    <w:rsid w:val="0089390E"/>
    <w:rsid w:val="00893C51"/>
    <w:rsid w:val="0089486F"/>
    <w:rsid w:val="00897C18"/>
    <w:rsid w:val="008A04DE"/>
    <w:rsid w:val="008A0C4D"/>
    <w:rsid w:val="008A1DAC"/>
    <w:rsid w:val="008A310E"/>
    <w:rsid w:val="008B0575"/>
    <w:rsid w:val="008B0B79"/>
    <w:rsid w:val="008B1DD5"/>
    <w:rsid w:val="008B2872"/>
    <w:rsid w:val="008B443F"/>
    <w:rsid w:val="008C38C6"/>
    <w:rsid w:val="008C6055"/>
    <w:rsid w:val="008D660E"/>
    <w:rsid w:val="008D7667"/>
    <w:rsid w:val="008E28EC"/>
    <w:rsid w:val="008E77F1"/>
    <w:rsid w:val="008F0C14"/>
    <w:rsid w:val="008F0CB8"/>
    <w:rsid w:val="008F195C"/>
    <w:rsid w:val="008F3F6B"/>
    <w:rsid w:val="008F4188"/>
    <w:rsid w:val="008F5E29"/>
    <w:rsid w:val="008F60C6"/>
    <w:rsid w:val="0090189C"/>
    <w:rsid w:val="00903BAF"/>
    <w:rsid w:val="00903CD5"/>
    <w:rsid w:val="009066CE"/>
    <w:rsid w:val="00911FBF"/>
    <w:rsid w:val="00917038"/>
    <w:rsid w:val="0092057F"/>
    <w:rsid w:val="00922F73"/>
    <w:rsid w:val="00923909"/>
    <w:rsid w:val="00924D16"/>
    <w:rsid w:val="00927CFC"/>
    <w:rsid w:val="00931C2D"/>
    <w:rsid w:val="00931EEC"/>
    <w:rsid w:val="009328CF"/>
    <w:rsid w:val="009359FC"/>
    <w:rsid w:val="00941C14"/>
    <w:rsid w:val="00941F6D"/>
    <w:rsid w:val="00941F8C"/>
    <w:rsid w:val="00944768"/>
    <w:rsid w:val="00944C39"/>
    <w:rsid w:val="00944FB6"/>
    <w:rsid w:val="009477FA"/>
    <w:rsid w:val="00951595"/>
    <w:rsid w:val="00951B28"/>
    <w:rsid w:val="00952C55"/>
    <w:rsid w:val="009562C2"/>
    <w:rsid w:val="009602DB"/>
    <w:rsid w:val="00961A73"/>
    <w:rsid w:val="0096261E"/>
    <w:rsid w:val="0096549C"/>
    <w:rsid w:val="009719E6"/>
    <w:rsid w:val="00975176"/>
    <w:rsid w:val="0097651B"/>
    <w:rsid w:val="00976C2E"/>
    <w:rsid w:val="00980912"/>
    <w:rsid w:val="00982F3D"/>
    <w:rsid w:val="0098305C"/>
    <w:rsid w:val="0098394B"/>
    <w:rsid w:val="0098607E"/>
    <w:rsid w:val="00987AE0"/>
    <w:rsid w:val="00992F77"/>
    <w:rsid w:val="00995E9E"/>
    <w:rsid w:val="009A1642"/>
    <w:rsid w:val="009A2380"/>
    <w:rsid w:val="009A3187"/>
    <w:rsid w:val="009A4645"/>
    <w:rsid w:val="009A4E90"/>
    <w:rsid w:val="009B13CE"/>
    <w:rsid w:val="009B2227"/>
    <w:rsid w:val="009B38DF"/>
    <w:rsid w:val="009B654C"/>
    <w:rsid w:val="009B6616"/>
    <w:rsid w:val="009C1646"/>
    <w:rsid w:val="009C2073"/>
    <w:rsid w:val="009C2589"/>
    <w:rsid w:val="009D0D53"/>
    <w:rsid w:val="009D313A"/>
    <w:rsid w:val="009E3FD5"/>
    <w:rsid w:val="009E607D"/>
    <w:rsid w:val="009E60BB"/>
    <w:rsid w:val="009F1587"/>
    <w:rsid w:val="009F2834"/>
    <w:rsid w:val="009F3DFD"/>
    <w:rsid w:val="009F716D"/>
    <w:rsid w:val="00A0241D"/>
    <w:rsid w:val="00A1071E"/>
    <w:rsid w:val="00A1090F"/>
    <w:rsid w:val="00A10D2D"/>
    <w:rsid w:val="00A120C5"/>
    <w:rsid w:val="00A1257C"/>
    <w:rsid w:val="00A17177"/>
    <w:rsid w:val="00A21761"/>
    <w:rsid w:val="00A22268"/>
    <w:rsid w:val="00A2397A"/>
    <w:rsid w:val="00A349AD"/>
    <w:rsid w:val="00A35789"/>
    <w:rsid w:val="00A35A6F"/>
    <w:rsid w:val="00A40926"/>
    <w:rsid w:val="00A412B6"/>
    <w:rsid w:val="00A41E30"/>
    <w:rsid w:val="00A436C8"/>
    <w:rsid w:val="00A449D9"/>
    <w:rsid w:val="00A470C2"/>
    <w:rsid w:val="00A50C32"/>
    <w:rsid w:val="00A52097"/>
    <w:rsid w:val="00A539CE"/>
    <w:rsid w:val="00A53A5C"/>
    <w:rsid w:val="00A54DAB"/>
    <w:rsid w:val="00A56487"/>
    <w:rsid w:val="00A56EC2"/>
    <w:rsid w:val="00A57E76"/>
    <w:rsid w:val="00A634FF"/>
    <w:rsid w:val="00A6538C"/>
    <w:rsid w:val="00A667C3"/>
    <w:rsid w:val="00A70223"/>
    <w:rsid w:val="00A718F3"/>
    <w:rsid w:val="00A72789"/>
    <w:rsid w:val="00A729D2"/>
    <w:rsid w:val="00A742FD"/>
    <w:rsid w:val="00A74411"/>
    <w:rsid w:val="00A75F0B"/>
    <w:rsid w:val="00A77B6D"/>
    <w:rsid w:val="00A83353"/>
    <w:rsid w:val="00A866C9"/>
    <w:rsid w:val="00A90FF7"/>
    <w:rsid w:val="00A9262B"/>
    <w:rsid w:val="00A94218"/>
    <w:rsid w:val="00A97DDF"/>
    <w:rsid w:val="00AA185E"/>
    <w:rsid w:val="00AA29C9"/>
    <w:rsid w:val="00AA557C"/>
    <w:rsid w:val="00AA58CD"/>
    <w:rsid w:val="00AA5924"/>
    <w:rsid w:val="00AA73F6"/>
    <w:rsid w:val="00AA760E"/>
    <w:rsid w:val="00AB0CD3"/>
    <w:rsid w:val="00AB152D"/>
    <w:rsid w:val="00AB24EE"/>
    <w:rsid w:val="00AB3170"/>
    <w:rsid w:val="00AB54D8"/>
    <w:rsid w:val="00AB69D3"/>
    <w:rsid w:val="00AC1E74"/>
    <w:rsid w:val="00AC7595"/>
    <w:rsid w:val="00AD2E7A"/>
    <w:rsid w:val="00AD311D"/>
    <w:rsid w:val="00AD3778"/>
    <w:rsid w:val="00AD4C64"/>
    <w:rsid w:val="00AD5DCC"/>
    <w:rsid w:val="00AD5FB8"/>
    <w:rsid w:val="00AE34E9"/>
    <w:rsid w:val="00AE4F67"/>
    <w:rsid w:val="00AE5270"/>
    <w:rsid w:val="00AE6C16"/>
    <w:rsid w:val="00AE761C"/>
    <w:rsid w:val="00AF1F25"/>
    <w:rsid w:val="00AF224E"/>
    <w:rsid w:val="00AF2AB4"/>
    <w:rsid w:val="00AF5A54"/>
    <w:rsid w:val="00AF6D04"/>
    <w:rsid w:val="00AF74BF"/>
    <w:rsid w:val="00B04ADB"/>
    <w:rsid w:val="00B0581A"/>
    <w:rsid w:val="00B21C1F"/>
    <w:rsid w:val="00B3726A"/>
    <w:rsid w:val="00B42BF1"/>
    <w:rsid w:val="00B43CAE"/>
    <w:rsid w:val="00B43F0E"/>
    <w:rsid w:val="00B4566A"/>
    <w:rsid w:val="00B46601"/>
    <w:rsid w:val="00B50C90"/>
    <w:rsid w:val="00B515D2"/>
    <w:rsid w:val="00B5679E"/>
    <w:rsid w:val="00B56C09"/>
    <w:rsid w:val="00B622A3"/>
    <w:rsid w:val="00B63AF0"/>
    <w:rsid w:val="00B64979"/>
    <w:rsid w:val="00B65F6A"/>
    <w:rsid w:val="00B679DF"/>
    <w:rsid w:val="00B7244D"/>
    <w:rsid w:val="00B72DD1"/>
    <w:rsid w:val="00B7663E"/>
    <w:rsid w:val="00B77DF7"/>
    <w:rsid w:val="00B77FD2"/>
    <w:rsid w:val="00B820D7"/>
    <w:rsid w:val="00B823DB"/>
    <w:rsid w:val="00B8314E"/>
    <w:rsid w:val="00B87415"/>
    <w:rsid w:val="00B87EE1"/>
    <w:rsid w:val="00B91650"/>
    <w:rsid w:val="00B920B6"/>
    <w:rsid w:val="00B9492A"/>
    <w:rsid w:val="00B963D2"/>
    <w:rsid w:val="00BA11A5"/>
    <w:rsid w:val="00BA39C0"/>
    <w:rsid w:val="00BB0916"/>
    <w:rsid w:val="00BB1A71"/>
    <w:rsid w:val="00BB26C1"/>
    <w:rsid w:val="00BB4547"/>
    <w:rsid w:val="00BB5443"/>
    <w:rsid w:val="00BB685A"/>
    <w:rsid w:val="00BC0D60"/>
    <w:rsid w:val="00BC20F1"/>
    <w:rsid w:val="00BC3236"/>
    <w:rsid w:val="00BC6121"/>
    <w:rsid w:val="00BC72A1"/>
    <w:rsid w:val="00BD232F"/>
    <w:rsid w:val="00BD2EB6"/>
    <w:rsid w:val="00BD33D6"/>
    <w:rsid w:val="00BD5BB0"/>
    <w:rsid w:val="00BD79D1"/>
    <w:rsid w:val="00BD79E0"/>
    <w:rsid w:val="00BE4B41"/>
    <w:rsid w:val="00BE5607"/>
    <w:rsid w:val="00BE67E8"/>
    <w:rsid w:val="00BF05A8"/>
    <w:rsid w:val="00BF4D29"/>
    <w:rsid w:val="00BF5DC2"/>
    <w:rsid w:val="00BF76D3"/>
    <w:rsid w:val="00BF7959"/>
    <w:rsid w:val="00C03986"/>
    <w:rsid w:val="00C049B1"/>
    <w:rsid w:val="00C07FEF"/>
    <w:rsid w:val="00C14582"/>
    <w:rsid w:val="00C15642"/>
    <w:rsid w:val="00C169B1"/>
    <w:rsid w:val="00C216A5"/>
    <w:rsid w:val="00C231C3"/>
    <w:rsid w:val="00C25390"/>
    <w:rsid w:val="00C26DFF"/>
    <w:rsid w:val="00C275D0"/>
    <w:rsid w:val="00C27A9E"/>
    <w:rsid w:val="00C32100"/>
    <w:rsid w:val="00C3621E"/>
    <w:rsid w:val="00C44F65"/>
    <w:rsid w:val="00C45F52"/>
    <w:rsid w:val="00C46808"/>
    <w:rsid w:val="00C47C80"/>
    <w:rsid w:val="00C52744"/>
    <w:rsid w:val="00C55A2F"/>
    <w:rsid w:val="00C56873"/>
    <w:rsid w:val="00C60A6D"/>
    <w:rsid w:val="00C636C0"/>
    <w:rsid w:val="00C66CEA"/>
    <w:rsid w:val="00C7067E"/>
    <w:rsid w:val="00C746BF"/>
    <w:rsid w:val="00C80C64"/>
    <w:rsid w:val="00C829CC"/>
    <w:rsid w:val="00C8491E"/>
    <w:rsid w:val="00C87FED"/>
    <w:rsid w:val="00C91A43"/>
    <w:rsid w:val="00C91D19"/>
    <w:rsid w:val="00C95C6C"/>
    <w:rsid w:val="00CA1F5B"/>
    <w:rsid w:val="00CA23B5"/>
    <w:rsid w:val="00CA327F"/>
    <w:rsid w:val="00CB6334"/>
    <w:rsid w:val="00CB67CC"/>
    <w:rsid w:val="00CB6B8A"/>
    <w:rsid w:val="00CC0EFC"/>
    <w:rsid w:val="00CC220E"/>
    <w:rsid w:val="00CC35F2"/>
    <w:rsid w:val="00CC39F3"/>
    <w:rsid w:val="00CC46FA"/>
    <w:rsid w:val="00CC4A89"/>
    <w:rsid w:val="00CD2C66"/>
    <w:rsid w:val="00CD5FBE"/>
    <w:rsid w:val="00CD7D8F"/>
    <w:rsid w:val="00CF056A"/>
    <w:rsid w:val="00CF2AFD"/>
    <w:rsid w:val="00CF2B0D"/>
    <w:rsid w:val="00CF562B"/>
    <w:rsid w:val="00CF5F27"/>
    <w:rsid w:val="00D00686"/>
    <w:rsid w:val="00D02264"/>
    <w:rsid w:val="00D076AE"/>
    <w:rsid w:val="00D10C3A"/>
    <w:rsid w:val="00D118EC"/>
    <w:rsid w:val="00D11AC9"/>
    <w:rsid w:val="00D142C4"/>
    <w:rsid w:val="00D17001"/>
    <w:rsid w:val="00D175A2"/>
    <w:rsid w:val="00D2157D"/>
    <w:rsid w:val="00D2212F"/>
    <w:rsid w:val="00D3059B"/>
    <w:rsid w:val="00D3719C"/>
    <w:rsid w:val="00D42DA9"/>
    <w:rsid w:val="00D45388"/>
    <w:rsid w:val="00D459ED"/>
    <w:rsid w:val="00D46728"/>
    <w:rsid w:val="00D4672D"/>
    <w:rsid w:val="00D47F55"/>
    <w:rsid w:val="00D50240"/>
    <w:rsid w:val="00D513B9"/>
    <w:rsid w:val="00D519C3"/>
    <w:rsid w:val="00D52561"/>
    <w:rsid w:val="00D54725"/>
    <w:rsid w:val="00D54C8C"/>
    <w:rsid w:val="00D5631A"/>
    <w:rsid w:val="00D566B1"/>
    <w:rsid w:val="00D63567"/>
    <w:rsid w:val="00D6789A"/>
    <w:rsid w:val="00D7135A"/>
    <w:rsid w:val="00D733EA"/>
    <w:rsid w:val="00D74C6F"/>
    <w:rsid w:val="00D77700"/>
    <w:rsid w:val="00D82257"/>
    <w:rsid w:val="00D82FD3"/>
    <w:rsid w:val="00D840C0"/>
    <w:rsid w:val="00D84667"/>
    <w:rsid w:val="00D846CC"/>
    <w:rsid w:val="00D86D80"/>
    <w:rsid w:val="00D8746C"/>
    <w:rsid w:val="00D878CE"/>
    <w:rsid w:val="00D945FC"/>
    <w:rsid w:val="00DB1BBB"/>
    <w:rsid w:val="00DB48C1"/>
    <w:rsid w:val="00DB7538"/>
    <w:rsid w:val="00DD2009"/>
    <w:rsid w:val="00DD2704"/>
    <w:rsid w:val="00DD304B"/>
    <w:rsid w:val="00DD3262"/>
    <w:rsid w:val="00DD3AFF"/>
    <w:rsid w:val="00DE0DFC"/>
    <w:rsid w:val="00DE1BDA"/>
    <w:rsid w:val="00DE1BDC"/>
    <w:rsid w:val="00DE3904"/>
    <w:rsid w:val="00DE3BCE"/>
    <w:rsid w:val="00DE48FF"/>
    <w:rsid w:val="00DE568F"/>
    <w:rsid w:val="00DE592A"/>
    <w:rsid w:val="00DF2BD4"/>
    <w:rsid w:val="00DF4174"/>
    <w:rsid w:val="00DF431B"/>
    <w:rsid w:val="00DF6A4C"/>
    <w:rsid w:val="00E02DEE"/>
    <w:rsid w:val="00E0579C"/>
    <w:rsid w:val="00E06551"/>
    <w:rsid w:val="00E072AF"/>
    <w:rsid w:val="00E13291"/>
    <w:rsid w:val="00E1566F"/>
    <w:rsid w:val="00E16D14"/>
    <w:rsid w:val="00E17A16"/>
    <w:rsid w:val="00E17CB9"/>
    <w:rsid w:val="00E225BA"/>
    <w:rsid w:val="00E257BD"/>
    <w:rsid w:val="00E26960"/>
    <w:rsid w:val="00E27C65"/>
    <w:rsid w:val="00E32F5B"/>
    <w:rsid w:val="00E33F63"/>
    <w:rsid w:val="00E340D0"/>
    <w:rsid w:val="00E35BB8"/>
    <w:rsid w:val="00E37A4F"/>
    <w:rsid w:val="00E43F28"/>
    <w:rsid w:val="00E45BD1"/>
    <w:rsid w:val="00E476AA"/>
    <w:rsid w:val="00E53277"/>
    <w:rsid w:val="00E5361F"/>
    <w:rsid w:val="00E5649A"/>
    <w:rsid w:val="00E570AB"/>
    <w:rsid w:val="00E60DEF"/>
    <w:rsid w:val="00E64D8D"/>
    <w:rsid w:val="00E64E0B"/>
    <w:rsid w:val="00E7312F"/>
    <w:rsid w:val="00E7413F"/>
    <w:rsid w:val="00E7679E"/>
    <w:rsid w:val="00E769E7"/>
    <w:rsid w:val="00E8056F"/>
    <w:rsid w:val="00E90365"/>
    <w:rsid w:val="00E93585"/>
    <w:rsid w:val="00E94557"/>
    <w:rsid w:val="00E96CC1"/>
    <w:rsid w:val="00EA0766"/>
    <w:rsid w:val="00EA0B53"/>
    <w:rsid w:val="00EA293B"/>
    <w:rsid w:val="00EA2A98"/>
    <w:rsid w:val="00EB0A2F"/>
    <w:rsid w:val="00EB684B"/>
    <w:rsid w:val="00EB69C2"/>
    <w:rsid w:val="00EC079A"/>
    <w:rsid w:val="00EC0EF0"/>
    <w:rsid w:val="00EC2757"/>
    <w:rsid w:val="00EC7B89"/>
    <w:rsid w:val="00ED1B90"/>
    <w:rsid w:val="00ED5C15"/>
    <w:rsid w:val="00ED75B8"/>
    <w:rsid w:val="00ED786E"/>
    <w:rsid w:val="00EE1E35"/>
    <w:rsid w:val="00EE3CB2"/>
    <w:rsid w:val="00EF3D88"/>
    <w:rsid w:val="00EF592A"/>
    <w:rsid w:val="00F006AC"/>
    <w:rsid w:val="00F0166F"/>
    <w:rsid w:val="00F0485B"/>
    <w:rsid w:val="00F06199"/>
    <w:rsid w:val="00F06889"/>
    <w:rsid w:val="00F06CFE"/>
    <w:rsid w:val="00F115A1"/>
    <w:rsid w:val="00F14283"/>
    <w:rsid w:val="00F14859"/>
    <w:rsid w:val="00F14998"/>
    <w:rsid w:val="00F175B7"/>
    <w:rsid w:val="00F17809"/>
    <w:rsid w:val="00F242A2"/>
    <w:rsid w:val="00F2658C"/>
    <w:rsid w:val="00F27736"/>
    <w:rsid w:val="00F30A55"/>
    <w:rsid w:val="00F46E16"/>
    <w:rsid w:val="00F50AE1"/>
    <w:rsid w:val="00F52925"/>
    <w:rsid w:val="00F549FF"/>
    <w:rsid w:val="00F54E40"/>
    <w:rsid w:val="00F55EB3"/>
    <w:rsid w:val="00F5661E"/>
    <w:rsid w:val="00F6415E"/>
    <w:rsid w:val="00F67136"/>
    <w:rsid w:val="00F700B0"/>
    <w:rsid w:val="00F7072A"/>
    <w:rsid w:val="00F70DFF"/>
    <w:rsid w:val="00F72D0E"/>
    <w:rsid w:val="00F74269"/>
    <w:rsid w:val="00F744EA"/>
    <w:rsid w:val="00F74674"/>
    <w:rsid w:val="00F822E0"/>
    <w:rsid w:val="00F8413E"/>
    <w:rsid w:val="00F85665"/>
    <w:rsid w:val="00F8693D"/>
    <w:rsid w:val="00F86E40"/>
    <w:rsid w:val="00F87990"/>
    <w:rsid w:val="00F91FC9"/>
    <w:rsid w:val="00F920D2"/>
    <w:rsid w:val="00F96D8F"/>
    <w:rsid w:val="00FA176E"/>
    <w:rsid w:val="00FA240F"/>
    <w:rsid w:val="00FA2584"/>
    <w:rsid w:val="00FA2B2F"/>
    <w:rsid w:val="00FA7989"/>
    <w:rsid w:val="00FB0A5F"/>
    <w:rsid w:val="00FB1E1C"/>
    <w:rsid w:val="00FB7999"/>
    <w:rsid w:val="00FB7D4E"/>
    <w:rsid w:val="00FB7F4F"/>
    <w:rsid w:val="00FC0FA9"/>
    <w:rsid w:val="00FC4AA8"/>
    <w:rsid w:val="00FD26E3"/>
    <w:rsid w:val="00FD410F"/>
    <w:rsid w:val="00FD55EC"/>
    <w:rsid w:val="00FD5DF1"/>
    <w:rsid w:val="00FD5FE0"/>
    <w:rsid w:val="00FE01A8"/>
    <w:rsid w:val="00FE568C"/>
    <w:rsid w:val="00FE699D"/>
    <w:rsid w:val="00FE70BB"/>
    <w:rsid w:val="00FF0094"/>
    <w:rsid w:val="00FF16E2"/>
    <w:rsid w:val="00FF681C"/>
    <w:rsid w:val="010D1530"/>
    <w:rsid w:val="012F2B13"/>
    <w:rsid w:val="014D0B1B"/>
    <w:rsid w:val="0153453C"/>
    <w:rsid w:val="015F6184"/>
    <w:rsid w:val="01826A7C"/>
    <w:rsid w:val="019B19DA"/>
    <w:rsid w:val="019F1377"/>
    <w:rsid w:val="01D56BD8"/>
    <w:rsid w:val="021C29C7"/>
    <w:rsid w:val="02340125"/>
    <w:rsid w:val="02781A55"/>
    <w:rsid w:val="029A778E"/>
    <w:rsid w:val="02B01361"/>
    <w:rsid w:val="02BF64DF"/>
    <w:rsid w:val="02CC4CA2"/>
    <w:rsid w:val="02D957AA"/>
    <w:rsid w:val="02DE7C7D"/>
    <w:rsid w:val="03035935"/>
    <w:rsid w:val="030B47EA"/>
    <w:rsid w:val="03304A3A"/>
    <w:rsid w:val="033124A2"/>
    <w:rsid w:val="0355415A"/>
    <w:rsid w:val="0385459C"/>
    <w:rsid w:val="03910922"/>
    <w:rsid w:val="03AD4886"/>
    <w:rsid w:val="03EC7ADB"/>
    <w:rsid w:val="03F37758"/>
    <w:rsid w:val="04396BB8"/>
    <w:rsid w:val="04416B69"/>
    <w:rsid w:val="04790B48"/>
    <w:rsid w:val="04DC0AA0"/>
    <w:rsid w:val="052C12AE"/>
    <w:rsid w:val="0545478A"/>
    <w:rsid w:val="05584035"/>
    <w:rsid w:val="05654144"/>
    <w:rsid w:val="0569336D"/>
    <w:rsid w:val="05912F81"/>
    <w:rsid w:val="05DB33F4"/>
    <w:rsid w:val="05FA1B6D"/>
    <w:rsid w:val="06531FD9"/>
    <w:rsid w:val="06C55827"/>
    <w:rsid w:val="06D51397"/>
    <w:rsid w:val="06E15158"/>
    <w:rsid w:val="06FE77FD"/>
    <w:rsid w:val="07191689"/>
    <w:rsid w:val="071B4EFF"/>
    <w:rsid w:val="072E2838"/>
    <w:rsid w:val="073A38EF"/>
    <w:rsid w:val="074D53D1"/>
    <w:rsid w:val="0762177A"/>
    <w:rsid w:val="07871169"/>
    <w:rsid w:val="07A96E08"/>
    <w:rsid w:val="07BC30BB"/>
    <w:rsid w:val="07C0225B"/>
    <w:rsid w:val="080F176C"/>
    <w:rsid w:val="086F15B6"/>
    <w:rsid w:val="086F1AAE"/>
    <w:rsid w:val="087723A4"/>
    <w:rsid w:val="08A80B08"/>
    <w:rsid w:val="08D15175"/>
    <w:rsid w:val="08E53E93"/>
    <w:rsid w:val="08E75A75"/>
    <w:rsid w:val="09232357"/>
    <w:rsid w:val="092E1FAF"/>
    <w:rsid w:val="094620D8"/>
    <w:rsid w:val="097F23C2"/>
    <w:rsid w:val="0A19608C"/>
    <w:rsid w:val="0A720951"/>
    <w:rsid w:val="0A743B69"/>
    <w:rsid w:val="0A9D77AC"/>
    <w:rsid w:val="0AD45C01"/>
    <w:rsid w:val="0B014935"/>
    <w:rsid w:val="0B0E0C05"/>
    <w:rsid w:val="0B185CF6"/>
    <w:rsid w:val="0B7E451F"/>
    <w:rsid w:val="0BDC35C4"/>
    <w:rsid w:val="0C4A2348"/>
    <w:rsid w:val="0C4B17E2"/>
    <w:rsid w:val="0C791AEF"/>
    <w:rsid w:val="0C874956"/>
    <w:rsid w:val="0CAC2B9A"/>
    <w:rsid w:val="0CBD513B"/>
    <w:rsid w:val="0CC726A1"/>
    <w:rsid w:val="0CFC146E"/>
    <w:rsid w:val="0D0962F1"/>
    <w:rsid w:val="0D1A620C"/>
    <w:rsid w:val="0D457A58"/>
    <w:rsid w:val="0D707A33"/>
    <w:rsid w:val="0D815DD4"/>
    <w:rsid w:val="0DCC5E19"/>
    <w:rsid w:val="0DCD1F05"/>
    <w:rsid w:val="0DE26D43"/>
    <w:rsid w:val="0DF35F54"/>
    <w:rsid w:val="0DFA4114"/>
    <w:rsid w:val="0E084350"/>
    <w:rsid w:val="0E390099"/>
    <w:rsid w:val="0E5139F9"/>
    <w:rsid w:val="0E8A6104"/>
    <w:rsid w:val="0F2A6BAC"/>
    <w:rsid w:val="0F492922"/>
    <w:rsid w:val="0F7B6DE9"/>
    <w:rsid w:val="0F814239"/>
    <w:rsid w:val="0FAC6B21"/>
    <w:rsid w:val="0FC95811"/>
    <w:rsid w:val="0FFC5BE6"/>
    <w:rsid w:val="10201CAB"/>
    <w:rsid w:val="10283879"/>
    <w:rsid w:val="102E4AAF"/>
    <w:rsid w:val="1035748B"/>
    <w:rsid w:val="10507CE0"/>
    <w:rsid w:val="105D2904"/>
    <w:rsid w:val="10976979"/>
    <w:rsid w:val="10AC760C"/>
    <w:rsid w:val="10B65D95"/>
    <w:rsid w:val="10C7472E"/>
    <w:rsid w:val="10D13D20"/>
    <w:rsid w:val="114E595F"/>
    <w:rsid w:val="11651119"/>
    <w:rsid w:val="11692401"/>
    <w:rsid w:val="11705029"/>
    <w:rsid w:val="11F76665"/>
    <w:rsid w:val="12376B78"/>
    <w:rsid w:val="12401D31"/>
    <w:rsid w:val="124B69B1"/>
    <w:rsid w:val="12542FA0"/>
    <w:rsid w:val="125F68E4"/>
    <w:rsid w:val="128A37C9"/>
    <w:rsid w:val="131D6FF7"/>
    <w:rsid w:val="1328436D"/>
    <w:rsid w:val="132F28D0"/>
    <w:rsid w:val="135F6956"/>
    <w:rsid w:val="13655B82"/>
    <w:rsid w:val="136B435F"/>
    <w:rsid w:val="139D30C7"/>
    <w:rsid w:val="13A90C3B"/>
    <w:rsid w:val="13B12EDD"/>
    <w:rsid w:val="13B4231D"/>
    <w:rsid w:val="141B5A8D"/>
    <w:rsid w:val="1425541A"/>
    <w:rsid w:val="14292753"/>
    <w:rsid w:val="143F5822"/>
    <w:rsid w:val="1445612F"/>
    <w:rsid w:val="14B6106C"/>
    <w:rsid w:val="15081290"/>
    <w:rsid w:val="15111B9F"/>
    <w:rsid w:val="15235970"/>
    <w:rsid w:val="15317033"/>
    <w:rsid w:val="154B3046"/>
    <w:rsid w:val="154D3F83"/>
    <w:rsid w:val="15692994"/>
    <w:rsid w:val="15AA7E92"/>
    <w:rsid w:val="15E44D49"/>
    <w:rsid w:val="160308E8"/>
    <w:rsid w:val="16087D2E"/>
    <w:rsid w:val="160A768A"/>
    <w:rsid w:val="1695754D"/>
    <w:rsid w:val="16F82599"/>
    <w:rsid w:val="174C5A46"/>
    <w:rsid w:val="17D17958"/>
    <w:rsid w:val="17D411F6"/>
    <w:rsid w:val="18300319"/>
    <w:rsid w:val="18843866"/>
    <w:rsid w:val="18BB4DA0"/>
    <w:rsid w:val="18DE786F"/>
    <w:rsid w:val="18EB63E8"/>
    <w:rsid w:val="18EF138C"/>
    <w:rsid w:val="18F15D4D"/>
    <w:rsid w:val="19385AEE"/>
    <w:rsid w:val="195E2BE3"/>
    <w:rsid w:val="197131A1"/>
    <w:rsid w:val="19834C82"/>
    <w:rsid w:val="19921369"/>
    <w:rsid w:val="199D1C93"/>
    <w:rsid w:val="19B3645C"/>
    <w:rsid w:val="19D106D2"/>
    <w:rsid w:val="19D16EFE"/>
    <w:rsid w:val="19DD4C7B"/>
    <w:rsid w:val="1A1F5AC1"/>
    <w:rsid w:val="1A705206"/>
    <w:rsid w:val="1A7C71ED"/>
    <w:rsid w:val="1AC81CC5"/>
    <w:rsid w:val="1AED28BA"/>
    <w:rsid w:val="1B0818E3"/>
    <w:rsid w:val="1B577A36"/>
    <w:rsid w:val="1B821B42"/>
    <w:rsid w:val="1BA90949"/>
    <w:rsid w:val="1BBB4BA7"/>
    <w:rsid w:val="1BD407DB"/>
    <w:rsid w:val="1BED09EB"/>
    <w:rsid w:val="1BEF5D10"/>
    <w:rsid w:val="1C261C69"/>
    <w:rsid w:val="1C4954A8"/>
    <w:rsid w:val="1C8D0DE9"/>
    <w:rsid w:val="1C9652A6"/>
    <w:rsid w:val="1CD33F04"/>
    <w:rsid w:val="1D6C018C"/>
    <w:rsid w:val="1DA45CF6"/>
    <w:rsid w:val="1DB530CD"/>
    <w:rsid w:val="1DD57659"/>
    <w:rsid w:val="1DD866D9"/>
    <w:rsid w:val="1DFD73FF"/>
    <w:rsid w:val="1E236A34"/>
    <w:rsid w:val="1E5C34F6"/>
    <w:rsid w:val="1E6271D8"/>
    <w:rsid w:val="1E7D1712"/>
    <w:rsid w:val="1E9623BB"/>
    <w:rsid w:val="1E9E60BA"/>
    <w:rsid w:val="1EC70640"/>
    <w:rsid w:val="1FAE66EE"/>
    <w:rsid w:val="201A3EB0"/>
    <w:rsid w:val="205B7262"/>
    <w:rsid w:val="20A240A4"/>
    <w:rsid w:val="20B40A1C"/>
    <w:rsid w:val="21020B82"/>
    <w:rsid w:val="210537A1"/>
    <w:rsid w:val="213466B9"/>
    <w:rsid w:val="21477C75"/>
    <w:rsid w:val="216D06F2"/>
    <w:rsid w:val="217E3A7B"/>
    <w:rsid w:val="21997739"/>
    <w:rsid w:val="21A34113"/>
    <w:rsid w:val="21B54CFA"/>
    <w:rsid w:val="21DA1AFF"/>
    <w:rsid w:val="22014FA9"/>
    <w:rsid w:val="220303C0"/>
    <w:rsid w:val="22237002"/>
    <w:rsid w:val="22411B12"/>
    <w:rsid w:val="22716FF0"/>
    <w:rsid w:val="227635D6"/>
    <w:rsid w:val="22A5669B"/>
    <w:rsid w:val="22FC7C48"/>
    <w:rsid w:val="233557FB"/>
    <w:rsid w:val="23971A56"/>
    <w:rsid w:val="23A0699E"/>
    <w:rsid w:val="23C76E42"/>
    <w:rsid w:val="23F53ABE"/>
    <w:rsid w:val="24773635"/>
    <w:rsid w:val="24817DE1"/>
    <w:rsid w:val="24CD4A4C"/>
    <w:rsid w:val="250C58A9"/>
    <w:rsid w:val="25156E38"/>
    <w:rsid w:val="25180974"/>
    <w:rsid w:val="257A6EFC"/>
    <w:rsid w:val="2583685F"/>
    <w:rsid w:val="25874D5F"/>
    <w:rsid w:val="25D565A0"/>
    <w:rsid w:val="25ED4062"/>
    <w:rsid w:val="260D2485"/>
    <w:rsid w:val="260E79FF"/>
    <w:rsid w:val="26754BE8"/>
    <w:rsid w:val="268C3D75"/>
    <w:rsid w:val="26A036EA"/>
    <w:rsid w:val="26C82969"/>
    <w:rsid w:val="26DD3706"/>
    <w:rsid w:val="26DE7C19"/>
    <w:rsid w:val="26EB16F7"/>
    <w:rsid w:val="27231852"/>
    <w:rsid w:val="27723CD2"/>
    <w:rsid w:val="27D14592"/>
    <w:rsid w:val="27EC6CE6"/>
    <w:rsid w:val="28003D64"/>
    <w:rsid w:val="28390DF4"/>
    <w:rsid w:val="284B1464"/>
    <w:rsid w:val="286A584F"/>
    <w:rsid w:val="288940FD"/>
    <w:rsid w:val="28A33EF2"/>
    <w:rsid w:val="28A51D7B"/>
    <w:rsid w:val="28BC3F66"/>
    <w:rsid w:val="28F83861"/>
    <w:rsid w:val="28FC1B7F"/>
    <w:rsid w:val="29323532"/>
    <w:rsid w:val="295D25CD"/>
    <w:rsid w:val="29604DC6"/>
    <w:rsid w:val="29631B1C"/>
    <w:rsid w:val="29641C74"/>
    <w:rsid w:val="29795D39"/>
    <w:rsid w:val="298C6342"/>
    <w:rsid w:val="29AE1D01"/>
    <w:rsid w:val="29B449E4"/>
    <w:rsid w:val="29C448AF"/>
    <w:rsid w:val="29E67293"/>
    <w:rsid w:val="2A022304"/>
    <w:rsid w:val="2A3F2BD5"/>
    <w:rsid w:val="2AE73386"/>
    <w:rsid w:val="2AEC1D54"/>
    <w:rsid w:val="2AF23A16"/>
    <w:rsid w:val="2AFB2851"/>
    <w:rsid w:val="2B0643BB"/>
    <w:rsid w:val="2B1B5BB6"/>
    <w:rsid w:val="2B764647"/>
    <w:rsid w:val="2BE11CDE"/>
    <w:rsid w:val="2BF55D57"/>
    <w:rsid w:val="2C004309"/>
    <w:rsid w:val="2C3B721F"/>
    <w:rsid w:val="2C976555"/>
    <w:rsid w:val="2CC42325"/>
    <w:rsid w:val="2D477D52"/>
    <w:rsid w:val="2D7A3E83"/>
    <w:rsid w:val="2D9708A4"/>
    <w:rsid w:val="2DDC6E75"/>
    <w:rsid w:val="2DFB06AE"/>
    <w:rsid w:val="2E2369EA"/>
    <w:rsid w:val="2E2F16FD"/>
    <w:rsid w:val="2E7A1F60"/>
    <w:rsid w:val="2E87787C"/>
    <w:rsid w:val="2E951288"/>
    <w:rsid w:val="2E9E7D49"/>
    <w:rsid w:val="2F47449B"/>
    <w:rsid w:val="2F931451"/>
    <w:rsid w:val="2F9C41C9"/>
    <w:rsid w:val="2FD40C84"/>
    <w:rsid w:val="2FF02554"/>
    <w:rsid w:val="3017616A"/>
    <w:rsid w:val="304C1F66"/>
    <w:rsid w:val="304F40CE"/>
    <w:rsid w:val="305F38FB"/>
    <w:rsid w:val="306308E6"/>
    <w:rsid w:val="308215FB"/>
    <w:rsid w:val="30F616C8"/>
    <w:rsid w:val="30F8259C"/>
    <w:rsid w:val="31313F23"/>
    <w:rsid w:val="316C012D"/>
    <w:rsid w:val="31A25F76"/>
    <w:rsid w:val="31B860F8"/>
    <w:rsid w:val="31EB11BF"/>
    <w:rsid w:val="32221084"/>
    <w:rsid w:val="32367269"/>
    <w:rsid w:val="32502474"/>
    <w:rsid w:val="32D06D32"/>
    <w:rsid w:val="33082977"/>
    <w:rsid w:val="331E10D8"/>
    <w:rsid w:val="331F1834"/>
    <w:rsid w:val="33341388"/>
    <w:rsid w:val="334F0EB1"/>
    <w:rsid w:val="337C1562"/>
    <w:rsid w:val="33B648D7"/>
    <w:rsid w:val="33E84B08"/>
    <w:rsid w:val="34222464"/>
    <w:rsid w:val="343147AA"/>
    <w:rsid w:val="346E61AC"/>
    <w:rsid w:val="347B4A7C"/>
    <w:rsid w:val="349545F3"/>
    <w:rsid w:val="34AA5CD1"/>
    <w:rsid w:val="34E31351"/>
    <w:rsid w:val="34F37DF8"/>
    <w:rsid w:val="351331F9"/>
    <w:rsid w:val="353C11A0"/>
    <w:rsid w:val="3567468F"/>
    <w:rsid w:val="358233A0"/>
    <w:rsid w:val="35923295"/>
    <w:rsid w:val="359D4003"/>
    <w:rsid w:val="35B05222"/>
    <w:rsid w:val="35D72D0C"/>
    <w:rsid w:val="35E84393"/>
    <w:rsid w:val="36455341"/>
    <w:rsid w:val="364E2BEB"/>
    <w:rsid w:val="36555F3D"/>
    <w:rsid w:val="36A4475E"/>
    <w:rsid w:val="36D819D5"/>
    <w:rsid w:val="36DB7CB0"/>
    <w:rsid w:val="370F1FFE"/>
    <w:rsid w:val="372538A6"/>
    <w:rsid w:val="3744384A"/>
    <w:rsid w:val="37A278A0"/>
    <w:rsid w:val="37B63A36"/>
    <w:rsid w:val="37E1109A"/>
    <w:rsid w:val="37F31F59"/>
    <w:rsid w:val="3825542A"/>
    <w:rsid w:val="382B7476"/>
    <w:rsid w:val="386F3B58"/>
    <w:rsid w:val="38736116"/>
    <w:rsid w:val="38FD06E1"/>
    <w:rsid w:val="39331CD1"/>
    <w:rsid w:val="3994074E"/>
    <w:rsid w:val="39A317C3"/>
    <w:rsid w:val="39B12CEE"/>
    <w:rsid w:val="39F20325"/>
    <w:rsid w:val="3A0D4FA9"/>
    <w:rsid w:val="3A1C3A68"/>
    <w:rsid w:val="3A683CF4"/>
    <w:rsid w:val="3A900B55"/>
    <w:rsid w:val="3AAA4898"/>
    <w:rsid w:val="3B0A559D"/>
    <w:rsid w:val="3B130FAD"/>
    <w:rsid w:val="3B332FBE"/>
    <w:rsid w:val="3B385190"/>
    <w:rsid w:val="3B4B6EE4"/>
    <w:rsid w:val="3B60149C"/>
    <w:rsid w:val="3B6776EA"/>
    <w:rsid w:val="3B7E3CD8"/>
    <w:rsid w:val="3BCB672A"/>
    <w:rsid w:val="3C3E3A60"/>
    <w:rsid w:val="3C4675C6"/>
    <w:rsid w:val="3C4E3E1F"/>
    <w:rsid w:val="3C530DD9"/>
    <w:rsid w:val="3C676431"/>
    <w:rsid w:val="3C7F796D"/>
    <w:rsid w:val="3CA75F96"/>
    <w:rsid w:val="3CC045CC"/>
    <w:rsid w:val="3D0A4BEF"/>
    <w:rsid w:val="3D196D3B"/>
    <w:rsid w:val="3D1D2B74"/>
    <w:rsid w:val="3D485717"/>
    <w:rsid w:val="3D5C79DF"/>
    <w:rsid w:val="3D6176E6"/>
    <w:rsid w:val="3D712EC0"/>
    <w:rsid w:val="3D7D1865"/>
    <w:rsid w:val="3D961015"/>
    <w:rsid w:val="3DA53531"/>
    <w:rsid w:val="3DAE7337"/>
    <w:rsid w:val="3DEC7A7A"/>
    <w:rsid w:val="3DF605F1"/>
    <w:rsid w:val="3E093575"/>
    <w:rsid w:val="3E0F6C59"/>
    <w:rsid w:val="3E57527A"/>
    <w:rsid w:val="3E6A003B"/>
    <w:rsid w:val="3E8B3679"/>
    <w:rsid w:val="3E9909DD"/>
    <w:rsid w:val="3EC05EAD"/>
    <w:rsid w:val="3F0564B2"/>
    <w:rsid w:val="3F1D3C1A"/>
    <w:rsid w:val="3F2E0B84"/>
    <w:rsid w:val="3F997F88"/>
    <w:rsid w:val="3FD573A3"/>
    <w:rsid w:val="3FE96445"/>
    <w:rsid w:val="3FFA5956"/>
    <w:rsid w:val="40957652"/>
    <w:rsid w:val="409D1225"/>
    <w:rsid w:val="40BF7A4B"/>
    <w:rsid w:val="40C0119F"/>
    <w:rsid w:val="40EA5463"/>
    <w:rsid w:val="41171FD0"/>
    <w:rsid w:val="4141538C"/>
    <w:rsid w:val="415B010F"/>
    <w:rsid w:val="416C40CA"/>
    <w:rsid w:val="41AC7227"/>
    <w:rsid w:val="41EB4CF6"/>
    <w:rsid w:val="41F03115"/>
    <w:rsid w:val="420A5691"/>
    <w:rsid w:val="4220631F"/>
    <w:rsid w:val="42287449"/>
    <w:rsid w:val="42431334"/>
    <w:rsid w:val="429709CE"/>
    <w:rsid w:val="429C58EE"/>
    <w:rsid w:val="42C03726"/>
    <w:rsid w:val="42EC2C5B"/>
    <w:rsid w:val="42F02403"/>
    <w:rsid w:val="430D276C"/>
    <w:rsid w:val="43155CD3"/>
    <w:rsid w:val="43164570"/>
    <w:rsid w:val="4381078A"/>
    <w:rsid w:val="43C63B3A"/>
    <w:rsid w:val="44332C7D"/>
    <w:rsid w:val="4435576C"/>
    <w:rsid w:val="447B5455"/>
    <w:rsid w:val="44B4325F"/>
    <w:rsid w:val="44C32ED5"/>
    <w:rsid w:val="44C8628E"/>
    <w:rsid w:val="44CA1C5F"/>
    <w:rsid w:val="44CF0CF9"/>
    <w:rsid w:val="44ED10D1"/>
    <w:rsid w:val="451B5D2F"/>
    <w:rsid w:val="451B69DA"/>
    <w:rsid w:val="457A48DC"/>
    <w:rsid w:val="45DB7526"/>
    <w:rsid w:val="460953BC"/>
    <w:rsid w:val="461E170B"/>
    <w:rsid w:val="46A97A43"/>
    <w:rsid w:val="46D06EA9"/>
    <w:rsid w:val="46D70238"/>
    <w:rsid w:val="46E86CDC"/>
    <w:rsid w:val="46F07F37"/>
    <w:rsid w:val="4712105C"/>
    <w:rsid w:val="471F3979"/>
    <w:rsid w:val="47727F60"/>
    <w:rsid w:val="4793466A"/>
    <w:rsid w:val="47AD5FC0"/>
    <w:rsid w:val="47E175E2"/>
    <w:rsid w:val="48062E0E"/>
    <w:rsid w:val="48301F13"/>
    <w:rsid w:val="484B0F18"/>
    <w:rsid w:val="486D3B48"/>
    <w:rsid w:val="487835B5"/>
    <w:rsid w:val="48926BEB"/>
    <w:rsid w:val="48BF05E5"/>
    <w:rsid w:val="48C17F4C"/>
    <w:rsid w:val="49014591"/>
    <w:rsid w:val="49465201"/>
    <w:rsid w:val="495C7B9F"/>
    <w:rsid w:val="49625394"/>
    <w:rsid w:val="49981337"/>
    <w:rsid w:val="4A2F157E"/>
    <w:rsid w:val="4A361A9D"/>
    <w:rsid w:val="4A5F1294"/>
    <w:rsid w:val="4A98132A"/>
    <w:rsid w:val="4AC40C32"/>
    <w:rsid w:val="4B106CD1"/>
    <w:rsid w:val="4B3F2FCC"/>
    <w:rsid w:val="4B491B6B"/>
    <w:rsid w:val="4B605699"/>
    <w:rsid w:val="4B7E5126"/>
    <w:rsid w:val="4BF9789D"/>
    <w:rsid w:val="4C30291D"/>
    <w:rsid w:val="4C5A55A7"/>
    <w:rsid w:val="4C8449BE"/>
    <w:rsid w:val="4CA97B54"/>
    <w:rsid w:val="4CEC342D"/>
    <w:rsid w:val="4D4E5D71"/>
    <w:rsid w:val="4D802573"/>
    <w:rsid w:val="4D9731C6"/>
    <w:rsid w:val="4DC01309"/>
    <w:rsid w:val="4DDC12A9"/>
    <w:rsid w:val="4DE4323A"/>
    <w:rsid w:val="4DFB0FF0"/>
    <w:rsid w:val="4E10291E"/>
    <w:rsid w:val="4E2A14DC"/>
    <w:rsid w:val="4E2A2661"/>
    <w:rsid w:val="4E495F4A"/>
    <w:rsid w:val="4E516B22"/>
    <w:rsid w:val="4E8E6338"/>
    <w:rsid w:val="4ED35632"/>
    <w:rsid w:val="4EDF1EFF"/>
    <w:rsid w:val="4EF1548F"/>
    <w:rsid w:val="4F271630"/>
    <w:rsid w:val="4F494FDA"/>
    <w:rsid w:val="4F8F114A"/>
    <w:rsid w:val="502F3701"/>
    <w:rsid w:val="50434FAA"/>
    <w:rsid w:val="506A1275"/>
    <w:rsid w:val="50EB46E2"/>
    <w:rsid w:val="50FD1797"/>
    <w:rsid w:val="511F7A80"/>
    <w:rsid w:val="513176CA"/>
    <w:rsid w:val="51590220"/>
    <w:rsid w:val="51671F1A"/>
    <w:rsid w:val="51727AE9"/>
    <w:rsid w:val="51A82F2A"/>
    <w:rsid w:val="51C0075A"/>
    <w:rsid w:val="51DB121E"/>
    <w:rsid w:val="51E8142A"/>
    <w:rsid w:val="5266383D"/>
    <w:rsid w:val="52C378C2"/>
    <w:rsid w:val="52E16E49"/>
    <w:rsid w:val="52E635B0"/>
    <w:rsid w:val="532536C1"/>
    <w:rsid w:val="53473F5B"/>
    <w:rsid w:val="53486D9B"/>
    <w:rsid w:val="536270DB"/>
    <w:rsid w:val="537B019D"/>
    <w:rsid w:val="53A5781C"/>
    <w:rsid w:val="53AF50AE"/>
    <w:rsid w:val="53C26F1E"/>
    <w:rsid w:val="541D4613"/>
    <w:rsid w:val="542C4745"/>
    <w:rsid w:val="544817D4"/>
    <w:rsid w:val="54664802"/>
    <w:rsid w:val="54A3258E"/>
    <w:rsid w:val="54CB1368"/>
    <w:rsid w:val="54DA7F8F"/>
    <w:rsid w:val="55346855"/>
    <w:rsid w:val="555C744C"/>
    <w:rsid w:val="559A1DFE"/>
    <w:rsid w:val="559B2225"/>
    <w:rsid w:val="55AF412E"/>
    <w:rsid w:val="55CF52C2"/>
    <w:rsid w:val="561D6B39"/>
    <w:rsid w:val="569D177C"/>
    <w:rsid w:val="569E7B6B"/>
    <w:rsid w:val="56B57F1E"/>
    <w:rsid w:val="56BB6989"/>
    <w:rsid w:val="57131CFC"/>
    <w:rsid w:val="571A1A7B"/>
    <w:rsid w:val="571D0DE0"/>
    <w:rsid w:val="5728660B"/>
    <w:rsid w:val="57347BEB"/>
    <w:rsid w:val="57476D14"/>
    <w:rsid w:val="57482A8C"/>
    <w:rsid w:val="574F1ACC"/>
    <w:rsid w:val="577640C2"/>
    <w:rsid w:val="58127EFE"/>
    <w:rsid w:val="584D47FF"/>
    <w:rsid w:val="58584F50"/>
    <w:rsid w:val="58B949B0"/>
    <w:rsid w:val="58D16E92"/>
    <w:rsid w:val="58E31B10"/>
    <w:rsid w:val="5988732D"/>
    <w:rsid w:val="599154FE"/>
    <w:rsid w:val="59AF2CEA"/>
    <w:rsid w:val="59EA607C"/>
    <w:rsid w:val="5A0E097D"/>
    <w:rsid w:val="5A195822"/>
    <w:rsid w:val="5A4C03FF"/>
    <w:rsid w:val="5ACD1BB7"/>
    <w:rsid w:val="5AEA2B03"/>
    <w:rsid w:val="5AFE3B8D"/>
    <w:rsid w:val="5B39348F"/>
    <w:rsid w:val="5B4916B4"/>
    <w:rsid w:val="5BA66421"/>
    <w:rsid w:val="5BE72FFB"/>
    <w:rsid w:val="5C0A5678"/>
    <w:rsid w:val="5C205D85"/>
    <w:rsid w:val="5C267D7F"/>
    <w:rsid w:val="5C2E614E"/>
    <w:rsid w:val="5C3E0A13"/>
    <w:rsid w:val="5C632382"/>
    <w:rsid w:val="5C653971"/>
    <w:rsid w:val="5C7834CB"/>
    <w:rsid w:val="5CBA1D36"/>
    <w:rsid w:val="5CD638AC"/>
    <w:rsid w:val="5CFA14BA"/>
    <w:rsid w:val="5D072AA1"/>
    <w:rsid w:val="5D2D1589"/>
    <w:rsid w:val="5D4041AE"/>
    <w:rsid w:val="5D4B0BE0"/>
    <w:rsid w:val="5D5C647E"/>
    <w:rsid w:val="5D707AEC"/>
    <w:rsid w:val="5DB669A1"/>
    <w:rsid w:val="5DF30100"/>
    <w:rsid w:val="5E3C43B8"/>
    <w:rsid w:val="5E4A24BC"/>
    <w:rsid w:val="5E5030FF"/>
    <w:rsid w:val="5E542828"/>
    <w:rsid w:val="5E631844"/>
    <w:rsid w:val="5E7F1184"/>
    <w:rsid w:val="5E8720EC"/>
    <w:rsid w:val="5EB351AF"/>
    <w:rsid w:val="5F622211"/>
    <w:rsid w:val="5F783451"/>
    <w:rsid w:val="5FB707AE"/>
    <w:rsid w:val="5FCC740B"/>
    <w:rsid w:val="601C4A15"/>
    <w:rsid w:val="60F63558"/>
    <w:rsid w:val="61042E42"/>
    <w:rsid w:val="610905C4"/>
    <w:rsid w:val="611A455B"/>
    <w:rsid w:val="616C116A"/>
    <w:rsid w:val="61872BB0"/>
    <w:rsid w:val="61AB6A23"/>
    <w:rsid w:val="61B66277"/>
    <w:rsid w:val="61F53810"/>
    <w:rsid w:val="62432722"/>
    <w:rsid w:val="627F0062"/>
    <w:rsid w:val="62BD18B4"/>
    <w:rsid w:val="63326680"/>
    <w:rsid w:val="633C488A"/>
    <w:rsid w:val="63413E16"/>
    <w:rsid w:val="637404C6"/>
    <w:rsid w:val="63950E07"/>
    <w:rsid w:val="63AE2984"/>
    <w:rsid w:val="63BA196A"/>
    <w:rsid w:val="63F975E8"/>
    <w:rsid w:val="640815D9"/>
    <w:rsid w:val="642C60EE"/>
    <w:rsid w:val="64402D87"/>
    <w:rsid w:val="6451494E"/>
    <w:rsid w:val="64537DC2"/>
    <w:rsid w:val="6456680E"/>
    <w:rsid w:val="64680A8F"/>
    <w:rsid w:val="64746C6E"/>
    <w:rsid w:val="64A52A2C"/>
    <w:rsid w:val="64B81FCE"/>
    <w:rsid w:val="64BD0615"/>
    <w:rsid w:val="6510045E"/>
    <w:rsid w:val="655D7702"/>
    <w:rsid w:val="657E17A7"/>
    <w:rsid w:val="659F2D24"/>
    <w:rsid w:val="65A31192"/>
    <w:rsid w:val="65B8166D"/>
    <w:rsid w:val="65BA7D85"/>
    <w:rsid w:val="65E25482"/>
    <w:rsid w:val="65ED0BBB"/>
    <w:rsid w:val="65ED1915"/>
    <w:rsid w:val="664C5B16"/>
    <w:rsid w:val="665E35B4"/>
    <w:rsid w:val="667764D8"/>
    <w:rsid w:val="669975DD"/>
    <w:rsid w:val="66B94E0C"/>
    <w:rsid w:val="66D439F4"/>
    <w:rsid w:val="66E45EF7"/>
    <w:rsid w:val="66E7585B"/>
    <w:rsid w:val="66F50198"/>
    <w:rsid w:val="67726C21"/>
    <w:rsid w:val="67E07AF4"/>
    <w:rsid w:val="683B7D4B"/>
    <w:rsid w:val="685217D8"/>
    <w:rsid w:val="686236C1"/>
    <w:rsid w:val="686B4ECE"/>
    <w:rsid w:val="688E5019"/>
    <w:rsid w:val="68960CA5"/>
    <w:rsid w:val="68A902CC"/>
    <w:rsid w:val="68AB7066"/>
    <w:rsid w:val="68E36170"/>
    <w:rsid w:val="68F55E2F"/>
    <w:rsid w:val="68F6299C"/>
    <w:rsid w:val="690F6590"/>
    <w:rsid w:val="692F38C4"/>
    <w:rsid w:val="699F0F5F"/>
    <w:rsid w:val="69CE221E"/>
    <w:rsid w:val="69E5665C"/>
    <w:rsid w:val="6AAA68E4"/>
    <w:rsid w:val="6AAC3470"/>
    <w:rsid w:val="6AC547AA"/>
    <w:rsid w:val="6AEA1FC0"/>
    <w:rsid w:val="6AF208ED"/>
    <w:rsid w:val="6B114230"/>
    <w:rsid w:val="6B83603D"/>
    <w:rsid w:val="6B9B71D6"/>
    <w:rsid w:val="6BC04E8F"/>
    <w:rsid w:val="6BEF307E"/>
    <w:rsid w:val="6C067725"/>
    <w:rsid w:val="6C5850C7"/>
    <w:rsid w:val="6C842EB1"/>
    <w:rsid w:val="6CA40A7A"/>
    <w:rsid w:val="6CDD1929"/>
    <w:rsid w:val="6D2A2A5B"/>
    <w:rsid w:val="6D2F407A"/>
    <w:rsid w:val="6D3C1F21"/>
    <w:rsid w:val="6D650A01"/>
    <w:rsid w:val="6DA373BD"/>
    <w:rsid w:val="6DAE450C"/>
    <w:rsid w:val="6DE02450"/>
    <w:rsid w:val="6DE84A40"/>
    <w:rsid w:val="6DFB0B9A"/>
    <w:rsid w:val="6E0334DC"/>
    <w:rsid w:val="6E514CA9"/>
    <w:rsid w:val="6E8201DA"/>
    <w:rsid w:val="6E95617E"/>
    <w:rsid w:val="6EBD1CE0"/>
    <w:rsid w:val="6EC74795"/>
    <w:rsid w:val="6EE64C0C"/>
    <w:rsid w:val="6EF472F7"/>
    <w:rsid w:val="6F324CA2"/>
    <w:rsid w:val="6F66181B"/>
    <w:rsid w:val="6F742582"/>
    <w:rsid w:val="6F92569A"/>
    <w:rsid w:val="6F9A4902"/>
    <w:rsid w:val="7040660E"/>
    <w:rsid w:val="7045751A"/>
    <w:rsid w:val="70470064"/>
    <w:rsid w:val="70A93A25"/>
    <w:rsid w:val="70F366F9"/>
    <w:rsid w:val="71000567"/>
    <w:rsid w:val="71155335"/>
    <w:rsid w:val="71C22409"/>
    <w:rsid w:val="71E36359"/>
    <w:rsid w:val="71E9738F"/>
    <w:rsid w:val="727E69BE"/>
    <w:rsid w:val="72850298"/>
    <w:rsid w:val="72935C87"/>
    <w:rsid w:val="72952BD1"/>
    <w:rsid w:val="7297468D"/>
    <w:rsid w:val="72AA339F"/>
    <w:rsid w:val="72CF0B36"/>
    <w:rsid w:val="72FD085E"/>
    <w:rsid w:val="733749E1"/>
    <w:rsid w:val="735A7977"/>
    <w:rsid w:val="73685DD0"/>
    <w:rsid w:val="736B4243"/>
    <w:rsid w:val="737E7C7F"/>
    <w:rsid w:val="73AD4A88"/>
    <w:rsid w:val="73AE3EC0"/>
    <w:rsid w:val="73B62661"/>
    <w:rsid w:val="73F15E96"/>
    <w:rsid w:val="740F42BD"/>
    <w:rsid w:val="741555FE"/>
    <w:rsid w:val="746311CD"/>
    <w:rsid w:val="74782F69"/>
    <w:rsid w:val="748E5B2A"/>
    <w:rsid w:val="74905DB6"/>
    <w:rsid w:val="74DF5AC1"/>
    <w:rsid w:val="75082B8F"/>
    <w:rsid w:val="7521699E"/>
    <w:rsid w:val="75270877"/>
    <w:rsid w:val="75A00A61"/>
    <w:rsid w:val="75AB00FD"/>
    <w:rsid w:val="75CC44B9"/>
    <w:rsid w:val="75D07EC0"/>
    <w:rsid w:val="763F3CF8"/>
    <w:rsid w:val="765F2447"/>
    <w:rsid w:val="76991FF1"/>
    <w:rsid w:val="7766563E"/>
    <w:rsid w:val="776B5CAF"/>
    <w:rsid w:val="778154D2"/>
    <w:rsid w:val="77C0639E"/>
    <w:rsid w:val="77C5560F"/>
    <w:rsid w:val="77E739AB"/>
    <w:rsid w:val="780F5581"/>
    <w:rsid w:val="781A76D5"/>
    <w:rsid w:val="7862510D"/>
    <w:rsid w:val="79164340"/>
    <w:rsid w:val="79193F8F"/>
    <w:rsid w:val="793D310D"/>
    <w:rsid w:val="794063F1"/>
    <w:rsid w:val="79494D4F"/>
    <w:rsid w:val="79500428"/>
    <w:rsid w:val="79634B9A"/>
    <w:rsid w:val="79AC037F"/>
    <w:rsid w:val="79B20BD1"/>
    <w:rsid w:val="79B67AA9"/>
    <w:rsid w:val="79B736AE"/>
    <w:rsid w:val="79C45B4A"/>
    <w:rsid w:val="79F964A8"/>
    <w:rsid w:val="7A0D188B"/>
    <w:rsid w:val="7A211BEB"/>
    <w:rsid w:val="7A276F33"/>
    <w:rsid w:val="7A302D43"/>
    <w:rsid w:val="7A4A24F3"/>
    <w:rsid w:val="7A5A200A"/>
    <w:rsid w:val="7A652ACF"/>
    <w:rsid w:val="7AA83541"/>
    <w:rsid w:val="7AAA22D2"/>
    <w:rsid w:val="7B1C1471"/>
    <w:rsid w:val="7B3560B5"/>
    <w:rsid w:val="7B544D4E"/>
    <w:rsid w:val="7B6E5110"/>
    <w:rsid w:val="7B8657AD"/>
    <w:rsid w:val="7BBF6CC0"/>
    <w:rsid w:val="7BD75745"/>
    <w:rsid w:val="7BE54F72"/>
    <w:rsid w:val="7C0958C2"/>
    <w:rsid w:val="7C1708DE"/>
    <w:rsid w:val="7C5C148E"/>
    <w:rsid w:val="7C7D7A04"/>
    <w:rsid w:val="7CD120DA"/>
    <w:rsid w:val="7CF17FFD"/>
    <w:rsid w:val="7D306F70"/>
    <w:rsid w:val="7D486355"/>
    <w:rsid w:val="7D55001A"/>
    <w:rsid w:val="7D691940"/>
    <w:rsid w:val="7E75623E"/>
    <w:rsid w:val="7E792761"/>
    <w:rsid w:val="7EEB1D78"/>
    <w:rsid w:val="7F457940"/>
    <w:rsid w:val="7F7D6EC7"/>
    <w:rsid w:val="7F80111B"/>
    <w:rsid w:val="7FCF3E26"/>
    <w:rsid w:val="7FDD2A01"/>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33"/>
    <w:qFormat/>
    <w:uiPriority w:val="0"/>
    <w:pPr>
      <w:keepNext/>
      <w:keepLines/>
      <w:tabs>
        <w:tab w:val="left" w:pos="0"/>
      </w:tabs>
      <w:spacing w:before="340" w:after="330" w:line="578" w:lineRule="atLeast"/>
      <w:outlineLvl w:val="0"/>
    </w:pPr>
    <w:rPr>
      <w:b/>
      <w:bCs/>
      <w:kern w:val="44"/>
      <w:sz w:val="44"/>
      <w:szCs w:val="44"/>
    </w:rPr>
  </w:style>
  <w:style w:type="paragraph" w:styleId="3">
    <w:name w:val="heading 2"/>
    <w:basedOn w:val="1"/>
    <w:next w:val="1"/>
    <w:link w:val="134"/>
    <w:qFormat/>
    <w:uiPriority w:val="0"/>
    <w:pPr>
      <w:keepNext/>
      <w:keepLines/>
      <w:tabs>
        <w:tab w:val="left" w:pos="0"/>
      </w:tabs>
      <w:spacing w:before="260" w:after="260" w:line="416" w:lineRule="atLeast"/>
      <w:outlineLvl w:val="1"/>
    </w:pPr>
    <w:rPr>
      <w:rFonts w:ascii="Arial" w:hAnsi="Arial" w:eastAsia="黑体"/>
      <w:b/>
      <w:bCs/>
      <w:sz w:val="32"/>
      <w:szCs w:val="32"/>
    </w:rPr>
  </w:style>
  <w:style w:type="paragraph" w:styleId="4">
    <w:name w:val="heading 3"/>
    <w:basedOn w:val="1"/>
    <w:next w:val="1"/>
    <w:link w:val="135"/>
    <w:qFormat/>
    <w:uiPriority w:val="9"/>
    <w:pPr>
      <w:keepNext/>
      <w:keepLines/>
      <w:tabs>
        <w:tab w:val="left" w:pos="0"/>
      </w:tabs>
      <w:spacing w:before="260" w:after="260" w:line="416" w:lineRule="atLeast"/>
      <w:outlineLvl w:val="2"/>
    </w:pPr>
    <w:rPr>
      <w:b/>
      <w:bCs/>
      <w:sz w:val="32"/>
      <w:szCs w:val="32"/>
    </w:rPr>
  </w:style>
  <w:style w:type="paragraph" w:styleId="5">
    <w:name w:val="heading 4"/>
    <w:basedOn w:val="1"/>
    <w:next w:val="1"/>
    <w:link w:val="136"/>
    <w:qFormat/>
    <w:uiPriority w:val="9"/>
    <w:pPr>
      <w:keepNext/>
      <w:keepLines/>
      <w:tabs>
        <w:tab w:val="left" w:pos="0"/>
      </w:tabs>
      <w:spacing w:before="280" w:after="290" w:line="376" w:lineRule="atLeast"/>
      <w:outlineLvl w:val="3"/>
    </w:pPr>
    <w:rPr>
      <w:rFonts w:ascii="Arial" w:hAnsi="Arial" w:eastAsia="黑体"/>
      <w:b/>
      <w:bCs/>
      <w:sz w:val="28"/>
      <w:szCs w:val="28"/>
    </w:rPr>
  </w:style>
  <w:style w:type="paragraph" w:styleId="6">
    <w:name w:val="heading 5"/>
    <w:basedOn w:val="1"/>
    <w:next w:val="1"/>
    <w:link w:val="137"/>
    <w:qFormat/>
    <w:uiPriority w:val="0"/>
    <w:pPr>
      <w:keepNext/>
      <w:keepLines/>
      <w:tabs>
        <w:tab w:val="left" w:pos="0"/>
      </w:tabs>
      <w:spacing w:before="280" w:after="290" w:line="376" w:lineRule="atLeast"/>
      <w:outlineLvl w:val="4"/>
    </w:pPr>
    <w:rPr>
      <w:b/>
      <w:bCs/>
      <w:sz w:val="28"/>
      <w:szCs w:val="28"/>
    </w:rPr>
  </w:style>
  <w:style w:type="paragraph" w:styleId="7">
    <w:name w:val="heading 6"/>
    <w:basedOn w:val="1"/>
    <w:next w:val="1"/>
    <w:link w:val="138"/>
    <w:qFormat/>
    <w:uiPriority w:val="0"/>
    <w:pPr>
      <w:keepNext/>
      <w:keepLines/>
      <w:tabs>
        <w:tab w:val="left" w:pos="0"/>
      </w:tabs>
      <w:spacing w:before="240" w:after="64" w:line="320" w:lineRule="atLeast"/>
      <w:outlineLvl w:val="5"/>
    </w:pPr>
    <w:rPr>
      <w:rFonts w:ascii="Arial" w:hAnsi="Arial" w:eastAsia="黑体"/>
      <w:b/>
      <w:bCs/>
      <w:szCs w:val="24"/>
    </w:rPr>
  </w:style>
  <w:style w:type="paragraph" w:styleId="8">
    <w:name w:val="heading 7"/>
    <w:basedOn w:val="1"/>
    <w:next w:val="1"/>
    <w:link w:val="139"/>
    <w:qFormat/>
    <w:uiPriority w:val="0"/>
    <w:pPr>
      <w:keepNext/>
      <w:keepLines/>
      <w:tabs>
        <w:tab w:val="left" w:pos="0"/>
      </w:tabs>
      <w:spacing w:before="240" w:after="64" w:line="320" w:lineRule="atLeast"/>
      <w:outlineLvl w:val="6"/>
    </w:pPr>
    <w:rPr>
      <w:b/>
      <w:bCs/>
      <w:szCs w:val="24"/>
    </w:rPr>
  </w:style>
  <w:style w:type="paragraph" w:styleId="9">
    <w:name w:val="heading 8"/>
    <w:basedOn w:val="1"/>
    <w:next w:val="1"/>
    <w:link w:val="140"/>
    <w:qFormat/>
    <w:uiPriority w:val="0"/>
    <w:pPr>
      <w:keepNext/>
      <w:keepLines/>
      <w:tabs>
        <w:tab w:val="left" w:pos="0"/>
      </w:tabs>
      <w:spacing w:before="240" w:after="64" w:line="320" w:lineRule="atLeast"/>
      <w:outlineLvl w:val="7"/>
    </w:pPr>
    <w:rPr>
      <w:rFonts w:ascii="Arial" w:hAnsi="Arial" w:eastAsia="黑体"/>
      <w:szCs w:val="24"/>
    </w:rPr>
  </w:style>
  <w:style w:type="paragraph" w:styleId="10">
    <w:name w:val="heading 9"/>
    <w:basedOn w:val="1"/>
    <w:next w:val="1"/>
    <w:link w:val="141"/>
    <w:qFormat/>
    <w:uiPriority w:val="0"/>
    <w:pPr>
      <w:keepNext/>
      <w:keepLines/>
      <w:tabs>
        <w:tab w:val="left" w:pos="0"/>
      </w:tabs>
      <w:spacing w:before="240" w:after="64" w:line="320" w:lineRule="atLeast"/>
      <w:outlineLvl w:val="8"/>
    </w:pPr>
    <w:rPr>
      <w:rFonts w:ascii="Arial" w:hAnsi="Arial" w:eastAsia="黑体"/>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00"/>
    </w:pPr>
    <w:rPr>
      <w:sz w:val="20"/>
    </w:rPr>
  </w:style>
  <w:style w:type="paragraph" w:styleId="12">
    <w:name w:val="Normal Indent"/>
    <w:basedOn w:val="1"/>
    <w:next w:val="1"/>
    <w:link w:val="146"/>
    <w:qFormat/>
    <w:uiPriority w:val="0"/>
    <w:pPr>
      <w:ind w:firstLine="200" w:firstLineChars="200"/>
    </w:pPr>
  </w:style>
  <w:style w:type="paragraph" w:styleId="13">
    <w:name w:val="caption"/>
    <w:basedOn w:val="1"/>
    <w:next w:val="1"/>
    <w:qFormat/>
    <w:uiPriority w:val="0"/>
    <w:pPr>
      <w:spacing w:line="480" w:lineRule="auto"/>
    </w:pPr>
    <w:rPr>
      <w:rFonts w:ascii="华文中宋" w:eastAsia="华文中宋"/>
      <w:kern w:val="2"/>
      <w:sz w:val="36"/>
    </w:rPr>
  </w:style>
  <w:style w:type="paragraph" w:styleId="14">
    <w:name w:val="Document Map"/>
    <w:basedOn w:val="1"/>
    <w:link w:val="147"/>
    <w:qFormat/>
    <w:uiPriority w:val="99"/>
    <w:pPr>
      <w:shd w:val="clear" w:color="auto" w:fill="000080"/>
    </w:pPr>
  </w:style>
  <w:style w:type="paragraph" w:styleId="15">
    <w:name w:val="annotation text"/>
    <w:basedOn w:val="1"/>
    <w:link w:val="142"/>
    <w:qFormat/>
    <w:uiPriority w:val="0"/>
  </w:style>
  <w:style w:type="paragraph" w:styleId="16">
    <w:name w:val="Salutation"/>
    <w:next w:val="1"/>
    <w:link w:val="148"/>
    <w:qFormat/>
    <w:uiPriority w:val="0"/>
    <w:pPr>
      <w:widowControl w:val="0"/>
      <w:adjustRightInd w:val="0"/>
      <w:snapToGrid w:val="0"/>
      <w:spacing w:line="360" w:lineRule="auto"/>
      <w:jc w:val="both"/>
    </w:pPr>
    <w:rPr>
      <w:rFonts w:ascii="方正仿宋_GBK" w:hAnsi="Times New Roman" w:eastAsia="方正仿宋_GBK" w:cs="方正仿宋_GBK"/>
      <w:sz w:val="32"/>
      <w:szCs w:val="32"/>
      <w:lang w:val="en-US" w:eastAsia="zh-CN" w:bidi="ar-SA"/>
    </w:rPr>
  </w:style>
  <w:style w:type="paragraph" w:styleId="17">
    <w:name w:val="Body Text"/>
    <w:basedOn w:val="1"/>
    <w:next w:val="18"/>
    <w:link w:val="144"/>
    <w:qFormat/>
    <w:uiPriority w:val="0"/>
    <w:pPr>
      <w:adjustRightInd/>
      <w:spacing w:line="240" w:lineRule="auto"/>
      <w:jc w:val="both"/>
      <w:textAlignment w:val="auto"/>
    </w:pPr>
    <w:rPr>
      <w:kern w:val="2"/>
      <w:sz w:val="28"/>
    </w:rPr>
  </w:style>
  <w:style w:type="paragraph" w:styleId="18">
    <w:name w:val="Body Text First Indent"/>
    <w:basedOn w:val="17"/>
    <w:next w:val="19"/>
    <w:link w:val="145"/>
    <w:qFormat/>
    <w:uiPriority w:val="0"/>
    <w:pPr>
      <w:spacing w:after="120"/>
      <w:ind w:firstLine="420" w:firstLineChars="100"/>
    </w:pPr>
    <w:rPr>
      <w:sz w:val="21"/>
      <w:szCs w:val="24"/>
    </w:rPr>
  </w:style>
  <w:style w:type="paragraph" w:styleId="19">
    <w:name w:val="toc 6"/>
    <w:basedOn w:val="1"/>
    <w:next w:val="1"/>
    <w:qFormat/>
    <w:uiPriority w:val="0"/>
    <w:pPr>
      <w:ind w:left="960"/>
    </w:pPr>
    <w:rPr>
      <w:sz w:val="20"/>
    </w:rPr>
  </w:style>
  <w:style w:type="paragraph" w:styleId="20">
    <w:name w:val="Body Text Indent"/>
    <w:basedOn w:val="1"/>
    <w:link w:val="149"/>
    <w:qFormat/>
    <w:uiPriority w:val="0"/>
    <w:pPr>
      <w:spacing w:line="240" w:lineRule="auto"/>
      <w:ind w:left="460" w:leftChars="460"/>
    </w:pPr>
    <w:rPr>
      <w:rFonts w:ascii="宋体"/>
      <w:szCs w:val="21"/>
    </w:rPr>
  </w:style>
  <w:style w:type="paragraph" w:styleId="21">
    <w:name w:val="List Bullet 2"/>
    <w:basedOn w:val="1"/>
    <w:qFormat/>
    <w:uiPriority w:val="0"/>
    <w:pPr>
      <w:numPr>
        <w:ilvl w:val="0"/>
        <w:numId w:val="1"/>
      </w:numPr>
    </w:pPr>
  </w:style>
  <w:style w:type="paragraph" w:styleId="22">
    <w:name w:val="toc 5"/>
    <w:basedOn w:val="1"/>
    <w:next w:val="1"/>
    <w:qFormat/>
    <w:uiPriority w:val="39"/>
    <w:pPr>
      <w:ind w:left="720"/>
    </w:pPr>
    <w:rPr>
      <w:sz w:val="20"/>
    </w:rPr>
  </w:style>
  <w:style w:type="paragraph" w:styleId="23">
    <w:name w:val="toc 3"/>
    <w:basedOn w:val="1"/>
    <w:next w:val="1"/>
    <w:qFormat/>
    <w:uiPriority w:val="39"/>
    <w:pPr>
      <w:ind w:left="240"/>
    </w:pPr>
    <w:rPr>
      <w:sz w:val="20"/>
    </w:rPr>
  </w:style>
  <w:style w:type="paragraph" w:styleId="24">
    <w:name w:val="Plain Text"/>
    <w:basedOn w:val="1"/>
    <w:link w:val="150"/>
    <w:qFormat/>
    <w:uiPriority w:val="0"/>
    <w:pPr>
      <w:adjustRightInd/>
      <w:spacing w:line="240" w:lineRule="auto"/>
      <w:jc w:val="both"/>
      <w:textAlignment w:val="auto"/>
    </w:pPr>
    <w:rPr>
      <w:rFonts w:ascii="宋体"/>
      <w:kern w:val="2"/>
      <w:sz w:val="21"/>
      <w:szCs w:val="21"/>
    </w:rPr>
  </w:style>
  <w:style w:type="paragraph" w:styleId="25">
    <w:name w:val="toc 8"/>
    <w:basedOn w:val="1"/>
    <w:next w:val="1"/>
    <w:qFormat/>
    <w:uiPriority w:val="0"/>
    <w:pPr>
      <w:ind w:left="1440"/>
    </w:pPr>
    <w:rPr>
      <w:sz w:val="20"/>
    </w:rPr>
  </w:style>
  <w:style w:type="paragraph" w:styleId="26">
    <w:name w:val="Date"/>
    <w:basedOn w:val="1"/>
    <w:next w:val="1"/>
    <w:link w:val="151"/>
    <w:qFormat/>
    <w:uiPriority w:val="0"/>
    <w:pPr>
      <w:adjustRightInd/>
      <w:spacing w:line="240" w:lineRule="auto"/>
      <w:ind w:left="2500" w:leftChars="2500"/>
      <w:jc w:val="both"/>
      <w:textAlignment w:val="auto"/>
    </w:pPr>
    <w:rPr>
      <w:kern w:val="2"/>
      <w:sz w:val="21"/>
    </w:rPr>
  </w:style>
  <w:style w:type="paragraph" w:styleId="27">
    <w:name w:val="Body Text Indent 2"/>
    <w:basedOn w:val="1"/>
    <w:link w:val="152"/>
    <w:qFormat/>
    <w:uiPriority w:val="0"/>
    <w:pPr>
      <w:spacing w:line="240" w:lineRule="auto"/>
      <w:ind w:firstLine="244" w:firstLineChars="244"/>
    </w:pPr>
    <w:rPr>
      <w:rFonts w:ascii="宋体"/>
      <w:szCs w:val="21"/>
    </w:rPr>
  </w:style>
  <w:style w:type="paragraph" w:styleId="28">
    <w:name w:val="Balloon Text"/>
    <w:basedOn w:val="1"/>
    <w:link w:val="153"/>
    <w:qFormat/>
    <w:uiPriority w:val="0"/>
    <w:rPr>
      <w:sz w:val="18"/>
      <w:szCs w:val="18"/>
    </w:rPr>
  </w:style>
  <w:style w:type="paragraph" w:styleId="29">
    <w:name w:val="footer"/>
    <w:basedOn w:val="1"/>
    <w:link w:val="154"/>
    <w:qFormat/>
    <w:uiPriority w:val="99"/>
    <w:pPr>
      <w:tabs>
        <w:tab w:val="center" w:pos="4153"/>
        <w:tab w:val="right" w:pos="8306"/>
      </w:tabs>
      <w:spacing w:line="240" w:lineRule="atLeast"/>
    </w:pPr>
    <w:rPr>
      <w:sz w:val="18"/>
    </w:rPr>
  </w:style>
  <w:style w:type="paragraph" w:styleId="30">
    <w:name w:val="header"/>
    <w:basedOn w:val="1"/>
    <w:link w:val="155"/>
    <w:qFormat/>
    <w:uiPriority w:val="99"/>
    <w:pPr>
      <w:pBdr>
        <w:bottom w:val="single" w:color="auto" w:sz="6" w:space="1"/>
      </w:pBdr>
      <w:tabs>
        <w:tab w:val="center" w:pos="4153"/>
        <w:tab w:val="right" w:pos="8306"/>
      </w:tabs>
      <w:spacing w:line="240" w:lineRule="atLeast"/>
      <w:jc w:val="center"/>
    </w:pPr>
    <w:rPr>
      <w:sz w:val="18"/>
    </w:rPr>
  </w:style>
  <w:style w:type="paragraph" w:styleId="31">
    <w:name w:val="toc 1"/>
    <w:basedOn w:val="1"/>
    <w:next w:val="1"/>
    <w:qFormat/>
    <w:uiPriority w:val="39"/>
    <w:pPr>
      <w:spacing w:before="360"/>
    </w:pPr>
    <w:rPr>
      <w:rFonts w:ascii="Arial" w:hAnsi="Arial" w:cs="Arial"/>
      <w:b/>
      <w:bCs/>
      <w:caps/>
      <w:szCs w:val="24"/>
    </w:rPr>
  </w:style>
  <w:style w:type="paragraph" w:styleId="32">
    <w:name w:val="toc 4"/>
    <w:basedOn w:val="1"/>
    <w:next w:val="1"/>
    <w:qFormat/>
    <w:uiPriority w:val="39"/>
    <w:pPr>
      <w:ind w:left="480"/>
    </w:pPr>
    <w:rPr>
      <w:sz w:val="20"/>
    </w:rPr>
  </w:style>
  <w:style w:type="paragraph" w:styleId="33">
    <w:name w:val="Body Text Indent 3"/>
    <w:basedOn w:val="1"/>
    <w:link w:val="156"/>
    <w:qFormat/>
    <w:uiPriority w:val="0"/>
    <w:pPr>
      <w:ind w:firstLine="570"/>
    </w:pPr>
    <w:rPr>
      <w:sz w:val="28"/>
    </w:rPr>
  </w:style>
  <w:style w:type="paragraph" w:styleId="34">
    <w:name w:val="toc 2"/>
    <w:basedOn w:val="1"/>
    <w:next w:val="1"/>
    <w:qFormat/>
    <w:uiPriority w:val="39"/>
    <w:pPr>
      <w:spacing w:before="240"/>
    </w:pPr>
    <w:rPr>
      <w:b/>
      <w:bCs/>
      <w:sz w:val="20"/>
    </w:rPr>
  </w:style>
  <w:style w:type="paragraph" w:styleId="35">
    <w:name w:val="toc 9"/>
    <w:basedOn w:val="1"/>
    <w:next w:val="1"/>
    <w:qFormat/>
    <w:uiPriority w:val="0"/>
    <w:pPr>
      <w:ind w:left="1680"/>
    </w:pPr>
    <w:rPr>
      <w:sz w:val="20"/>
    </w:rPr>
  </w:style>
  <w:style w:type="paragraph" w:styleId="36">
    <w:name w:val="Body Text 2"/>
    <w:basedOn w:val="1"/>
    <w:link w:val="157"/>
    <w:qFormat/>
    <w:uiPriority w:val="0"/>
    <w:pPr>
      <w:spacing w:after="120" w:line="480" w:lineRule="auto"/>
    </w:pPr>
  </w:style>
  <w:style w:type="paragraph" w:styleId="37">
    <w:name w:val="Normal (Web)"/>
    <w:basedOn w:val="1"/>
    <w:qFormat/>
    <w:uiPriority w:val="0"/>
    <w:pPr>
      <w:widowControl/>
      <w:adjustRightInd/>
      <w:spacing w:before="100" w:beforeAutospacing="1" w:after="100" w:afterAutospacing="1" w:line="240" w:lineRule="auto"/>
      <w:textAlignment w:val="auto"/>
    </w:pPr>
    <w:rPr>
      <w:rFonts w:ascii="宋体"/>
      <w:szCs w:val="24"/>
      <w:lang w:eastAsia="en-US"/>
    </w:rPr>
  </w:style>
  <w:style w:type="paragraph" w:styleId="38">
    <w:name w:val="Title"/>
    <w:basedOn w:val="1"/>
    <w:next w:val="1"/>
    <w:qFormat/>
    <w:uiPriority w:val="0"/>
    <w:pPr>
      <w:widowControl/>
      <w:overflowPunct w:val="0"/>
      <w:autoSpaceDE w:val="0"/>
      <w:autoSpaceDN w:val="0"/>
      <w:jc w:val="center"/>
    </w:pPr>
    <w:rPr>
      <w:b/>
      <w:lang w:val="en-GB"/>
    </w:rPr>
  </w:style>
  <w:style w:type="paragraph" w:styleId="39">
    <w:name w:val="annotation subject"/>
    <w:basedOn w:val="15"/>
    <w:next w:val="15"/>
    <w:link w:val="143"/>
    <w:qFormat/>
    <w:uiPriority w:val="0"/>
    <w:rPr>
      <w:b/>
      <w:bCs/>
      <w:kern w:val="2"/>
    </w:rPr>
  </w:style>
  <w:style w:type="paragraph" w:styleId="40">
    <w:name w:val="Body Text First Indent 2"/>
    <w:basedOn w:val="20"/>
    <w:next w:val="1"/>
    <w:unhideWhenUsed/>
    <w:qFormat/>
    <w:uiPriority w:val="99"/>
    <w:pPr>
      <w:spacing w:after="120" w:line="240" w:lineRule="auto"/>
      <w:ind w:left="420" w:leftChars="200" w:firstLine="420"/>
    </w:pPr>
    <w:rPr>
      <w:rFonts w:cs="宋体"/>
      <w:sz w:val="21"/>
      <w:szCs w:val="21"/>
    </w:rPr>
  </w:style>
  <w:style w:type="table" w:styleId="42">
    <w:name w:val="Table Grid"/>
    <w:basedOn w:val="4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Hyperlink"/>
    <w:basedOn w:val="43"/>
    <w:qFormat/>
    <w:uiPriority w:val="99"/>
    <w:rPr>
      <w:color w:val="0000FF"/>
      <w:u w:val="single"/>
    </w:rPr>
  </w:style>
  <w:style w:type="character" w:styleId="47">
    <w:name w:val="annotation reference"/>
    <w:qFormat/>
    <w:uiPriority w:val="0"/>
    <w:rPr>
      <w:sz w:val="21"/>
      <w:szCs w:val="21"/>
    </w:r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9">
    <w:name w:val="正文1"/>
    <w:basedOn w:val="1"/>
    <w:next w:val="1"/>
    <w:qFormat/>
    <w:uiPriority w:val="0"/>
    <w:pPr>
      <w:numPr>
        <w:ilvl w:val="0"/>
        <w:numId w:val="2"/>
      </w:numPr>
      <w:adjustRightInd/>
      <w:spacing w:line="360" w:lineRule="auto"/>
      <w:textAlignment w:val="auto"/>
    </w:pPr>
    <w:rPr>
      <w:rFonts w:ascii="宋体" w:hAnsi="Calibri"/>
      <w:color w:val="000000"/>
      <w:kern w:val="2"/>
      <w:szCs w:val="28"/>
    </w:rPr>
  </w:style>
  <w:style w:type="paragraph" w:customStyle="1" w:styleId="50">
    <w:name w:val="无间隔1"/>
    <w:link w:val="164"/>
    <w:qFormat/>
    <w:uiPriority w:val="1"/>
    <w:rPr>
      <w:rFonts w:ascii="Times New Roman" w:hAnsi="Times New Roman" w:eastAsia="等线" w:cs="Times New Roman"/>
      <w:sz w:val="22"/>
      <w:szCs w:val="22"/>
      <w:lang w:val="en-US" w:eastAsia="zh-CN" w:bidi="ar-SA"/>
    </w:rPr>
  </w:style>
  <w:style w:type="paragraph" w:customStyle="1" w:styleId="51">
    <w:name w:val="样式 首行缩进:  0.85 厘米"/>
    <w:basedOn w:val="1"/>
    <w:qFormat/>
    <w:uiPriority w:val="0"/>
    <w:pPr>
      <w:adjustRightInd/>
      <w:spacing w:line="240" w:lineRule="auto"/>
      <w:ind w:firstLine="851"/>
      <w:jc w:val="both"/>
      <w:textAlignment w:val="auto"/>
    </w:pPr>
    <w:rPr>
      <w:rFonts w:cs="宋体"/>
      <w:kern w:val="2"/>
      <w:szCs w:val="24"/>
    </w:rPr>
  </w:style>
  <w:style w:type="paragraph" w:customStyle="1" w:styleId="52">
    <w:name w:val="xl23"/>
    <w:basedOn w:val="1"/>
    <w:qFormat/>
    <w:uiPriority w:val="0"/>
    <w:pPr>
      <w:widowControl/>
      <w:adjustRightInd/>
      <w:spacing w:before="100" w:beforeAutospacing="1" w:after="100" w:afterAutospacing="1" w:line="360" w:lineRule="auto"/>
      <w:jc w:val="both"/>
      <w:textAlignment w:val="top"/>
    </w:pPr>
    <w:rPr>
      <w:szCs w:val="24"/>
    </w:rPr>
  </w:style>
  <w:style w:type="paragraph" w:customStyle="1" w:styleId="53">
    <w:name w:val="彩色列表1"/>
    <w:basedOn w:val="1"/>
    <w:qFormat/>
    <w:uiPriority w:val="0"/>
    <w:pPr>
      <w:adjustRightInd/>
      <w:spacing w:line="240" w:lineRule="auto"/>
      <w:ind w:firstLine="200" w:firstLineChars="200"/>
      <w:jc w:val="both"/>
      <w:textAlignment w:val="auto"/>
    </w:pPr>
    <w:rPr>
      <w:kern w:val="2"/>
      <w:szCs w:val="24"/>
    </w:rPr>
  </w:style>
  <w:style w:type="paragraph" w:customStyle="1" w:styleId="54">
    <w:name w:val="样式 样式 标题 1 + 黑体 三号 + 段前: 1 行 段后: 1 行"/>
    <w:basedOn w:val="1"/>
    <w:qFormat/>
    <w:uiPriority w:val="0"/>
    <w:pPr>
      <w:keepNext/>
      <w:keepLines/>
      <w:tabs>
        <w:tab w:val="left" w:pos="425"/>
      </w:tabs>
      <w:adjustRightInd/>
      <w:spacing w:beforeLines="100" w:afterLines="100" w:line="360" w:lineRule="auto"/>
      <w:ind w:left="425" w:hanging="425"/>
      <w:jc w:val="both"/>
      <w:textAlignment w:val="auto"/>
      <w:outlineLvl w:val="0"/>
    </w:pPr>
    <w:rPr>
      <w:rFonts w:ascii="Arial" w:hAnsi="Arial" w:eastAsia="黑体" w:cs="宋体"/>
      <w:b/>
      <w:bCs/>
      <w:spacing w:val="10"/>
      <w:kern w:val="44"/>
      <w:sz w:val="32"/>
      <w:szCs w:val="32"/>
    </w:rPr>
  </w:style>
  <w:style w:type="paragraph" w:customStyle="1" w:styleId="55">
    <w:name w:val="正文2"/>
    <w:basedOn w:val="1"/>
    <w:qFormat/>
    <w:uiPriority w:val="0"/>
    <w:pPr>
      <w:tabs>
        <w:tab w:val="left" w:pos="3360"/>
      </w:tabs>
      <w:adjustRightInd/>
      <w:spacing w:before="60" w:after="60" w:line="360" w:lineRule="auto"/>
      <w:ind w:left="3360" w:hanging="420"/>
      <w:jc w:val="both"/>
      <w:textAlignment w:val="auto"/>
      <w:outlineLvl w:val="7"/>
    </w:pPr>
    <w:rPr>
      <w:kern w:val="2"/>
      <w:szCs w:val="24"/>
    </w:rPr>
  </w:style>
  <w:style w:type="paragraph" w:customStyle="1" w:styleId="56">
    <w:name w:val="默认段落字体 Para Char Char Char Char"/>
    <w:basedOn w:val="1"/>
    <w:qFormat/>
    <w:uiPriority w:val="0"/>
    <w:pPr>
      <w:adjustRightInd/>
      <w:spacing w:line="240" w:lineRule="auto"/>
      <w:jc w:val="both"/>
      <w:textAlignment w:val="auto"/>
    </w:pPr>
    <w:rPr>
      <w:rFonts w:ascii="Arial" w:hAnsi="Arial" w:cs="Arial"/>
      <w:kern w:val="2"/>
      <w:sz w:val="21"/>
      <w:szCs w:val="21"/>
    </w:rPr>
  </w:style>
  <w:style w:type="paragraph" w:customStyle="1" w:styleId="57">
    <w:name w:val="样式1"/>
    <w:basedOn w:val="1"/>
    <w:qFormat/>
    <w:uiPriority w:val="0"/>
    <w:pPr>
      <w:tabs>
        <w:tab w:val="left" w:pos="0"/>
      </w:tabs>
      <w:spacing w:line="240" w:lineRule="auto"/>
      <w:jc w:val="both"/>
    </w:pPr>
    <w:rPr>
      <w:rFonts w:ascii="宋体"/>
      <w:sz w:val="21"/>
      <w:szCs w:val="21"/>
    </w:rPr>
  </w:style>
  <w:style w:type="paragraph" w:customStyle="1" w:styleId="58">
    <w:name w:val="Char2"/>
    <w:basedOn w:val="1"/>
    <w:qFormat/>
    <w:uiPriority w:val="0"/>
    <w:pPr>
      <w:widowControl/>
      <w:adjustRightInd/>
      <w:spacing w:after="160" w:line="240" w:lineRule="exact"/>
      <w:textAlignment w:val="auto"/>
    </w:pPr>
    <w:rPr>
      <w:kern w:val="2"/>
      <w:sz w:val="21"/>
      <w:szCs w:val="24"/>
    </w:rPr>
  </w:style>
  <w:style w:type="paragraph" w:customStyle="1" w:styleId="59">
    <w:name w:val="样式 标题 5 + 段前: 5 磅 段后: 5 磅 行距: 单倍行距"/>
    <w:basedOn w:val="6"/>
    <w:qFormat/>
    <w:uiPriority w:val="0"/>
    <w:pPr>
      <w:tabs>
        <w:tab w:val="left" w:pos="2100"/>
        <w:tab w:val="clear" w:pos="0"/>
      </w:tabs>
      <w:spacing w:before="100" w:after="100" w:line="240" w:lineRule="auto"/>
      <w:ind w:left="2100" w:hanging="420"/>
    </w:pPr>
    <w:rPr>
      <w:szCs w:val="20"/>
    </w:rPr>
  </w:style>
  <w:style w:type="paragraph" w:customStyle="1" w:styleId="60">
    <w:name w:val="样式 样式 样式 样式 标题 2 + 宋体 五号 非加粗 黑色 + 段前: 6 磅 段后: 0 磅 行距: 单倍行距 + 段前:..."/>
    <w:basedOn w:val="61"/>
    <w:qFormat/>
    <w:uiPriority w:val="0"/>
    <w:pPr>
      <w:tabs>
        <w:tab w:val="left" w:pos="1140"/>
      </w:tabs>
    </w:pPr>
    <w:rPr>
      <w:b/>
      <w:bCs/>
    </w:rPr>
  </w:style>
  <w:style w:type="paragraph" w:customStyle="1" w:styleId="61">
    <w:name w:val="样式 样式 样式 标题 2 + 宋体 五号 非加粗 黑色 + 段前: 6 磅 段后: 0 磅 行距: 单倍行距 + 段前: 12..."/>
    <w:basedOn w:val="62"/>
    <w:qFormat/>
    <w:uiPriority w:val="0"/>
    <w:pPr>
      <w:tabs>
        <w:tab w:val="left" w:pos="1140"/>
      </w:tabs>
      <w:spacing w:before="240"/>
    </w:pPr>
  </w:style>
  <w:style w:type="paragraph" w:customStyle="1" w:styleId="62">
    <w:name w:val="样式 样式 标题 2 + 宋体 五号 非加粗 黑色 + 段前: 6 磅 段后: 0 磅 行距: 单倍行距"/>
    <w:basedOn w:val="63"/>
    <w:qFormat/>
    <w:uiPriority w:val="0"/>
    <w:pPr>
      <w:tabs>
        <w:tab w:val="left" w:pos="1140"/>
      </w:tabs>
      <w:spacing w:before="120" w:after="0" w:line="240" w:lineRule="auto"/>
    </w:pPr>
    <w:rPr>
      <w:szCs w:val="20"/>
    </w:rPr>
  </w:style>
  <w:style w:type="paragraph" w:customStyle="1" w:styleId="63">
    <w:name w:val="样式 标题 2 + 宋体 五号 非加粗 黑色"/>
    <w:basedOn w:val="3"/>
    <w:qFormat/>
    <w:uiPriority w:val="0"/>
    <w:pPr>
      <w:tabs>
        <w:tab w:val="left" w:pos="1140"/>
        <w:tab w:val="clear" w:pos="0"/>
      </w:tabs>
      <w:ind w:left="1140" w:hanging="720"/>
    </w:pPr>
    <w:rPr>
      <w:rFonts w:ascii="宋体" w:eastAsia="宋体"/>
      <w:b w:val="0"/>
      <w:bCs w:val="0"/>
      <w:color w:val="000000"/>
      <w:sz w:val="21"/>
    </w:rPr>
  </w:style>
  <w:style w:type="paragraph" w:customStyle="1" w:styleId="64">
    <w:name w:val="标书正文"/>
    <w:basedOn w:val="1"/>
    <w:next w:val="1"/>
    <w:qFormat/>
    <w:uiPriority w:val="0"/>
    <w:pPr>
      <w:widowControl/>
      <w:adjustRightInd/>
      <w:spacing w:beforeLines="50" w:line="400" w:lineRule="exact"/>
      <w:ind w:firstLine="200" w:firstLineChars="200"/>
      <w:jc w:val="both"/>
      <w:textAlignment w:val="auto"/>
    </w:pPr>
    <w:rPr>
      <w:rFonts w:ascii="黑体"/>
    </w:rPr>
  </w:style>
  <w:style w:type="paragraph" w:customStyle="1" w:styleId="65">
    <w:name w:val="Char Char Char Char"/>
    <w:basedOn w:val="1"/>
    <w:qFormat/>
    <w:uiPriority w:val="0"/>
    <w:pPr>
      <w:adjustRightInd/>
      <w:spacing w:line="240" w:lineRule="auto"/>
      <w:jc w:val="both"/>
      <w:textAlignment w:val="auto"/>
    </w:pPr>
    <w:rPr>
      <w:rFonts w:ascii="Tahoma" w:hAnsi="Tahoma"/>
      <w:kern w:val="2"/>
    </w:rPr>
  </w:style>
  <w:style w:type="paragraph" w:customStyle="1" w:styleId="66">
    <w:name w:val="xl27"/>
    <w:basedOn w:val="1"/>
    <w:qFormat/>
    <w:uiPriority w:val="0"/>
    <w:pPr>
      <w:widowControl/>
      <w:adjustRightInd/>
      <w:spacing w:before="100" w:beforeAutospacing="1" w:after="100" w:afterAutospacing="1" w:line="240" w:lineRule="auto"/>
      <w:jc w:val="center"/>
      <w:textAlignment w:val="auto"/>
    </w:pPr>
    <w:rPr>
      <w:rFonts w:ascii="Arial Unicode MS" w:eastAsia="Arial Unicode MS" w:cs="Arial Unicode MS"/>
      <w:szCs w:val="24"/>
    </w:rPr>
  </w:style>
  <w:style w:type="paragraph" w:customStyle="1" w:styleId="67">
    <w:name w:val="blockquote"/>
    <w:next w:val="33"/>
    <w:qFormat/>
    <w:uiPriority w:val="0"/>
    <w:pPr>
      <w:autoSpaceDE w:val="0"/>
      <w:autoSpaceDN w:val="0"/>
      <w:spacing w:before="100" w:after="100"/>
      <w:ind w:left="360" w:right="360"/>
    </w:pPr>
    <w:rPr>
      <w:rFonts w:ascii="Times New Roman" w:hAnsi="Times New Roman" w:eastAsia="宋体" w:cs="Times New Roman"/>
      <w:sz w:val="24"/>
      <w:szCs w:val="24"/>
      <w:lang w:val="en-US" w:eastAsia="zh-CN" w:bidi="ar-SA"/>
    </w:rPr>
  </w:style>
  <w:style w:type="paragraph" w:customStyle="1" w:styleId="68">
    <w:name w:val="L33"/>
    <w:basedOn w:val="1"/>
    <w:qFormat/>
    <w:uiPriority w:val="0"/>
    <w:pPr>
      <w:numPr>
        <w:ilvl w:val="0"/>
        <w:numId w:val="3"/>
      </w:numPr>
      <w:tabs>
        <w:tab w:val="left" w:pos="1680"/>
        <w:tab w:val="clear" w:pos="0"/>
      </w:tabs>
      <w:adjustRightInd/>
      <w:spacing w:line="240" w:lineRule="auto"/>
      <w:ind w:left="0" w:firstLine="228" w:firstLineChars="228"/>
      <w:jc w:val="both"/>
      <w:textAlignment w:val="auto"/>
    </w:pPr>
    <w:rPr>
      <w:rFonts w:ascii="Calibri" w:hAnsi="Calibri"/>
      <w:bCs/>
      <w:kern w:val="2"/>
      <w:sz w:val="21"/>
    </w:rPr>
  </w:style>
  <w:style w:type="paragraph" w:customStyle="1" w:styleId="69">
    <w:name w:val="样式 标题 4 + 段前: 5 磅 段后: 5 磅 行距: 单倍行距"/>
    <w:basedOn w:val="5"/>
    <w:qFormat/>
    <w:uiPriority w:val="0"/>
    <w:pPr>
      <w:tabs>
        <w:tab w:val="left" w:pos="1680"/>
        <w:tab w:val="clear" w:pos="0"/>
      </w:tabs>
      <w:spacing w:before="100" w:after="100" w:line="240" w:lineRule="auto"/>
      <w:ind w:left="1680" w:hanging="420"/>
    </w:pPr>
    <w:rPr>
      <w:szCs w:val="20"/>
    </w:rPr>
  </w:style>
  <w:style w:type="paragraph" w:customStyle="1" w:styleId="70">
    <w:name w:val="样式2"/>
    <w:basedOn w:val="1"/>
    <w:qFormat/>
    <w:uiPriority w:val="0"/>
    <w:pPr>
      <w:tabs>
        <w:tab w:val="left" w:pos="567"/>
      </w:tabs>
      <w:spacing w:line="240" w:lineRule="auto"/>
      <w:ind w:left="567" w:hanging="567"/>
      <w:jc w:val="both"/>
    </w:pPr>
    <w:rPr>
      <w:rFonts w:ascii="宋体"/>
      <w:sz w:val="21"/>
      <w:szCs w:val="21"/>
    </w:rPr>
  </w:style>
  <w:style w:type="paragraph" w:customStyle="1" w:styleId="71">
    <w:name w:val="Char Char Char Char Char Char Char Char Char 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72">
    <w:name w:val="Body Text Indent 21"/>
    <w:basedOn w:val="1"/>
    <w:qFormat/>
    <w:uiPriority w:val="0"/>
    <w:pPr>
      <w:spacing w:line="240" w:lineRule="auto"/>
      <w:ind w:left="720" w:hanging="720"/>
      <w:jc w:val="both"/>
    </w:pPr>
    <w:rPr>
      <w:b/>
      <w:kern w:val="2"/>
      <w:sz w:val="28"/>
    </w:rPr>
  </w:style>
  <w:style w:type="paragraph" w:customStyle="1" w:styleId="73">
    <w:name w:val="样式6"/>
    <w:basedOn w:val="3"/>
    <w:qFormat/>
    <w:uiPriority w:val="0"/>
    <w:pPr>
      <w:adjustRightInd/>
      <w:spacing w:before="0" w:after="0" w:line="560" w:lineRule="exact"/>
      <w:jc w:val="both"/>
      <w:textAlignment w:val="auto"/>
    </w:pPr>
    <w:rPr>
      <w:rFonts w:eastAsia="宋体"/>
      <w:b w:val="0"/>
      <w:kern w:val="2"/>
      <w:sz w:val="28"/>
    </w:rPr>
  </w:style>
  <w:style w:type="paragraph" w:customStyle="1" w:styleId="74">
    <w:name w:val="PMletterTextBullet"/>
    <w:basedOn w:val="75"/>
    <w:qFormat/>
    <w:uiPriority w:val="0"/>
    <w:pPr>
      <w:tabs>
        <w:tab w:val="left" w:pos="840"/>
        <w:tab w:val="left" w:pos="1800"/>
      </w:tabs>
      <w:ind w:left="1800" w:hanging="360"/>
    </w:pPr>
  </w:style>
  <w:style w:type="paragraph" w:customStyle="1" w:styleId="75">
    <w:name w:val="PMletterText"/>
    <w:basedOn w:val="76"/>
    <w:qFormat/>
    <w:uiPriority w:val="0"/>
    <w:pPr>
      <w:spacing w:before="240"/>
      <w:ind w:left="720"/>
    </w:pPr>
  </w:style>
  <w:style w:type="paragraph" w:customStyle="1" w:styleId="76">
    <w:name w:val="PMstyle"/>
    <w:qFormat/>
    <w:uiPriority w:val="0"/>
    <w:rPr>
      <w:rFonts w:ascii="Tahoma" w:hAnsi="Tahoma" w:eastAsia="宋体" w:cs="Times New Roman"/>
      <w:sz w:val="22"/>
      <w:lang w:val="en-US" w:eastAsia="zh-CN" w:bidi="ar-SA"/>
    </w:rPr>
  </w:style>
  <w:style w:type="paragraph" w:customStyle="1" w:styleId="77">
    <w:name w:val="列出段落1"/>
    <w:basedOn w:val="1"/>
    <w:qFormat/>
    <w:uiPriority w:val="34"/>
    <w:pPr>
      <w:adjustRightInd/>
      <w:spacing w:line="240" w:lineRule="auto"/>
      <w:ind w:firstLine="200" w:firstLineChars="200"/>
      <w:jc w:val="both"/>
      <w:textAlignment w:val="auto"/>
    </w:pPr>
    <w:rPr>
      <w:kern w:val="2"/>
      <w:sz w:val="21"/>
      <w:szCs w:val="24"/>
    </w:rPr>
  </w:style>
  <w:style w:type="paragraph" w:customStyle="1" w:styleId="78">
    <w:name w:val="TOC 标题1"/>
    <w:basedOn w:val="2"/>
    <w:next w:val="1"/>
    <w:qFormat/>
    <w:uiPriority w:val="39"/>
    <w:pPr>
      <w:widowControl/>
      <w:tabs>
        <w:tab w:val="clear" w:pos="0"/>
      </w:tabs>
      <w:adjustRightInd/>
      <w:spacing w:before="480" w:after="0" w:line="276" w:lineRule="auto"/>
      <w:textAlignment w:val="auto"/>
      <w:outlineLvl w:val="9"/>
    </w:pPr>
    <w:rPr>
      <w:rFonts w:ascii="Cambria" w:hAnsi="Cambria"/>
      <w:color w:val="365F91"/>
      <w:kern w:val="0"/>
      <w:sz w:val="28"/>
      <w:szCs w:val="28"/>
    </w:rPr>
  </w:style>
  <w:style w:type="paragraph" w:customStyle="1" w:styleId="79">
    <w:name w:val="Char Char Char Char Char Char Char Char Char Char Char Char 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80">
    <w:name w:val="样式 标题 5 + 段前: 1 行 段后: 1 行"/>
    <w:basedOn w:val="6"/>
    <w:qFormat/>
    <w:uiPriority w:val="0"/>
    <w:pPr>
      <w:tabs>
        <w:tab w:val="left" w:pos="992"/>
        <w:tab w:val="clear" w:pos="0"/>
      </w:tabs>
      <w:adjustRightInd/>
      <w:spacing w:beforeLines="100" w:afterLines="100" w:line="360" w:lineRule="auto"/>
      <w:ind w:left="992" w:hanging="992"/>
      <w:jc w:val="both"/>
      <w:textAlignment w:val="auto"/>
    </w:pPr>
    <w:rPr>
      <w:rFonts w:ascii="Arial" w:hAnsi="Arial" w:eastAsia="黑体" w:cs="宋体"/>
      <w:b w:val="0"/>
      <w:bCs w:val="0"/>
      <w:spacing w:val="10"/>
      <w:kern w:val="2"/>
      <w:sz w:val="24"/>
      <w:szCs w:val="24"/>
    </w:rPr>
  </w:style>
  <w:style w:type="paragraph" w:customStyle="1" w:styleId="81">
    <w:name w:val="样式 标题 3h3H3sect1.2.3 + 五号 段前: 6 磅 段后: 6 磅 行距: 单倍行距"/>
    <w:basedOn w:val="4"/>
    <w:qFormat/>
    <w:uiPriority w:val="0"/>
    <w:pPr>
      <w:tabs>
        <w:tab w:val="left" w:pos="1260"/>
        <w:tab w:val="clear" w:pos="0"/>
      </w:tabs>
      <w:spacing w:before="120" w:after="120" w:line="240" w:lineRule="auto"/>
      <w:ind w:left="1260" w:hanging="420"/>
    </w:pPr>
    <w:rPr>
      <w:sz w:val="21"/>
      <w:szCs w:val="20"/>
    </w:rPr>
  </w:style>
  <w:style w:type="paragraph" w:customStyle="1" w:styleId="82">
    <w:name w:val="Body Text 21"/>
    <w:basedOn w:val="1"/>
    <w:qFormat/>
    <w:uiPriority w:val="0"/>
    <w:pPr>
      <w:spacing w:before="240" w:line="400" w:lineRule="exact"/>
      <w:ind w:firstLine="357"/>
      <w:jc w:val="both"/>
    </w:pPr>
    <w:rPr>
      <w:kern w:val="2"/>
      <w:sz w:val="28"/>
    </w:rPr>
  </w:style>
  <w:style w:type="paragraph" w:customStyle="1" w:styleId="83">
    <w:name w:val="样式 宋体 五号 行距: 单倍行距"/>
    <w:basedOn w:val="1"/>
    <w:qFormat/>
    <w:uiPriority w:val="0"/>
    <w:pPr>
      <w:spacing w:line="240" w:lineRule="auto"/>
    </w:pPr>
    <w:rPr>
      <w:rFonts w:ascii="宋体"/>
      <w:sz w:val="21"/>
    </w:rPr>
  </w:style>
  <w:style w:type="paragraph" w:customStyle="1" w:styleId="84">
    <w:name w:val="样式4"/>
    <w:basedOn w:val="34"/>
    <w:qFormat/>
    <w:uiPriority w:val="0"/>
    <w:pPr>
      <w:adjustRightInd/>
      <w:spacing w:line="240" w:lineRule="auto"/>
      <w:ind w:left="420"/>
      <w:jc w:val="both"/>
      <w:textAlignment w:val="auto"/>
    </w:pPr>
    <w:rPr>
      <w:kern w:val="2"/>
      <w:sz w:val="28"/>
    </w:rPr>
  </w:style>
  <w:style w:type="paragraph" w:customStyle="1" w:styleId="85">
    <w:name w:val="正文缩进 1 五号字"/>
    <w:basedOn w:val="1"/>
    <w:qFormat/>
    <w:uiPriority w:val="0"/>
    <w:pPr>
      <w:adjustRightInd/>
      <w:spacing w:line="360" w:lineRule="auto"/>
      <w:ind w:firstLine="200" w:firstLineChars="200"/>
      <w:textAlignment w:val="auto"/>
    </w:pPr>
    <w:rPr>
      <w:rFonts w:ascii="宋体"/>
      <w:kern w:val="2"/>
      <w:sz w:val="21"/>
      <w:szCs w:val="21"/>
    </w:rPr>
  </w:style>
  <w:style w:type="paragraph" w:customStyle="1" w:styleId="86">
    <w:name w:val="Indent Normal"/>
    <w:basedOn w:val="1"/>
    <w:qFormat/>
    <w:uiPriority w:val="0"/>
    <w:pPr>
      <w:adjustRightInd/>
      <w:spacing w:line="240" w:lineRule="auto"/>
      <w:ind w:firstLine="420"/>
      <w:jc w:val="both"/>
      <w:textAlignment w:val="auto"/>
    </w:pPr>
    <w:rPr>
      <w:kern w:val="2"/>
      <w:sz w:val="21"/>
      <w:szCs w:val="24"/>
    </w:rPr>
  </w:style>
  <w:style w:type="paragraph" w:customStyle="1" w:styleId="87">
    <w:name w:val="FA正文"/>
    <w:basedOn w:val="1"/>
    <w:qFormat/>
    <w:uiPriority w:val="0"/>
    <w:pPr>
      <w:tabs>
        <w:tab w:val="left" w:pos="3375"/>
      </w:tabs>
      <w:adjustRightInd/>
      <w:spacing w:after="60" w:line="360" w:lineRule="auto"/>
      <w:ind w:firstLine="200" w:firstLineChars="200"/>
      <w:jc w:val="both"/>
      <w:textAlignment w:val="auto"/>
    </w:pPr>
    <w:rPr>
      <w:rFonts w:ascii="宋体"/>
      <w:spacing w:val="10"/>
      <w:kern w:val="2"/>
      <w:sz w:val="21"/>
      <w:szCs w:val="21"/>
    </w:rPr>
  </w:style>
  <w:style w:type="paragraph" w:customStyle="1" w:styleId="88">
    <w:name w:val="样式 标题 4 + (西文) 方正黑体_GBK (中文) 方正黑体_GBK (符号) 宋体 三号 非加粗 段前: 0 ...1"/>
    <w:basedOn w:val="3"/>
    <w:next w:val="1"/>
    <w:qFormat/>
    <w:uiPriority w:val="0"/>
    <w:pPr>
      <w:tabs>
        <w:tab w:val="clear" w:pos="0"/>
      </w:tabs>
      <w:adjustRightInd/>
      <w:spacing w:beforeLines="50" w:after="0" w:line="360" w:lineRule="auto"/>
      <w:ind w:left="432" w:leftChars="355" w:hanging="77" w:hangingChars="77"/>
      <w:textAlignment w:val="auto"/>
    </w:pPr>
    <w:rPr>
      <w:rFonts w:ascii="宋体" w:eastAsia="宋体" w:cs="宋体"/>
      <w:kern w:val="2"/>
    </w:rPr>
  </w:style>
  <w:style w:type="paragraph" w:customStyle="1" w:styleId="89">
    <w:name w:val="Char Char Char Char Char Char1 Char Char Char Char Char Char Char Char Char Char Char"/>
    <w:basedOn w:val="1"/>
    <w:qFormat/>
    <w:uiPriority w:val="0"/>
    <w:pPr>
      <w:widowControl/>
      <w:adjustRightInd/>
      <w:spacing w:after="160" w:line="240" w:lineRule="exact"/>
      <w:textAlignment w:val="auto"/>
    </w:pPr>
    <w:rPr>
      <w:rFonts w:ascii="Verdana" w:hAnsi="Verdana" w:eastAsia="仿宋_GB2312"/>
      <w:kern w:val="2"/>
      <w:szCs w:val="24"/>
      <w:lang w:eastAsia="en-US"/>
    </w:rPr>
  </w:style>
  <w:style w:type="paragraph" w:customStyle="1" w:styleId="90">
    <w:name w:val="样式 样式 标题 4 + 段前: 5 磅 段后: 5 磅 行距: 单倍行距 + 五号"/>
    <w:basedOn w:val="69"/>
    <w:qFormat/>
    <w:uiPriority w:val="0"/>
    <w:rPr>
      <w:sz w:val="21"/>
    </w:rPr>
  </w:style>
  <w:style w:type="paragraph" w:customStyle="1" w:styleId="91">
    <w:name w:val="列出段落11"/>
    <w:basedOn w:val="1"/>
    <w:qFormat/>
    <w:uiPriority w:val="0"/>
    <w:pPr>
      <w:adjustRightInd/>
      <w:spacing w:line="360" w:lineRule="auto"/>
      <w:ind w:firstLine="200" w:firstLineChars="200"/>
      <w:jc w:val="both"/>
      <w:textAlignment w:val="auto"/>
    </w:pPr>
    <w:rPr>
      <w:kern w:val="2"/>
      <w:szCs w:val="21"/>
    </w:rPr>
  </w:style>
  <w:style w:type="paragraph" w:customStyle="1" w:styleId="92">
    <w:name w:val="样式 宋体 小四 行距: 1.5 倍行距"/>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3">
    <w:name w:val="修订1"/>
    <w:qFormat/>
    <w:uiPriority w:val="0"/>
    <w:rPr>
      <w:rFonts w:ascii="Times New Roman" w:hAnsi="Times New Roman" w:eastAsia="宋体" w:cs="Times New Roman"/>
      <w:sz w:val="24"/>
      <w:lang w:val="en-US" w:eastAsia="zh-CN" w:bidi="ar-SA"/>
    </w:rPr>
  </w:style>
  <w:style w:type="paragraph" w:customStyle="1" w:styleId="94">
    <w:name w:val="模板正文"/>
    <w:basedOn w:val="1"/>
    <w:qFormat/>
    <w:uiPriority w:val="0"/>
    <w:pPr>
      <w:adjustRightInd/>
      <w:spacing w:beforeLines="50" w:line="400" w:lineRule="exact"/>
      <w:ind w:firstLine="200" w:firstLineChars="200"/>
      <w:jc w:val="both"/>
      <w:textAlignment w:val="auto"/>
    </w:pPr>
    <w:rPr>
      <w:rFonts w:ascii="宋体" w:hAnsi="宋体"/>
      <w:kern w:val="2"/>
      <w:szCs w:val="24"/>
    </w:rPr>
  </w:style>
  <w:style w:type="paragraph" w:customStyle="1" w:styleId="95">
    <w:name w:val="样式 宋体 小四"/>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6">
    <w:name w:val="样式 左侧:  2 字符"/>
    <w:basedOn w:val="1"/>
    <w:qFormat/>
    <w:uiPriority w:val="0"/>
    <w:pPr>
      <w:adjustRightInd/>
      <w:spacing w:line="520" w:lineRule="exact"/>
      <w:ind w:firstLine="200" w:firstLineChars="200"/>
      <w:jc w:val="both"/>
      <w:textAlignment w:val="auto"/>
    </w:pPr>
    <w:rPr>
      <w:rFonts w:cs="宋体"/>
      <w:kern w:val="2"/>
      <w:sz w:val="28"/>
    </w:rPr>
  </w:style>
  <w:style w:type="paragraph" w:customStyle="1" w:styleId="97">
    <w:name w:val="样式 样式 标题 5 + 段前: 5 磅 段后: 5 磅 行距: 单倍行距 + 五号"/>
    <w:basedOn w:val="59"/>
    <w:qFormat/>
    <w:uiPriority w:val="0"/>
    <w:rPr>
      <w:sz w:val="21"/>
    </w:rPr>
  </w:style>
  <w:style w:type="paragraph" w:customStyle="1" w:styleId="98">
    <w:name w:val="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99">
    <w:name w:val="Char1 Char Char Char"/>
    <w:basedOn w:val="1"/>
    <w:qFormat/>
    <w:uiPriority w:val="0"/>
    <w:pPr>
      <w:adjustRightInd/>
      <w:spacing w:line="240" w:lineRule="auto"/>
      <w:jc w:val="both"/>
      <w:textAlignment w:val="auto"/>
    </w:pPr>
    <w:rPr>
      <w:rFonts w:ascii="Tahoma" w:hAnsi="Tahoma"/>
      <w:kern w:val="2"/>
    </w:rPr>
  </w:style>
  <w:style w:type="paragraph" w:customStyle="1" w:styleId="100">
    <w:name w:val="标题4"/>
    <w:basedOn w:val="3"/>
    <w:qFormat/>
    <w:uiPriority w:val="0"/>
    <w:pPr>
      <w:spacing w:beforeLines="50" w:afterLines="50" w:line="240" w:lineRule="auto"/>
      <w:jc w:val="center"/>
    </w:pPr>
    <w:rPr>
      <w:rFonts w:ascii="Times New Roman" w:hAnsi="Times New Roman" w:eastAsia="宋体"/>
      <w:color w:val="000000"/>
      <w:sz w:val="24"/>
    </w:rPr>
  </w:style>
  <w:style w:type="paragraph" w:customStyle="1" w:styleId="10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样式 标题 2 + 宋体 五号 行距: 单倍行距"/>
    <w:basedOn w:val="3"/>
    <w:qFormat/>
    <w:uiPriority w:val="0"/>
    <w:pPr>
      <w:tabs>
        <w:tab w:val="left" w:pos="1140"/>
        <w:tab w:val="clear" w:pos="0"/>
      </w:tabs>
      <w:spacing w:line="240" w:lineRule="auto"/>
      <w:ind w:left="1140" w:hanging="720"/>
    </w:pPr>
    <w:rPr>
      <w:rFonts w:ascii="宋体" w:eastAsia="宋体"/>
      <w:sz w:val="21"/>
      <w:szCs w:val="20"/>
    </w:rPr>
  </w:style>
  <w:style w:type="paragraph" w:customStyle="1" w:styleId="1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Cap_正文"/>
    <w:qFormat/>
    <w:uiPriority w:val="0"/>
    <w:pPr>
      <w:spacing w:after="160"/>
      <w:ind w:firstLine="200" w:firstLineChars="200"/>
    </w:pPr>
    <w:rPr>
      <w:rFonts w:ascii="Times New Roman" w:hAnsi="Times New Roman" w:eastAsia="宋体" w:cs="Times New Roman"/>
      <w:sz w:val="22"/>
      <w:szCs w:val="24"/>
      <w:lang w:val="en-US" w:eastAsia="zh-CN" w:bidi="ar-SA"/>
    </w:rPr>
  </w:style>
  <w:style w:type="paragraph" w:customStyle="1" w:styleId="105">
    <w:name w:val="C1"/>
    <w:basedOn w:val="1"/>
    <w:qFormat/>
    <w:uiPriority w:val="0"/>
    <w:pPr>
      <w:adjustRightInd/>
      <w:spacing w:after="120" w:line="360" w:lineRule="auto"/>
      <w:ind w:firstLine="175" w:firstLineChars="175"/>
      <w:jc w:val="both"/>
      <w:textAlignment w:val="auto"/>
    </w:pPr>
    <w:rPr>
      <w:rFonts w:ascii="Calibri" w:hAnsi="Calibri" w:cs="Arial"/>
      <w:bCs/>
      <w:kern w:val="44"/>
      <w:sz w:val="21"/>
      <w:szCs w:val="24"/>
    </w:rPr>
  </w:style>
  <w:style w:type="paragraph" w:customStyle="1" w:styleId="106">
    <w:name w:val="样式 宋体 五号 两端对齐 行距: 单倍行距"/>
    <w:basedOn w:val="1"/>
    <w:qFormat/>
    <w:uiPriority w:val="0"/>
    <w:pPr>
      <w:spacing w:line="240" w:lineRule="auto"/>
      <w:jc w:val="both"/>
    </w:pPr>
    <w:rPr>
      <w:rFonts w:ascii="宋体"/>
      <w:sz w:val="21"/>
    </w:rPr>
  </w:style>
  <w:style w:type="paragraph" w:customStyle="1" w:styleId="107">
    <w:name w:val="L4"/>
    <w:basedOn w:val="21"/>
    <w:qFormat/>
    <w:uiPriority w:val="0"/>
    <w:pPr>
      <w:tabs>
        <w:tab w:val="left" w:pos="420"/>
        <w:tab w:val="clear" w:pos="0"/>
      </w:tabs>
      <w:adjustRightInd/>
      <w:spacing w:line="240" w:lineRule="auto"/>
      <w:jc w:val="both"/>
      <w:textAlignment w:val="auto"/>
    </w:pPr>
    <w:rPr>
      <w:rFonts w:ascii="Calibri" w:hAnsi="Calibri"/>
      <w:kern w:val="2"/>
      <w:sz w:val="21"/>
    </w:rPr>
  </w:style>
  <w:style w:type="paragraph" w:customStyle="1" w:styleId="108">
    <w:name w:val="Char Char Char Char Char Char Char Char Char Char"/>
    <w:basedOn w:val="1"/>
    <w:qFormat/>
    <w:uiPriority w:val="0"/>
    <w:pPr>
      <w:widowControl/>
      <w:adjustRightInd/>
      <w:spacing w:after="160" w:line="240" w:lineRule="exact"/>
      <w:textAlignment w:val="auto"/>
    </w:pPr>
  </w:style>
  <w:style w:type="paragraph" w:customStyle="1" w:styleId="109">
    <w:name w:val="样式5"/>
    <w:basedOn w:val="2"/>
    <w:qFormat/>
    <w:uiPriority w:val="0"/>
    <w:pPr>
      <w:adjustRightInd/>
      <w:spacing w:line="576" w:lineRule="auto"/>
      <w:jc w:val="both"/>
      <w:textAlignment w:val="auto"/>
    </w:pPr>
    <w:rPr>
      <w:sz w:val="28"/>
    </w:rPr>
  </w:style>
  <w:style w:type="paragraph" w:customStyle="1" w:styleId="110">
    <w:name w:val="PMtextBullet"/>
    <w:basedOn w:val="76"/>
    <w:qFormat/>
    <w:uiPriority w:val="0"/>
    <w:pPr>
      <w:tabs>
        <w:tab w:val="left" w:pos="2520"/>
      </w:tabs>
      <w:spacing w:after="200"/>
      <w:ind w:left="2520" w:firstLine="288"/>
    </w:pPr>
  </w:style>
  <w:style w:type="paragraph" w:customStyle="1" w:styleId="111">
    <w:name w:val="样式 宋体 五号 两端对齐 行距: 单倍行距1"/>
    <w:basedOn w:val="1"/>
    <w:qFormat/>
    <w:uiPriority w:val="0"/>
    <w:pPr>
      <w:spacing w:line="240" w:lineRule="auto"/>
      <w:jc w:val="both"/>
    </w:pPr>
    <w:rPr>
      <w:rFonts w:ascii="宋体"/>
      <w:sz w:val="21"/>
    </w:rPr>
  </w:style>
  <w:style w:type="paragraph" w:customStyle="1" w:styleId="112">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113">
    <w:name w:val="xl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top"/>
    </w:pPr>
    <w:rPr>
      <w:rFonts w:ascii="宋体" w:hAnsi="宋体" w:cs="宋体"/>
      <w:szCs w:val="24"/>
    </w:rPr>
  </w:style>
  <w:style w:type="paragraph" w:customStyle="1" w:styleId="114">
    <w:name w:val="正文空格"/>
    <w:basedOn w:val="1"/>
    <w:next w:val="1"/>
    <w:qFormat/>
    <w:uiPriority w:val="0"/>
    <w:pPr>
      <w:adjustRightInd/>
      <w:spacing w:line="400" w:lineRule="exact"/>
      <w:ind w:firstLine="200" w:firstLineChars="200"/>
      <w:jc w:val="both"/>
      <w:textAlignment w:val="auto"/>
    </w:pPr>
    <w:rPr>
      <w:kern w:val="2"/>
      <w:szCs w:val="22"/>
    </w:rPr>
  </w:style>
  <w:style w:type="paragraph" w:customStyle="1" w:styleId="115">
    <w:name w:val="一级"/>
    <w:basedOn w:val="1"/>
    <w:next w:val="1"/>
    <w:qFormat/>
    <w:uiPriority w:val="0"/>
    <w:pPr>
      <w:adjustRightInd/>
      <w:spacing w:before="360" w:after="360" w:line="400" w:lineRule="exact"/>
      <w:jc w:val="both"/>
      <w:textAlignment w:val="auto"/>
      <w:outlineLvl w:val="1"/>
    </w:pPr>
    <w:rPr>
      <w:rFonts w:eastAsia="黑体"/>
      <w:kern w:val="2"/>
      <w:sz w:val="28"/>
      <w:szCs w:val="22"/>
    </w:rPr>
  </w:style>
  <w:style w:type="paragraph" w:customStyle="1" w:styleId="116">
    <w:name w:val="表格文字"/>
    <w:basedOn w:val="1"/>
    <w:qFormat/>
    <w:uiPriority w:val="0"/>
    <w:pPr>
      <w:adjustRightInd/>
      <w:spacing w:line="240" w:lineRule="auto"/>
      <w:textAlignment w:val="auto"/>
    </w:pPr>
    <w:rPr>
      <w:kern w:val="2"/>
      <w:sz w:val="21"/>
      <w:szCs w:val="22"/>
    </w:rPr>
  </w:style>
  <w:style w:type="paragraph" w:customStyle="1" w:styleId="117">
    <w:name w:val="三级"/>
    <w:basedOn w:val="1"/>
    <w:next w:val="1"/>
    <w:qFormat/>
    <w:uiPriority w:val="0"/>
    <w:pPr>
      <w:adjustRightInd/>
      <w:spacing w:before="120" w:after="120" w:line="400" w:lineRule="exact"/>
      <w:jc w:val="both"/>
      <w:textAlignment w:val="auto"/>
      <w:outlineLvl w:val="3"/>
    </w:pPr>
    <w:rPr>
      <w:rFonts w:eastAsia="黑体"/>
      <w:kern w:val="2"/>
      <w:szCs w:val="22"/>
    </w:rPr>
  </w:style>
  <w:style w:type="paragraph" w:customStyle="1" w:styleId="118">
    <w:name w:val="章节"/>
    <w:basedOn w:val="1"/>
    <w:next w:val="1"/>
    <w:qFormat/>
    <w:uiPriority w:val="0"/>
    <w:pPr>
      <w:adjustRightInd/>
      <w:spacing w:before="600" w:after="600" w:line="400" w:lineRule="exact"/>
      <w:jc w:val="center"/>
      <w:textAlignment w:val="auto"/>
      <w:outlineLvl w:val="0"/>
    </w:pPr>
    <w:rPr>
      <w:rFonts w:eastAsia="黑体"/>
      <w:kern w:val="2"/>
      <w:sz w:val="30"/>
      <w:szCs w:val="22"/>
    </w:rPr>
  </w:style>
  <w:style w:type="paragraph" w:customStyle="1" w:styleId="119">
    <w:name w:val="二级"/>
    <w:basedOn w:val="1"/>
    <w:next w:val="1"/>
    <w:qFormat/>
    <w:uiPriority w:val="0"/>
    <w:pPr>
      <w:adjustRightInd/>
      <w:spacing w:before="240" w:after="240" w:line="400" w:lineRule="exact"/>
      <w:jc w:val="both"/>
      <w:textAlignment w:val="auto"/>
      <w:outlineLvl w:val="2"/>
    </w:pPr>
    <w:rPr>
      <w:rFonts w:eastAsia="黑体"/>
      <w:kern w:val="2"/>
      <w:sz w:val="28"/>
      <w:szCs w:val="22"/>
    </w:rPr>
  </w:style>
  <w:style w:type="paragraph" w:customStyle="1" w:styleId="120">
    <w:name w:val="图文"/>
    <w:basedOn w:val="1"/>
    <w:qFormat/>
    <w:uiPriority w:val="0"/>
    <w:pPr>
      <w:adjustRightInd/>
      <w:spacing w:before="120" w:line="400" w:lineRule="exact"/>
      <w:jc w:val="both"/>
      <w:textAlignment w:val="auto"/>
    </w:pPr>
    <w:rPr>
      <w:kern w:val="2"/>
      <w:sz w:val="21"/>
      <w:szCs w:val="22"/>
    </w:rPr>
  </w:style>
  <w:style w:type="paragraph" w:customStyle="1" w:styleId="121">
    <w:name w:val="表前正文"/>
    <w:basedOn w:val="114"/>
    <w:next w:val="1"/>
    <w:qFormat/>
    <w:uiPriority w:val="0"/>
    <w:pPr>
      <w:spacing w:after="100"/>
    </w:pPr>
  </w:style>
  <w:style w:type="paragraph" w:customStyle="1" w:styleId="122">
    <w:name w:val="四级"/>
    <w:basedOn w:val="117"/>
    <w:next w:val="1"/>
    <w:qFormat/>
    <w:uiPriority w:val="0"/>
    <w:pPr>
      <w:outlineLvl w:val="4"/>
    </w:pPr>
  </w:style>
  <w:style w:type="paragraph" w:customStyle="1" w:styleId="123">
    <w:name w:val="Char1"/>
    <w:basedOn w:val="1"/>
    <w:qFormat/>
    <w:uiPriority w:val="0"/>
    <w:pPr>
      <w:adjustRightInd/>
      <w:spacing w:line="240" w:lineRule="auto"/>
      <w:jc w:val="both"/>
      <w:textAlignment w:val="auto"/>
    </w:pPr>
    <w:rPr>
      <w:rFonts w:ascii="宋体" w:hAnsi="宋体"/>
      <w:i/>
      <w:kern w:val="2"/>
      <w:szCs w:val="24"/>
    </w:rPr>
  </w:style>
  <w:style w:type="paragraph" w:customStyle="1" w:styleId="124">
    <w:name w:val="样式 标题 2 + 段前: 0.3 行 + 段前: 0.4 行 段后: 0.4 行 + 段前: 0.4 行 段后:... + 段..."/>
    <w:basedOn w:val="1"/>
    <w:qFormat/>
    <w:uiPriority w:val="0"/>
    <w:pPr>
      <w:keepNext/>
      <w:keepLines/>
      <w:numPr>
        <w:ilvl w:val="1"/>
        <w:numId w:val="3"/>
      </w:numPr>
      <w:tabs>
        <w:tab w:val="left" w:pos="532"/>
      </w:tabs>
      <w:spacing w:beforeLines="40" w:afterLines="40" w:line="360" w:lineRule="auto"/>
      <w:jc w:val="both"/>
      <w:textAlignment w:val="auto"/>
      <w:outlineLvl w:val="1"/>
    </w:pPr>
    <w:rPr>
      <w:rFonts w:ascii="Arial" w:hAnsi="Arial" w:eastAsia="黑体" w:cs="宋体"/>
      <w:b/>
      <w:bCs/>
      <w:kern w:val="2"/>
      <w:sz w:val="30"/>
    </w:rPr>
  </w:style>
  <w:style w:type="paragraph" w:customStyle="1" w:styleId="125">
    <w:name w:val="样式 标题 1 + 段前: 0.3 行 + 段前: 0.5 行 段后: 0.5 行 + 段前: 0.5 行 段后: 0.3 行"/>
    <w:basedOn w:val="1"/>
    <w:qFormat/>
    <w:uiPriority w:val="0"/>
    <w:pPr>
      <w:keepNext/>
      <w:keepLines/>
      <w:tabs>
        <w:tab w:val="left" w:pos="0"/>
        <w:tab w:val="left" w:pos="252"/>
      </w:tabs>
      <w:adjustRightInd/>
      <w:spacing w:beforeLines="50" w:afterLines="30" w:line="360" w:lineRule="auto"/>
      <w:ind w:left="1680" w:hanging="420"/>
      <w:jc w:val="both"/>
      <w:textAlignment w:val="auto"/>
      <w:outlineLvl w:val="0"/>
    </w:pPr>
    <w:rPr>
      <w:rFonts w:cs="宋体"/>
      <w:b/>
      <w:bCs/>
      <w:kern w:val="44"/>
      <w:sz w:val="32"/>
    </w:rPr>
  </w:style>
  <w:style w:type="paragraph" w:customStyle="1" w:styleId="126">
    <w:name w:val="hc正文1.5"/>
    <w:basedOn w:val="1"/>
    <w:qFormat/>
    <w:uiPriority w:val="0"/>
    <w:pPr>
      <w:tabs>
        <w:tab w:val="left" w:pos="3265"/>
      </w:tabs>
      <w:adjustRightInd/>
      <w:spacing w:beforeLines="20" w:afterLines="20" w:line="460" w:lineRule="exact"/>
      <w:ind w:firstLine="480" w:firstLineChars="200"/>
      <w:jc w:val="both"/>
      <w:textAlignment w:val="auto"/>
    </w:pPr>
    <w:rPr>
      <w:rFonts w:ascii="宋体" w:hAnsi="宋体" w:cs="仿宋_GB2312"/>
      <w:szCs w:val="24"/>
    </w:rPr>
  </w:style>
  <w:style w:type="paragraph" w:customStyle="1" w:styleId="127">
    <w:name w:val="Table Paragraph"/>
    <w:basedOn w:val="1"/>
    <w:qFormat/>
    <w:uiPriority w:val="1"/>
    <w:pPr>
      <w:autoSpaceDE w:val="0"/>
      <w:autoSpaceDN w:val="0"/>
    </w:pPr>
    <w:rPr>
      <w:rFonts w:ascii="Times" w:hAnsi="Times"/>
    </w:rPr>
  </w:style>
  <w:style w:type="paragraph" w:customStyle="1" w:styleId="12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EEAF6"/>
      <w:adjustRightInd/>
      <w:spacing w:before="100" w:beforeAutospacing="1" w:after="100" w:afterAutospacing="1" w:line="240" w:lineRule="auto"/>
      <w:jc w:val="center"/>
      <w:textAlignment w:val="center"/>
    </w:pPr>
    <w:rPr>
      <w:rFonts w:ascii="宋体" w:hAnsi="宋体" w:cs="宋体"/>
      <w:b/>
      <w:bCs/>
      <w:color w:val="000000"/>
      <w:sz w:val="21"/>
      <w:szCs w:val="21"/>
    </w:rPr>
  </w:style>
  <w:style w:type="paragraph" w:customStyle="1" w:styleId="129">
    <w:name w:val="论文"/>
    <w:basedOn w:val="1"/>
    <w:qFormat/>
    <w:uiPriority w:val="0"/>
    <w:pPr>
      <w:adjustRightInd/>
      <w:spacing w:line="400" w:lineRule="exact"/>
      <w:jc w:val="both"/>
      <w:textAlignment w:val="auto"/>
    </w:pPr>
    <w:rPr>
      <w:kern w:val="2"/>
      <w:szCs w:val="22"/>
    </w:rPr>
  </w:style>
  <w:style w:type="paragraph" w:customStyle="1" w:styleId="130">
    <w:name w:val="文档正文"/>
    <w:basedOn w:val="1"/>
    <w:qFormat/>
    <w:uiPriority w:val="0"/>
    <w:pPr>
      <w:spacing w:line="312" w:lineRule="atLeast"/>
      <w:ind w:firstLine="567"/>
    </w:pPr>
    <w:rPr>
      <w:rFonts w:ascii="长城仿宋" w:eastAsia="长城仿宋"/>
      <w:sz w:val="28"/>
    </w:rPr>
  </w:style>
  <w:style w:type="paragraph" w:customStyle="1" w:styleId="131">
    <w:name w:val="正文2b"/>
    <w:basedOn w:val="1"/>
    <w:next w:val="1"/>
    <w:qFormat/>
    <w:uiPriority w:val="0"/>
    <w:pPr>
      <w:spacing w:line="360" w:lineRule="auto"/>
      <w:ind w:firstLine="200" w:firstLineChars="200"/>
    </w:pPr>
    <w:rPr>
      <w:rFonts w:ascii="仿宋_GB2312" w:hAnsi="Calibri" w:eastAsia="仿宋_GB2312"/>
      <w:szCs w:val="22"/>
    </w:rPr>
  </w:style>
  <w:style w:type="paragraph" w:customStyle="1" w:styleId="132">
    <w:name w:val="纯文本1"/>
    <w:basedOn w:val="1"/>
    <w:qFormat/>
    <w:uiPriority w:val="0"/>
    <w:rPr>
      <w:rFonts w:ascii="宋体" w:hAnsi="Courier New"/>
    </w:rPr>
  </w:style>
  <w:style w:type="character" w:customStyle="1" w:styleId="133">
    <w:name w:val="标题 1 字符"/>
    <w:link w:val="2"/>
    <w:qFormat/>
    <w:uiPriority w:val="0"/>
    <w:rPr>
      <w:rFonts w:eastAsia="宋体"/>
      <w:b/>
      <w:bCs/>
      <w:kern w:val="44"/>
      <w:sz w:val="44"/>
      <w:szCs w:val="44"/>
    </w:rPr>
  </w:style>
  <w:style w:type="character" w:customStyle="1" w:styleId="134">
    <w:name w:val="标题 2 字符"/>
    <w:link w:val="3"/>
    <w:qFormat/>
    <w:uiPriority w:val="0"/>
    <w:rPr>
      <w:rFonts w:ascii="Arial" w:hAnsi="Arial" w:eastAsia="黑体"/>
      <w:b/>
      <w:bCs/>
      <w:sz w:val="32"/>
      <w:szCs w:val="32"/>
    </w:rPr>
  </w:style>
  <w:style w:type="character" w:customStyle="1" w:styleId="135">
    <w:name w:val="标题 3 字符"/>
    <w:link w:val="4"/>
    <w:qFormat/>
    <w:uiPriority w:val="9"/>
    <w:rPr>
      <w:rFonts w:eastAsia="宋体"/>
      <w:b/>
      <w:bCs/>
      <w:sz w:val="32"/>
      <w:szCs w:val="32"/>
    </w:rPr>
  </w:style>
  <w:style w:type="character" w:customStyle="1" w:styleId="136">
    <w:name w:val="标题 4 字符"/>
    <w:link w:val="5"/>
    <w:qFormat/>
    <w:uiPriority w:val="9"/>
    <w:rPr>
      <w:rFonts w:ascii="Arial" w:hAnsi="Arial" w:eastAsia="黑体"/>
      <w:b/>
      <w:bCs/>
      <w:sz w:val="28"/>
      <w:szCs w:val="28"/>
    </w:rPr>
  </w:style>
  <w:style w:type="character" w:customStyle="1" w:styleId="137">
    <w:name w:val="标题 5 字符"/>
    <w:link w:val="6"/>
    <w:qFormat/>
    <w:uiPriority w:val="0"/>
    <w:rPr>
      <w:rFonts w:eastAsia="宋体"/>
      <w:b/>
      <w:bCs/>
      <w:sz w:val="28"/>
      <w:szCs w:val="28"/>
    </w:rPr>
  </w:style>
  <w:style w:type="character" w:customStyle="1" w:styleId="138">
    <w:name w:val="标题 6 字符"/>
    <w:link w:val="7"/>
    <w:qFormat/>
    <w:uiPriority w:val="0"/>
    <w:rPr>
      <w:rFonts w:ascii="Arial" w:hAnsi="Arial" w:eastAsia="黑体"/>
      <w:b/>
      <w:bCs/>
      <w:sz w:val="24"/>
      <w:szCs w:val="24"/>
    </w:rPr>
  </w:style>
  <w:style w:type="character" w:customStyle="1" w:styleId="139">
    <w:name w:val="标题 7 字符"/>
    <w:link w:val="8"/>
    <w:qFormat/>
    <w:uiPriority w:val="0"/>
    <w:rPr>
      <w:rFonts w:eastAsia="宋体"/>
      <w:b/>
      <w:bCs/>
      <w:sz w:val="24"/>
      <w:szCs w:val="24"/>
    </w:rPr>
  </w:style>
  <w:style w:type="character" w:customStyle="1" w:styleId="140">
    <w:name w:val="标题 8 字符"/>
    <w:link w:val="9"/>
    <w:qFormat/>
    <w:uiPriority w:val="0"/>
    <w:rPr>
      <w:rFonts w:ascii="Arial" w:hAnsi="Arial" w:eastAsia="黑体"/>
      <w:sz w:val="24"/>
      <w:szCs w:val="24"/>
    </w:rPr>
  </w:style>
  <w:style w:type="character" w:customStyle="1" w:styleId="141">
    <w:name w:val="标题 9 字符"/>
    <w:link w:val="10"/>
    <w:qFormat/>
    <w:uiPriority w:val="0"/>
    <w:rPr>
      <w:rFonts w:ascii="Arial" w:hAnsi="Arial" w:eastAsia="黑体"/>
      <w:sz w:val="21"/>
      <w:szCs w:val="21"/>
    </w:rPr>
  </w:style>
  <w:style w:type="character" w:customStyle="1" w:styleId="142">
    <w:name w:val="批注文字 字符"/>
    <w:link w:val="15"/>
    <w:qFormat/>
    <w:uiPriority w:val="0"/>
    <w:rPr>
      <w:rFonts w:eastAsia="宋体"/>
      <w:sz w:val="24"/>
    </w:rPr>
  </w:style>
  <w:style w:type="character" w:customStyle="1" w:styleId="143">
    <w:name w:val="批注主题 字符"/>
    <w:link w:val="39"/>
    <w:qFormat/>
    <w:uiPriority w:val="0"/>
    <w:rPr>
      <w:rFonts w:eastAsia="宋体"/>
      <w:b/>
      <w:bCs/>
      <w:kern w:val="2"/>
      <w:sz w:val="24"/>
    </w:rPr>
  </w:style>
  <w:style w:type="character" w:customStyle="1" w:styleId="144">
    <w:name w:val="正文文本 字符"/>
    <w:link w:val="17"/>
    <w:qFormat/>
    <w:uiPriority w:val="0"/>
    <w:rPr>
      <w:rFonts w:eastAsia="宋体"/>
      <w:kern w:val="2"/>
      <w:sz w:val="28"/>
    </w:rPr>
  </w:style>
  <w:style w:type="character" w:customStyle="1" w:styleId="145">
    <w:name w:val="正文首行缩进 字符"/>
    <w:link w:val="18"/>
    <w:qFormat/>
    <w:uiPriority w:val="0"/>
    <w:rPr>
      <w:rFonts w:eastAsia="宋体"/>
      <w:kern w:val="2"/>
      <w:sz w:val="21"/>
      <w:szCs w:val="24"/>
    </w:rPr>
  </w:style>
  <w:style w:type="character" w:customStyle="1" w:styleId="146">
    <w:name w:val="正文缩进 字符"/>
    <w:link w:val="12"/>
    <w:qFormat/>
    <w:uiPriority w:val="0"/>
    <w:rPr>
      <w:rFonts w:eastAsia="宋体"/>
      <w:sz w:val="24"/>
    </w:rPr>
  </w:style>
  <w:style w:type="character" w:customStyle="1" w:styleId="147">
    <w:name w:val="文档结构图 字符"/>
    <w:link w:val="14"/>
    <w:qFormat/>
    <w:uiPriority w:val="99"/>
    <w:rPr>
      <w:rFonts w:eastAsia="宋体"/>
      <w:sz w:val="24"/>
      <w:shd w:val="clear" w:color="auto" w:fill="000080"/>
    </w:rPr>
  </w:style>
  <w:style w:type="character" w:customStyle="1" w:styleId="148">
    <w:name w:val="称呼 字符"/>
    <w:link w:val="16"/>
    <w:qFormat/>
    <w:uiPriority w:val="0"/>
    <w:rPr>
      <w:rFonts w:ascii="方正仿宋_GBK" w:eastAsia="方正仿宋_GBK" w:cs="方正仿宋_GBK"/>
      <w:sz w:val="32"/>
      <w:szCs w:val="32"/>
      <w:lang w:val="en-US" w:eastAsia="zh-CN" w:bidi="ar-SA"/>
    </w:rPr>
  </w:style>
  <w:style w:type="character" w:customStyle="1" w:styleId="149">
    <w:name w:val="正文文本缩进 字符"/>
    <w:link w:val="20"/>
    <w:qFormat/>
    <w:uiPriority w:val="0"/>
    <w:rPr>
      <w:rFonts w:ascii="宋体" w:eastAsia="宋体"/>
      <w:sz w:val="24"/>
      <w:szCs w:val="21"/>
    </w:rPr>
  </w:style>
  <w:style w:type="character" w:customStyle="1" w:styleId="150">
    <w:name w:val="纯文本 字符"/>
    <w:link w:val="24"/>
    <w:qFormat/>
    <w:uiPriority w:val="0"/>
    <w:rPr>
      <w:rFonts w:ascii="宋体" w:eastAsia="宋体"/>
      <w:kern w:val="2"/>
      <w:sz w:val="21"/>
      <w:szCs w:val="21"/>
    </w:rPr>
  </w:style>
  <w:style w:type="character" w:customStyle="1" w:styleId="151">
    <w:name w:val="日期 字符"/>
    <w:link w:val="26"/>
    <w:qFormat/>
    <w:uiPriority w:val="0"/>
    <w:rPr>
      <w:rFonts w:eastAsia="宋体"/>
      <w:kern w:val="2"/>
      <w:sz w:val="21"/>
    </w:rPr>
  </w:style>
  <w:style w:type="character" w:customStyle="1" w:styleId="152">
    <w:name w:val="正文文本缩进 2 字符"/>
    <w:link w:val="27"/>
    <w:qFormat/>
    <w:uiPriority w:val="0"/>
    <w:rPr>
      <w:rFonts w:ascii="宋体" w:eastAsia="宋体"/>
      <w:sz w:val="24"/>
      <w:szCs w:val="21"/>
    </w:rPr>
  </w:style>
  <w:style w:type="character" w:customStyle="1" w:styleId="153">
    <w:name w:val="批注框文本 字符"/>
    <w:link w:val="28"/>
    <w:qFormat/>
    <w:uiPriority w:val="0"/>
    <w:rPr>
      <w:rFonts w:eastAsia="宋体"/>
      <w:sz w:val="18"/>
      <w:szCs w:val="18"/>
    </w:rPr>
  </w:style>
  <w:style w:type="character" w:customStyle="1" w:styleId="154">
    <w:name w:val="页脚 字符"/>
    <w:link w:val="29"/>
    <w:qFormat/>
    <w:uiPriority w:val="99"/>
    <w:rPr>
      <w:rFonts w:eastAsia="宋体"/>
      <w:sz w:val="18"/>
      <w:lang w:val="en-US" w:eastAsia="zh-CN" w:bidi="ar-SA"/>
    </w:rPr>
  </w:style>
  <w:style w:type="character" w:customStyle="1" w:styleId="155">
    <w:name w:val="页眉 字符"/>
    <w:link w:val="30"/>
    <w:qFormat/>
    <w:uiPriority w:val="99"/>
    <w:rPr>
      <w:rFonts w:eastAsia="宋体"/>
      <w:sz w:val="18"/>
    </w:rPr>
  </w:style>
  <w:style w:type="character" w:customStyle="1" w:styleId="156">
    <w:name w:val="正文文本缩进 3 字符"/>
    <w:link w:val="33"/>
    <w:qFormat/>
    <w:uiPriority w:val="0"/>
    <w:rPr>
      <w:rFonts w:eastAsia="宋体"/>
      <w:sz w:val="28"/>
    </w:rPr>
  </w:style>
  <w:style w:type="character" w:customStyle="1" w:styleId="157">
    <w:name w:val="正文文本 2 字符"/>
    <w:link w:val="36"/>
    <w:qFormat/>
    <w:uiPriority w:val="0"/>
    <w:rPr>
      <w:rFonts w:eastAsia="宋体"/>
      <w:sz w:val="24"/>
    </w:rPr>
  </w:style>
  <w:style w:type="character" w:customStyle="1" w:styleId="158">
    <w:name w:val="已访问的超链接1"/>
    <w:qFormat/>
    <w:uiPriority w:val="0"/>
    <w:rPr>
      <w:color w:val="800080"/>
      <w:u w:val="single"/>
    </w:rPr>
  </w:style>
  <w:style w:type="character" w:customStyle="1" w:styleId="159">
    <w:name w:val="批注文字 Char1"/>
    <w:qFormat/>
    <w:uiPriority w:val="0"/>
    <w:rPr>
      <w:rFonts w:eastAsia="宋体"/>
      <w:kern w:val="2"/>
      <w:sz w:val="21"/>
    </w:rPr>
  </w:style>
  <w:style w:type="character" w:customStyle="1" w:styleId="160">
    <w:name w:val="样式 标题 1 + (西文) 方正黑体_GBK (中文) 方正黑体_GBK (符号) 宋体 三号 非加粗 黑色"/>
    <w:qFormat/>
    <w:uiPriority w:val="0"/>
    <w:rPr>
      <w:rFonts w:ascii="方正黑体_GBK" w:eastAsia="方正黑体_GBK" w:cs="宋体"/>
      <w:color w:val="000000"/>
      <w:sz w:val="32"/>
      <w:szCs w:val="32"/>
      <w:lang w:val="zh-CN" w:eastAsia="zh-CN" w:bidi="ar-SA"/>
    </w:rPr>
  </w:style>
  <w:style w:type="character" w:customStyle="1" w:styleId="161">
    <w:name w:val="批注文字 Char2"/>
    <w:semiHidden/>
    <w:qFormat/>
    <w:uiPriority w:val="99"/>
    <w:rPr>
      <w:kern w:val="2"/>
      <w:sz w:val="21"/>
    </w:rPr>
  </w:style>
  <w:style w:type="character" w:customStyle="1" w:styleId="162">
    <w:name w:val="样式1 Char Char"/>
    <w:qFormat/>
    <w:uiPriority w:val="0"/>
    <w:rPr>
      <w:rFonts w:ascii="宋体" w:eastAsia="宋体"/>
      <w:sz w:val="21"/>
      <w:szCs w:val="21"/>
      <w:lang w:val="en-US" w:eastAsia="zh-CN" w:bidi="ar-SA"/>
    </w:rPr>
  </w:style>
  <w:style w:type="character" w:customStyle="1" w:styleId="163">
    <w:name w:val="标题 2 Char Char Char"/>
    <w:qFormat/>
    <w:uiPriority w:val="0"/>
    <w:rPr>
      <w:rFonts w:ascii="Arial" w:hAnsi="Arial" w:eastAsia="黑体"/>
      <w:b/>
      <w:bCs/>
      <w:kern w:val="2"/>
      <w:sz w:val="32"/>
      <w:szCs w:val="32"/>
      <w:lang w:val="en-US" w:eastAsia="zh-CN" w:bidi="ar-SA"/>
    </w:rPr>
  </w:style>
  <w:style w:type="character" w:customStyle="1" w:styleId="164">
    <w:name w:val="无间隔 Char"/>
    <w:link w:val="50"/>
    <w:qFormat/>
    <w:locked/>
    <w:uiPriority w:val="1"/>
    <w:rPr>
      <w:sz w:val="22"/>
      <w:szCs w:val="22"/>
      <w:lang w:val="en-US" w:eastAsia="zh-CN" w:bidi="ar-SA"/>
    </w:rPr>
  </w:style>
  <w:style w:type="character" w:customStyle="1" w:styleId="165">
    <w:name w:val="h3 Char"/>
    <w:qFormat/>
    <w:uiPriority w:val="0"/>
    <w:rPr>
      <w:rFonts w:eastAsia="宋体"/>
      <w:b/>
      <w:bCs/>
      <w:sz w:val="32"/>
      <w:szCs w:val="32"/>
      <w:lang w:val="en-US" w:eastAsia="zh-CN" w:bidi="ar-SA"/>
    </w:rPr>
  </w:style>
  <w:style w:type="character" w:customStyle="1" w:styleId="166">
    <w:name w:val="font01"/>
    <w:basedOn w:val="43"/>
    <w:qFormat/>
    <w:uiPriority w:val="0"/>
    <w:rPr>
      <w:rFonts w:hint="eastAsia" w:ascii="宋体" w:hAnsi="宋体" w:eastAsia="宋体" w:cs="宋体"/>
      <w:color w:val="000000"/>
      <w:sz w:val="22"/>
      <w:szCs w:val="22"/>
      <w:u w:val="none"/>
    </w:rPr>
  </w:style>
  <w:style w:type="character" w:customStyle="1" w:styleId="167">
    <w:name w:val="font101"/>
    <w:basedOn w:val="43"/>
    <w:qFormat/>
    <w:uiPriority w:val="0"/>
    <w:rPr>
      <w:rFonts w:hint="eastAsia" w:ascii="宋体" w:hAnsi="宋体" w:eastAsia="宋体" w:cs="宋体"/>
      <w:color w:val="000000"/>
      <w:sz w:val="22"/>
      <w:szCs w:val="22"/>
      <w:u w:val="none"/>
      <w:vertAlign w:val="superscript"/>
    </w:rPr>
  </w:style>
  <w:style w:type="character" w:customStyle="1" w:styleId="168">
    <w:name w:val="font31"/>
    <w:basedOn w:val="43"/>
    <w:qFormat/>
    <w:uiPriority w:val="0"/>
    <w:rPr>
      <w:rFonts w:hint="eastAsia" w:ascii="宋体" w:hAnsi="宋体" w:eastAsia="宋体" w:cs="宋体"/>
      <w:color w:val="000000"/>
      <w:sz w:val="22"/>
      <w:szCs w:val="22"/>
      <w:u w:val="none"/>
    </w:rPr>
  </w:style>
  <w:style w:type="character" w:customStyle="1" w:styleId="169">
    <w:name w:val="font21"/>
    <w:basedOn w:val="43"/>
    <w:qFormat/>
    <w:uiPriority w:val="0"/>
    <w:rPr>
      <w:rFonts w:hint="eastAsia" w:ascii="宋体" w:hAnsi="宋体" w:eastAsia="宋体" w:cs="宋体"/>
      <w:color w:val="000000"/>
      <w:sz w:val="22"/>
      <w:szCs w:val="22"/>
      <w:u w:val="none"/>
      <w:vertAlign w:val="superscript"/>
    </w:rPr>
  </w:style>
  <w:style w:type="character" w:customStyle="1" w:styleId="170">
    <w:name w:val="font91"/>
    <w:basedOn w:val="43"/>
    <w:qFormat/>
    <w:uiPriority w:val="0"/>
    <w:rPr>
      <w:rFonts w:hint="eastAsia" w:ascii="宋体" w:hAnsi="宋体" w:eastAsia="宋体" w:cs="宋体"/>
      <w:color w:val="000000"/>
      <w:sz w:val="22"/>
      <w:szCs w:val="22"/>
      <w:u w:val="none"/>
      <w:vertAlign w:val="superscript"/>
    </w:rPr>
  </w:style>
  <w:style w:type="character" w:customStyle="1" w:styleId="171">
    <w:name w:val="font81"/>
    <w:basedOn w:val="43"/>
    <w:qFormat/>
    <w:uiPriority w:val="0"/>
    <w:rPr>
      <w:rFonts w:hint="eastAsia" w:ascii="宋体" w:hAnsi="宋体" w:eastAsia="宋体" w:cs="宋体"/>
      <w:color w:val="000000"/>
      <w:sz w:val="20"/>
      <w:szCs w:val="20"/>
      <w:u w:val="none"/>
    </w:rPr>
  </w:style>
  <w:style w:type="character" w:customStyle="1" w:styleId="172">
    <w:name w:val="font11"/>
    <w:basedOn w:val="43"/>
    <w:qFormat/>
    <w:uiPriority w:val="0"/>
    <w:rPr>
      <w:rFonts w:hint="eastAsia" w:ascii="宋体" w:hAnsi="宋体" w:eastAsia="宋体" w:cs="宋体"/>
      <w:color w:val="000000"/>
      <w:sz w:val="20"/>
      <w:szCs w:val="20"/>
      <w:u w:val="none"/>
      <w:vertAlign w:val="superscript"/>
    </w:rPr>
  </w:style>
  <w:style w:type="character" w:customStyle="1" w:styleId="173">
    <w:name w:val="font13"/>
    <w:basedOn w:val="43"/>
    <w:qFormat/>
    <w:uiPriority w:val="0"/>
    <w:rPr>
      <w:rFonts w:hint="eastAsia" w:ascii="宋体" w:hAnsi="宋体" w:eastAsia="宋体" w:cs="宋体"/>
      <w:color w:val="000000"/>
      <w:sz w:val="20"/>
      <w:szCs w:val="20"/>
      <w:u w:val="none"/>
      <w:vertAlign w:val="superscript"/>
    </w:rPr>
  </w:style>
  <w:style w:type="character" w:customStyle="1" w:styleId="174">
    <w:name w:val="批注主题 Char1"/>
    <w:qFormat/>
    <w:uiPriority w:val="0"/>
    <w:rPr>
      <w:rFonts w:ascii="Times New Roman" w:hAnsi="Times New Roman" w:eastAsia="宋体" w:cs="Times New Roman"/>
      <w:szCs w:val="20"/>
    </w:rPr>
  </w:style>
  <w:style w:type="character" w:customStyle="1" w:styleId="175">
    <w:name w:val="标题 1 Char Char"/>
    <w:qFormat/>
    <w:uiPriority w:val="0"/>
    <w:rPr>
      <w:rFonts w:eastAsia="宋体"/>
      <w:b/>
      <w:spacing w:val="-2"/>
      <w:sz w:val="24"/>
      <w:lang w:val="en-US" w:eastAsia="zh-CN"/>
    </w:rPr>
  </w:style>
  <w:style w:type="paragraph" w:customStyle="1" w:styleId="176">
    <w:name w:val="列表段落2"/>
    <w:basedOn w:val="1"/>
    <w:qFormat/>
    <w:uiPriority w:val="34"/>
    <w:pPr>
      <w:ind w:firstLine="420" w:firstLineChars="200"/>
    </w:pPr>
  </w:style>
  <w:style w:type="paragraph" w:styleId="177">
    <w:name w:val="List Paragraph"/>
    <w:basedOn w:val="1"/>
    <w:qFormat/>
    <w:uiPriority w:val="34"/>
    <w:pPr>
      <w:ind w:firstLine="420" w:firstLineChars="200"/>
    </w:pPr>
  </w:style>
  <w:style w:type="character" w:customStyle="1" w:styleId="178">
    <w:name w:val="font41"/>
    <w:basedOn w:val="43"/>
    <w:qFormat/>
    <w:uiPriority w:val="0"/>
    <w:rPr>
      <w:rFonts w:hint="eastAsia" w:ascii="等线" w:hAnsi="等线" w:eastAsia="等线" w:cs="等线"/>
      <w:color w:val="000000"/>
      <w:sz w:val="22"/>
      <w:szCs w:val="22"/>
      <w:u w:val="none"/>
    </w:rPr>
  </w:style>
  <w:style w:type="character" w:customStyle="1" w:styleId="179">
    <w:name w:val="font51"/>
    <w:basedOn w:val="43"/>
    <w:qFormat/>
    <w:uiPriority w:val="0"/>
    <w:rPr>
      <w:rFonts w:ascii="等线 Light" w:hAnsi="等线 Light" w:eastAsia="等线 Light" w:cs="等线 Light"/>
      <w:color w:val="000000"/>
      <w:sz w:val="20"/>
      <w:szCs w:val="20"/>
      <w:u w:val="none"/>
      <w:vertAlign w:val="superscript"/>
    </w:rPr>
  </w:style>
  <w:style w:type="paragraph" w:customStyle="1" w:styleId="180">
    <w:name w:val="正文_0_0"/>
    <w:qFormat/>
    <w:uiPriority w:val="0"/>
    <w:rPr>
      <w:rFonts w:ascii="Times New Roman" w:hAnsi="Times New Roman" w:eastAsia="宋体" w:cs="Times New Roman"/>
      <w:lang w:val="en-US" w:eastAsia="zh-CN" w:bidi="ar-SA"/>
    </w:rPr>
  </w:style>
  <w:style w:type="paragraph" w:customStyle="1" w:styleId="18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2">
    <w:name w:val="正文_1_0_1"/>
    <w:qFormat/>
    <w:uiPriority w:val="0"/>
    <w:rPr>
      <w:rFonts w:ascii="Times New Roman" w:hAnsi="Times New Roman" w:eastAsia="宋体" w:cs="Times New Roman"/>
      <w:sz w:val="21"/>
      <w:lang w:val="en-US" w:eastAsia="zh-CN" w:bidi="ar-SA"/>
    </w:rPr>
  </w:style>
  <w:style w:type="paragraph" w:customStyle="1" w:styleId="183">
    <w:name w:val="正文_1_0_1_0"/>
    <w:qFormat/>
    <w:uiPriority w:val="0"/>
    <w:rPr>
      <w:rFonts w:ascii="Times New Roman" w:hAnsi="Times New Roman" w:eastAsia="宋体" w:cs="Times New Roman"/>
      <w:sz w:val="21"/>
      <w:lang w:val="en-US" w:eastAsia="zh-CN" w:bidi="ar-SA"/>
    </w:rPr>
  </w:style>
  <w:style w:type="paragraph" w:customStyle="1" w:styleId="184">
    <w:name w:val="正文文本缩进_0"/>
    <w:basedOn w:val="182"/>
    <w:qFormat/>
    <w:uiPriority w:val="0"/>
    <w:pPr>
      <w:spacing w:after="120"/>
      <w:ind w:left="420" w:leftChars="200"/>
    </w:pPr>
    <w:rPr>
      <w:rFonts w:ascii="Calibri" w:hAnsi="Calibri"/>
    </w:rPr>
  </w:style>
  <w:style w:type="paragraph" w:customStyle="1" w:styleId="185">
    <w:name w:val="正文_0_0_1"/>
    <w:qFormat/>
    <w:uiPriority w:val="0"/>
    <w:rPr>
      <w:rFonts w:ascii="Times New Roman" w:hAnsi="Times New Roman" w:eastAsia="宋体" w:cs="Times New Roman"/>
      <w:lang w:val="en-US" w:eastAsia="zh-CN" w:bidi="ar-SA"/>
    </w:rPr>
  </w:style>
  <w:style w:type="paragraph" w:customStyle="1" w:styleId="186">
    <w:name w:val="正文_0_0_0_1"/>
    <w:qFormat/>
    <w:uiPriority w:val="0"/>
    <w:rPr>
      <w:rFonts w:ascii="Times New Roman" w:hAnsi="Times New Roman" w:eastAsia="宋体" w:cs="Times New Roman"/>
      <w:sz w:val="21"/>
      <w:lang w:val="en-US" w:eastAsia="zh-CN" w:bidi="ar-SA"/>
    </w:rPr>
  </w:style>
  <w:style w:type="paragraph" w:customStyle="1" w:styleId="187">
    <w:name w:val="正文_0_0_0_0"/>
    <w:qFormat/>
    <w:uiPriority w:val="0"/>
    <w:rPr>
      <w:rFonts w:ascii="Times New Roman" w:hAnsi="Times New Roman" w:eastAsia="宋体" w:cs="Times New Roman"/>
      <w:sz w:val="21"/>
      <w:lang w:val="en-US" w:eastAsia="zh-CN" w:bidi="ar-SA"/>
    </w:rPr>
  </w:style>
  <w:style w:type="paragraph" w:customStyle="1" w:styleId="188">
    <w:name w:val="正文_1_1_0"/>
    <w:qFormat/>
    <w:uiPriority w:val="0"/>
    <w:rPr>
      <w:rFonts w:ascii="Times New Roman" w:hAnsi="Times New Roman" w:eastAsia="宋体" w:cs="Times New Roman"/>
      <w:sz w:val="21"/>
      <w:lang w:val="en-US" w:eastAsia="zh-CN" w:bidi="ar-SA"/>
    </w:rPr>
  </w:style>
  <w:style w:type="paragraph" w:customStyle="1" w:styleId="189">
    <w:name w:val="正文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正文_1_0_1_1"/>
    <w:qFormat/>
    <w:uiPriority w:val="0"/>
    <w:rPr>
      <w:rFonts w:ascii="Times New Roman" w:hAnsi="Times New Roman" w:eastAsia="宋体" w:cs="Times New Roman"/>
      <w:sz w:val="21"/>
      <w:lang w:val="en-US" w:eastAsia="zh-CN" w:bidi="ar-SA"/>
    </w:rPr>
  </w:style>
  <w:style w:type="paragraph" w:customStyle="1" w:styleId="193">
    <w:name w:val="正文_0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0_0_0"/>
    <w:qFormat/>
    <w:uiPriority w:val="0"/>
    <w:rPr>
      <w:rFonts w:ascii="Times New Roman" w:hAnsi="Times New Roman" w:eastAsia="宋体" w:cs="Times New Roman"/>
      <w:sz w:val="21"/>
      <w:lang w:val="en-US" w:eastAsia="zh-CN" w:bidi="ar-SA"/>
    </w:rPr>
  </w:style>
  <w:style w:type="paragraph" w:customStyle="1" w:styleId="196">
    <w:name w:val="正文_1_0"/>
    <w:qFormat/>
    <w:uiPriority w:val="0"/>
    <w:rPr>
      <w:rFonts w:ascii="Times New Roman" w:hAnsi="Times New Roman" w:eastAsia="宋体" w:cs="Times New Roman"/>
      <w:sz w:val="21"/>
      <w:lang w:val="en-US" w:eastAsia="zh-CN" w:bidi="ar-SA"/>
    </w:rPr>
  </w:style>
  <w:style w:type="paragraph" w:customStyle="1" w:styleId="197">
    <w:name w:val="正文_1_0_0"/>
    <w:qFormat/>
    <w:uiPriority w:val="0"/>
    <w:rPr>
      <w:rFonts w:ascii="Times New Roman" w:hAnsi="Times New Roman" w:eastAsia="宋体" w:cs="Times New Roman"/>
      <w:sz w:val="21"/>
      <w:lang w:val="en-US" w:eastAsia="zh-CN" w:bidi="ar-SA"/>
    </w:rPr>
  </w:style>
  <w:style w:type="paragraph" w:customStyle="1" w:styleId="198">
    <w:name w:val="标题 3_0"/>
    <w:basedOn w:val="191"/>
    <w:next w:val="191"/>
    <w:qFormat/>
    <w:uiPriority w:val="9"/>
    <w:pPr>
      <w:keepNext/>
      <w:keepLines/>
      <w:numPr>
        <w:ilvl w:val="2"/>
        <w:numId w:val="1"/>
      </w:numPr>
      <w:spacing w:before="260" w:after="260" w:line="416" w:lineRule="auto"/>
      <w:outlineLvl w:val="2"/>
    </w:pPr>
    <w:rPr>
      <w:b/>
      <w:bCs/>
      <w:kern w:val="0"/>
      <w:sz w:val="32"/>
      <w:szCs w:val="32"/>
    </w:rPr>
  </w:style>
  <w:style w:type="paragraph" w:customStyle="1" w:styleId="19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正文_0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1">
    <w:name w:val="要求正文"/>
    <w:basedOn w:val="1"/>
    <w:qFormat/>
    <w:uiPriority w:val="0"/>
    <w:pPr>
      <w:adjustRightInd/>
      <w:spacing w:line="400" w:lineRule="exact"/>
      <w:jc w:val="both"/>
      <w:textAlignment w:val="auto"/>
    </w:pPr>
    <w:rPr>
      <w:kern w:val="2"/>
      <w:szCs w:val="22"/>
    </w:rPr>
  </w:style>
  <w:style w:type="paragraph" w:customStyle="1" w:styleId="202">
    <w:name w:val="NormalIndent"/>
    <w:basedOn w:val="1"/>
    <w:next w:val="1"/>
    <w:qFormat/>
    <w:uiPriority w:val="0"/>
    <w:pPr>
      <w:ind w:firstLine="420"/>
      <w:jc w:val="both"/>
    </w:pPr>
    <w:rPr>
      <w:kern w:val="2"/>
      <w:sz w:val="21"/>
    </w:rPr>
  </w:style>
  <w:style w:type="paragraph" w:customStyle="1" w:styleId="203">
    <w:name w:val="普通正文"/>
    <w:basedOn w:val="1"/>
    <w:qFormat/>
    <w:uiPriority w:val="0"/>
    <w:pPr>
      <w:spacing w:before="120" w:after="120" w:line="360" w:lineRule="auto"/>
      <w:ind w:firstLine="480"/>
    </w:pPr>
    <w:rPr>
      <w:rFonts w:ascii="Arial" w:hAnsi="Arial"/>
      <w:szCs w:val="24"/>
    </w:rPr>
  </w:style>
  <w:style w:type="paragraph" w:customStyle="1" w:styleId="204">
    <w:name w:val="List Paragraph1"/>
    <w:basedOn w:val="1"/>
    <w:qFormat/>
    <w:uiPriority w:val="99"/>
    <w:pPr>
      <w:ind w:firstLine="420" w:firstLineChars="200"/>
    </w:pPr>
    <w:rPr>
      <w:rFonts w:ascii="等线" w:hAnsi="等线" w:eastAsia="等线" w:cs="宋体"/>
    </w:rPr>
  </w:style>
  <w:style w:type="table" w:customStyle="1" w:styleId="205">
    <w:name w:val="Table Normal"/>
    <w:unhideWhenUsed/>
    <w:qFormat/>
    <w:uiPriority w:val="0"/>
    <w:tblPr>
      <w:tblCellMar>
        <w:top w:w="0" w:type="dxa"/>
        <w:left w:w="0" w:type="dxa"/>
        <w:bottom w:w="0" w:type="dxa"/>
        <w:right w:w="0" w:type="dxa"/>
      </w:tblCellMar>
    </w:tblPr>
  </w:style>
  <w:style w:type="paragraph" w:customStyle="1" w:styleId="206">
    <w:name w:val="Table Text"/>
    <w:basedOn w:val="1"/>
    <w:qFormat/>
    <w:uiPriority w:val="0"/>
    <w:pPr>
      <w:widowControl/>
      <w:spacing w:before="60" w:after="60"/>
      <w:jc w:val="left"/>
    </w:pPr>
    <w:rPr>
      <w:kern w:val="0"/>
      <w:sz w:val="24"/>
    </w:rPr>
  </w:style>
  <w:style w:type="character" w:customStyle="1" w:styleId="207">
    <w:name w:val="font111"/>
    <w:basedOn w:val="43"/>
    <w:autoRedefine/>
    <w:qFormat/>
    <w:uiPriority w:val="0"/>
    <w:rPr>
      <w:rFonts w:hint="eastAsia" w:ascii="宋体" w:hAnsi="宋体" w:eastAsia="宋体" w:cs="宋体"/>
      <w:color w:val="000000"/>
      <w:sz w:val="20"/>
      <w:szCs w:val="20"/>
      <w:u w:val="none"/>
    </w:rPr>
  </w:style>
  <w:style w:type="character" w:customStyle="1" w:styleId="208">
    <w:name w:val="font61"/>
    <w:basedOn w:val="43"/>
    <w:qFormat/>
    <w:uiPriority w:val="0"/>
    <w:rPr>
      <w:rFonts w:hint="eastAsia" w:ascii="宋体" w:hAnsi="宋体" w:eastAsia="宋体" w:cs="宋体"/>
      <w:color w:val="000000"/>
      <w:sz w:val="20"/>
      <w:szCs w:val="20"/>
      <w:u w:val="none"/>
    </w:rPr>
  </w:style>
  <w:style w:type="character" w:customStyle="1" w:styleId="209">
    <w:name w:val="font132"/>
    <w:basedOn w:val="43"/>
    <w:qFormat/>
    <w:uiPriority w:val="0"/>
    <w:rPr>
      <w:rFonts w:hint="eastAsia" w:ascii="宋体" w:hAnsi="宋体" w:eastAsia="宋体" w:cs="宋体"/>
      <w:color w:val="000000"/>
      <w:sz w:val="20"/>
      <w:szCs w:val="20"/>
      <w:u w:val="none"/>
    </w:rPr>
  </w:style>
  <w:style w:type="character" w:customStyle="1" w:styleId="210">
    <w:name w:val="font71"/>
    <w:basedOn w:val="43"/>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NULL" TargetMode="External"/><Relationship Id="rId22" Type="http://schemas.openxmlformats.org/officeDocument/2006/relationships/image" Target="media/image2.jpe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142</Words>
  <Characters>164</Characters>
  <Lines>263</Lines>
  <Paragraphs>74</Paragraphs>
  <TotalTime>14</TotalTime>
  <ScaleCrop>false</ScaleCrop>
  <LinksUpToDate>false</LinksUpToDate>
  <CharactersWithSpaces>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2022-09-26T00:35:00Z</dcterms:created>
  <dc:creator>dell</dc:creator>
  <cp:lastModifiedBy>Administrator</cp:lastModifiedBy>
  <cp:lastPrinted>2023-07-10T08:49:00Z</cp:lastPrinted>
  <dcterms:modified xsi:type="dcterms:W3CDTF">2025-07-15T06:36:54Z</dcterms:modified>
  <dc:title>海关总署网络设备采购招标项目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5323BC945C6C4E66BEF73140ED1665F9_13</vt:lpwstr>
  </property>
  <property fmtid="{D5CDD505-2E9C-101B-9397-08002B2CF9AE}" pid="4" name="KSOTemplateDocerSaveRecord">
    <vt:lpwstr>eyJoZGlkIjoiNzRhNjcyOTM4MDI3ZTdlY2UzYTE3NDA4MjZjYmU5YTYifQ==</vt:lpwstr>
  </property>
</Properties>
</file>