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724C1B">
      <w:pPr>
        <w:pStyle w:val="80"/>
        <w:spacing w:line="276" w:lineRule="auto"/>
        <w:ind w:left="840" w:firstLine="0" w:firstLineChars="0"/>
        <w:rPr>
          <w:rFonts w:ascii="宋体"/>
          <w:color w:val="auto"/>
          <w:szCs w:val="21"/>
          <w:highlight w:val="none"/>
        </w:rPr>
      </w:pPr>
    </w:p>
    <w:p w14:paraId="3C9F9C75">
      <w:pPr>
        <w:spacing w:line="276" w:lineRule="auto"/>
        <w:rPr>
          <w:rFonts w:ascii="宋体"/>
          <w:color w:val="auto"/>
          <w:szCs w:val="21"/>
          <w:highlight w:val="none"/>
        </w:rPr>
      </w:pPr>
    </w:p>
    <w:p w14:paraId="09B1163A">
      <w:pPr>
        <w:spacing w:line="276" w:lineRule="auto"/>
        <w:rPr>
          <w:rFonts w:ascii="宋体"/>
          <w:color w:val="auto"/>
          <w:szCs w:val="21"/>
          <w:highlight w:val="none"/>
        </w:rPr>
      </w:pPr>
    </w:p>
    <w:p w14:paraId="39650F5A">
      <w:pPr>
        <w:spacing w:before="100" w:beforeAutospacing="1" w:after="100" w:afterAutospacing="1" w:line="276" w:lineRule="auto"/>
        <w:jc w:val="center"/>
        <w:rPr>
          <w:rFonts w:hint="eastAsia" w:eastAsia="宋体"/>
          <w:b/>
          <w:color w:val="auto"/>
          <w:sz w:val="52"/>
          <w:szCs w:val="52"/>
          <w:highlight w:val="none"/>
          <w:lang w:eastAsia="zh-CN"/>
        </w:rPr>
      </w:pPr>
      <w:r>
        <w:rPr>
          <w:rFonts w:hint="eastAsia" w:eastAsia="宋体"/>
          <w:b/>
          <w:color w:val="auto"/>
          <w:sz w:val="52"/>
          <w:szCs w:val="52"/>
          <w:highlight w:val="none"/>
          <w:lang w:eastAsia="zh-CN"/>
        </w:rPr>
        <w:t>宁波高新区求精书院理化生实验室</w:t>
      </w:r>
    </w:p>
    <w:p w14:paraId="3F05491A">
      <w:pPr>
        <w:spacing w:before="100" w:beforeAutospacing="1" w:after="100" w:afterAutospacing="1" w:line="276" w:lineRule="auto"/>
        <w:jc w:val="center"/>
        <w:rPr>
          <w:rFonts w:hint="eastAsia" w:eastAsia="宋体"/>
          <w:b/>
          <w:color w:val="auto"/>
          <w:sz w:val="52"/>
          <w:szCs w:val="52"/>
          <w:highlight w:val="none"/>
          <w:lang w:eastAsia="zh-CN"/>
        </w:rPr>
      </w:pPr>
      <w:r>
        <w:rPr>
          <w:rFonts w:hint="eastAsia" w:eastAsia="宋体"/>
          <w:b/>
          <w:color w:val="auto"/>
          <w:sz w:val="52"/>
          <w:szCs w:val="52"/>
          <w:highlight w:val="none"/>
          <w:lang w:eastAsia="zh-CN"/>
        </w:rPr>
        <w:t>（初中部）设施设备采购项目（二期）</w:t>
      </w:r>
    </w:p>
    <w:p w14:paraId="1CB3C91C">
      <w:pPr>
        <w:spacing w:line="276" w:lineRule="auto"/>
        <w:jc w:val="center"/>
        <w:rPr>
          <w:rFonts w:ascii="宋体"/>
          <w:b/>
          <w:bCs/>
          <w:color w:val="auto"/>
          <w:sz w:val="48"/>
          <w:szCs w:val="48"/>
          <w:highlight w:val="none"/>
        </w:rPr>
      </w:pPr>
    </w:p>
    <w:p w14:paraId="2A01CF24">
      <w:pPr>
        <w:spacing w:line="276" w:lineRule="auto"/>
        <w:jc w:val="center"/>
        <w:rPr>
          <w:rFonts w:ascii="宋体"/>
          <w:b/>
          <w:bCs/>
          <w:color w:val="auto"/>
          <w:sz w:val="44"/>
          <w:szCs w:val="44"/>
          <w:highlight w:val="none"/>
        </w:rPr>
      </w:pPr>
    </w:p>
    <w:p w14:paraId="737CEE5D">
      <w:pPr>
        <w:spacing w:line="276" w:lineRule="auto"/>
        <w:jc w:val="center"/>
        <w:rPr>
          <w:rFonts w:ascii="宋体"/>
          <w:b/>
          <w:bCs/>
          <w:color w:val="auto"/>
          <w:sz w:val="44"/>
          <w:szCs w:val="44"/>
          <w:highlight w:val="none"/>
          <w:shd w:val="clear" w:color="FFFFFF" w:fill="D9D9D9"/>
        </w:rPr>
      </w:pPr>
    </w:p>
    <w:p w14:paraId="5757FD66">
      <w:pPr>
        <w:spacing w:line="276" w:lineRule="auto"/>
        <w:jc w:val="center"/>
        <w:rPr>
          <w:rFonts w:ascii="宋体"/>
          <w:b/>
          <w:color w:val="auto"/>
          <w:sz w:val="72"/>
          <w:szCs w:val="72"/>
          <w:highlight w:val="none"/>
        </w:rPr>
      </w:pPr>
      <w:r>
        <w:rPr>
          <w:rFonts w:hint="eastAsia" w:ascii="宋体"/>
          <w:b/>
          <w:bCs/>
          <w:color w:val="auto"/>
          <w:sz w:val="72"/>
          <w:szCs w:val="72"/>
          <w:highlight w:val="none"/>
        </w:rPr>
        <w:t>政府采购招标文件</w:t>
      </w:r>
      <w:r>
        <w:rPr>
          <w:rFonts w:hint="eastAsia" w:ascii="宋体"/>
          <w:b/>
          <w:bCs/>
          <w:color w:val="auto"/>
          <w:sz w:val="72"/>
          <w:szCs w:val="72"/>
          <w:highlight w:val="none"/>
        </w:rPr>
        <w:tab/>
      </w:r>
    </w:p>
    <w:p w14:paraId="0040E266">
      <w:pPr>
        <w:spacing w:line="276" w:lineRule="auto"/>
        <w:ind w:firstLine="600"/>
        <w:jc w:val="both"/>
        <w:rPr>
          <w:rFonts w:ascii="宋体"/>
          <w:b/>
          <w:bCs/>
          <w:color w:val="auto"/>
          <w:sz w:val="30"/>
          <w:highlight w:val="none"/>
        </w:rPr>
      </w:pPr>
    </w:p>
    <w:p w14:paraId="5A140133">
      <w:pPr>
        <w:spacing w:line="276" w:lineRule="auto"/>
        <w:ind w:firstLine="600"/>
        <w:jc w:val="both"/>
        <w:rPr>
          <w:rFonts w:ascii="宋体"/>
          <w:b/>
          <w:bCs/>
          <w:color w:val="auto"/>
          <w:sz w:val="30"/>
          <w:highlight w:val="none"/>
        </w:rPr>
      </w:pPr>
    </w:p>
    <w:p w14:paraId="48B2D65F">
      <w:pPr>
        <w:spacing w:line="276" w:lineRule="auto"/>
        <w:jc w:val="center"/>
        <w:rPr>
          <w:rFonts w:hint="eastAsia" w:ascii="宋体" w:eastAsia="宋体"/>
          <w:b/>
          <w:bCs/>
          <w:color w:val="auto"/>
          <w:sz w:val="30"/>
          <w:highlight w:val="none"/>
          <w:u w:val="single"/>
          <w:lang w:eastAsia="zh-CN"/>
        </w:rPr>
      </w:pPr>
      <w:r>
        <w:rPr>
          <w:rFonts w:hint="eastAsia" w:ascii="宋体"/>
          <w:b/>
          <w:bCs/>
          <w:color w:val="auto"/>
          <w:sz w:val="30"/>
          <w:highlight w:val="none"/>
        </w:rPr>
        <w:t>招标编号：</w:t>
      </w:r>
      <w:r>
        <w:rPr>
          <w:rFonts w:hint="eastAsia" w:ascii="宋体"/>
          <w:b/>
          <w:bCs/>
          <w:color w:val="auto"/>
          <w:sz w:val="30"/>
          <w:highlight w:val="none"/>
          <w:u w:val="single"/>
          <w:lang w:eastAsia="zh-CN"/>
        </w:rPr>
        <w:t>NBITC-202530765G</w:t>
      </w:r>
    </w:p>
    <w:p w14:paraId="713FBF8A">
      <w:pPr>
        <w:spacing w:line="276" w:lineRule="auto"/>
        <w:ind w:firstLine="600"/>
        <w:rPr>
          <w:rFonts w:ascii="宋体"/>
          <w:color w:val="auto"/>
          <w:highlight w:val="none"/>
        </w:rPr>
      </w:pPr>
    </w:p>
    <w:p w14:paraId="18E263A4">
      <w:pPr>
        <w:spacing w:line="276" w:lineRule="auto"/>
        <w:ind w:firstLine="600"/>
        <w:rPr>
          <w:rFonts w:ascii="宋体"/>
          <w:color w:val="auto"/>
          <w:highlight w:val="none"/>
        </w:rPr>
      </w:pPr>
    </w:p>
    <w:p w14:paraId="02FEE817">
      <w:pPr>
        <w:spacing w:line="276" w:lineRule="auto"/>
        <w:ind w:firstLine="600"/>
        <w:rPr>
          <w:rFonts w:ascii="宋体"/>
          <w:color w:val="auto"/>
          <w:highlight w:val="none"/>
        </w:rPr>
      </w:pPr>
    </w:p>
    <w:p w14:paraId="010C7C3A">
      <w:pPr>
        <w:spacing w:line="276" w:lineRule="auto"/>
        <w:ind w:firstLine="600"/>
        <w:rPr>
          <w:rFonts w:ascii="宋体"/>
          <w:color w:val="auto"/>
          <w:highlight w:val="none"/>
        </w:rPr>
      </w:pPr>
    </w:p>
    <w:p w14:paraId="65E07BD2">
      <w:pPr>
        <w:pStyle w:val="52"/>
        <w:numPr>
          <w:ilvl w:val="0"/>
          <w:numId w:val="0"/>
        </w:numPr>
        <w:ind w:left="2100"/>
        <w:rPr>
          <w:color w:val="auto"/>
          <w:highlight w:val="none"/>
        </w:rPr>
      </w:pPr>
    </w:p>
    <w:p w14:paraId="73AF1490">
      <w:pPr>
        <w:rPr>
          <w:color w:val="auto"/>
          <w:highlight w:val="none"/>
        </w:rPr>
      </w:pPr>
    </w:p>
    <w:p w14:paraId="017F2E00">
      <w:pPr>
        <w:spacing w:line="276" w:lineRule="auto"/>
        <w:ind w:firstLine="600"/>
        <w:rPr>
          <w:rFonts w:hint="eastAsia" w:ascii="宋体" w:eastAsia="宋体"/>
          <w:b/>
          <w:bCs/>
          <w:color w:val="auto"/>
          <w:sz w:val="30"/>
          <w:highlight w:val="none"/>
          <w:lang w:eastAsia="zh-CN"/>
        </w:rPr>
      </w:pPr>
      <w:r>
        <w:rPr>
          <w:rFonts w:hint="eastAsia" w:ascii="宋体"/>
          <w:b/>
          <w:bCs/>
          <w:color w:val="auto"/>
          <w:sz w:val="30"/>
          <w:highlight w:val="none"/>
        </w:rPr>
        <w:t>招标人：</w:t>
      </w:r>
      <w:r>
        <w:rPr>
          <w:rFonts w:hint="eastAsia" w:ascii="宋体"/>
          <w:b/>
          <w:bCs/>
          <w:color w:val="auto"/>
          <w:sz w:val="30"/>
          <w:highlight w:val="none"/>
          <w:lang w:eastAsia="zh-CN"/>
        </w:rPr>
        <w:t>宁波高新区求精书院</w:t>
      </w:r>
    </w:p>
    <w:p w14:paraId="39FD1BB7">
      <w:pPr>
        <w:spacing w:line="276" w:lineRule="auto"/>
        <w:ind w:firstLine="600"/>
        <w:rPr>
          <w:rFonts w:ascii="宋体"/>
          <w:b/>
          <w:bCs/>
          <w:color w:val="auto"/>
          <w:sz w:val="30"/>
          <w:highlight w:val="none"/>
        </w:rPr>
      </w:pPr>
    </w:p>
    <w:p w14:paraId="695B9A1A">
      <w:pPr>
        <w:spacing w:line="276" w:lineRule="auto"/>
        <w:ind w:firstLine="602" w:firstLineChars="200"/>
        <w:rPr>
          <w:rFonts w:ascii="宋体"/>
          <w:b/>
          <w:bCs/>
          <w:color w:val="auto"/>
          <w:sz w:val="30"/>
          <w:highlight w:val="none"/>
        </w:rPr>
      </w:pPr>
      <w:r>
        <w:rPr>
          <w:rFonts w:hint="eastAsia" w:ascii="宋体"/>
          <w:b/>
          <w:bCs/>
          <w:color w:val="auto"/>
          <w:sz w:val="30"/>
          <w:highlight w:val="none"/>
        </w:rPr>
        <w:t>招标代理机构：宁波市国际招标有限公司</w:t>
      </w:r>
    </w:p>
    <w:p w14:paraId="748294C6">
      <w:pPr>
        <w:spacing w:line="276" w:lineRule="auto"/>
        <w:rPr>
          <w:rFonts w:ascii="宋体"/>
          <w:b/>
          <w:bCs/>
          <w:color w:val="auto"/>
          <w:sz w:val="30"/>
          <w:highlight w:val="none"/>
        </w:rPr>
      </w:pPr>
    </w:p>
    <w:p w14:paraId="192CFA25">
      <w:pPr>
        <w:spacing w:line="276" w:lineRule="auto"/>
        <w:ind w:firstLine="596" w:firstLineChars="198"/>
        <w:rPr>
          <w:rFonts w:ascii="方正小标宋_GBK" w:eastAsia="方正小标宋_GBK"/>
          <w:color w:val="auto"/>
          <w:sz w:val="36"/>
          <w:szCs w:val="36"/>
          <w:highlight w:val="none"/>
        </w:rPr>
      </w:pPr>
      <w:r>
        <w:rPr>
          <w:rFonts w:hint="eastAsia" w:ascii="宋体"/>
          <w:b/>
          <w:bCs/>
          <w:color w:val="auto"/>
          <w:sz w:val="30"/>
          <w:highlight w:val="none"/>
        </w:rPr>
        <w:t>编制日期：</w:t>
      </w:r>
      <w:r>
        <w:rPr>
          <w:rFonts w:hint="eastAsia" w:ascii="宋体"/>
          <w:b/>
          <w:bCs/>
          <w:color w:val="auto"/>
          <w:sz w:val="30"/>
          <w:highlight w:val="none"/>
          <w:lang w:eastAsia="zh-CN"/>
        </w:rPr>
        <w:t>2025年</w:t>
      </w:r>
      <w:r>
        <w:rPr>
          <w:rFonts w:hint="eastAsia" w:ascii="宋体"/>
          <w:b/>
          <w:bCs/>
          <w:color w:val="auto"/>
          <w:sz w:val="30"/>
          <w:highlight w:val="none"/>
          <w:lang w:val="en-US" w:eastAsia="zh-CN"/>
        </w:rPr>
        <w:t>7</w:t>
      </w:r>
      <w:r>
        <w:rPr>
          <w:rFonts w:hint="eastAsia" w:ascii="宋体"/>
          <w:b/>
          <w:bCs/>
          <w:color w:val="auto"/>
          <w:sz w:val="30"/>
          <w:highlight w:val="none"/>
        </w:rPr>
        <w:t>月</w:t>
      </w:r>
    </w:p>
    <w:p w14:paraId="3CC3099A">
      <w:pPr>
        <w:spacing w:line="276" w:lineRule="auto"/>
        <w:jc w:val="center"/>
        <w:rPr>
          <w:rFonts w:ascii="宋体"/>
          <w:color w:val="auto"/>
          <w:sz w:val="30"/>
          <w:highlight w:val="none"/>
        </w:rPr>
      </w:pPr>
      <w:bookmarkStart w:id="0" w:name="_Toc241827233"/>
      <w:bookmarkStart w:id="1" w:name="_Toc241827234"/>
      <w:bookmarkStart w:id="2" w:name="_Toc86202580"/>
    </w:p>
    <w:p w14:paraId="48FA8D4C">
      <w:pPr>
        <w:spacing w:line="276" w:lineRule="auto"/>
        <w:jc w:val="center"/>
        <w:rPr>
          <w:rFonts w:ascii="宋体"/>
          <w:color w:val="auto"/>
          <w:sz w:val="30"/>
          <w:highlight w:val="none"/>
        </w:rPr>
      </w:pPr>
    </w:p>
    <w:p w14:paraId="693E9136">
      <w:pPr>
        <w:spacing w:line="276" w:lineRule="auto"/>
        <w:jc w:val="center"/>
        <w:rPr>
          <w:b/>
          <w:color w:val="auto"/>
          <w:highlight w:val="none"/>
        </w:rPr>
      </w:pPr>
    </w:p>
    <w:p w14:paraId="79D09765">
      <w:pPr>
        <w:spacing w:line="276" w:lineRule="auto"/>
        <w:jc w:val="center"/>
        <w:rPr>
          <w:b/>
          <w:color w:val="auto"/>
          <w:highlight w:val="none"/>
        </w:rPr>
      </w:pPr>
      <w:r>
        <w:rPr>
          <w:b/>
          <w:color w:val="auto"/>
          <w:highlight w:val="none"/>
        </w:rPr>
        <w:br w:type="page"/>
      </w:r>
    </w:p>
    <w:p w14:paraId="611E59A5">
      <w:pPr>
        <w:spacing w:line="276" w:lineRule="auto"/>
        <w:jc w:val="center"/>
        <w:rPr>
          <w:b/>
          <w:color w:val="auto"/>
          <w:highlight w:val="none"/>
        </w:rPr>
      </w:pPr>
    </w:p>
    <w:p w14:paraId="231B4EB7">
      <w:pPr>
        <w:spacing w:line="276" w:lineRule="auto"/>
        <w:jc w:val="center"/>
        <w:rPr>
          <w:b/>
          <w:color w:val="auto"/>
          <w:sz w:val="44"/>
          <w:szCs w:val="44"/>
          <w:highlight w:val="none"/>
        </w:rPr>
      </w:pPr>
    </w:p>
    <w:p w14:paraId="4198035C">
      <w:pPr>
        <w:spacing w:line="276" w:lineRule="auto"/>
        <w:jc w:val="center"/>
        <w:rPr>
          <w:b/>
          <w:color w:val="auto"/>
          <w:sz w:val="44"/>
          <w:szCs w:val="44"/>
          <w:highlight w:val="none"/>
        </w:rPr>
      </w:pPr>
      <w:r>
        <w:rPr>
          <w:rFonts w:hint="eastAsia"/>
          <w:b/>
          <w:color w:val="auto"/>
          <w:sz w:val="44"/>
          <w:szCs w:val="44"/>
          <w:highlight w:val="none"/>
        </w:rPr>
        <w:t>目    录</w:t>
      </w:r>
    </w:p>
    <w:p w14:paraId="60894BB7">
      <w:pPr>
        <w:pStyle w:val="17"/>
        <w:rPr>
          <w:color w:val="auto"/>
          <w:highlight w:val="none"/>
        </w:rPr>
      </w:pPr>
    </w:p>
    <w:p w14:paraId="18F103CC">
      <w:pPr>
        <w:pStyle w:val="35"/>
        <w:tabs>
          <w:tab w:val="right" w:leader="dot" w:pos="8900"/>
        </w:tabs>
        <w:rPr>
          <w:color w:val="auto"/>
          <w:sz w:val="30"/>
          <w:szCs w:val="30"/>
          <w:highlight w:val="none"/>
        </w:rPr>
      </w:pPr>
      <w:r>
        <w:rPr>
          <w:rFonts w:hint="eastAsia" w:ascii="宋体" w:hAnsi="宋体" w:cs="宋体"/>
          <w:color w:val="auto"/>
          <w:sz w:val="30"/>
          <w:szCs w:val="30"/>
          <w:highlight w:val="none"/>
        </w:rPr>
        <w:fldChar w:fldCharType="begin"/>
      </w:r>
      <w:r>
        <w:rPr>
          <w:rStyle w:val="47"/>
          <w:rFonts w:hint="eastAsia" w:ascii="宋体" w:hAnsi="宋体" w:cs="宋体"/>
          <w:color w:val="auto"/>
          <w:sz w:val="30"/>
          <w:szCs w:val="30"/>
          <w:highlight w:val="none"/>
        </w:rPr>
        <w:instrText xml:space="preserve"> TOC \o "1-2" \h \z \u </w:instrText>
      </w:r>
      <w:r>
        <w:rPr>
          <w:rFonts w:hint="eastAsia" w:ascii="宋体" w:hAnsi="宋体" w:cs="宋体"/>
          <w:color w:val="auto"/>
          <w:sz w:val="30"/>
          <w:szCs w:val="30"/>
          <w:highlight w:val="none"/>
        </w:rPr>
        <w:fldChar w:fldCharType="separate"/>
      </w:r>
      <w:r>
        <w:rPr>
          <w:color w:val="auto"/>
          <w:highlight w:val="none"/>
        </w:rPr>
        <w:fldChar w:fldCharType="begin"/>
      </w:r>
      <w:r>
        <w:rPr>
          <w:color w:val="auto"/>
          <w:highlight w:val="none"/>
        </w:rPr>
        <w:instrText xml:space="preserve"> HYPERLINK \l "_Toc27131" </w:instrText>
      </w:r>
      <w:r>
        <w:rPr>
          <w:color w:val="auto"/>
          <w:highlight w:val="none"/>
        </w:rPr>
        <w:fldChar w:fldCharType="separate"/>
      </w:r>
      <w:r>
        <w:rPr>
          <w:rFonts w:hint="eastAsia"/>
          <w:color w:val="auto"/>
          <w:sz w:val="30"/>
          <w:szCs w:val="30"/>
          <w:highlight w:val="none"/>
        </w:rPr>
        <w:t>第一章  采购公告</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_Toc27131 \h </w:instrText>
      </w:r>
      <w:r>
        <w:rPr>
          <w:color w:val="auto"/>
          <w:sz w:val="30"/>
          <w:szCs w:val="30"/>
          <w:highlight w:val="none"/>
        </w:rPr>
        <w:fldChar w:fldCharType="separate"/>
      </w:r>
      <w:r>
        <w:rPr>
          <w:color w:val="auto"/>
          <w:sz w:val="30"/>
          <w:szCs w:val="30"/>
          <w:highlight w:val="none"/>
        </w:rPr>
        <w:t>1</w:t>
      </w:r>
      <w:r>
        <w:rPr>
          <w:color w:val="auto"/>
          <w:sz w:val="30"/>
          <w:szCs w:val="30"/>
          <w:highlight w:val="none"/>
        </w:rPr>
        <w:fldChar w:fldCharType="end"/>
      </w:r>
      <w:r>
        <w:rPr>
          <w:color w:val="auto"/>
          <w:sz w:val="30"/>
          <w:szCs w:val="30"/>
          <w:highlight w:val="none"/>
        </w:rPr>
        <w:fldChar w:fldCharType="end"/>
      </w:r>
    </w:p>
    <w:p w14:paraId="1069D211">
      <w:pPr>
        <w:pStyle w:val="35"/>
        <w:tabs>
          <w:tab w:val="right" w:leader="dot" w:pos="8900"/>
        </w:tabs>
        <w:rPr>
          <w:color w:val="auto"/>
          <w:sz w:val="30"/>
          <w:szCs w:val="30"/>
          <w:highlight w:val="none"/>
        </w:rPr>
      </w:pPr>
      <w:r>
        <w:rPr>
          <w:color w:val="auto"/>
          <w:highlight w:val="none"/>
        </w:rPr>
        <w:fldChar w:fldCharType="begin"/>
      </w:r>
      <w:r>
        <w:rPr>
          <w:color w:val="auto"/>
          <w:highlight w:val="none"/>
        </w:rPr>
        <w:instrText xml:space="preserve"> HYPERLINK \l "_Toc13272" </w:instrText>
      </w:r>
      <w:r>
        <w:rPr>
          <w:color w:val="auto"/>
          <w:highlight w:val="none"/>
        </w:rPr>
        <w:fldChar w:fldCharType="separate"/>
      </w:r>
      <w:r>
        <w:rPr>
          <w:rFonts w:hint="eastAsia"/>
          <w:color w:val="auto"/>
          <w:sz w:val="30"/>
          <w:szCs w:val="30"/>
          <w:highlight w:val="none"/>
        </w:rPr>
        <w:t>第二章  投标人须知</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_Toc13272 \h </w:instrText>
      </w:r>
      <w:r>
        <w:rPr>
          <w:color w:val="auto"/>
          <w:sz w:val="30"/>
          <w:szCs w:val="30"/>
          <w:highlight w:val="none"/>
        </w:rPr>
        <w:fldChar w:fldCharType="separate"/>
      </w:r>
      <w:r>
        <w:rPr>
          <w:color w:val="auto"/>
          <w:sz w:val="30"/>
          <w:szCs w:val="30"/>
          <w:highlight w:val="none"/>
        </w:rPr>
        <w:t>6</w:t>
      </w:r>
      <w:r>
        <w:rPr>
          <w:color w:val="auto"/>
          <w:sz w:val="30"/>
          <w:szCs w:val="30"/>
          <w:highlight w:val="none"/>
        </w:rPr>
        <w:fldChar w:fldCharType="end"/>
      </w:r>
      <w:r>
        <w:rPr>
          <w:color w:val="auto"/>
          <w:sz w:val="30"/>
          <w:szCs w:val="30"/>
          <w:highlight w:val="none"/>
        </w:rPr>
        <w:fldChar w:fldCharType="end"/>
      </w:r>
    </w:p>
    <w:p w14:paraId="04435408">
      <w:pPr>
        <w:pStyle w:val="35"/>
        <w:tabs>
          <w:tab w:val="right" w:leader="dot" w:pos="8900"/>
        </w:tabs>
        <w:rPr>
          <w:color w:val="auto"/>
          <w:sz w:val="30"/>
          <w:szCs w:val="30"/>
          <w:highlight w:val="none"/>
        </w:rPr>
      </w:pPr>
      <w:r>
        <w:rPr>
          <w:color w:val="auto"/>
          <w:highlight w:val="none"/>
        </w:rPr>
        <w:fldChar w:fldCharType="begin"/>
      </w:r>
      <w:r>
        <w:rPr>
          <w:color w:val="auto"/>
          <w:highlight w:val="none"/>
        </w:rPr>
        <w:instrText xml:space="preserve"> HYPERLINK \l "_Toc21453" </w:instrText>
      </w:r>
      <w:r>
        <w:rPr>
          <w:color w:val="auto"/>
          <w:highlight w:val="none"/>
        </w:rPr>
        <w:fldChar w:fldCharType="separate"/>
      </w:r>
      <w:r>
        <w:rPr>
          <w:rFonts w:hint="eastAsia"/>
          <w:color w:val="auto"/>
          <w:sz w:val="30"/>
          <w:szCs w:val="30"/>
          <w:highlight w:val="none"/>
        </w:rPr>
        <w:t>第三章  合同主要条款</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_Toc21453 \h </w:instrText>
      </w:r>
      <w:r>
        <w:rPr>
          <w:color w:val="auto"/>
          <w:sz w:val="30"/>
          <w:szCs w:val="30"/>
          <w:highlight w:val="none"/>
        </w:rPr>
        <w:fldChar w:fldCharType="separate"/>
      </w:r>
      <w:r>
        <w:rPr>
          <w:color w:val="auto"/>
          <w:sz w:val="30"/>
          <w:szCs w:val="30"/>
          <w:highlight w:val="none"/>
        </w:rPr>
        <w:t>21</w:t>
      </w:r>
      <w:r>
        <w:rPr>
          <w:color w:val="auto"/>
          <w:sz w:val="30"/>
          <w:szCs w:val="30"/>
          <w:highlight w:val="none"/>
        </w:rPr>
        <w:fldChar w:fldCharType="end"/>
      </w:r>
      <w:r>
        <w:rPr>
          <w:color w:val="auto"/>
          <w:sz w:val="30"/>
          <w:szCs w:val="30"/>
          <w:highlight w:val="none"/>
        </w:rPr>
        <w:fldChar w:fldCharType="end"/>
      </w:r>
    </w:p>
    <w:p w14:paraId="14782207">
      <w:pPr>
        <w:pStyle w:val="35"/>
        <w:tabs>
          <w:tab w:val="right" w:leader="dot" w:pos="8900"/>
        </w:tabs>
        <w:rPr>
          <w:color w:val="auto"/>
          <w:sz w:val="30"/>
          <w:szCs w:val="30"/>
          <w:highlight w:val="none"/>
        </w:rPr>
      </w:pPr>
      <w:r>
        <w:rPr>
          <w:color w:val="auto"/>
          <w:highlight w:val="none"/>
        </w:rPr>
        <w:fldChar w:fldCharType="begin"/>
      </w:r>
      <w:r>
        <w:rPr>
          <w:color w:val="auto"/>
          <w:highlight w:val="none"/>
        </w:rPr>
        <w:instrText xml:space="preserve"> HYPERLINK \l "_Toc8213" </w:instrText>
      </w:r>
      <w:r>
        <w:rPr>
          <w:color w:val="auto"/>
          <w:highlight w:val="none"/>
        </w:rPr>
        <w:fldChar w:fldCharType="separate"/>
      </w:r>
      <w:r>
        <w:rPr>
          <w:rFonts w:hint="eastAsia"/>
          <w:color w:val="auto"/>
          <w:sz w:val="30"/>
          <w:szCs w:val="30"/>
          <w:highlight w:val="none"/>
        </w:rPr>
        <w:t>第四章  招标内容及技术需求</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_Toc8213 \h </w:instrText>
      </w:r>
      <w:r>
        <w:rPr>
          <w:color w:val="auto"/>
          <w:sz w:val="30"/>
          <w:szCs w:val="30"/>
          <w:highlight w:val="none"/>
        </w:rPr>
        <w:fldChar w:fldCharType="separate"/>
      </w:r>
      <w:r>
        <w:rPr>
          <w:color w:val="auto"/>
          <w:sz w:val="30"/>
          <w:szCs w:val="30"/>
          <w:highlight w:val="none"/>
        </w:rPr>
        <w:t>14</w:t>
      </w:r>
      <w:r>
        <w:rPr>
          <w:color w:val="auto"/>
          <w:sz w:val="30"/>
          <w:szCs w:val="30"/>
          <w:highlight w:val="none"/>
        </w:rPr>
        <w:fldChar w:fldCharType="end"/>
      </w:r>
      <w:r>
        <w:rPr>
          <w:color w:val="auto"/>
          <w:sz w:val="30"/>
          <w:szCs w:val="30"/>
          <w:highlight w:val="none"/>
        </w:rPr>
        <w:fldChar w:fldCharType="end"/>
      </w:r>
    </w:p>
    <w:p w14:paraId="6EAC64E8">
      <w:pPr>
        <w:pStyle w:val="35"/>
        <w:tabs>
          <w:tab w:val="right" w:leader="dot" w:pos="8900"/>
        </w:tabs>
        <w:rPr>
          <w:color w:val="auto"/>
          <w:sz w:val="30"/>
          <w:szCs w:val="30"/>
          <w:highlight w:val="none"/>
        </w:rPr>
      </w:pPr>
      <w:r>
        <w:rPr>
          <w:color w:val="auto"/>
          <w:highlight w:val="none"/>
        </w:rPr>
        <w:fldChar w:fldCharType="begin"/>
      </w:r>
      <w:r>
        <w:rPr>
          <w:color w:val="auto"/>
          <w:highlight w:val="none"/>
        </w:rPr>
        <w:instrText xml:space="preserve"> HYPERLINK \l "_Toc19511" </w:instrText>
      </w:r>
      <w:r>
        <w:rPr>
          <w:color w:val="auto"/>
          <w:highlight w:val="none"/>
        </w:rPr>
        <w:fldChar w:fldCharType="separate"/>
      </w:r>
      <w:r>
        <w:rPr>
          <w:rFonts w:hint="eastAsia"/>
          <w:color w:val="auto"/>
          <w:sz w:val="30"/>
          <w:szCs w:val="30"/>
          <w:highlight w:val="none"/>
        </w:rPr>
        <w:t>第五章  评标办法及标准</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_Toc19511 \h </w:instrText>
      </w:r>
      <w:r>
        <w:rPr>
          <w:color w:val="auto"/>
          <w:sz w:val="30"/>
          <w:szCs w:val="30"/>
          <w:highlight w:val="none"/>
        </w:rPr>
        <w:fldChar w:fldCharType="separate"/>
      </w:r>
      <w:r>
        <w:rPr>
          <w:color w:val="auto"/>
          <w:sz w:val="30"/>
          <w:szCs w:val="30"/>
          <w:highlight w:val="none"/>
        </w:rPr>
        <w:t>46</w:t>
      </w:r>
      <w:r>
        <w:rPr>
          <w:color w:val="auto"/>
          <w:sz w:val="30"/>
          <w:szCs w:val="30"/>
          <w:highlight w:val="none"/>
        </w:rPr>
        <w:fldChar w:fldCharType="end"/>
      </w:r>
      <w:r>
        <w:rPr>
          <w:color w:val="auto"/>
          <w:sz w:val="30"/>
          <w:szCs w:val="30"/>
          <w:highlight w:val="none"/>
        </w:rPr>
        <w:fldChar w:fldCharType="end"/>
      </w:r>
    </w:p>
    <w:p w14:paraId="6B786B2F">
      <w:pPr>
        <w:pStyle w:val="35"/>
        <w:tabs>
          <w:tab w:val="right" w:leader="dot" w:pos="8900"/>
        </w:tabs>
        <w:rPr>
          <w:color w:val="auto"/>
          <w:sz w:val="30"/>
          <w:szCs w:val="30"/>
          <w:highlight w:val="none"/>
        </w:rPr>
      </w:pPr>
      <w:r>
        <w:rPr>
          <w:color w:val="auto"/>
          <w:highlight w:val="none"/>
        </w:rPr>
        <w:fldChar w:fldCharType="begin"/>
      </w:r>
      <w:r>
        <w:rPr>
          <w:color w:val="auto"/>
          <w:highlight w:val="none"/>
        </w:rPr>
        <w:instrText xml:space="preserve"> HYPERLINK \l "_Toc32656" </w:instrText>
      </w:r>
      <w:r>
        <w:rPr>
          <w:color w:val="auto"/>
          <w:highlight w:val="none"/>
        </w:rPr>
        <w:fldChar w:fldCharType="separate"/>
      </w:r>
      <w:r>
        <w:rPr>
          <w:rFonts w:hint="eastAsia"/>
          <w:color w:val="auto"/>
          <w:sz w:val="30"/>
          <w:szCs w:val="30"/>
          <w:highlight w:val="none"/>
        </w:rPr>
        <w:t>第六章  投标文件格式</w:t>
      </w:r>
      <w:r>
        <w:rPr>
          <w:color w:val="auto"/>
          <w:sz w:val="30"/>
          <w:szCs w:val="30"/>
          <w:highlight w:val="none"/>
        </w:rPr>
        <w:tab/>
      </w:r>
      <w:r>
        <w:rPr>
          <w:color w:val="auto"/>
          <w:sz w:val="30"/>
          <w:szCs w:val="30"/>
          <w:highlight w:val="none"/>
        </w:rPr>
        <w:fldChar w:fldCharType="begin"/>
      </w:r>
      <w:r>
        <w:rPr>
          <w:color w:val="auto"/>
          <w:sz w:val="30"/>
          <w:szCs w:val="30"/>
          <w:highlight w:val="none"/>
        </w:rPr>
        <w:instrText xml:space="preserve"> PAGEREF _Toc32656 \h </w:instrText>
      </w:r>
      <w:r>
        <w:rPr>
          <w:color w:val="auto"/>
          <w:sz w:val="30"/>
          <w:szCs w:val="30"/>
          <w:highlight w:val="none"/>
        </w:rPr>
        <w:fldChar w:fldCharType="separate"/>
      </w:r>
      <w:r>
        <w:rPr>
          <w:color w:val="auto"/>
          <w:sz w:val="30"/>
          <w:szCs w:val="30"/>
          <w:highlight w:val="none"/>
        </w:rPr>
        <w:t>57</w:t>
      </w:r>
      <w:r>
        <w:rPr>
          <w:color w:val="auto"/>
          <w:sz w:val="30"/>
          <w:szCs w:val="30"/>
          <w:highlight w:val="none"/>
        </w:rPr>
        <w:fldChar w:fldCharType="end"/>
      </w:r>
      <w:r>
        <w:rPr>
          <w:color w:val="auto"/>
          <w:sz w:val="30"/>
          <w:szCs w:val="30"/>
          <w:highlight w:val="none"/>
        </w:rPr>
        <w:fldChar w:fldCharType="end"/>
      </w:r>
    </w:p>
    <w:p w14:paraId="46D8E394">
      <w:pPr>
        <w:pStyle w:val="32"/>
        <w:tabs>
          <w:tab w:val="right" w:leader="dot" w:pos="8890"/>
        </w:tabs>
        <w:spacing w:line="480" w:lineRule="auto"/>
        <w:jc w:val="both"/>
        <w:rPr>
          <w:rFonts w:ascii="宋体" w:hAnsi="宋体" w:cs="宋体"/>
          <w:color w:val="auto"/>
          <w:highlight w:val="none"/>
        </w:rPr>
        <w:sectPr>
          <w:headerReference r:id="rId6" w:type="first"/>
          <w:headerReference r:id="rId5" w:type="default"/>
          <w:footerReference r:id="rId7" w:type="default"/>
          <w:pgSz w:w="11906" w:h="16838"/>
          <w:pgMar w:top="1418" w:right="1418" w:bottom="1418" w:left="1588"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color w:val="auto"/>
          <w:sz w:val="30"/>
          <w:szCs w:val="30"/>
          <w:highlight w:val="none"/>
        </w:rPr>
        <w:fldChar w:fldCharType="end"/>
      </w:r>
      <w:bookmarkEnd w:id="0"/>
      <w:bookmarkEnd w:id="1"/>
      <w:bookmarkEnd w:id="2"/>
      <w:bookmarkStart w:id="3" w:name="_Toc27131"/>
    </w:p>
    <w:p w14:paraId="7ADB3D72">
      <w:pPr>
        <w:pStyle w:val="32"/>
        <w:tabs>
          <w:tab w:val="right" w:leader="dot" w:pos="8890"/>
        </w:tabs>
        <w:spacing w:line="480" w:lineRule="auto"/>
        <w:jc w:val="center"/>
        <w:rPr>
          <w:rFonts w:ascii="宋体" w:hAnsi="宋体"/>
          <w:b/>
          <w:color w:val="auto"/>
          <w:sz w:val="72"/>
          <w:szCs w:val="72"/>
          <w:highlight w:val="none"/>
        </w:rPr>
      </w:pPr>
      <w:r>
        <w:rPr>
          <w:rFonts w:hint="eastAsia" w:ascii="宋体" w:hAnsi="宋体"/>
          <w:b/>
          <w:color w:val="auto"/>
          <w:sz w:val="72"/>
          <w:szCs w:val="72"/>
          <w:highlight w:val="none"/>
        </w:rPr>
        <w:t>温馨提醒</w:t>
      </w:r>
    </w:p>
    <w:p w14:paraId="73921FF0">
      <w:pPr>
        <w:wordWrap w:val="0"/>
        <w:spacing w:line="1200" w:lineRule="exact"/>
        <w:jc w:val="center"/>
        <w:rPr>
          <w:rFonts w:ascii="宋体" w:hAnsi="宋体"/>
          <w:b/>
          <w:color w:val="auto"/>
          <w:sz w:val="52"/>
          <w:szCs w:val="52"/>
          <w:highlight w:val="none"/>
        </w:rPr>
      </w:pPr>
    </w:p>
    <w:p w14:paraId="5C669CAB">
      <w:pPr>
        <w:wordWrap w:val="0"/>
        <w:adjustRightInd/>
        <w:spacing w:line="1000" w:lineRule="exact"/>
        <w:jc w:val="left"/>
        <w:textAlignment w:val="auto"/>
        <w:rPr>
          <w:rFonts w:hint="eastAsia" w:ascii="宋体" w:hAnsi="宋体" w:cs="Times New Roman"/>
          <w:b/>
          <w:color w:val="auto"/>
          <w:kern w:val="2"/>
          <w:sz w:val="30"/>
          <w:szCs w:val="30"/>
          <w:highlight w:val="none"/>
        </w:rPr>
      </w:pPr>
      <w:r>
        <w:rPr>
          <w:rFonts w:hint="eastAsia" w:ascii="宋体" w:hAnsi="宋体" w:cs="Times New Roman"/>
          <w:b/>
          <w:color w:val="auto"/>
          <w:kern w:val="2"/>
          <w:sz w:val="30"/>
          <w:szCs w:val="30"/>
          <w:highlight w:val="none"/>
        </w:rPr>
        <w:t>1、投标文件应按招标文件要求将“</w:t>
      </w:r>
      <w:r>
        <w:rPr>
          <w:rFonts w:hint="eastAsia" w:ascii="宋体" w:hAnsi="宋体" w:cs="Times New Roman"/>
          <w:b/>
          <w:color w:val="auto"/>
          <w:kern w:val="2"/>
          <w:sz w:val="30"/>
          <w:szCs w:val="30"/>
          <w:highlight w:val="none"/>
          <w:lang w:eastAsia="zh-CN"/>
        </w:rPr>
        <w:t>资格文件</w:t>
      </w:r>
      <w:r>
        <w:rPr>
          <w:rFonts w:hint="eastAsia" w:ascii="宋体" w:hAnsi="宋体" w:cs="Times New Roman"/>
          <w:b/>
          <w:color w:val="auto"/>
          <w:kern w:val="2"/>
          <w:sz w:val="30"/>
          <w:szCs w:val="30"/>
          <w:highlight w:val="none"/>
        </w:rPr>
        <w:t>”、“商务和技术文件”、“报价文件”分别编制。</w:t>
      </w:r>
    </w:p>
    <w:p w14:paraId="7EF47F87">
      <w:pPr>
        <w:wordWrap w:val="0"/>
        <w:adjustRightInd/>
        <w:spacing w:line="1000" w:lineRule="exact"/>
        <w:jc w:val="left"/>
        <w:textAlignment w:val="auto"/>
        <w:rPr>
          <w:rFonts w:hint="eastAsia" w:ascii="宋体" w:hAnsi="宋体" w:cs="Times New Roman"/>
          <w:b/>
          <w:color w:val="auto"/>
          <w:kern w:val="2"/>
          <w:sz w:val="30"/>
          <w:szCs w:val="30"/>
          <w:highlight w:val="none"/>
        </w:rPr>
      </w:pPr>
      <w:r>
        <w:rPr>
          <w:rFonts w:hint="eastAsia" w:ascii="宋体" w:hAnsi="宋体" w:cs="Times New Roman"/>
          <w:b/>
          <w:color w:val="auto"/>
          <w:kern w:val="2"/>
          <w:sz w:val="30"/>
          <w:szCs w:val="30"/>
          <w:highlight w:val="none"/>
        </w:rPr>
        <w:t>2、招标人可以对已发出的招标文件进行必要的澄清或者修改，将以“更正公告”的形式发布在政采云平台，供应商应及时登录政采云平台，进行浏览并下载，未及时浏览下载的责任自负。</w:t>
      </w:r>
      <w:r>
        <w:rPr>
          <w:rFonts w:hint="eastAsia" w:ascii="宋体" w:hAnsi="宋体" w:cs="Times New Roman"/>
          <w:b/>
          <w:color w:val="auto"/>
          <w:kern w:val="2"/>
          <w:sz w:val="30"/>
          <w:szCs w:val="30"/>
          <w:highlight w:val="none"/>
        </w:rPr>
        <w:br w:type="page"/>
      </w:r>
    </w:p>
    <w:p w14:paraId="352FEF9E">
      <w:pPr>
        <w:pStyle w:val="3"/>
        <w:keepNext/>
        <w:keepLines/>
        <w:pageBreakBefore w:val="0"/>
        <w:widowControl w:val="0"/>
        <w:kinsoku/>
        <w:wordWrap/>
        <w:overflowPunct/>
        <w:topLinePunct w:val="0"/>
        <w:autoSpaceDE/>
        <w:autoSpaceDN/>
        <w:bidi w:val="0"/>
        <w:adjustRightInd w:val="0"/>
        <w:snapToGrid/>
        <w:spacing w:before="0" w:after="0" w:line="240" w:lineRule="auto"/>
        <w:jc w:val="center"/>
        <w:textAlignment w:val="baseline"/>
        <w:rPr>
          <w:color w:val="auto"/>
          <w:szCs w:val="28"/>
          <w:highlight w:val="none"/>
        </w:rPr>
      </w:pPr>
      <w:r>
        <w:rPr>
          <w:rFonts w:hint="eastAsia"/>
          <w:color w:val="auto"/>
          <w:highlight w:val="none"/>
        </w:rPr>
        <w:t>第一章  采购公告</w:t>
      </w:r>
      <w:bookmarkEnd w:id="3"/>
    </w:p>
    <w:p w14:paraId="6628C369">
      <w:pPr>
        <w:wordWrap w:val="0"/>
        <w:spacing w:line="360" w:lineRule="auto"/>
        <w:rPr>
          <w:rFonts w:ascii="宋体" w:hAnsi="宋体" w:cs="宋体"/>
          <w:color w:val="auto"/>
          <w:sz w:val="21"/>
          <w:szCs w:val="21"/>
          <w:highlight w:val="none"/>
        </w:rPr>
      </w:pPr>
      <w:bookmarkStart w:id="4" w:name="_Toc10720"/>
      <w:r>
        <w:rPr>
          <w:rFonts w:hint="eastAsia" w:ascii="宋体" w:hAnsi="宋体" w:cs="宋体"/>
          <w:color w:val="auto"/>
          <w:sz w:val="21"/>
          <w:szCs w:val="21"/>
          <w:highlight w:val="none"/>
        </w:rPr>
        <w:t>发布日期：</w:t>
      </w:r>
      <w:r>
        <w:rPr>
          <w:rFonts w:hint="eastAsia" w:ascii="宋体" w:hAnsi="宋体" w:cs="宋体"/>
          <w:color w:val="auto"/>
          <w:sz w:val="21"/>
          <w:szCs w:val="21"/>
          <w:highlight w:val="none"/>
          <w:lang w:eastAsia="zh-CN"/>
        </w:rPr>
        <w:t>2025年</w:t>
      </w:r>
      <w:r>
        <w:rPr>
          <w:rFonts w:hint="eastAsia" w:ascii="宋体" w:hAnsi="宋体" w:cs="宋体"/>
          <w:color w:val="auto"/>
          <w:sz w:val="21"/>
          <w:szCs w:val="21"/>
          <w:highlight w:val="none"/>
          <w:lang w:val="en-US" w:eastAsia="zh-CN"/>
        </w:rPr>
        <w:t>07</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08</w:t>
      </w:r>
      <w:r>
        <w:rPr>
          <w:rFonts w:hint="eastAsia" w:ascii="宋体" w:hAnsi="宋体" w:cs="宋体"/>
          <w:color w:val="auto"/>
          <w:sz w:val="21"/>
          <w:szCs w:val="21"/>
          <w:highlight w:val="none"/>
        </w:rPr>
        <w:t>日</w:t>
      </w:r>
    </w:p>
    <w:tbl>
      <w:tblPr>
        <w:tblStyle w:val="42"/>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0"/>
      </w:tblGrid>
      <w:tr w14:paraId="700A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9380" w:type="dxa"/>
          </w:tcPr>
          <w:p w14:paraId="627DA553">
            <w:pPr>
              <w:wordWrap w:val="0"/>
              <w:spacing w:line="240" w:lineRule="auto"/>
              <w:rPr>
                <w:rFonts w:ascii="宋体" w:hAnsi="宋体" w:cs="宋体"/>
                <w:b/>
                <w:color w:val="auto"/>
                <w:sz w:val="21"/>
                <w:szCs w:val="21"/>
                <w:highlight w:val="none"/>
              </w:rPr>
            </w:pPr>
            <w:r>
              <w:rPr>
                <w:rFonts w:hint="eastAsia" w:ascii="宋体" w:hAnsi="宋体" w:cs="宋体"/>
                <w:b/>
                <w:color w:val="auto"/>
                <w:sz w:val="21"/>
                <w:szCs w:val="21"/>
                <w:highlight w:val="none"/>
              </w:rPr>
              <w:t>项目概况</w:t>
            </w:r>
          </w:p>
          <w:p w14:paraId="19611216">
            <w:pPr>
              <w:wordWrap w:val="0"/>
              <w:spacing w:line="240" w:lineRule="auto"/>
              <w:ind w:firstLine="420" w:firstLineChars="200"/>
              <w:rPr>
                <w:rFonts w:ascii="宋体" w:hAnsi="宋体" w:cs="宋体"/>
                <w:color w:val="auto"/>
                <w:sz w:val="21"/>
                <w:szCs w:val="21"/>
                <w:highlight w:val="none"/>
              </w:rPr>
            </w:pPr>
            <w:r>
              <w:rPr>
                <w:rFonts w:hint="eastAsia" w:ascii="宋体" w:hAnsi="宋体" w:cs="仿宋"/>
                <w:iCs/>
                <w:color w:val="auto"/>
                <w:sz w:val="21"/>
                <w:szCs w:val="21"/>
                <w:highlight w:val="none"/>
                <w:u w:val="single"/>
                <w:lang w:eastAsia="zh-CN"/>
              </w:rPr>
              <w:t>宁波高新区求精书院理化生实验室（初中部）设施设备采购项目（二期）</w:t>
            </w:r>
            <w:r>
              <w:rPr>
                <w:rFonts w:hint="eastAsia" w:ascii="宋体" w:hAnsi="宋体" w:cs="宋体"/>
                <w:color w:val="auto"/>
                <w:sz w:val="21"/>
                <w:szCs w:val="21"/>
                <w:highlight w:val="none"/>
              </w:rPr>
              <w:t>的潜在投标人应在政府采购云平台（www.zcygov.cn）获取（下载）采购文件，并于</w:t>
            </w:r>
            <w:r>
              <w:rPr>
                <w:rFonts w:hint="eastAsia" w:ascii="宋体" w:hAnsi="宋体" w:cs="宋体"/>
                <w:color w:val="auto"/>
                <w:sz w:val="21"/>
                <w:szCs w:val="21"/>
                <w:highlight w:val="none"/>
                <w:lang w:eastAsia="zh-CN"/>
              </w:rPr>
              <w:t>2025年</w:t>
            </w:r>
            <w:r>
              <w:rPr>
                <w:rFonts w:hint="eastAsia" w:ascii="宋体" w:hAnsi="宋体" w:cs="宋体"/>
                <w:color w:val="auto"/>
                <w:sz w:val="21"/>
                <w:szCs w:val="21"/>
                <w:highlight w:val="none"/>
                <w:lang w:val="en-US" w:eastAsia="zh-CN"/>
              </w:rPr>
              <w:t>07</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29</w:t>
            </w:r>
            <w:r>
              <w:rPr>
                <w:rFonts w:hint="eastAsia" w:ascii="宋体" w:hAnsi="宋体" w:cs="宋体"/>
                <w:color w:val="auto"/>
                <w:sz w:val="21"/>
                <w:szCs w:val="21"/>
                <w:highlight w:val="none"/>
                <w:lang w:eastAsia="zh-CN"/>
              </w:rPr>
              <w:t>日</w:t>
            </w:r>
            <w:r>
              <w:rPr>
                <w:rFonts w:hint="eastAsia" w:ascii="宋体" w:hAnsi="宋体" w:cs="宋体"/>
                <w:color w:val="auto"/>
                <w:sz w:val="21"/>
                <w:szCs w:val="21"/>
                <w:highlight w:val="none"/>
                <w:lang w:val="en-US" w:eastAsia="zh-CN"/>
              </w:rPr>
              <w:t>09</w:t>
            </w:r>
            <w:r>
              <w:rPr>
                <w:rFonts w:hint="eastAsia" w:ascii="宋体" w:hAnsi="宋体" w:cs="宋体"/>
                <w:color w:val="auto"/>
                <w:sz w:val="21"/>
                <w:szCs w:val="21"/>
                <w:highlight w:val="none"/>
                <w:lang w:eastAsia="zh-CN"/>
              </w:rPr>
              <w:t>：00（北京时间）</w:t>
            </w:r>
            <w:r>
              <w:rPr>
                <w:rFonts w:hint="eastAsia" w:ascii="宋体" w:hAnsi="宋体" w:cs="宋体"/>
                <w:color w:val="auto"/>
                <w:sz w:val="21"/>
                <w:szCs w:val="21"/>
                <w:highlight w:val="none"/>
              </w:rPr>
              <w:t>前递交（上传）投标文件。</w:t>
            </w:r>
          </w:p>
        </w:tc>
      </w:tr>
    </w:tbl>
    <w:p w14:paraId="4D0A82D5">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一、项目基本情况</w:t>
      </w:r>
    </w:p>
    <w:p w14:paraId="29004E5C">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NBITC-202530765G</w:t>
      </w:r>
    </w:p>
    <w:p w14:paraId="13DFAD66">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项目名称：</w:t>
      </w:r>
      <w:r>
        <w:rPr>
          <w:rFonts w:hint="eastAsia" w:ascii="宋体" w:hAnsi="宋体" w:cs="宋体"/>
          <w:color w:val="auto"/>
          <w:sz w:val="21"/>
          <w:szCs w:val="21"/>
          <w:highlight w:val="none"/>
          <w:lang w:eastAsia="zh-CN"/>
        </w:rPr>
        <w:t>宁波高新区求精书院理化生实验室（初中部）设施设备采购项目（二期）</w:t>
      </w:r>
    </w:p>
    <w:p w14:paraId="1707B27A">
      <w:pPr>
        <w:wordWrap w:val="0"/>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val="en-US" w:eastAsia="zh-CN"/>
        </w:rPr>
        <w:t>636005.00</w:t>
      </w:r>
    </w:p>
    <w:p w14:paraId="0F2A2A3C">
      <w:pPr>
        <w:wordWrap w:val="0"/>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最高限价（元）：</w:t>
      </w:r>
      <w:r>
        <w:rPr>
          <w:rFonts w:hint="eastAsia" w:ascii="宋体" w:hAnsi="宋体" w:cs="宋体"/>
          <w:color w:val="auto"/>
          <w:sz w:val="21"/>
          <w:szCs w:val="21"/>
          <w:highlight w:val="none"/>
          <w:lang w:val="en-US" w:eastAsia="zh-CN"/>
        </w:rPr>
        <w:t>626010.00</w:t>
      </w:r>
    </w:p>
    <w:p w14:paraId="728485E1">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采购需求：</w:t>
      </w:r>
    </w:p>
    <w:p w14:paraId="5409199A">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标项：一</w:t>
      </w:r>
    </w:p>
    <w:p w14:paraId="3CA5A036">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标项名称：</w:t>
      </w:r>
      <w:r>
        <w:rPr>
          <w:rFonts w:hint="eastAsia" w:ascii="宋体" w:hAnsi="宋体" w:cs="宋体"/>
          <w:color w:val="auto"/>
          <w:sz w:val="21"/>
          <w:szCs w:val="21"/>
          <w:highlight w:val="none"/>
          <w:lang w:eastAsia="zh-CN"/>
        </w:rPr>
        <w:t>理化生实验室（初中部）设施设备</w:t>
      </w:r>
    </w:p>
    <w:p w14:paraId="4B7B8530">
      <w:pPr>
        <w:wordWrap w:val="0"/>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数量：1</w:t>
      </w:r>
      <w:r>
        <w:rPr>
          <w:rFonts w:hint="eastAsia" w:ascii="宋体" w:hAnsi="宋体" w:cs="宋体"/>
          <w:color w:val="auto"/>
          <w:sz w:val="21"/>
          <w:szCs w:val="21"/>
          <w:highlight w:val="none"/>
          <w:lang w:val="en-US" w:eastAsia="zh-CN"/>
        </w:rPr>
        <w:t>批</w:t>
      </w:r>
    </w:p>
    <w:p w14:paraId="23C9FE60">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预算金额（元）：</w:t>
      </w:r>
      <w:r>
        <w:rPr>
          <w:rFonts w:hint="eastAsia" w:ascii="宋体" w:hAnsi="宋体" w:cs="宋体"/>
          <w:color w:val="auto"/>
          <w:sz w:val="21"/>
          <w:szCs w:val="21"/>
          <w:highlight w:val="none"/>
          <w:lang w:val="en-US" w:eastAsia="zh-CN"/>
        </w:rPr>
        <w:t>636005.00</w:t>
      </w:r>
    </w:p>
    <w:p w14:paraId="6E19DFCC">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简要规格描述或项目基本概况介绍、用途：详见招标文件第三章招标内容与技术需求。</w:t>
      </w:r>
    </w:p>
    <w:p w14:paraId="099516C5">
      <w:pPr>
        <w:wordWrap w:val="0"/>
        <w:spacing w:line="360" w:lineRule="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备注：</w:t>
      </w:r>
      <w:r>
        <w:rPr>
          <w:rFonts w:hint="eastAsia" w:ascii="宋体" w:hAnsi="宋体" w:cs="宋体"/>
          <w:color w:val="auto"/>
          <w:sz w:val="21"/>
          <w:szCs w:val="21"/>
          <w:highlight w:val="none"/>
          <w:lang w:eastAsia="zh-CN"/>
        </w:rPr>
        <w:t>详细采购需求详见招标文件</w:t>
      </w:r>
    </w:p>
    <w:p w14:paraId="526F5A30">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合同履约期限：</w:t>
      </w:r>
      <w:r>
        <w:rPr>
          <w:rFonts w:hint="eastAsia" w:ascii="宋体" w:hAnsi="宋体" w:cs="宋体"/>
          <w:color w:val="auto"/>
          <w:sz w:val="21"/>
          <w:szCs w:val="21"/>
          <w:highlight w:val="none"/>
          <w:lang w:eastAsia="zh-CN"/>
        </w:rPr>
        <w:t>合同签订之日后</w:t>
      </w:r>
      <w:r>
        <w:rPr>
          <w:rFonts w:hint="eastAsia" w:ascii="宋体" w:hAnsi="宋体" w:cs="宋体"/>
          <w:color w:val="auto"/>
          <w:sz w:val="21"/>
          <w:szCs w:val="21"/>
          <w:highlight w:val="none"/>
          <w:lang w:val="en-US" w:eastAsia="zh-CN"/>
        </w:rPr>
        <w:t>40</w:t>
      </w:r>
      <w:r>
        <w:rPr>
          <w:rFonts w:hint="eastAsia" w:ascii="宋体" w:hAnsi="宋体" w:cs="宋体"/>
          <w:color w:val="auto"/>
          <w:sz w:val="21"/>
          <w:szCs w:val="21"/>
          <w:highlight w:val="none"/>
          <w:lang w:eastAsia="zh-CN"/>
        </w:rPr>
        <w:t>日历天内交货并安装完毕。</w:t>
      </w:r>
    </w:p>
    <w:p w14:paraId="08FA86ED">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本项目（否）接受联合体投标。</w:t>
      </w:r>
    </w:p>
    <w:p w14:paraId="21A3D841">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二、申请人的资格要求：</w:t>
      </w:r>
    </w:p>
    <w:p w14:paraId="6BC8D090">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1.满足《中华人民共和国政府采购法》第二十二条规定；未被“信用中国”（www.creditchina.gov.cn)、中国政府采购网（www.ccgp.gov.cn）列入失信被执行人、</w:t>
      </w:r>
      <w:r>
        <w:rPr>
          <w:rFonts w:hint="eastAsia" w:ascii="宋体" w:hAnsi="宋体"/>
          <w:color w:val="auto"/>
          <w:sz w:val="21"/>
          <w:szCs w:val="21"/>
          <w:highlight w:val="none"/>
        </w:rPr>
        <w:t>重大税收违法案件当事人名单（重大税收违法失信主体）</w:t>
      </w:r>
      <w:r>
        <w:rPr>
          <w:rFonts w:hint="eastAsia" w:ascii="宋体" w:hAnsi="宋体" w:cs="宋体"/>
          <w:color w:val="auto"/>
          <w:sz w:val="21"/>
          <w:szCs w:val="21"/>
          <w:highlight w:val="none"/>
        </w:rPr>
        <w:t>、政府采购严重违法失信行为记录名单。</w:t>
      </w:r>
    </w:p>
    <w:p w14:paraId="29A7851C">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2.落实政府采购政策需满足的资格要求：本项目专门面向中小企业，所有货物应全部由符合政策要求的中、小、微企业制造。</w:t>
      </w:r>
    </w:p>
    <w:p w14:paraId="4FEC1190">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3.本项目的特定资格要求：</w:t>
      </w:r>
      <w:r>
        <w:rPr>
          <w:rFonts w:hint="eastAsia" w:ascii="宋体" w:hAnsi="宋体" w:cs="宋体"/>
          <w:color w:val="auto"/>
          <w:sz w:val="21"/>
          <w:szCs w:val="21"/>
          <w:highlight w:val="none"/>
          <w:lang w:val="en-US" w:eastAsia="zh-CN"/>
        </w:rPr>
        <w:t>无</w:t>
      </w:r>
    </w:p>
    <w:p w14:paraId="7B966FCF">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三、获取采购文件</w:t>
      </w:r>
    </w:p>
    <w:p w14:paraId="4592F4A0">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lang w:eastAsia="zh-CN"/>
        </w:rPr>
        <w:t>2025年</w:t>
      </w:r>
      <w:r>
        <w:rPr>
          <w:rFonts w:hint="eastAsia" w:ascii="宋体" w:hAnsi="宋体" w:cs="宋体"/>
          <w:color w:val="auto"/>
          <w:sz w:val="21"/>
          <w:szCs w:val="21"/>
          <w:highlight w:val="none"/>
          <w:lang w:val="en-US" w:eastAsia="zh-CN"/>
        </w:rPr>
        <w:t>07</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08</w:t>
      </w:r>
      <w:r>
        <w:rPr>
          <w:rFonts w:hint="eastAsia" w:ascii="宋体" w:hAnsi="宋体" w:cs="宋体"/>
          <w:color w:val="auto"/>
          <w:sz w:val="21"/>
          <w:szCs w:val="21"/>
          <w:highlight w:val="none"/>
          <w:lang w:eastAsia="zh-CN"/>
        </w:rPr>
        <w:t>日</w:t>
      </w:r>
      <w:r>
        <w:rPr>
          <w:rFonts w:hint="eastAsia" w:ascii="宋体" w:hAnsi="宋体" w:cs="宋体"/>
          <w:color w:val="auto"/>
          <w:sz w:val="21"/>
          <w:szCs w:val="21"/>
          <w:highlight w:val="none"/>
        </w:rPr>
        <w:t>至</w:t>
      </w:r>
      <w:r>
        <w:rPr>
          <w:rFonts w:hint="eastAsia" w:ascii="宋体" w:hAnsi="宋体" w:cs="宋体"/>
          <w:color w:val="auto"/>
          <w:sz w:val="21"/>
          <w:szCs w:val="21"/>
          <w:highlight w:val="none"/>
          <w:lang w:eastAsia="zh-CN"/>
        </w:rPr>
        <w:t>2025年</w:t>
      </w:r>
      <w:r>
        <w:rPr>
          <w:rFonts w:hint="eastAsia" w:ascii="宋体" w:hAnsi="宋体" w:cs="宋体"/>
          <w:color w:val="auto"/>
          <w:sz w:val="21"/>
          <w:szCs w:val="21"/>
          <w:highlight w:val="none"/>
          <w:lang w:val="en-US" w:eastAsia="zh-CN"/>
        </w:rPr>
        <w:t>07</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日（北京时间，线上获取法定节假日均可，线下获取文件法定节假日除外）</w:t>
      </w:r>
    </w:p>
    <w:p w14:paraId="446FC54C">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地点（网址）：政府采购云平台（www.zcygov.cn）</w:t>
      </w:r>
    </w:p>
    <w:p w14:paraId="4D750C99">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方式：投标人登录政府采购云平台（www.zcygov.cn）的注册账号后，进入政采云系统“项目采购”模块“获取采购文件”菜单，进行网上获取采购文件。如有疑问请及时咨询网站客服，咨询电话：</w:t>
      </w:r>
      <w:r>
        <w:rPr>
          <w:rFonts w:hint="eastAsia" w:ascii="宋体" w:hAnsi="宋体" w:cs="宋体"/>
          <w:color w:val="auto"/>
          <w:sz w:val="21"/>
          <w:szCs w:val="21"/>
          <w:highlight w:val="none"/>
          <w:lang w:eastAsia="zh-CN"/>
        </w:rPr>
        <w:t>95763</w:t>
      </w:r>
      <w:r>
        <w:rPr>
          <w:rFonts w:hint="eastAsia" w:ascii="宋体" w:hAnsi="宋体" w:cs="宋体"/>
          <w:color w:val="auto"/>
          <w:sz w:val="21"/>
          <w:szCs w:val="21"/>
          <w:highlight w:val="none"/>
        </w:rPr>
        <w:t>。获取采购文件前，投标人应按照《浙江省政府采购投标人注册及诚信管理暂行办法》的规定在“浙江政府采购网（zfcg.czt.zj.gov.cn）”上进行投标人注册申请，并通过财政部门的终审后登记加入到“浙江省政府采购投标人库”。</w:t>
      </w:r>
      <w:r>
        <w:rPr>
          <w:rFonts w:hint="eastAsia" w:ascii="宋体" w:hAnsi="宋体" w:cs="宋体"/>
          <w:color w:val="auto"/>
          <w:sz w:val="21"/>
          <w:szCs w:val="21"/>
          <w:highlight w:val="none"/>
          <w:lang w:eastAsia="zh-CN"/>
        </w:rPr>
        <w:t>中标供应商</w:t>
      </w:r>
      <w:r>
        <w:rPr>
          <w:rFonts w:hint="eastAsia" w:ascii="宋体" w:hAnsi="宋体" w:cs="宋体"/>
          <w:color w:val="auto"/>
          <w:sz w:val="21"/>
          <w:szCs w:val="21"/>
          <w:highlight w:val="none"/>
        </w:rPr>
        <w:t>必须注册并登记加入“浙江省政府采购投标人库”。具体要求及注册申请流程详见《浙江省政府采购投标人注册及诚信管理暂行办法》（浙财采监字{2009}28号）和浙江政府采购网“网上办事指南”的“投标人注册申请”。注册咨询电话：</w:t>
      </w:r>
      <w:r>
        <w:rPr>
          <w:rFonts w:hint="eastAsia" w:ascii="宋体" w:hAnsi="宋体" w:cs="宋体"/>
          <w:color w:val="auto"/>
          <w:sz w:val="21"/>
          <w:szCs w:val="21"/>
          <w:highlight w:val="none"/>
          <w:lang w:eastAsia="zh-CN"/>
        </w:rPr>
        <w:t>95763</w:t>
      </w:r>
      <w:r>
        <w:rPr>
          <w:rFonts w:hint="eastAsia" w:ascii="宋体" w:hAnsi="宋体" w:cs="宋体"/>
          <w:color w:val="auto"/>
          <w:sz w:val="21"/>
          <w:szCs w:val="21"/>
          <w:highlight w:val="none"/>
        </w:rPr>
        <w:t>，如未注册的投标人，请注意注册所需时间。本招标公告附件中的采购文件仅供阅览使用，投标人应在规定的采购文件提供期限内在政采云平台登录上述投标人注册的账号后获取采购文件，未在规定的采购文件提供期限内或未按上述方式获取采购文件的，其投标均视为无效，并不得对采购文件提起质疑投诉。</w:t>
      </w:r>
    </w:p>
    <w:p w14:paraId="12E138E0">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售价（元）：0</w:t>
      </w:r>
    </w:p>
    <w:p w14:paraId="430EBCFA">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四、提交投标文件截止时间、开标时间和地点</w:t>
      </w:r>
    </w:p>
    <w:p w14:paraId="67E6D2B7">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提交投标文件截止时间：</w:t>
      </w:r>
      <w:r>
        <w:rPr>
          <w:rFonts w:hint="eastAsia" w:ascii="宋体" w:hAnsi="宋体" w:cs="宋体"/>
          <w:color w:val="auto"/>
          <w:sz w:val="21"/>
          <w:szCs w:val="21"/>
          <w:highlight w:val="none"/>
          <w:lang w:eastAsia="zh-CN"/>
        </w:rPr>
        <w:t>2025年</w:t>
      </w:r>
      <w:r>
        <w:rPr>
          <w:rFonts w:hint="eastAsia" w:ascii="宋体" w:hAnsi="宋体" w:cs="宋体"/>
          <w:color w:val="auto"/>
          <w:sz w:val="21"/>
          <w:szCs w:val="21"/>
          <w:highlight w:val="none"/>
          <w:lang w:val="en-US" w:eastAsia="zh-CN"/>
        </w:rPr>
        <w:t>07</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29</w:t>
      </w:r>
      <w:r>
        <w:rPr>
          <w:rFonts w:hint="eastAsia" w:ascii="宋体" w:hAnsi="宋体" w:cs="宋体"/>
          <w:color w:val="auto"/>
          <w:sz w:val="21"/>
          <w:szCs w:val="21"/>
          <w:highlight w:val="none"/>
          <w:lang w:eastAsia="zh-CN"/>
        </w:rPr>
        <w:t>日</w:t>
      </w:r>
      <w:r>
        <w:rPr>
          <w:rFonts w:hint="eastAsia" w:ascii="宋体" w:hAnsi="宋体" w:cs="宋体"/>
          <w:color w:val="auto"/>
          <w:sz w:val="21"/>
          <w:szCs w:val="21"/>
          <w:highlight w:val="none"/>
          <w:lang w:val="en-US" w:eastAsia="zh-CN"/>
        </w:rPr>
        <w:t>09</w:t>
      </w:r>
      <w:r>
        <w:rPr>
          <w:rFonts w:hint="eastAsia" w:ascii="宋体" w:hAnsi="宋体" w:cs="宋体"/>
          <w:color w:val="auto"/>
          <w:sz w:val="21"/>
          <w:szCs w:val="21"/>
          <w:highlight w:val="none"/>
          <w:lang w:eastAsia="zh-CN"/>
        </w:rPr>
        <w:t>：00（北京时间）</w:t>
      </w:r>
    </w:p>
    <w:p w14:paraId="7E01771B">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投标地点（网址）：政府采购云平台（www.zcygov.cn）</w:t>
      </w:r>
    </w:p>
    <w:p w14:paraId="7A528DC0">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开标时间：</w:t>
      </w:r>
      <w:r>
        <w:rPr>
          <w:rFonts w:hint="eastAsia" w:ascii="宋体" w:hAnsi="宋体" w:cs="宋体"/>
          <w:color w:val="auto"/>
          <w:sz w:val="21"/>
          <w:szCs w:val="21"/>
          <w:highlight w:val="none"/>
          <w:lang w:eastAsia="zh-CN"/>
        </w:rPr>
        <w:t>2025年</w:t>
      </w:r>
      <w:r>
        <w:rPr>
          <w:rFonts w:hint="eastAsia" w:ascii="宋体" w:hAnsi="宋体" w:cs="宋体"/>
          <w:color w:val="auto"/>
          <w:sz w:val="21"/>
          <w:szCs w:val="21"/>
          <w:highlight w:val="none"/>
          <w:lang w:val="en-US" w:eastAsia="zh-CN"/>
        </w:rPr>
        <w:t>07</w:t>
      </w:r>
      <w:r>
        <w:rPr>
          <w:rFonts w:hint="eastAsia" w:ascii="宋体" w:hAnsi="宋体" w:cs="宋体"/>
          <w:color w:val="auto"/>
          <w:sz w:val="21"/>
          <w:szCs w:val="21"/>
          <w:highlight w:val="none"/>
          <w:lang w:eastAsia="zh-CN"/>
        </w:rPr>
        <w:t>月</w:t>
      </w:r>
      <w:r>
        <w:rPr>
          <w:rFonts w:hint="eastAsia" w:ascii="宋体" w:hAnsi="宋体" w:cs="宋体"/>
          <w:color w:val="auto"/>
          <w:sz w:val="21"/>
          <w:szCs w:val="21"/>
          <w:highlight w:val="none"/>
          <w:lang w:val="en-US" w:eastAsia="zh-CN"/>
        </w:rPr>
        <w:t>29</w:t>
      </w:r>
      <w:r>
        <w:rPr>
          <w:rFonts w:hint="eastAsia" w:ascii="宋体" w:hAnsi="宋体" w:cs="宋体"/>
          <w:color w:val="auto"/>
          <w:sz w:val="21"/>
          <w:szCs w:val="21"/>
          <w:highlight w:val="none"/>
          <w:lang w:eastAsia="zh-CN"/>
        </w:rPr>
        <w:t>日</w:t>
      </w:r>
      <w:r>
        <w:rPr>
          <w:rFonts w:hint="eastAsia" w:ascii="宋体" w:hAnsi="宋体" w:cs="宋体"/>
          <w:color w:val="auto"/>
          <w:sz w:val="21"/>
          <w:szCs w:val="21"/>
          <w:highlight w:val="none"/>
          <w:lang w:val="en-US" w:eastAsia="zh-CN"/>
        </w:rPr>
        <w:t>09</w:t>
      </w:r>
      <w:r>
        <w:rPr>
          <w:rFonts w:hint="eastAsia" w:ascii="宋体" w:hAnsi="宋体" w:cs="宋体"/>
          <w:color w:val="auto"/>
          <w:sz w:val="21"/>
          <w:szCs w:val="21"/>
          <w:highlight w:val="none"/>
          <w:lang w:eastAsia="zh-CN"/>
        </w:rPr>
        <w:t>：00（北京时间）</w:t>
      </w:r>
      <w:bookmarkStart w:id="161" w:name="_GoBack"/>
      <w:bookmarkEnd w:id="161"/>
    </w:p>
    <w:p w14:paraId="663D8F17">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开标地点（网址）：政府采购云平台（www.zcygov.cn）</w:t>
      </w:r>
    </w:p>
    <w:p w14:paraId="52E1AA06">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五、公告期限</w:t>
      </w:r>
    </w:p>
    <w:p w14:paraId="7011A27D">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自本公告发布之日起5个工作日。</w:t>
      </w:r>
    </w:p>
    <w:p w14:paraId="73456C64">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六、其他补充事宜</w:t>
      </w:r>
    </w:p>
    <w:p w14:paraId="0D5ACE6C">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1.投标人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E26BBFD">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2、其他事项：（1）本项目实行网上投标，采用电子投标文件。若供应商参与投标，自行承担投标一切费用。（2）标前准备：各供应商应在投标截止时间前确保成为浙江政府采购网正式注册入库供应商，并完成CA数字证书办理。因未注册入库、未办理CA数字证书等原因造成无法投标或投标失败等后果由供应商自行承担。（供应商CA申领操作指南：https://help.zcygov.cn/web/site_2/2018/11-29/2452.html，完成CA数字证书办理预计一周左右，请供应商自行把握时间）（3）单位负责人为同一人或者存在直接控股、管理关系的不同供应商，不得参加同一子包号的投标。（4）为本项目提供整体设计、规范编制或者项目管理、监理、检测等服务的供应商，不得再参加本项目的投标。（5）落实的政策：《政府采购促进中小企业发展管理办法》（财库〔2020〕46号）、《关于促进残疾人就业政府采购政策的通知》（财库[2017]141号）、《关于政府采购支持监狱企业发展有关问题的通知》(财库[2014]68号)、《关于调整优化节能产品、环境标志产品政府采购执行机制的通知》（财库〔2019〕9号文）、《关于印发环境标志产品政府采购品目清单的通知》（财库〔2019〕18号）和《关于印发节能产品政府采购品目清单的通知》（财库〔2019〕19号）。</w:t>
      </w:r>
    </w:p>
    <w:p w14:paraId="7FDB74FE">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七、对本次采购提出询问、质疑、投诉，请按以下方式联系</w:t>
      </w:r>
    </w:p>
    <w:p w14:paraId="367F1BED">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1.采购人信息</w:t>
      </w:r>
    </w:p>
    <w:p w14:paraId="0391F767">
      <w:pPr>
        <w:wordWrap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名称：</w:t>
      </w:r>
      <w:r>
        <w:rPr>
          <w:rFonts w:hint="eastAsia" w:ascii="宋体" w:hAnsi="宋体" w:cs="宋体"/>
          <w:color w:val="auto"/>
          <w:sz w:val="21"/>
          <w:szCs w:val="21"/>
          <w:highlight w:val="none"/>
          <w:lang w:eastAsia="zh-CN"/>
        </w:rPr>
        <w:t>宁波高新区求精书院</w:t>
      </w:r>
    </w:p>
    <w:p w14:paraId="17C764D9">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地址：宁波高新区梅墟街道黄杨路155号</w:t>
      </w:r>
    </w:p>
    <w:p w14:paraId="20A38339">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传真：/</w:t>
      </w:r>
    </w:p>
    <w:p w14:paraId="440353A8">
      <w:pPr>
        <w:wordWrap w:val="0"/>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项目联系人（询问）：</w:t>
      </w:r>
      <w:r>
        <w:rPr>
          <w:rFonts w:hint="eastAsia" w:ascii="宋体" w:hAnsi="宋体" w:cs="宋体"/>
          <w:color w:val="auto"/>
          <w:sz w:val="21"/>
          <w:szCs w:val="21"/>
          <w:highlight w:val="none"/>
          <w:lang w:val="en-US" w:eastAsia="zh-CN"/>
        </w:rPr>
        <w:t>卢</w:t>
      </w:r>
      <w:r>
        <w:rPr>
          <w:rFonts w:hint="eastAsia" w:ascii="宋体" w:hAnsi="宋体" w:cs="宋体"/>
          <w:color w:val="auto"/>
          <w:sz w:val="21"/>
          <w:szCs w:val="21"/>
          <w:highlight w:val="none"/>
        </w:rPr>
        <w:t>老师</w:t>
      </w:r>
    </w:p>
    <w:p w14:paraId="02E0F78E">
      <w:pPr>
        <w:wordWrap w:val="0"/>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项目联系方式（询问）：</w:t>
      </w:r>
      <w:r>
        <w:rPr>
          <w:rFonts w:hint="eastAsia" w:ascii="宋体" w:hAnsi="宋体" w:cs="宋体"/>
          <w:color w:val="auto"/>
          <w:sz w:val="21"/>
          <w:szCs w:val="21"/>
          <w:highlight w:val="none"/>
          <w:lang w:val="en-US" w:eastAsia="zh-CN"/>
        </w:rPr>
        <w:t>0574-87345034</w:t>
      </w:r>
    </w:p>
    <w:p w14:paraId="0A0D7161">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质疑联系人：</w:t>
      </w:r>
      <w:r>
        <w:rPr>
          <w:rFonts w:hint="eastAsia" w:ascii="宋体" w:hAnsi="宋体" w:cs="宋体"/>
          <w:color w:val="auto"/>
          <w:sz w:val="21"/>
          <w:szCs w:val="21"/>
          <w:highlight w:val="none"/>
          <w:lang w:val="en-US" w:eastAsia="zh-CN"/>
        </w:rPr>
        <w:t>庄</w:t>
      </w:r>
      <w:r>
        <w:rPr>
          <w:rFonts w:hint="eastAsia" w:ascii="宋体" w:hAnsi="宋体" w:cs="宋体"/>
          <w:color w:val="auto"/>
          <w:sz w:val="21"/>
          <w:szCs w:val="21"/>
          <w:highlight w:val="none"/>
        </w:rPr>
        <w:t>老师</w:t>
      </w:r>
    </w:p>
    <w:p w14:paraId="5856AADA">
      <w:pPr>
        <w:wordWrap w:val="0"/>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质疑联系方式：</w:t>
      </w:r>
      <w:r>
        <w:rPr>
          <w:rFonts w:hint="eastAsia" w:ascii="宋体" w:hAnsi="宋体" w:cs="宋体"/>
          <w:color w:val="auto"/>
          <w:sz w:val="21"/>
          <w:szCs w:val="21"/>
          <w:highlight w:val="none"/>
          <w:lang w:val="en-US" w:eastAsia="zh-CN"/>
        </w:rPr>
        <w:t>0574-88352845</w:t>
      </w:r>
    </w:p>
    <w:p w14:paraId="023D5A67">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2.采购代理机构信息</w:t>
      </w:r>
    </w:p>
    <w:p w14:paraId="5365B3EB">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名称：宁波市国际招标有限公司</w:t>
      </w:r>
    </w:p>
    <w:p w14:paraId="71B1E2E2">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地址：宁波市江北区环城北路西段207弄19号世茂茂悦商业中心1号楼八楼</w:t>
      </w:r>
    </w:p>
    <w:p w14:paraId="7C1262F1">
      <w:pPr>
        <w:wordWrap w:val="0"/>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传真：0574-87388460</w:t>
      </w:r>
    </w:p>
    <w:p w14:paraId="0BF81BA4">
      <w:pPr>
        <w:wordWrap w:val="0"/>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邮箱：nbitc@126.com</w:t>
      </w:r>
    </w:p>
    <w:p w14:paraId="643BE526">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项目联系人（询问）：张宇华、</w:t>
      </w:r>
      <w:r>
        <w:rPr>
          <w:rFonts w:hint="eastAsia" w:ascii="宋体" w:hAnsi="宋体" w:cs="宋体"/>
          <w:color w:val="auto"/>
          <w:sz w:val="21"/>
          <w:szCs w:val="21"/>
          <w:highlight w:val="none"/>
          <w:lang w:val="en-US" w:eastAsia="zh-CN"/>
        </w:rPr>
        <w:t>李蒙、</w:t>
      </w:r>
      <w:r>
        <w:rPr>
          <w:rFonts w:hint="eastAsia" w:ascii="宋体" w:hAnsi="宋体" w:cs="宋体"/>
          <w:color w:val="auto"/>
          <w:sz w:val="21"/>
          <w:szCs w:val="21"/>
          <w:highlight w:val="none"/>
        </w:rPr>
        <w:t>陈若水、严锋</w:t>
      </w:r>
    </w:p>
    <w:p w14:paraId="28D5F9A0">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项目联系方式（询问）：0574-87629230</w:t>
      </w:r>
    </w:p>
    <w:p w14:paraId="5C4A8DB1">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质疑联系人：夏伟立</w:t>
      </w:r>
    </w:p>
    <w:p w14:paraId="34C189BA">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质疑联系方式：0574-87128864</w:t>
      </w:r>
    </w:p>
    <w:p w14:paraId="668EA292">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3.同级政府采购监督管理部门</w:t>
      </w:r>
    </w:p>
    <w:p w14:paraId="148EA7A1">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名称：宁波高新区政府采购管理办公室</w:t>
      </w:r>
    </w:p>
    <w:p w14:paraId="04E064B5">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地址：/</w:t>
      </w:r>
    </w:p>
    <w:p w14:paraId="25724751">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传真：/</w:t>
      </w:r>
    </w:p>
    <w:p w14:paraId="6CF53C56">
      <w:pPr>
        <w:wordWrap w:val="0"/>
        <w:spacing w:line="360" w:lineRule="auto"/>
        <w:rPr>
          <w:rFonts w:hint="default" w:ascii="宋体" w:hAnsi="宋体" w:cs="宋体"/>
          <w:color w:val="auto"/>
          <w:sz w:val="21"/>
          <w:szCs w:val="21"/>
          <w:highlight w:val="none"/>
          <w:lang w:val="en-US"/>
        </w:rPr>
      </w:pPr>
      <w:r>
        <w:rPr>
          <w:rFonts w:hint="eastAsia" w:ascii="宋体" w:hAnsi="宋体" w:cs="宋体"/>
          <w:color w:val="auto"/>
          <w:sz w:val="21"/>
          <w:szCs w:val="21"/>
          <w:highlight w:val="none"/>
        </w:rPr>
        <w:t>联系人：</w:t>
      </w:r>
      <w:r>
        <w:rPr>
          <w:rFonts w:hint="eastAsia" w:ascii="宋体" w:hAnsi="宋体" w:cs="宋体"/>
          <w:color w:val="auto"/>
          <w:sz w:val="21"/>
          <w:szCs w:val="21"/>
          <w:highlight w:val="none"/>
          <w:lang w:val="en-US" w:eastAsia="zh-CN"/>
        </w:rPr>
        <w:t>王老师</w:t>
      </w:r>
    </w:p>
    <w:p w14:paraId="34AD5F9E">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监督投诉电话：0574-89288727</w:t>
      </w:r>
    </w:p>
    <w:p w14:paraId="712B5241">
      <w:pPr>
        <w:wordWrap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若对项目采购电子交易系统操作有疑问，可登录政采云（https://www.zcygov.cn/），点击右侧咨询小采，获取采小蜜智能服务管家帮助，或拨打政采云服务热线</w:t>
      </w:r>
      <w:r>
        <w:rPr>
          <w:rFonts w:hint="eastAsia" w:ascii="宋体" w:hAnsi="宋体" w:cs="宋体"/>
          <w:color w:val="auto"/>
          <w:sz w:val="21"/>
          <w:szCs w:val="21"/>
          <w:highlight w:val="none"/>
          <w:lang w:val="en-US" w:eastAsia="zh-CN"/>
        </w:rPr>
        <w:t>95763</w:t>
      </w:r>
      <w:r>
        <w:rPr>
          <w:rFonts w:hint="eastAsia" w:ascii="宋体" w:hAnsi="宋体" w:cs="宋体"/>
          <w:color w:val="auto"/>
          <w:sz w:val="21"/>
          <w:szCs w:val="21"/>
          <w:highlight w:val="none"/>
        </w:rPr>
        <w:t>获取热线服务帮助。</w:t>
      </w:r>
    </w:p>
    <w:p w14:paraId="36FD7445">
      <w:pPr>
        <w:pStyle w:val="3"/>
        <w:snapToGrid w:val="0"/>
        <w:spacing w:before="0" w:after="0" w:line="360" w:lineRule="auto"/>
        <w:textAlignment w:val="auto"/>
        <w:rPr>
          <w:rFonts w:ascii="宋体" w:hAnsi="宋体" w:eastAsia="宋体" w:cs="宋体"/>
          <w:bCs w:val="0"/>
          <w:color w:val="auto"/>
          <w:sz w:val="21"/>
          <w:szCs w:val="21"/>
          <w:highlight w:val="none"/>
        </w:rPr>
      </w:pPr>
      <w:bookmarkStart w:id="5" w:name="_Toc10895"/>
      <w:bookmarkStart w:id="6" w:name="_Toc30006"/>
      <w:r>
        <w:rPr>
          <w:rFonts w:hint="eastAsia" w:ascii="宋体" w:hAnsi="宋体" w:eastAsia="宋体" w:cs="宋体"/>
          <w:color w:val="auto"/>
          <w:sz w:val="21"/>
          <w:szCs w:val="21"/>
          <w:highlight w:val="none"/>
        </w:rPr>
        <w:t>CA问题联系电话（人工）：汇信CA 400-888-4636；天谷CA 400-087-8198。</w:t>
      </w:r>
      <w:bookmarkEnd w:id="5"/>
      <w:bookmarkEnd w:id="6"/>
    </w:p>
    <w:bookmarkEnd w:id="4"/>
    <w:p w14:paraId="455B036C">
      <w:pPr>
        <w:spacing w:line="360" w:lineRule="auto"/>
        <w:ind w:firstLine="630" w:firstLineChars="300"/>
        <w:rPr>
          <w:rFonts w:ascii="宋体" w:hAnsi="宋体" w:cs="仿宋"/>
          <w:color w:val="auto"/>
          <w:sz w:val="21"/>
          <w:szCs w:val="21"/>
          <w:highlight w:val="none"/>
          <w:u w:val="single"/>
        </w:rPr>
      </w:pPr>
    </w:p>
    <w:p w14:paraId="2998993E">
      <w:pPr>
        <w:rPr>
          <w:rFonts w:hint="eastAsia"/>
          <w:color w:val="auto"/>
          <w:highlight w:val="none"/>
        </w:rPr>
      </w:pPr>
      <w:bookmarkStart w:id="7" w:name="_Toc13272"/>
      <w:r>
        <w:rPr>
          <w:rFonts w:hint="eastAsia"/>
          <w:color w:val="auto"/>
          <w:highlight w:val="none"/>
        </w:rPr>
        <w:br w:type="page"/>
      </w:r>
    </w:p>
    <w:p w14:paraId="02B0C827">
      <w:pPr>
        <w:pStyle w:val="3"/>
        <w:jc w:val="center"/>
        <w:rPr>
          <w:color w:val="auto"/>
          <w:highlight w:val="none"/>
        </w:rPr>
      </w:pPr>
      <w:r>
        <w:rPr>
          <w:rFonts w:hint="eastAsia"/>
          <w:color w:val="auto"/>
          <w:highlight w:val="none"/>
        </w:rPr>
        <w:t>第二章  投标人须知</w:t>
      </w:r>
      <w:bookmarkEnd w:id="7"/>
    </w:p>
    <w:p w14:paraId="58E9F19D">
      <w:pPr>
        <w:spacing w:line="276" w:lineRule="auto"/>
        <w:jc w:val="center"/>
        <w:rPr>
          <w:b/>
          <w:color w:val="auto"/>
          <w:sz w:val="28"/>
          <w:szCs w:val="28"/>
          <w:highlight w:val="none"/>
        </w:rPr>
      </w:pPr>
      <w:r>
        <w:rPr>
          <w:rFonts w:hint="eastAsia"/>
          <w:b/>
          <w:color w:val="auto"/>
          <w:sz w:val="28"/>
          <w:szCs w:val="28"/>
          <w:highlight w:val="none"/>
        </w:rPr>
        <w:t>投标人须知前附表</w:t>
      </w:r>
    </w:p>
    <w:p w14:paraId="43C726CC">
      <w:pPr>
        <w:spacing w:line="360" w:lineRule="auto"/>
        <w:rPr>
          <w:rFonts w:ascii="宋体"/>
          <w:color w:val="auto"/>
          <w:sz w:val="21"/>
          <w:szCs w:val="21"/>
          <w:highlight w:val="none"/>
        </w:rPr>
      </w:pPr>
      <w:r>
        <w:rPr>
          <w:rFonts w:hint="eastAsia" w:ascii="宋体"/>
          <w:color w:val="auto"/>
          <w:sz w:val="21"/>
          <w:szCs w:val="21"/>
          <w:highlight w:val="none"/>
        </w:rPr>
        <w:t>注：1、本须知前附表是对投标人须知的修改和补充，如有矛盾，均以本表为准。</w:t>
      </w:r>
    </w:p>
    <w:p w14:paraId="4BC58F56">
      <w:pPr>
        <w:spacing w:line="360" w:lineRule="auto"/>
        <w:rPr>
          <w:rFonts w:hint="eastAsia"/>
          <w:color w:val="auto"/>
          <w:sz w:val="21"/>
          <w:szCs w:val="21"/>
          <w:highlight w:val="none"/>
        </w:rPr>
      </w:pPr>
      <w:r>
        <w:rPr>
          <w:rFonts w:hint="eastAsia" w:ascii="宋体"/>
          <w:color w:val="auto"/>
          <w:sz w:val="21"/>
          <w:szCs w:val="21"/>
          <w:highlight w:val="none"/>
        </w:rPr>
        <w:t xml:space="preserve">    2、本附表中</w:t>
      </w:r>
      <w:r>
        <w:rPr>
          <w:rFonts w:hint="eastAsia"/>
          <w:color w:val="auto"/>
          <w:sz w:val="21"/>
          <w:szCs w:val="21"/>
          <w:highlight w:val="none"/>
        </w:rPr>
        <w:t>“</w:t>
      </w:r>
      <w:r>
        <w:rPr>
          <w:rFonts w:hint="eastAsia"/>
          <w:color w:val="auto"/>
          <w:sz w:val="21"/>
          <w:szCs w:val="21"/>
          <w:highlight w:val="none"/>
          <w:lang w:eastAsia="zh-CN"/>
        </w:rPr>
        <w:t>★</w:t>
      </w:r>
      <w:r>
        <w:rPr>
          <w:rFonts w:hint="eastAsia"/>
          <w:color w:val="auto"/>
          <w:sz w:val="21"/>
          <w:szCs w:val="21"/>
          <w:highlight w:val="none"/>
        </w:rPr>
        <w:t>”标志的为实质性条款，如有其中一项不符合即按无效投标处理。</w:t>
      </w:r>
    </w:p>
    <w:tbl>
      <w:tblPr>
        <w:tblStyle w:val="42"/>
        <w:tblW w:w="4997" w:type="pct"/>
        <w:jc w:val="center"/>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Layout w:type="autofit"/>
        <w:tblCellMar>
          <w:top w:w="0" w:type="dxa"/>
          <w:left w:w="108" w:type="dxa"/>
          <w:bottom w:w="0" w:type="dxa"/>
          <w:right w:w="108" w:type="dxa"/>
        </w:tblCellMar>
      </w:tblPr>
      <w:tblGrid>
        <w:gridCol w:w="709"/>
        <w:gridCol w:w="7808"/>
      </w:tblGrid>
      <w:tr w14:paraId="4878D6B8">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bottom w:val="single" w:color="000000" w:sz="6" w:space="0"/>
            </w:tcBorders>
            <w:noWrap w:val="0"/>
            <w:vAlign w:val="center"/>
          </w:tcPr>
          <w:p w14:paraId="4299D7A1">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序号</w:t>
            </w:r>
          </w:p>
        </w:tc>
        <w:tc>
          <w:tcPr>
            <w:tcW w:w="4583" w:type="pct"/>
            <w:tcBorders>
              <w:bottom w:val="single" w:color="000000" w:sz="6" w:space="0"/>
            </w:tcBorders>
            <w:noWrap w:val="0"/>
            <w:vAlign w:val="center"/>
          </w:tcPr>
          <w:p w14:paraId="64766891">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内容及具体要求</w:t>
            </w:r>
          </w:p>
        </w:tc>
      </w:tr>
      <w:tr w14:paraId="6622F698">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nil"/>
              <w:bottom w:val="single" w:color="auto" w:sz="4" w:space="0"/>
            </w:tcBorders>
            <w:noWrap w:val="0"/>
            <w:vAlign w:val="center"/>
          </w:tcPr>
          <w:p w14:paraId="5C0F4449">
            <w:pPr>
              <w:spacing w:line="400" w:lineRule="exact"/>
              <w:jc w:val="center"/>
              <w:outlineLvl w:val="1"/>
              <w:rPr>
                <w:rFonts w:hint="eastAsia" w:ascii="宋体" w:hAnsi="宋体" w:cs="宋体"/>
                <w:b/>
                <w:color w:val="auto"/>
                <w:sz w:val="21"/>
                <w:szCs w:val="21"/>
                <w:highlight w:val="none"/>
              </w:rPr>
            </w:pPr>
            <w:bookmarkStart w:id="8" w:name="_Toc105900515"/>
            <w:bookmarkStart w:id="9" w:name="_Toc297"/>
            <w:bookmarkStart w:id="10" w:name="_Toc137008676"/>
            <w:bookmarkStart w:id="11" w:name="_Toc12257"/>
            <w:bookmarkStart w:id="12" w:name="_Toc479861545"/>
            <w:r>
              <w:rPr>
                <w:rFonts w:hint="eastAsia" w:ascii="宋体" w:hAnsi="宋体" w:cs="宋体"/>
                <w:b/>
                <w:color w:val="auto"/>
                <w:sz w:val="21"/>
                <w:szCs w:val="21"/>
                <w:highlight w:val="none"/>
              </w:rPr>
              <w:t>说明</w:t>
            </w:r>
            <w:bookmarkEnd w:id="8"/>
            <w:bookmarkEnd w:id="9"/>
            <w:bookmarkEnd w:id="10"/>
            <w:bookmarkEnd w:id="11"/>
            <w:bookmarkEnd w:id="12"/>
          </w:p>
        </w:tc>
      </w:tr>
      <w:tr w14:paraId="3C6875D5">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auto" w:sz="4" w:space="0"/>
            </w:tcBorders>
            <w:noWrap w:val="0"/>
            <w:vAlign w:val="center"/>
          </w:tcPr>
          <w:p w14:paraId="3AAA0842">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4583" w:type="pct"/>
            <w:tcBorders>
              <w:top w:val="single" w:color="auto" w:sz="4" w:space="0"/>
              <w:bottom w:val="single" w:color="auto" w:sz="4" w:space="0"/>
            </w:tcBorders>
            <w:noWrap w:val="0"/>
            <w:vAlign w:val="center"/>
          </w:tcPr>
          <w:p w14:paraId="06567D50">
            <w:pPr>
              <w:spacing w:line="400" w:lineRule="exact"/>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招标人：</w:t>
            </w:r>
            <w:r>
              <w:rPr>
                <w:rFonts w:hint="eastAsia" w:ascii="宋体"/>
                <w:bCs/>
                <w:color w:val="auto"/>
                <w:sz w:val="21"/>
                <w:szCs w:val="21"/>
                <w:highlight w:val="none"/>
                <w:lang w:eastAsia="zh-CN"/>
              </w:rPr>
              <w:t>宁波高新区求精书院</w:t>
            </w:r>
            <w:r>
              <w:rPr>
                <w:rFonts w:hint="eastAsia" w:ascii="宋体" w:hAnsi="宋体" w:cs="宋体"/>
                <w:color w:val="auto"/>
                <w:sz w:val="21"/>
                <w:szCs w:val="21"/>
                <w:highlight w:val="none"/>
              </w:rPr>
              <w:t> </w:t>
            </w:r>
          </w:p>
        </w:tc>
      </w:tr>
      <w:tr w14:paraId="5F761C27">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auto" w:sz="4" w:space="0"/>
            </w:tcBorders>
            <w:noWrap w:val="0"/>
            <w:vAlign w:val="center"/>
          </w:tcPr>
          <w:p w14:paraId="34A6244F">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2</w:t>
            </w:r>
          </w:p>
        </w:tc>
        <w:tc>
          <w:tcPr>
            <w:tcW w:w="4583" w:type="pct"/>
            <w:tcBorders>
              <w:top w:val="single" w:color="auto" w:sz="4" w:space="0"/>
              <w:bottom w:val="single" w:color="auto" w:sz="4" w:space="0"/>
            </w:tcBorders>
            <w:noWrap w:val="0"/>
            <w:vAlign w:val="center"/>
          </w:tcPr>
          <w:p w14:paraId="2A4FFBF3">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招标人项目联系人（询问）：</w:t>
            </w:r>
            <w:r>
              <w:rPr>
                <w:rFonts w:hint="eastAsia" w:ascii="宋体" w:hAnsi="宋体" w:cs="宋体"/>
                <w:color w:val="auto"/>
                <w:sz w:val="21"/>
                <w:szCs w:val="21"/>
                <w:highlight w:val="none"/>
                <w:lang w:val="en-US" w:eastAsia="zh-CN"/>
              </w:rPr>
              <w:t>卢</w:t>
            </w:r>
            <w:r>
              <w:rPr>
                <w:rFonts w:hint="eastAsia" w:ascii="宋体" w:hAnsi="宋体" w:cs="宋体"/>
                <w:color w:val="auto"/>
                <w:sz w:val="21"/>
                <w:szCs w:val="21"/>
                <w:highlight w:val="none"/>
              </w:rPr>
              <w:t>老师</w:t>
            </w:r>
          </w:p>
          <w:p w14:paraId="7A47529F">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招标人项目联系方式（询问）：0574-87345034   </w:t>
            </w:r>
          </w:p>
        </w:tc>
      </w:tr>
      <w:tr w14:paraId="1436D672">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auto" w:sz="4" w:space="0"/>
            </w:tcBorders>
            <w:noWrap w:val="0"/>
            <w:vAlign w:val="center"/>
          </w:tcPr>
          <w:p w14:paraId="35C23008">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3</w:t>
            </w:r>
          </w:p>
        </w:tc>
        <w:tc>
          <w:tcPr>
            <w:tcW w:w="4583" w:type="pct"/>
            <w:tcBorders>
              <w:top w:val="single" w:color="auto" w:sz="4" w:space="0"/>
              <w:bottom w:val="single" w:color="auto" w:sz="4" w:space="0"/>
            </w:tcBorders>
            <w:noWrap w:val="0"/>
            <w:vAlign w:val="center"/>
          </w:tcPr>
          <w:p w14:paraId="2456342D">
            <w:pPr>
              <w:spacing w:line="400" w:lineRule="exact"/>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合同名称：</w:t>
            </w:r>
            <w:r>
              <w:rPr>
                <w:rFonts w:hint="eastAsia" w:ascii="宋体" w:hAnsi="宋体" w:cs="宋体"/>
                <w:color w:val="auto"/>
                <w:sz w:val="21"/>
                <w:szCs w:val="21"/>
                <w:highlight w:val="none"/>
                <w:lang w:eastAsia="zh-CN"/>
              </w:rPr>
              <w:t>宁波高新区求精书院理化生实验室（初中部）设施设备采购项目（二期）</w:t>
            </w:r>
            <w:r>
              <w:rPr>
                <w:rFonts w:hint="eastAsia" w:ascii="宋体" w:hAnsi="宋体" w:cs="宋体"/>
                <w:color w:val="auto"/>
                <w:sz w:val="21"/>
                <w:szCs w:val="21"/>
                <w:highlight w:val="none"/>
              </w:rPr>
              <w:t>的合同</w:t>
            </w:r>
          </w:p>
        </w:tc>
      </w:tr>
      <w:tr w14:paraId="65731FFB">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auto" w:sz="4" w:space="0"/>
            </w:tcBorders>
            <w:noWrap w:val="0"/>
            <w:vAlign w:val="center"/>
          </w:tcPr>
          <w:p w14:paraId="3BB23F3D">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4</w:t>
            </w:r>
          </w:p>
        </w:tc>
        <w:tc>
          <w:tcPr>
            <w:tcW w:w="4583" w:type="pct"/>
            <w:tcBorders>
              <w:top w:val="single" w:color="auto" w:sz="4" w:space="0"/>
              <w:bottom w:val="single" w:color="auto" w:sz="4" w:space="0"/>
            </w:tcBorders>
            <w:noWrap w:val="0"/>
            <w:vAlign w:val="center"/>
          </w:tcPr>
          <w:p w14:paraId="45642EEF">
            <w:pPr>
              <w:spacing w:line="400" w:lineRule="exact"/>
              <w:rPr>
                <w:rFonts w:hint="eastAsia" w:ascii="宋体" w:hAnsi="宋体" w:cs="宋体"/>
                <w:color w:val="auto"/>
                <w:sz w:val="21"/>
                <w:szCs w:val="21"/>
                <w:highlight w:val="none"/>
                <w:u w:val="single"/>
              </w:rPr>
            </w:pPr>
            <w:r>
              <w:rPr>
                <w:rFonts w:hint="eastAsia" w:ascii="宋体" w:hAnsi="宋体" w:cs="宋体"/>
                <w:color w:val="auto"/>
                <w:sz w:val="21"/>
                <w:szCs w:val="21"/>
                <w:highlight w:val="none"/>
              </w:rPr>
              <w:t xml:space="preserve">招标代理公司：宁波市国际招标有限公司 </w:t>
            </w:r>
          </w:p>
        </w:tc>
      </w:tr>
      <w:tr w14:paraId="6A8D44A6">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5000" w:type="pct"/>
            <w:gridSpan w:val="2"/>
            <w:tcBorders>
              <w:top w:val="single" w:color="auto" w:sz="4" w:space="0"/>
              <w:bottom w:val="single" w:color="auto" w:sz="4" w:space="0"/>
            </w:tcBorders>
            <w:noWrap w:val="0"/>
            <w:vAlign w:val="center"/>
          </w:tcPr>
          <w:p w14:paraId="653D33E2">
            <w:pPr>
              <w:spacing w:line="400" w:lineRule="exact"/>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投标人</w:t>
            </w:r>
          </w:p>
        </w:tc>
      </w:tr>
      <w:tr w14:paraId="398A0741">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auto" w:sz="4" w:space="0"/>
            </w:tcBorders>
            <w:noWrap w:val="0"/>
            <w:vAlign w:val="center"/>
          </w:tcPr>
          <w:p w14:paraId="2E43491C">
            <w:pPr>
              <w:spacing w:line="400" w:lineRule="exact"/>
              <w:jc w:val="center"/>
              <w:rPr>
                <w:rFonts w:hint="eastAsia" w:ascii="宋体" w:hAnsi="宋体" w:cs="宋体"/>
                <w:color w:val="auto"/>
                <w:sz w:val="21"/>
                <w:szCs w:val="21"/>
                <w:highlight w:val="none"/>
              </w:rPr>
            </w:pPr>
            <w:r>
              <w:rPr>
                <w:rFonts w:hint="eastAsia"/>
                <w:color w:val="auto"/>
                <w:sz w:val="21"/>
                <w:szCs w:val="21"/>
                <w:highlight w:val="none"/>
                <w:lang w:eastAsia="zh-CN"/>
              </w:rPr>
              <w:t>★</w:t>
            </w:r>
            <w:r>
              <w:rPr>
                <w:rFonts w:hint="eastAsia" w:ascii="宋体" w:hAnsi="宋体" w:cs="宋体"/>
                <w:color w:val="auto"/>
                <w:sz w:val="21"/>
                <w:szCs w:val="21"/>
                <w:highlight w:val="none"/>
              </w:rPr>
              <w:t>5</w:t>
            </w:r>
          </w:p>
        </w:tc>
        <w:tc>
          <w:tcPr>
            <w:tcW w:w="4583" w:type="pct"/>
            <w:tcBorders>
              <w:top w:val="single" w:color="auto" w:sz="4" w:space="0"/>
              <w:bottom w:val="single" w:color="auto" w:sz="4" w:space="0"/>
            </w:tcBorders>
            <w:noWrap w:val="0"/>
            <w:vAlign w:val="center"/>
          </w:tcPr>
          <w:p w14:paraId="1DC07E3F">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合格的货物来源：中国境内生产的货物</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本次招标为专门面向中小企业），不接受进口产品</w:t>
            </w:r>
            <w:r>
              <w:rPr>
                <w:rFonts w:hint="eastAsia" w:ascii="宋体" w:hAnsi="宋体" w:cs="宋体"/>
                <w:color w:val="auto"/>
                <w:sz w:val="21"/>
                <w:szCs w:val="21"/>
                <w:highlight w:val="none"/>
              </w:rPr>
              <w:t>。</w:t>
            </w:r>
          </w:p>
        </w:tc>
      </w:tr>
      <w:tr w14:paraId="59ABC25C">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auto" w:sz="4" w:space="0"/>
            </w:tcBorders>
            <w:noWrap w:val="0"/>
            <w:vAlign w:val="center"/>
          </w:tcPr>
          <w:p w14:paraId="2BCB73FD">
            <w:pPr>
              <w:spacing w:line="400" w:lineRule="exact"/>
              <w:jc w:val="center"/>
              <w:rPr>
                <w:rFonts w:hint="eastAsia" w:ascii="宋体" w:hAnsi="宋体" w:cs="宋体"/>
                <w:color w:val="auto"/>
                <w:sz w:val="21"/>
                <w:szCs w:val="21"/>
                <w:highlight w:val="none"/>
              </w:rPr>
            </w:pPr>
            <w:r>
              <w:rPr>
                <w:rFonts w:hint="eastAsia"/>
                <w:color w:val="auto"/>
                <w:sz w:val="21"/>
                <w:szCs w:val="21"/>
                <w:highlight w:val="none"/>
                <w:lang w:eastAsia="zh-CN"/>
              </w:rPr>
              <w:t>★</w:t>
            </w:r>
            <w:r>
              <w:rPr>
                <w:rFonts w:hint="eastAsia" w:ascii="宋体" w:hAnsi="宋体" w:cs="宋体"/>
                <w:color w:val="auto"/>
                <w:sz w:val="21"/>
                <w:szCs w:val="21"/>
                <w:highlight w:val="none"/>
              </w:rPr>
              <w:t>6</w:t>
            </w:r>
          </w:p>
        </w:tc>
        <w:tc>
          <w:tcPr>
            <w:tcW w:w="4583" w:type="pct"/>
            <w:tcBorders>
              <w:top w:val="single" w:color="auto" w:sz="4" w:space="0"/>
              <w:bottom w:val="single" w:color="auto" w:sz="4" w:space="0"/>
            </w:tcBorders>
            <w:noWrap w:val="0"/>
            <w:vAlign w:val="center"/>
          </w:tcPr>
          <w:p w14:paraId="57D8BCE2">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投标人</w:t>
            </w:r>
            <w:r>
              <w:rPr>
                <w:rFonts w:hint="eastAsia" w:ascii="宋体" w:hAnsi="宋体" w:cs="宋体"/>
                <w:color w:val="auto"/>
                <w:sz w:val="21"/>
                <w:szCs w:val="21"/>
                <w:highlight w:val="none"/>
              </w:rPr>
              <w:t>资格要求：详见招标公告。</w:t>
            </w:r>
          </w:p>
        </w:tc>
      </w:tr>
      <w:tr w14:paraId="38A5BB18">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noWrap w:val="0"/>
            <w:vAlign w:val="center"/>
          </w:tcPr>
          <w:p w14:paraId="78204497">
            <w:pPr>
              <w:spacing w:line="400" w:lineRule="exact"/>
              <w:jc w:val="center"/>
              <w:outlineLvl w:val="1"/>
              <w:rPr>
                <w:rFonts w:hint="eastAsia" w:ascii="宋体" w:hAnsi="宋体" w:cs="宋体"/>
                <w:b/>
                <w:color w:val="auto"/>
                <w:sz w:val="21"/>
                <w:szCs w:val="21"/>
                <w:highlight w:val="none"/>
              </w:rPr>
            </w:pPr>
            <w:bookmarkStart w:id="13" w:name="_Toc105900516"/>
            <w:bookmarkStart w:id="14" w:name="_Toc137008677"/>
            <w:bookmarkStart w:id="15" w:name="_Toc14204"/>
            <w:bookmarkStart w:id="16" w:name="_Toc32655"/>
            <w:bookmarkStart w:id="17" w:name="_Toc479861546"/>
            <w:r>
              <w:rPr>
                <w:rFonts w:hint="eastAsia" w:ascii="宋体" w:hAnsi="宋体" w:cs="宋体"/>
                <w:b/>
                <w:color w:val="auto"/>
                <w:sz w:val="21"/>
                <w:szCs w:val="21"/>
                <w:highlight w:val="none"/>
              </w:rPr>
              <w:t>投标报价和货币</w:t>
            </w:r>
            <w:bookmarkEnd w:id="13"/>
            <w:bookmarkEnd w:id="14"/>
            <w:bookmarkEnd w:id="15"/>
            <w:bookmarkEnd w:id="16"/>
            <w:bookmarkEnd w:id="17"/>
          </w:p>
        </w:tc>
      </w:tr>
      <w:tr w14:paraId="68DDE530">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auto" w:sz="4" w:space="0"/>
            </w:tcBorders>
            <w:noWrap w:val="0"/>
            <w:vAlign w:val="center"/>
          </w:tcPr>
          <w:p w14:paraId="31D0802A">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7</w:t>
            </w:r>
          </w:p>
        </w:tc>
        <w:tc>
          <w:tcPr>
            <w:tcW w:w="4583" w:type="pct"/>
            <w:tcBorders>
              <w:top w:val="single" w:color="auto" w:sz="4" w:space="0"/>
              <w:bottom w:val="single" w:color="auto" w:sz="4" w:space="0"/>
            </w:tcBorders>
            <w:noWrap w:val="0"/>
            <w:vAlign w:val="center"/>
          </w:tcPr>
          <w:p w14:paraId="453A3497">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投标报价：包括但不限于设备材料价格、运杂费、利润、税金、装卸费及质保期内的售后服务、</w:t>
            </w:r>
            <w:r>
              <w:rPr>
                <w:rFonts w:hint="eastAsia" w:ascii="宋体" w:hAnsi="宋体" w:cs="宋体"/>
                <w:color w:val="auto"/>
                <w:sz w:val="21"/>
                <w:szCs w:val="21"/>
                <w:highlight w:val="none"/>
                <w:lang w:eastAsia="zh-CN"/>
              </w:rPr>
              <w:t>备品备件、</w:t>
            </w:r>
            <w:r>
              <w:rPr>
                <w:rFonts w:hint="eastAsia" w:ascii="宋体" w:hAnsi="宋体" w:cs="宋体"/>
                <w:color w:val="auto"/>
                <w:sz w:val="21"/>
                <w:szCs w:val="21"/>
                <w:highlight w:val="none"/>
              </w:rPr>
              <w:t>利润、税金，及政策性文件规定的各项应有的所有费用。</w:t>
            </w:r>
          </w:p>
        </w:tc>
      </w:tr>
      <w:tr w14:paraId="50C5B814">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auto" w:sz="4" w:space="0"/>
            </w:tcBorders>
            <w:noWrap w:val="0"/>
            <w:vAlign w:val="center"/>
          </w:tcPr>
          <w:p w14:paraId="27BB4964">
            <w:pPr>
              <w:spacing w:line="400" w:lineRule="exact"/>
              <w:jc w:val="center"/>
              <w:rPr>
                <w:rFonts w:hint="eastAsia" w:ascii="宋体" w:hAnsi="宋体" w:cs="宋体"/>
                <w:color w:val="auto"/>
                <w:sz w:val="21"/>
                <w:szCs w:val="21"/>
                <w:highlight w:val="none"/>
              </w:rPr>
            </w:pPr>
            <w:r>
              <w:rPr>
                <w:rFonts w:hint="eastAsia"/>
                <w:color w:val="auto"/>
                <w:sz w:val="21"/>
                <w:szCs w:val="21"/>
                <w:highlight w:val="none"/>
                <w:lang w:eastAsia="zh-CN"/>
              </w:rPr>
              <w:t>★</w:t>
            </w:r>
            <w:r>
              <w:rPr>
                <w:rFonts w:hint="eastAsia" w:ascii="宋体" w:hAnsi="宋体" w:cs="宋体"/>
                <w:color w:val="auto"/>
                <w:sz w:val="21"/>
                <w:szCs w:val="21"/>
                <w:highlight w:val="none"/>
              </w:rPr>
              <w:t>8</w:t>
            </w:r>
          </w:p>
        </w:tc>
        <w:tc>
          <w:tcPr>
            <w:tcW w:w="4583" w:type="pct"/>
            <w:tcBorders>
              <w:top w:val="single" w:color="auto" w:sz="4" w:space="0"/>
              <w:bottom w:val="single" w:color="auto" w:sz="4" w:space="0"/>
            </w:tcBorders>
            <w:noWrap w:val="0"/>
            <w:vAlign w:val="center"/>
          </w:tcPr>
          <w:p w14:paraId="2F525202">
            <w:pPr>
              <w:spacing w:line="400" w:lineRule="exact"/>
              <w:rPr>
                <w:rFonts w:hint="eastAsia" w:ascii="宋体" w:hAnsi="宋体" w:cs="宋体"/>
                <w:bCs/>
                <w:color w:val="auto"/>
                <w:sz w:val="21"/>
                <w:szCs w:val="21"/>
                <w:highlight w:val="none"/>
              </w:rPr>
            </w:pPr>
            <w:r>
              <w:rPr>
                <w:rFonts w:hint="eastAsia" w:ascii="宋体" w:hAnsi="宋体" w:cs="宋体"/>
                <w:bCs/>
                <w:color w:val="auto"/>
                <w:sz w:val="21"/>
                <w:szCs w:val="21"/>
                <w:highlight w:val="none"/>
              </w:rPr>
              <w:t>投标货币：人民币。</w:t>
            </w:r>
          </w:p>
          <w:p w14:paraId="16E94156">
            <w:pPr>
              <w:spacing w:line="400" w:lineRule="exact"/>
              <w:rPr>
                <w:rFonts w:hint="eastAsia" w:ascii="宋体" w:hAnsi="宋体" w:cs="宋体"/>
                <w:bCs/>
                <w:color w:val="auto"/>
                <w:sz w:val="21"/>
                <w:szCs w:val="21"/>
                <w:highlight w:val="none"/>
              </w:rPr>
            </w:pPr>
            <w:r>
              <w:rPr>
                <w:rFonts w:hint="eastAsia" w:ascii="宋体" w:hAnsi="宋体" w:cs="宋体"/>
                <w:bCs/>
                <w:color w:val="auto"/>
                <w:sz w:val="21"/>
                <w:szCs w:val="21"/>
                <w:highlight w:val="none"/>
              </w:rPr>
              <w:t>本项目最高限价：人民币</w:t>
            </w:r>
            <w:r>
              <w:rPr>
                <w:rFonts w:hint="eastAsia" w:ascii="宋体" w:hAnsi="宋体" w:cs="宋体"/>
                <w:color w:val="auto"/>
                <w:sz w:val="21"/>
                <w:szCs w:val="21"/>
                <w:highlight w:val="none"/>
                <w:lang w:val="en-US" w:eastAsia="zh-CN"/>
              </w:rPr>
              <w:t>626010</w:t>
            </w:r>
            <w:r>
              <w:rPr>
                <w:rFonts w:hint="eastAsia" w:ascii="宋体" w:hAnsi="宋体" w:cs="宋体"/>
                <w:bCs/>
                <w:color w:val="auto"/>
                <w:sz w:val="21"/>
                <w:szCs w:val="21"/>
                <w:highlight w:val="none"/>
                <w:lang w:eastAsia="zh-CN"/>
              </w:rPr>
              <w:t>.00</w:t>
            </w:r>
            <w:r>
              <w:rPr>
                <w:rFonts w:hint="eastAsia" w:ascii="宋体" w:hAnsi="宋体" w:cs="宋体"/>
                <w:bCs/>
                <w:color w:val="auto"/>
                <w:sz w:val="21"/>
                <w:szCs w:val="21"/>
                <w:highlight w:val="none"/>
              </w:rPr>
              <w:t>元</w:t>
            </w:r>
          </w:p>
          <w:p w14:paraId="171097D4">
            <w:pPr>
              <w:spacing w:line="400" w:lineRule="exact"/>
              <w:rPr>
                <w:rFonts w:hint="eastAsia" w:ascii="宋体" w:hAnsi="宋体" w:cs="宋体"/>
                <w:color w:val="auto"/>
                <w:sz w:val="21"/>
                <w:szCs w:val="21"/>
                <w:highlight w:val="none"/>
              </w:rPr>
            </w:pPr>
            <w:r>
              <w:rPr>
                <w:rFonts w:hint="eastAsia" w:ascii="宋体" w:hAnsi="宋体" w:cs="宋体"/>
                <w:bCs/>
                <w:color w:val="auto"/>
                <w:sz w:val="21"/>
                <w:szCs w:val="21"/>
                <w:highlight w:val="none"/>
              </w:rPr>
              <w:t>超过最高限价的报价将被视为无效投标。</w:t>
            </w:r>
          </w:p>
        </w:tc>
      </w:tr>
      <w:tr w14:paraId="108FE6FC">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noWrap w:val="0"/>
            <w:vAlign w:val="center"/>
          </w:tcPr>
          <w:p w14:paraId="3341F718">
            <w:pPr>
              <w:spacing w:line="400" w:lineRule="exact"/>
              <w:jc w:val="center"/>
              <w:outlineLvl w:val="1"/>
              <w:rPr>
                <w:rFonts w:hint="eastAsia" w:ascii="宋体" w:hAnsi="宋体" w:cs="宋体"/>
                <w:b/>
                <w:color w:val="auto"/>
                <w:sz w:val="21"/>
                <w:szCs w:val="21"/>
                <w:highlight w:val="none"/>
              </w:rPr>
            </w:pPr>
            <w:bookmarkStart w:id="18" w:name="_Toc137008678"/>
            <w:bookmarkStart w:id="19" w:name="_Toc2872"/>
            <w:bookmarkStart w:id="20" w:name="_Toc105900517"/>
            <w:bookmarkStart w:id="21" w:name="_Toc479861547"/>
            <w:bookmarkStart w:id="22" w:name="_Toc20779"/>
            <w:r>
              <w:rPr>
                <w:rFonts w:hint="eastAsia" w:ascii="宋体" w:hAnsi="宋体" w:cs="宋体"/>
                <w:b/>
                <w:color w:val="auto"/>
                <w:sz w:val="21"/>
                <w:szCs w:val="21"/>
                <w:highlight w:val="none"/>
              </w:rPr>
              <w:t>投标文件的编制和递交</w:t>
            </w:r>
            <w:bookmarkEnd w:id="18"/>
            <w:bookmarkEnd w:id="19"/>
            <w:bookmarkEnd w:id="20"/>
            <w:bookmarkEnd w:id="21"/>
            <w:bookmarkEnd w:id="22"/>
          </w:p>
        </w:tc>
      </w:tr>
      <w:tr w14:paraId="564229CE">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auto" w:sz="4" w:space="0"/>
            </w:tcBorders>
            <w:noWrap w:val="0"/>
            <w:vAlign w:val="center"/>
          </w:tcPr>
          <w:p w14:paraId="69752188">
            <w:pPr>
              <w:spacing w:line="400" w:lineRule="exact"/>
              <w:jc w:val="center"/>
              <w:rPr>
                <w:rFonts w:hint="eastAsia" w:ascii="宋体" w:hAnsi="宋体" w:cs="宋体"/>
                <w:color w:val="auto"/>
                <w:sz w:val="21"/>
                <w:szCs w:val="21"/>
                <w:highlight w:val="none"/>
              </w:rPr>
            </w:pPr>
            <w:r>
              <w:rPr>
                <w:rFonts w:hint="eastAsia"/>
                <w:color w:val="auto"/>
                <w:sz w:val="21"/>
                <w:szCs w:val="21"/>
                <w:highlight w:val="none"/>
                <w:lang w:eastAsia="zh-CN"/>
              </w:rPr>
              <w:t>★</w:t>
            </w:r>
            <w:r>
              <w:rPr>
                <w:rFonts w:hint="eastAsia" w:ascii="宋体" w:hAnsi="宋体" w:cs="宋体"/>
                <w:color w:val="auto"/>
                <w:sz w:val="21"/>
                <w:szCs w:val="21"/>
                <w:highlight w:val="none"/>
              </w:rPr>
              <w:t>9</w:t>
            </w:r>
          </w:p>
        </w:tc>
        <w:tc>
          <w:tcPr>
            <w:tcW w:w="4583" w:type="pct"/>
            <w:tcBorders>
              <w:top w:val="single" w:color="auto" w:sz="4" w:space="0"/>
              <w:bottom w:val="single" w:color="auto" w:sz="4" w:space="0"/>
            </w:tcBorders>
            <w:noWrap w:val="0"/>
            <w:vAlign w:val="center"/>
          </w:tcPr>
          <w:p w14:paraId="37BE556A">
            <w:pPr>
              <w:spacing w:line="400" w:lineRule="exact"/>
              <w:ind w:left="29" w:hanging="25" w:hangingChars="12"/>
              <w:rPr>
                <w:rFonts w:hint="eastAsia" w:ascii="宋体" w:hAnsi="宋体" w:cs="宋体"/>
                <w:color w:val="auto"/>
                <w:sz w:val="21"/>
                <w:szCs w:val="21"/>
                <w:highlight w:val="none"/>
              </w:rPr>
            </w:pPr>
            <w:r>
              <w:rPr>
                <w:rFonts w:hint="eastAsia" w:ascii="宋体" w:hAnsi="宋体" w:cs="宋体"/>
                <w:color w:val="auto"/>
                <w:sz w:val="21"/>
                <w:szCs w:val="21"/>
                <w:highlight w:val="none"/>
              </w:rPr>
              <w:t>投标文件组成：符合招标文件第二章“投标须知”第八条规定的“投标文件的组成和</w:t>
            </w:r>
            <w:r>
              <w:rPr>
                <w:rFonts w:hint="eastAsia" w:ascii="宋体" w:hAnsi="宋体" w:cs="宋体"/>
                <w:color w:val="auto"/>
                <w:sz w:val="21"/>
                <w:szCs w:val="21"/>
                <w:highlight w:val="none"/>
                <w:lang w:val="en-US" w:eastAsia="zh-CN"/>
              </w:rPr>
              <w:t>份数</w:t>
            </w:r>
            <w:r>
              <w:rPr>
                <w:rFonts w:hint="eastAsia" w:ascii="宋体" w:hAnsi="宋体" w:cs="宋体"/>
                <w:color w:val="auto"/>
                <w:sz w:val="21"/>
                <w:szCs w:val="21"/>
                <w:highlight w:val="none"/>
              </w:rPr>
              <w:t>”。</w:t>
            </w:r>
          </w:p>
        </w:tc>
      </w:tr>
      <w:tr w14:paraId="48C9E77B">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000000" w:sz="6" w:space="0"/>
            </w:tcBorders>
            <w:noWrap w:val="0"/>
            <w:vAlign w:val="center"/>
          </w:tcPr>
          <w:p w14:paraId="2D1150C4">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10</w:t>
            </w:r>
          </w:p>
        </w:tc>
        <w:tc>
          <w:tcPr>
            <w:tcW w:w="4583" w:type="pct"/>
            <w:tcBorders>
              <w:top w:val="single" w:color="auto" w:sz="4" w:space="0"/>
              <w:bottom w:val="single" w:color="000000" w:sz="6" w:space="0"/>
            </w:tcBorders>
            <w:noWrap w:val="0"/>
            <w:vAlign w:val="center"/>
          </w:tcPr>
          <w:p w14:paraId="12AC77C4">
            <w:pPr>
              <w:spacing w:line="400" w:lineRule="exact"/>
              <w:ind w:left="29" w:hanging="25" w:hangingChars="12"/>
              <w:rPr>
                <w:rFonts w:hint="eastAsia" w:ascii="宋体" w:hAnsi="宋体" w:cs="宋体"/>
                <w:color w:val="auto"/>
                <w:sz w:val="21"/>
                <w:szCs w:val="21"/>
                <w:highlight w:val="none"/>
              </w:rPr>
            </w:pPr>
            <w:r>
              <w:rPr>
                <w:rFonts w:hint="eastAsia" w:ascii="宋体" w:hAnsi="宋体" w:cs="宋体"/>
                <w:color w:val="auto"/>
                <w:sz w:val="21"/>
                <w:szCs w:val="21"/>
                <w:highlight w:val="none"/>
              </w:rPr>
              <w:t>投标保证金：无</w:t>
            </w:r>
          </w:p>
        </w:tc>
      </w:tr>
      <w:tr w14:paraId="2516AF4D">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6" w:type="pct"/>
            <w:tcBorders>
              <w:top w:val="single" w:color="auto" w:sz="4" w:space="0"/>
              <w:bottom w:val="single" w:color="auto" w:sz="4" w:space="0"/>
              <w:right w:val="single" w:color="auto" w:sz="4" w:space="0"/>
            </w:tcBorders>
            <w:noWrap w:val="0"/>
            <w:vAlign w:val="center"/>
          </w:tcPr>
          <w:p w14:paraId="0F9E6856">
            <w:pPr>
              <w:spacing w:line="400" w:lineRule="exact"/>
              <w:jc w:val="center"/>
              <w:rPr>
                <w:rFonts w:hint="eastAsia" w:ascii="宋体" w:hAnsi="宋体" w:cs="宋体"/>
                <w:color w:val="auto"/>
                <w:sz w:val="21"/>
                <w:szCs w:val="21"/>
                <w:highlight w:val="none"/>
              </w:rPr>
            </w:pPr>
            <w:r>
              <w:rPr>
                <w:rFonts w:hint="eastAsia"/>
                <w:color w:val="auto"/>
                <w:sz w:val="21"/>
                <w:szCs w:val="21"/>
                <w:highlight w:val="none"/>
                <w:lang w:eastAsia="zh-CN"/>
              </w:rPr>
              <w:t>★</w:t>
            </w:r>
            <w:r>
              <w:rPr>
                <w:rFonts w:hint="eastAsia" w:ascii="宋体" w:hAnsi="宋体" w:cs="宋体"/>
                <w:color w:val="auto"/>
                <w:sz w:val="21"/>
                <w:szCs w:val="21"/>
                <w:highlight w:val="none"/>
              </w:rPr>
              <w:t>11</w:t>
            </w:r>
          </w:p>
        </w:tc>
        <w:tc>
          <w:tcPr>
            <w:tcW w:w="4583" w:type="pct"/>
            <w:tcBorders>
              <w:top w:val="single" w:color="auto" w:sz="4" w:space="0"/>
              <w:left w:val="single" w:color="auto" w:sz="4" w:space="0"/>
              <w:bottom w:val="single" w:color="auto" w:sz="4" w:space="0"/>
            </w:tcBorders>
            <w:noWrap w:val="0"/>
            <w:vAlign w:val="center"/>
          </w:tcPr>
          <w:p w14:paraId="24092E77">
            <w:pPr>
              <w:spacing w:line="400" w:lineRule="exact"/>
              <w:rPr>
                <w:rFonts w:hint="eastAsia" w:ascii="宋体" w:hAnsi="宋体" w:cs="宋体"/>
                <w:i/>
                <w:color w:val="auto"/>
                <w:sz w:val="21"/>
                <w:szCs w:val="21"/>
                <w:highlight w:val="none"/>
              </w:rPr>
            </w:pPr>
            <w:r>
              <w:rPr>
                <w:rFonts w:hint="eastAsia" w:ascii="宋体" w:hAnsi="宋体" w:cs="宋体"/>
                <w:color w:val="auto"/>
                <w:sz w:val="21"/>
                <w:szCs w:val="21"/>
                <w:highlight w:val="none"/>
              </w:rPr>
              <w:t>投标有效期：</w:t>
            </w:r>
            <w:r>
              <w:rPr>
                <w:rFonts w:hint="eastAsia" w:ascii="宋体" w:hAnsi="宋体" w:cs="宋体"/>
                <w:color w:val="auto"/>
                <w:sz w:val="21"/>
                <w:szCs w:val="21"/>
                <w:highlight w:val="none"/>
                <w:u w:val="single"/>
              </w:rPr>
              <w:t xml:space="preserve"> 90 </w:t>
            </w:r>
            <w:r>
              <w:rPr>
                <w:rFonts w:hint="eastAsia" w:ascii="宋体" w:hAnsi="宋体" w:cs="宋体"/>
                <w:color w:val="auto"/>
                <w:sz w:val="21"/>
                <w:szCs w:val="21"/>
                <w:highlight w:val="none"/>
              </w:rPr>
              <w:t>天</w:t>
            </w:r>
          </w:p>
        </w:tc>
      </w:tr>
      <w:tr w14:paraId="5481FB58">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auto" w:sz="4" w:space="0"/>
            </w:tcBorders>
            <w:noWrap w:val="0"/>
            <w:vAlign w:val="center"/>
          </w:tcPr>
          <w:p w14:paraId="56892841">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12</w:t>
            </w:r>
          </w:p>
        </w:tc>
        <w:tc>
          <w:tcPr>
            <w:tcW w:w="4583" w:type="pct"/>
            <w:tcBorders>
              <w:top w:val="single" w:color="auto" w:sz="4" w:space="0"/>
              <w:bottom w:val="single" w:color="auto" w:sz="4" w:space="0"/>
            </w:tcBorders>
            <w:noWrap w:val="0"/>
            <w:vAlign w:val="center"/>
          </w:tcPr>
          <w:p w14:paraId="0C36E873">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投标文件：</w:t>
            </w:r>
          </w:p>
          <w:p w14:paraId="48222919">
            <w:pPr>
              <w:spacing w:line="400" w:lineRule="exact"/>
              <w:rPr>
                <w:rFonts w:hint="eastAsia" w:ascii="宋体" w:hAnsi="宋体" w:cs="宋体"/>
                <w:color w:val="auto"/>
                <w:sz w:val="21"/>
                <w:szCs w:val="21"/>
                <w:highlight w:val="none"/>
              </w:rPr>
            </w:pPr>
            <w:r>
              <w:rPr>
                <w:rFonts w:hint="eastAsia"/>
                <w:color w:val="auto"/>
                <w:sz w:val="21"/>
                <w:szCs w:val="21"/>
                <w:highlight w:val="none"/>
                <w:lang w:eastAsia="zh-CN"/>
              </w:rPr>
              <w:t>★</w:t>
            </w:r>
            <w:r>
              <w:rPr>
                <w:rFonts w:hint="eastAsia" w:ascii="宋体" w:hAnsi="宋体" w:cs="宋体"/>
                <w:color w:val="auto"/>
                <w:sz w:val="21"/>
                <w:szCs w:val="21"/>
                <w:highlight w:val="none"/>
              </w:rPr>
              <w:t>1、上传到政府采购云平台的电子投标文件（含</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、商务技术文件、报价文件）1份。</w:t>
            </w:r>
          </w:p>
          <w:p w14:paraId="0E3558F7">
            <w:pPr>
              <w:spacing w:line="400" w:lineRule="exact"/>
              <w:rPr>
                <w:rFonts w:hint="eastAsia" w:ascii="宋体" w:hAnsi="宋体" w:cs="宋体"/>
                <w:i/>
                <w:color w:val="auto"/>
                <w:sz w:val="21"/>
                <w:szCs w:val="21"/>
                <w:highlight w:val="none"/>
              </w:rPr>
            </w:pPr>
            <w:r>
              <w:rPr>
                <w:rFonts w:hint="eastAsia" w:ascii="宋体" w:hAnsi="宋体" w:cs="宋体"/>
                <w:color w:val="auto"/>
                <w:sz w:val="21"/>
                <w:szCs w:val="21"/>
                <w:highlight w:val="none"/>
              </w:rPr>
              <w:t>2、以U盘存储的电子备份投标文件（含</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、商务技术文件、报价文件）1份（自愿提供，用于异常情况处理）。</w:t>
            </w:r>
          </w:p>
        </w:tc>
      </w:tr>
      <w:tr w14:paraId="4881DF21">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auto" w:sz="4" w:space="0"/>
            </w:tcBorders>
            <w:noWrap w:val="0"/>
            <w:vAlign w:val="center"/>
          </w:tcPr>
          <w:p w14:paraId="5FE27AAB">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13</w:t>
            </w:r>
          </w:p>
        </w:tc>
        <w:tc>
          <w:tcPr>
            <w:tcW w:w="4583" w:type="pct"/>
            <w:tcBorders>
              <w:top w:val="single" w:color="auto" w:sz="4" w:space="0"/>
              <w:bottom w:val="single" w:color="auto" w:sz="4" w:space="0"/>
            </w:tcBorders>
            <w:noWrap w:val="0"/>
            <w:vAlign w:val="center"/>
          </w:tcPr>
          <w:p w14:paraId="6376C14E">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投标截止时间及地点：详见第一章 招标公告。</w:t>
            </w:r>
          </w:p>
        </w:tc>
      </w:tr>
      <w:tr w14:paraId="7937CEFB">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auto" w:sz="4" w:space="0"/>
            </w:tcBorders>
            <w:noWrap w:val="0"/>
            <w:vAlign w:val="center"/>
          </w:tcPr>
          <w:p w14:paraId="46D761C9">
            <w:pPr>
              <w:spacing w:line="400" w:lineRule="exact"/>
              <w:jc w:val="center"/>
              <w:rPr>
                <w:rFonts w:hint="eastAsia" w:ascii="宋体" w:hAnsi="宋体" w:cs="宋体"/>
                <w:color w:val="auto"/>
                <w:sz w:val="21"/>
                <w:szCs w:val="21"/>
                <w:highlight w:val="none"/>
              </w:rPr>
            </w:pPr>
            <w:bookmarkStart w:id="23" w:name="_Toc479861548"/>
            <w:bookmarkStart w:id="24" w:name="_Toc137008679"/>
            <w:r>
              <w:rPr>
                <w:rFonts w:hint="eastAsia" w:ascii="宋体" w:hAnsi="宋体" w:cs="宋体"/>
                <w:color w:val="auto"/>
                <w:sz w:val="21"/>
                <w:szCs w:val="21"/>
                <w:highlight w:val="none"/>
              </w:rPr>
              <w:t>14</w:t>
            </w:r>
          </w:p>
        </w:tc>
        <w:tc>
          <w:tcPr>
            <w:tcW w:w="4583" w:type="pct"/>
            <w:tcBorders>
              <w:top w:val="single" w:color="auto" w:sz="4" w:space="0"/>
              <w:bottom w:val="single" w:color="auto" w:sz="4" w:space="0"/>
            </w:tcBorders>
            <w:noWrap w:val="0"/>
            <w:vAlign w:val="center"/>
          </w:tcPr>
          <w:p w14:paraId="3D047ED6">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开标时间及地点：详见第一章 招标公告。</w:t>
            </w:r>
          </w:p>
        </w:tc>
      </w:tr>
      <w:tr w14:paraId="5BA3382D">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noWrap w:val="0"/>
            <w:vAlign w:val="center"/>
          </w:tcPr>
          <w:p w14:paraId="1217707E">
            <w:pPr>
              <w:spacing w:line="400" w:lineRule="exact"/>
              <w:jc w:val="center"/>
              <w:outlineLvl w:val="1"/>
              <w:rPr>
                <w:rFonts w:hint="eastAsia" w:ascii="宋体" w:hAnsi="宋体" w:cs="宋体"/>
                <w:b/>
                <w:color w:val="auto"/>
                <w:sz w:val="21"/>
                <w:szCs w:val="21"/>
                <w:highlight w:val="none"/>
              </w:rPr>
            </w:pPr>
            <w:bookmarkStart w:id="25" w:name="_Toc6796"/>
            <w:bookmarkStart w:id="26" w:name="_Toc14428"/>
            <w:bookmarkStart w:id="27" w:name="_Toc105900518"/>
            <w:r>
              <w:rPr>
                <w:rFonts w:hint="eastAsia" w:ascii="宋体" w:hAnsi="宋体" w:cs="宋体"/>
                <w:b/>
                <w:color w:val="auto"/>
                <w:sz w:val="21"/>
                <w:szCs w:val="21"/>
                <w:highlight w:val="none"/>
              </w:rPr>
              <w:t>商务要求条款</w:t>
            </w:r>
            <w:bookmarkEnd w:id="23"/>
            <w:bookmarkEnd w:id="24"/>
            <w:bookmarkEnd w:id="25"/>
            <w:bookmarkEnd w:id="26"/>
            <w:bookmarkEnd w:id="27"/>
          </w:p>
        </w:tc>
      </w:tr>
      <w:tr w14:paraId="4BD3227D">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6" w:type="pct"/>
            <w:tcBorders>
              <w:top w:val="single" w:color="auto" w:sz="4" w:space="0"/>
              <w:bottom w:val="single" w:color="auto" w:sz="4" w:space="0"/>
              <w:right w:val="single" w:color="auto" w:sz="4" w:space="0"/>
            </w:tcBorders>
            <w:noWrap w:val="0"/>
            <w:vAlign w:val="center"/>
          </w:tcPr>
          <w:p w14:paraId="69D30962">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15</w:t>
            </w:r>
          </w:p>
        </w:tc>
        <w:tc>
          <w:tcPr>
            <w:tcW w:w="4583" w:type="pct"/>
            <w:tcBorders>
              <w:top w:val="single" w:color="auto" w:sz="4" w:space="0"/>
              <w:left w:val="single" w:color="auto" w:sz="4" w:space="0"/>
              <w:bottom w:val="single" w:color="auto" w:sz="4" w:space="0"/>
            </w:tcBorders>
            <w:noWrap w:val="0"/>
            <w:vAlign w:val="center"/>
          </w:tcPr>
          <w:p w14:paraId="4BC26D30">
            <w:pPr>
              <w:widowControl/>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lang w:bidi="ar"/>
              </w:rPr>
              <w:t>交货期：</w:t>
            </w:r>
            <w:r>
              <w:rPr>
                <w:rFonts w:hint="eastAsia" w:ascii="宋体" w:hAnsi="宋体" w:cs="宋体"/>
                <w:color w:val="auto"/>
                <w:sz w:val="21"/>
                <w:szCs w:val="21"/>
                <w:highlight w:val="none"/>
                <w:lang w:eastAsia="zh-CN"/>
              </w:rPr>
              <w:t>合同签订之日后</w:t>
            </w:r>
            <w:r>
              <w:rPr>
                <w:rFonts w:hint="eastAsia" w:ascii="宋体" w:hAnsi="宋体" w:cs="宋体"/>
                <w:color w:val="auto"/>
                <w:sz w:val="21"/>
                <w:szCs w:val="21"/>
                <w:highlight w:val="none"/>
                <w:lang w:val="en-US" w:eastAsia="zh-CN"/>
              </w:rPr>
              <w:t>40</w:t>
            </w:r>
            <w:r>
              <w:rPr>
                <w:rFonts w:hint="eastAsia" w:ascii="宋体" w:hAnsi="宋体" w:cs="宋体"/>
                <w:color w:val="auto"/>
                <w:sz w:val="21"/>
                <w:szCs w:val="21"/>
                <w:highlight w:val="none"/>
                <w:lang w:eastAsia="zh-CN"/>
              </w:rPr>
              <w:t>日历天内交货并安装完毕。</w:t>
            </w:r>
          </w:p>
        </w:tc>
      </w:tr>
      <w:tr w14:paraId="23DB122A">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6" w:type="pct"/>
            <w:tcBorders>
              <w:top w:val="single" w:color="auto" w:sz="4" w:space="0"/>
              <w:bottom w:val="single" w:color="auto" w:sz="4" w:space="0"/>
              <w:right w:val="single" w:color="auto" w:sz="4" w:space="0"/>
            </w:tcBorders>
            <w:noWrap w:val="0"/>
            <w:vAlign w:val="center"/>
          </w:tcPr>
          <w:p w14:paraId="5F6FB18D">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16</w:t>
            </w:r>
          </w:p>
        </w:tc>
        <w:tc>
          <w:tcPr>
            <w:tcW w:w="4583" w:type="pct"/>
            <w:tcBorders>
              <w:top w:val="single" w:color="auto" w:sz="4" w:space="0"/>
              <w:left w:val="single" w:color="auto" w:sz="4" w:space="0"/>
              <w:bottom w:val="single" w:color="auto" w:sz="4" w:space="0"/>
            </w:tcBorders>
            <w:noWrap w:val="0"/>
            <w:vAlign w:val="center"/>
          </w:tcPr>
          <w:p w14:paraId="75D09BE7">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交货地点：</w:t>
            </w:r>
            <w:r>
              <w:rPr>
                <w:rFonts w:hint="eastAsia" w:ascii="宋体" w:hAnsi="宋体" w:cs="宋体"/>
                <w:color w:val="auto"/>
                <w:kern w:val="0"/>
                <w:sz w:val="21"/>
                <w:szCs w:val="21"/>
                <w:highlight w:val="none"/>
                <w:lang w:eastAsia="zh-CN" w:bidi="ar"/>
              </w:rPr>
              <w:t>宁波高新区求精书院</w:t>
            </w:r>
            <w:r>
              <w:rPr>
                <w:rFonts w:hint="eastAsia" w:ascii="宋体" w:hAnsi="宋体" w:cs="宋体"/>
                <w:color w:val="auto"/>
                <w:kern w:val="0"/>
                <w:sz w:val="21"/>
                <w:szCs w:val="21"/>
                <w:highlight w:val="none"/>
                <w:lang w:bidi="ar"/>
              </w:rPr>
              <w:t>（具体由招标人指定）。</w:t>
            </w:r>
          </w:p>
        </w:tc>
      </w:tr>
      <w:tr w14:paraId="2E102FBD">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trHeight w:val="454" w:hRule="atLeast"/>
          <w:jc w:val="center"/>
        </w:trPr>
        <w:tc>
          <w:tcPr>
            <w:tcW w:w="416" w:type="pct"/>
            <w:tcBorders>
              <w:top w:val="single" w:color="auto" w:sz="4" w:space="0"/>
              <w:bottom w:val="single" w:color="auto" w:sz="4" w:space="0"/>
            </w:tcBorders>
            <w:noWrap w:val="0"/>
            <w:vAlign w:val="center"/>
          </w:tcPr>
          <w:p w14:paraId="410E1926">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17</w:t>
            </w:r>
          </w:p>
        </w:tc>
        <w:tc>
          <w:tcPr>
            <w:tcW w:w="4583" w:type="pct"/>
            <w:tcBorders>
              <w:top w:val="single" w:color="auto" w:sz="4" w:space="0"/>
              <w:bottom w:val="single" w:color="auto" w:sz="4" w:space="0"/>
            </w:tcBorders>
            <w:noWrap w:val="0"/>
            <w:vAlign w:val="center"/>
          </w:tcPr>
          <w:p w14:paraId="50A3C0DA">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质量标准：达到国家相关质量验收标准。</w:t>
            </w:r>
          </w:p>
        </w:tc>
      </w:tr>
      <w:tr w14:paraId="222CD5A6">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6" w:type="pct"/>
            <w:tcBorders>
              <w:top w:val="single" w:color="auto" w:sz="4" w:space="0"/>
              <w:bottom w:val="single" w:color="auto" w:sz="4" w:space="0"/>
              <w:right w:val="single" w:color="auto" w:sz="4" w:space="0"/>
            </w:tcBorders>
            <w:noWrap w:val="0"/>
            <w:vAlign w:val="center"/>
          </w:tcPr>
          <w:p w14:paraId="7E42BF7B">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18</w:t>
            </w:r>
          </w:p>
        </w:tc>
        <w:tc>
          <w:tcPr>
            <w:tcW w:w="4583" w:type="pct"/>
            <w:tcBorders>
              <w:top w:val="single" w:color="auto" w:sz="4" w:space="0"/>
              <w:left w:val="single" w:color="auto" w:sz="4" w:space="0"/>
              <w:bottom w:val="single" w:color="auto" w:sz="4" w:space="0"/>
            </w:tcBorders>
            <w:noWrap w:val="0"/>
            <w:vAlign w:val="center"/>
          </w:tcPr>
          <w:p w14:paraId="53BC05CF">
            <w:pPr>
              <w:widowControl/>
              <w:jc w:val="left"/>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质量保证期（或保修期）：从货物验收合格之日起</w:t>
            </w:r>
            <w:r>
              <w:rPr>
                <w:rFonts w:hint="eastAsia" w:ascii="宋体" w:hAnsi="宋体" w:cs="宋体"/>
                <w:color w:val="000000"/>
                <w:kern w:val="0"/>
                <w:sz w:val="21"/>
                <w:szCs w:val="21"/>
                <w:highlight w:val="none"/>
                <w:lang w:val="en-US" w:eastAsia="zh-CN" w:bidi="ar"/>
              </w:rPr>
              <w:t>24</w:t>
            </w:r>
            <w:r>
              <w:rPr>
                <w:rFonts w:hint="eastAsia" w:ascii="宋体" w:hAnsi="宋体" w:cs="宋体"/>
                <w:color w:val="000000"/>
                <w:kern w:val="0"/>
                <w:sz w:val="21"/>
                <w:szCs w:val="21"/>
                <w:highlight w:val="none"/>
                <w:lang w:bidi="ar"/>
              </w:rPr>
              <w:t>个月；</w:t>
            </w:r>
          </w:p>
          <w:p w14:paraId="012B2D96">
            <w:pPr>
              <w:widowControl/>
              <w:jc w:val="left"/>
              <w:textAlignment w:val="center"/>
              <w:rPr>
                <w:rFonts w:hint="eastAsia" w:ascii="宋体" w:hAnsi="宋体" w:cs="宋体"/>
                <w:color w:val="000000"/>
                <w:kern w:val="0"/>
                <w:sz w:val="21"/>
                <w:szCs w:val="21"/>
                <w:highlight w:val="none"/>
                <w:lang w:bidi="ar"/>
              </w:rPr>
            </w:pPr>
            <w:r>
              <w:rPr>
                <w:rFonts w:hint="eastAsia" w:ascii="宋体" w:hAnsi="宋体" w:cs="宋体"/>
                <w:color w:val="000000"/>
                <w:kern w:val="0"/>
                <w:sz w:val="21"/>
                <w:szCs w:val="21"/>
                <w:highlight w:val="none"/>
                <w:lang w:bidi="ar"/>
              </w:rPr>
              <w:t>质保期内被免费更换的零部件质量保证：自更换之日起计</w:t>
            </w:r>
            <w:r>
              <w:rPr>
                <w:rFonts w:hint="eastAsia" w:ascii="宋体" w:hAnsi="宋体" w:cs="宋体"/>
                <w:color w:val="000000"/>
                <w:kern w:val="0"/>
                <w:sz w:val="21"/>
                <w:szCs w:val="21"/>
                <w:highlight w:val="none"/>
                <w:lang w:val="en-US" w:eastAsia="zh-CN" w:bidi="ar"/>
              </w:rPr>
              <w:t>24</w:t>
            </w:r>
            <w:r>
              <w:rPr>
                <w:rFonts w:hint="eastAsia" w:ascii="宋体" w:hAnsi="宋体" w:cs="宋体"/>
                <w:color w:val="000000"/>
                <w:kern w:val="0"/>
                <w:sz w:val="21"/>
                <w:szCs w:val="21"/>
                <w:highlight w:val="none"/>
                <w:lang w:bidi="ar"/>
              </w:rPr>
              <w:t>个月；</w:t>
            </w:r>
          </w:p>
          <w:p w14:paraId="5089DF31">
            <w:pPr>
              <w:widowControl/>
              <w:jc w:val="left"/>
              <w:textAlignment w:val="center"/>
              <w:rPr>
                <w:rFonts w:hint="eastAsia" w:ascii="宋体" w:hAnsi="宋体" w:cs="宋体"/>
                <w:color w:val="auto"/>
                <w:sz w:val="21"/>
                <w:szCs w:val="21"/>
                <w:highlight w:val="none"/>
              </w:rPr>
            </w:pPr>
            <w:r>
              <w:rPr>
                <w:rFonts w:hint="eastAsia" w:ascii="宋体" w:hAnsi="宋体" w:cs="宋体"/>
                <w:color w:val="000000"/>
                <w:kern w:val="0"/>
                <w:sz w:val="21"/>
                <w:szCs w:val="21"/>
                <w:highlight w:val="none"/>
                <w:lang w:bidi="ar"/>
              </w:rPr>
              <w:t>中标供应商应保证合同项下所发产品完全是崭新的未曾使用过的且所有部件的生产日期为近一年内。在质量保证期内，中标供应商应负责修理和替换不合格的部件并承担一切费用，包括部件调换的内陆运输费用，急用部件应免费空运。</w:t>
            </w:r>
          </w:p>
        </w:tc>
      </w:tr>
      <w:tr w14:paraId="141DE062">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6" w:type="pct"/>
            <w:tcBorders>
              <w:top w:val="single" w:color="auto" w:sz="4" w:space="0"/>
              <w:bottom w:val="single" w:color="auto" w:sz="4" w:space="0"/>
              <w:right w:val="single" w:color="auto" w:sz="4" w:space="0"/>
            </w:tcBorders>
            <w:noWrap w:val="0"/>
            <w:vAlign w:val="center"/>
          </w:tcPr>
          <w:p w14:paraId="1FDA7450">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19</w:t>
            </w:r>
          </w:p>
        </w:tc>
        <w:tc>
          <w:tcPr>
            <w:tcW w:w="4583" w:type="pct"/>
            <w:tcBorders>
              <w:top w:val="single" w:color="auto" w:sz="4" w:space="0"/>
              <w:left w:val="single" w:color="auto" w:sz="4" w:space="0"/>
              <w:bottom w:val="single" w:color="auto" w:sz="4" w:space="0"/>
            </w:tcBorders>
            <w:noWrap w:val="0"/>
            <w:vAlign w:val="center"/>
          </w:tcPr>
          <w:p w14:paraId="7BD42CEA">
            <w:pPr>
              <w:widowControl/>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kern w:val="0"/>
                <w:sz w:val="21"/>
                <w:szCs w:val="21"/>
                <w:highlight w:val="none"/>
                <w:lang w:bidi="ar"/>
              </w:rPr>
              <w:t>履约保证金：</w:t>
            </w:r>
            <w:r>
              <w:rPr>
                <w:rFonts w:hint="eastAsia" w:ascii="宋体" w:hAnsi="宋体" w:cs="宋体"/>
                <w:color w:val="auto"/>
                <w:kern w:val="0"/>
                <w:sz w:val="21"/>
                <w:szCs w:val="21"/>
                <w:highlight w:val="none"/>
                <w:lang w:val="en-US" w:eastAsia="zh-CN" w:bidi="ar"/>
              </w:rPr>
              <w:t>/</w:t>
            </w:r>
          </w:p>
        </w:tc>
      </w:tr>
      <w:tr w14:paraId="512E5BB8">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6" w:type="pct"/>
            <w:tcBorders>
              <w:top w:val="single" w:color="auto" w:sz="4" w:space="0"/>
              <w:bottom w:val="single" w:color="auto" w:sz="4" w:space="0"/>
              <w:right w:val="single" w:color="auto" w:sz="4" w:space="0"/>
            </w:tcBorders>
            <w:noWrap w:val="0"/>
            <w:vAlign w:val="center"/>
          </w:tcPr>
          <w:p w14:paraId="5CF6AF42">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20</w:t>
            </w:r>
          </w:p>
        </w:tc>
        <w:tc>
          <w:tcPr>
            <w:tcW w:w="4583" w:type="pct"/>
            <w:tcBorders>
              <w:top w:val="single" w:color="auto" w:sz="4" w:space="0"/>
              <w:left w:val="single" w:color="auto" w:sz="4" w:space="0"/>
              <w:bottom w:val="single" w:color="auto" w:sz="4" w:space="0"/>
            </w:tcBorders>
            <w:noWrap w:val="0"/>
            <w:vAlign w:val="center"/>
          </w:tcPr>
          <w:p w14:paraId="11D11DC5">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付款方法和条件：</w:t>
            </w:r>
          </w:p>
          <w:p w14:paraId="556795E6">
            <w:pPr>
              <w:widowControl/>
              <w:jc w:val="left"/>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（1）合同签订生效并具备实施条件后7个工作日内，招标人预付合同总价的40%；</w:t>
            </w:r>
          </w:p>
          <w:p w14:paraId="6C05504F">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（2）项目调试安装完毕经招标人验收合格后，招标人自收到发票后7个工作日内支付中标供应商合同总价的60%。</w:t>
            </w:r>
          </w:p>
        </w:tc>
      </w:tr>
      <w:tr w14:paraId="3AEF854B">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6" w:type="pct"/>
            <w:tcBorders>
              <w:top w:val="single" w:color="auto" w:sz="4" w:space="0"/>
              <w:bottom w:val="single" w:color="auto" w:sz="4" w:space="0"/>
              <w:right w:val="single" w:color="auto" w:sz="4" w:space="0"/>
            </w:tcBorders>
            <w:noWrap w:val="0"/>
            <w:vAlign w:val="center"/>
          </w:tcPr>
          <w:p w14:paraId="44F9A10F">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21</w:t>
            </w:r>
          </w:p>
        </w:tc>
        <w:tc>
          <w:tcPr>
            <w:tcW w:w="4583" w:type="pct"/>
            <w:tcBorders>
              <w:top w:val="single" w:color="auto" w:sz="4" w:space="0"/>
              <w:left w:val="single" w:color="auto" w:sz="4" w:space="0"/>
              <w:bottom w:val="single" w:color="auto" w:sz="4" w:space="0"/>
            </w:tcBorders>
            <w:noWrap w:val="0"/>
            <w:vAlign w:val="center"/>
          </w:tcPr>
          <w:p w14:paraId="25EE9505">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授予合同：按照招标文件的规定、中标供应商的投标响应及中标通知书确定的金额签订合同。</w:t>
            </w:r>
          </w:p>
        </w:tc>
      </w:tr>
      <w:tr w14:paraId="427B0AD9">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6" w:type="pct"/>
            <w:tcBorders>
              <w:top w:val="single" w:color="auto" w:sz="4" w:space="0"/>
              <w:bottom w:val="single" w:color="auto" w:sz="4" w:space="0"/>
              <w:right w:val="single" w:color="auto" w:sz="4" w:space="0"/>
            </w:tcBorders>
            <w:noWrap w:val="0"/>
            <w:vAlign w:val="center"/>
          </w:tcPr>
          <w:p w14:paraId="1059AC6E">
            <w:pPr>
              <w:spacing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22</w:t>
            </w:r>
          </w:p>
        </w:tc>
        <w:tc>
          <w:tcPr>
            <w:tcW w:w="4583" w:type="pct"/>
            <w:tcBorders>
              <w:top w:val="single" w:color="auto" w:sz="4" w:space="0"/>
              <w:left w:val="single" w:color="auto" w:sz="4" w:space="0"/>
              <w:bottom w:val="single" w:color="auto" w:sz="4" w:space="0"/>
            </w:tcBorders>
            <w:noWrap w:val="0"/>
            <w:vAlign w:val="center"/>
          </w:tcPr>
          <w:p w14:paraId="12843046">
            <w:pPr>
              <w:widowControl/>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合同签订时间要求：中标通知书发出后30日内签订。</w:t>
            </w:r>
          </w:p>
        </w:tc>
      </w:tr>
      <w:tr w14:paraId="4543C81F">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6" w:type="pct"/>
            <w:tcBorders>
              <w:top w:val="single" w:color="auto" w:sz="4" w:space="0"/>
              <w:bottom w:val="single" w:color="auto" w:sz="4" w:space="0"/>
              <w:right w:val="single" w:color="auto" w:sz="4" w:space="0"/>
            </w:tcBorders>
            <w:noWrap w:val="0"/>
            <w:vAlign w:val="center"/>
          </w:tcPr>
          <w:p w14:paraId="23D92AF5">
            <w:pPr>
              <w:spacing w:line="400" w:lineRule="exact"/>
              <w:jc w:val="center"/>
              <w:rPr>
                <w:rFonts w:hint="default" w:ascii="宋体" w:hAnsi="宋体" w:eastAsia="宋体" w:cs="宋体"/>
                <w:color w:val="auto"/>
                <w:sz w:val="18"/>
                <w:szCs w:val="18"/>
                <w:highlight w:val="none"/>
                <w:lang w:val="en-US" w:eastAsia="zh-CN"/>
              </w:rPr>
            </w:pPr>
            <w:bookmarkStart w:id="28" w:name="_Toc26471"/>
            <w:bookmarkStart w:id="29" w:name="_Toc137008681"/>
            <w:bookmarkStart w:id="30" w:name="_Toc479861549"/>
            <w:bookmarkStart w:id="31" w:name="_Toc11875"/>
            <w:bookmarkStart w:id="32" w:name="_Toc105900519"/>
            <w:r>
              <w:rPr>
                <w:rFonts w:hint="eastAsia" w:ascii="宋体" w:hAnsi="宋体" w:cs="宋体"/>
                <w:color w:val="auto"/>
                <w:sz w:val="18"/>
                <w:szCs w:val="18"/>
                <w:highlight w:val="none"/>
                <w:lang w:val="en-US" w:eastAsia="zh-CN"/>
              </w:rPr>
              <w:t>23</w:t>
            </w:r>
          </w:p>
        </w:tc>
        <w:tc>
          <w:tcPr>
            <w:tcW w:w="4583" w:type="pct"/>
            <w:tcBorders>
              <w:top w:val="single" w:color="auto" w:sz="4" w:space="0"/>
              <w:left w:val="single" w:color="auto" w:sz="4" w:space="0"/>
              <w:bottom w:val="single" w:color="auto" w:sz="4" w:space="0"/>
            </w:tcBorders>
            <w:noWrap w:val="0"/>
            <w:vAlign w:val="center"/>
          </w:tcPr>
          <w:p w14:paraId="6C549E86">
            <w:pPr>
              <w:widowControl/>
              <w:jc w:val="left"/>
              <w:textAlignment w:val="center"/>
              <w:rPr>
                <w:rFonts w:hint="eastAsia" w:ascii="宋体" w:hAnsi="宋体" w:eastAsia="宋体" w:cs="宋体"/>
                <w:sz w:val="18"/>
                <w:szCs w:val="18"/>
                <w:highlight w:val="none"/>
                <w:lang w:val="en-US" w:eastAsia="zh-CN" w:bidi="ar-SA"/>
              </w:rPr>
            </w:pPr>
            <w:r>
              <w:rPr>
                <w:rFonts w:hint="eastAsia" w:ascii="宋体" w:hAnsi="宋体" w:eastAsia="宋体" w:cs="宋体"/>
                <w:color w:val="auto"/>
                <w:sz w:val="21"/>
                <w:szCs w:val="21"/>
                <w:highlight w:val="none"/>
                <w:lang w:val="en-US" w:eastAsia="zh-CN"/>
              </w:rPr>
              <w:t>搬运安装过程中造成原建筑设施、室外道路、绿化、墙体、门窗、锁具等损坏及下水道堵塞的，由中标供应商进行修复或按实赔偿，或由采购人委托第三方修复，所产生费用由中标供应商支付。</w:t>
            </w:r>
          </w:p>
        </w:tc>
      </w:tr>
      <w:tr w14:paraId="55514DF0">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noWrap w:val="0"/>
            <w:vAlign w:val="center"/>
          </w:tcPr>
          <w:p w14:paraId="335ECA63">
            <w:pPr>
              <w:widowControl/>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其他注意事项</w:t>
            </w:r>
          </w:p>
        </w:tc>
      </w:tr>
      <w:tr w14:paraId="5D2D71B0">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416" w:type="pct"/>
            <w:tcBorders>
              <w:top w:val="single" w:color="auto" w:sz="4" w:space="0"/>
              <w:bottom w:val="single" w:color="auto" w:sz="4" w:space="0"/>
              <w:right w:val="single" w:color="auto" w:sz="4" w:space="0"/>
            </w:tcBorders>
            <w:shd w:val="clear" w:color="auto" w:fill="auto"/>
            <w:noWrap w:val="0"/>
            <w:vAlign w:val="center"/>
          </w:tcPr>
          <w:p w14:paraId="637F89FF">
            <w:pPr>
              <w:spacing w:line="400" w:lineRule="exact"/>
              <w:jc w:val="center"/>
              <w:rPr>
                <w:rFonts w:hint="eastAsia" w:ascii="宋体" w:hAnsi="宋体" w:eastAsia="宋体" w:cs="宋体"/>
                <w:color w:val="auto"/>
                <w:sz w:val="18"/>
                <w:szCs w:val="18"/>
                <w:highlight w:val="none"/>
                <w:lang w:val="en-US" w:eastAsia="zh-CN" w:bidi="ar-SA"/>
              </w:rPr>
            </w:pPr>
            <w:r>
              <w:rPr>
                <w:rFonts w:hint="eastAsia" w:ascii="宋体" w:hAnsi="宋体" w:cs="宋体"/>
                <w:color w:val="auto"/>
                <w:sz w:val="18"/>
                <w:szCs w:val="18"/>
                <w:highlight w:val="none"/>
                <w:lang w:val="en-US" w:eastAsia="zh-CN"/>
              </w:rPr>
              <w:t>24</w:t>
            </w:r>
          </w:p>
        </w:tc>
        <w:tc>
          <w:tcPr>
            <w:tcW w:w="4583" w:type="pct"/>
            <w:tcBorders>
              <w:top w:val="single" w:color="auto" w:sz="4" w:space="0"/>
              <w:left w:val="single" w:color="auto" w:sz="4" w:space="0"/>
              <w:bottom w:val="single" w:color="auto" w:sz="4" w:space="0"/>
            </w:tcBorders>
            <w:shd w:val="clear" w:color="auto" w:fill="auto"/>
            <w:noWrap w:val="0"/>
            <w:vAlign w:val="center"/>
          </w:tcPr>
          <w:p w14:paraId="1A9A80ED">
            <w:pPr>
              <w:widowControl/>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①投标人应遵循诚实信用原则在投标（响应）文件中提供真实材料。投标人应事先在公开官网查询、核对相关证书和报告内容，确保投标（响应）文件资料准确无误。</w:t>
            </w:r>
          </w:p>
          <w:p w14:paraId="044DE562">
            <w:pPr>
              <w:widowControl/>
              <w:jc w:val="left"/>
              <w:textAlignment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②在评审结束后、合同签订前，采购人、采购代理机构将通过网站查询、原件核对等方式对中标（成交）供应商在投标（响应）文件中涉及客观分评审内容的检测报告、认证证书等资料的真实性进行复核。发现投标人提供虚假材料的，将及时书面报告本级财政部门，由财政部门依法进行处理。</w:t>
            </w:r>
          </w:p>
        </w:tc>
      </w:tr>
      <w:tr w14:paraId="2F386019">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noWrap w:val="0"/>
            <w:vAlign w:val="center"/>
          </w:tcPr>
          <w:p w14:paraId="0C8104FE">
            <w:pPr>
              <w:spacing w:line="400" w:lineRule="exact"/>
              <w:jc w:val="center"/>
              <w:outlineLvl w:val="1"/>
              <w:rPr>
                <w:rFonts w:hint="eastAsia" w:ascii="宋体" w:hAnsi="宋体" w:cs="宋体"/>
                <w:color w:val="auto"/>
                <w:sz w:val="21"/>
                <w:szCs w:val="21"/>
                <w:highlight w:val="none"/>
              </w:rPr>
            </w:pPr>
            <w:r>
              <w:rPr>
                <w:rFonts w:hint="eastAsia" w:ascii="宋体" w:hAnsi="宋体" w:cs="宋体"/>
                <w:b/>
                <w:color w:val="auto"/>
                <w:sz w:val="21"/>
                <w:szCs w:val="21"/>
                <w:highlight w:val="none"/>
              </w:rPr>
              <w:t>招标服务费</w:t>
            </w:r>
            <w:bookmarkEnd w:id="28"/>
            <w:bookmarkEnd w:id="29"/>
            <w:bookmarkEnd w:id="30"/>
            <w:bookmarkEnd w:id="31"/>
            <w:bookmarkEnd w:id="32"/>
          </w:p>
        </w:tc>
      </w:tr>
      <w:tr w14:paraId="1355C1D3">
        <w:tblPrEx>
          <w:tblBorders>
            <w:top w:val="single" w:color="000000" w:sz="12" w:space="0"/>
            <w:left w:val="single" w:color="000000" w:sz="12" w:space="0"/>
            <w:bottom w:val="single" w:color="000000" w:sz="12" w:space="0"/>
            <w:right w:val="single" w:color="000000" w:sz="12" w:space="0"/>
            <w:insideH w:val="none" w:color="auto" w:sz="0" w:space="0"/>
            <w:insideV w:val="single" w:color="000000" w:sz="6" w:space="0"/>
          </w:tblBorders>
          <w:tblCellMar>
            <w:top w:w="0" w:type="dxa"/>
            <w:left w:w="108" w:type="dxa"/>
            <w:bottom w:w="0" w:type="dxa"/>
            <w:right w:w="108" w:type="dxa"/>
          </w:tblCellMar>
        </w:tblPrEx>
        <w:trPr>
          <w:cantSplit/>
          <w:trHeight w:val="454" w:hRule="atLeast"/>
          <w:jc w:val="center"/>
        </w:trPr>
        <w:tc>
          <w:tcPr>
            <w:tcW w:w="5000" w:type="pct"/>
            <w:gridSpan w:val="2"/>
            <w:tcBorders>
              <w:top w:val="single" w:color="auto" w:sz="4" w:space="0"/>
              <w:bottom w:val="single" w:color="auto" w:sz="4" w:space="0"/>
            </w:tcBorders>
            <w:noWrap w:val="0"/>
            <w:vAlign w:val="center"/>
          </w:tcPr>
          <w:p w14:paraId="12C26612">
            <w:pPr>
              <w:spacing w:line="400" w:lineRule="exac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本项目</w:t>
            </w:r>
            <w:r>
              <w:rPr>
                <w:rFonts w:hint="eastAsia" w:ascii="宋体" w:hAnsi="宋体" w:cs="宋体"/>
                <w:color w:val="auto"/>
                <w:sz w:val="21"/>
                <w:szCs w:val="21"/>
                <w:highlight w:val="none"/>
              </w:rPr>
              <w:t>向中标供应商收取招标服务费：</w:t>
            </w:r>
            <w:r>
              <w:rPr>
                <w:rFonts w:hint="eastAsia" w:ascii="宋体" w:hAnsi="宋体" w:cs="宋体"/>
                <w:color w:val="auto"/>
                <w:sz w:val="21"/>
                <w:szCs w:val="21"/>
                <w:highlight w:val="none"/>
                <w:lang w:val="en-US" w:eastAsia="zh-CN"/>
              </w:rPr>
              <w:t>8600</w:t>
            </w:r>
            <w:r>
              <w:rPr>
                <w:rFonts w:hint="eastAsia" w:ascii="宋体" w:hAnsi="宋体" w:cs="宋体"/>
                <w:color w:val="auto"/>
                <w:sz w:val="21"/>
                <w:szCs w:val="21"/>
                <w:highlight w:val="none"/>
              </w:rPr>
              <w:t>.00</w:t>
            </w:r>
            <w:r>
              <w:rPr>
                <w:rFonts w:hint="eastAsia" w:ascii="宋体" w:hAnsi="宋体" w:cs="宋体"/>
                <w:color w:val="auto"/>
                <w:sz w:val="21"/>
                <w:szCs w:val="21"/>
                <w:highlight w:val="none"/>
                <w:lang w:val="en-US" w:eastAsia="zh-CN"/>
              </w:rPr>
              <w:t>元</w:t>
            </w:r>
          </w:p>
          <w:p w14:paraId="62147DBC">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2、中标供应商应在代理机构发出中标通知书5个工作日内向本代理机构支付招标代理服务费。</w:t>
            </w:r>
          </w:p>
          <w:p w14:paraId="328C620C">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3、招标代理服务费收取银行票汇款、电汇款。</w:t>
            </w:r>
          </w:p>
          <w:p w14:paraId="3F9877C8">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账户名称：宁波市国际招标有限公司</w:t>
            </w:r>
          </w:p>
          <w:p w14:paraId="0677A7D3">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开户银行：上海浦东发展银行江北支行</w:t>
            </w:r>
          </w:p>
          <w:p w14:paraId="4EB588E5">
            <w:pPr>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银行账号：94090154800000191</w:t>
            </w:r>
          </w:p>
        </w:tc>
      </w:tr>
    </w:tbl>
    <w:p w14:paraId="6CAADCB7">
      <w:pPr>
        <w:pStyle w:val="12"/>
        <w:ind w:left="0" w:leftChars="0" w:firstLine="0" w:firstLineChars="0"/>
        <w:rPr>
          <w:color w:val="auto"/>
          <w:highlight w:val="none"/>
        </w:rPr>
      </w:pPr>
    </w:p>
    <w:p w14:paraId="4D342B83">
      <w:pPr>
        <w:rPr>
          <w:color w:val="auto"/>
          <w:highlight w:val="none"/>
        </w:rPr>
      </w:pPr>
    </w:p>
    <w:p w14:paraId="4CB149F3">
      <w:pPr>
        <w:spacing w:line="276" w:lineRule="auto"/>
        <w:jc w:val="center"/>
        <w:rPr>
          <w:rFonts w:ascii="宋体"/>
          <w:b/>
          <w:color w:val="auto"/>
          <w:sz w:val="32"/>
          <w:szCs w:val="32"/>
          <w:highlight w:val="none"/>
        </w:rPr>
      </w:pPr>
      <w:bookmarkStart w:id="33" w:name="_Toc86202581"/>
      <w:r>
        <w:rPr>
          <w:rFonts w:hint="eastAsia" w:ascii="宋体"/>
          <w:color w:val="auto"/>
          <w:szCs w:val="24"/>
          <w:highlight w:val="none"/>
        </w:rPr>
        <w:br w:type="page"/>
      </w:r>
      <w:bookmarkStart w:id="34" w:name="_Toc241827236"/>
      <w:bookmarkStart w:id="35" w:name="_Toc86202582"/>
      <w:r>
        <w:rPr>
          <w:rFonts w:hint="eastAsia" w:ascii="宋体"/>
          <w:b/>
          <w:color w:val="auto"/>
          <w:szCs w:val="24"/>
          <w:highlight w:val="none"/>
        </w:rPr>
        <w:t>投标人须知</w:t>
      </w:r>
    </w:p>
    <w:p w14:paraId="5982E971">
      <w:pPr>
        <w:wordWrap w:val="0"/>
        <w:spacing w:line="360" w:lineRule="auto"/>
        <w:ind w:firstLine="422" w:firstLineChars="200"/>
        <w:rPr>
          <w:rFonts w:ascii="宋体" w:hAnsi="宋体" w:cs="宋体"/>
          <w:b/>
          <w:color w:val="auto"/>
          <w:sz w:val="21"/>
          <w:szCs w:val="21"/>
          <w:highlight w:val="none"/>
        </w:rPr>
      </w:pPr>
      <w:bookmarkStart w:id="36" w:name="_Hlt14560612"/>
      <w:bookmarkEnd w:id="36"/>
      <w:bookmarkStart w:id="37" w:name="_Toc232395215"/>
      <w:bookmarkStart w:id="38" w:name="_Toc235518469"/>
      <w:bookmarkStart w:id="39" w:name="_Toc500747192"/>
      <w:bookmarkStart w:id="40" w:name="_Toc499711887"/>
      <w:bookmarkStart w:id="41" w:name="_Toc239740354"/>
      <w:bookmarkStart w:id="42" w:name="_Toc177817337"/>
      <w:bookmarkStart w:id="43" w:name="_Toc503063425"/>
      <w:bookmarkStart w:id="44" w:name="_Toc230013635"/>
      <w:bookmarkStart w:id="45" w:name="_Toc500746969"/>
      <w:bookmarkStart w:id="46" w:name="_Toc184043022"/>
      <w:bookmarkStart w:id="47" w:name="_Toc499711046"/>
      <w:bookmarkStart w:id="48" w:name="_Toc385992335"/>
      <w:bookmarkStart w:id="49" w:name="_Toc265738863"/>
      <w:bookmarkStart w:id="50" w:name="_Toc177189238"/>
      <w:bookmarkStart w:id="51" w:name="_Toc177995476"/>
      <w:bookmarkStart w:id="52" w:name="_Toc500747065"/>
      <w:bookmarkStart w:id="53" w:name="_Toc230583544"/>
      <w:bookmarkStart w:id="54" w:name="_Toc53722843"/>
      <w:bookmarkStart w:id="55" w:name="_Toc389620174"/>
      <w:bookmarkStart w:id="56" w:name="_Toc70687149"/>
      <w:bookmarkStart w:id="57" w:name="_Toc176882545"/>
      <w:bookmarkStart w:id="58" w:name="_Toc230099800"/>
      <w:bookmarkStart w:id="59" w:name="_Toc492955418"/>
      <w:bookmarkStart w:id="60" w:name="_Toc496324582"/>
      <w:bookmarkStart w:id="61" w:name="_Toc232176275"/>
      <w:r>
        <w:rPr>
          <w:rFonts w:hint="eastAsia" w:ascii="宋体" w:hAnsi="宋体" w:cs="宋体"/>
          <w:b/>
          <w:color w:val="auto"/>
          <w:sz w:val="21"/>
          <w:szCs w:val="21"/>
          <w:highlight w:val="none"/>
        </w:rPr>
        <w:t>一、适用范围</w:t>
      </w:r>
    </w:p>
    <w:p w14:paraId="49413D6E">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本采购文件仅适用于本采购项目所叙述的货物和服务的招标、评标、定标、验收、合同履约、付款等（法律、法规另有规定的，从其规定）。</w:t>
      </w:r>
    </w:p>
    <w:p w14:paraId="6BABBB6B">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二、定义</w:t>
      </w:r>
    </w:p>
    <w:p w14:paraId="68CD558C">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1、“采购人”系指</w:t>
      </w:r>
      <w:r>
        <w:rPr>
          <w:rFonts w:hint="eastAsia" w:ascii="宋体" w:hAnsi="宋体" w:cs="宋体"/>
          <w:color w:val="auto"/>
          <w:sz w:val="21"/>
          <w:szCs w:val="21"/>
          <w:highlight w:val="none"/>
          <w:lang w:eastAsia="zh-CN"/>
        </w:rPr>
        <w:t>宁波高新区求精书院</w:t>
      </w:r>
      <w:r>
        <w:rPr>
          <w:rFonts w:hint="eastAsia" w:ascii="宋体" w:hAnsi="宋体" w:cs="宋体"/>
          <w:color w:val="auto"/>
          <w:sz w:val="21"/>
          <w:szCs w:val="21"/>
          <w:highlight w:val="none"/>
        </w:rPr>
        <w:t>。</w:t>
      </w:r>
    </w:p>
    <w:p w14:paraId="6ADADC81">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2、“代理机构”系指宁波市国际招标有限公司。</w:t>
      </w:r>
    </w:p>
    <w:p w14:paraId="24752CE1">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3、“投标人”系指向采购人提交投标文件的投标人。</w:t>
      </w:r>
    </w:p>
    <w:p w14:paraId="0D08467A">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4、“货物”系指供方按采购文件规定承担的设备、备品备件供货等。</w:t>
      </w:r>
    </w:p>
    <w:p w14:paraId="7C0E76C5">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5、“项目”系指投标人按采购文件规定向采购人提供的产品和服务。</w:t>
      </w:r>
    </w:p>
    <w:p w14:paraId="70217B53">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6、“同级政府采购监管部门”系指宁波高新区政府采购管理办公室</w:t>
      </w:r>
      <w:r>
        <w:rPr>
          <w:rFonts w:hint="eastAsia" w:ascii="宋体" w:hAnsi="宋体" w:cs="宋体"/>
          <w:color w:val="auto"/>
          <w:kern w:val="10"/>
          <w:sz w:val="21"/>
          <w:szCs w:val="21"/>
          <w:highlight w:val="none"/>
          <w:lang w:val="zh-CN"/>
        </w:rPr>
        <w:t>。</w:t>
      </w:r>
    </w:p>
    <w:p w14:paraId="3F6BF087">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7、“</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”系指实质性响应条款。</w:t>
      </w:r>
    </w:p>
    <w:p w14:paraId="48C6E2AF">
      <w:pPr>
        <w:wordWrap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b/>
          <w:color w:val="auto"/>
          <w:sz w:val="21"/>
          <w:szCs w:val="21"/>
          <w:highlight w:val="none"/>
        </w:rPr>
        <w:t>三、合格的投标人和合格的投标货物或服务</w:t>
      </w:r>
    </w:p>
    <w:p w14:paraId="3DC71279">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1.1  合格的投标人：详见采购公告.</w:t>
      </w:r>
    </w:p>
    <w:p w14:paraId="1D20E224">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  合格的投标货物或服务：</w:t>
      </w:r>
    </w:p>
    <w:p w14:paraId="6AB77E39">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1.2.1应该是中国境内生产的货物或提供的服务。</w:t>
      </w:r>
    </w:p>
    <w:p w14:paraId="39BEE052">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若投标货物或服务是国家实行许可证制度或生产注册证制度的产品或服务，则应具备相应有效的证书。</w:t>
      </w:r>
    </w:p>
    <w:p w14:paraId="6D26A68B">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招标文件允许采购进口产品的，若投标货物是进口产品，投标人应保证所投产品为可履行合法报通关手续进入中国关境内、在中国海关完税的可合法销售的货物。</w:t>
      </w:r>
    </w:p>
    <w:p w14:paraId="399F629D">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1.2.2国家规定有标准及规范的，投标货物或服务应按有效的标准及规范执行，应符合国家及招标文件提出的有关技术、质量、安全标准。</w:t>
      </w:r>
    </w:p>
    <w:p w14:paraId="02075405">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1.2.3投标人应保证所提供的产品或服务免受第三方提出侵犯其知识产权（专利权、商标权、工业设计权及使用权等）的索赔或起诉，否则，由此可能产生的一切法律责任和经济责任均由投标人承担。</w:t>
      </w:r>
    </w:p>
    <w:p w14:paraId="0B98A565">
      <w:pPr>
        <w:wordWrap w:val="0"/>
        <w:spacing w:line="360" w:lineRule="auto"/>
        <w:ind w:firstLine="420" w:firstLineChars="200"/>
        <w:rPr>
          <w:rFonts w:ascii="宋体" w:hAnsi="宋体" w:cs="宋体"/>
          <w:bCs/>
          <w:color w:val="auto"/>
          <w:sz w:val="21"/>
          <w:szCs w:val="21"/>
          <w:highlight w:val="none"/>
        </w:rPr>
      </w:pPr>
      <w:r>
        <w:rPr>
          <w:rFonts w:hint="eastAsia" w:ascii="宋体" w:hAnsi="宋体" w:cs="宋体"/>
          <w:bCs/>
          <w:color w:val="auto"/>
          <w:sz w:val="21"/>
          <w:szCs w:val="21"/>
          <w:highlight w:val="none"/>
        </w:rPr>
        <w:t>1.2.4本项目不允许采购进口产品。</w:t>
      </w:r>
    </w:p>
    <w:p w14:paraId="26D4982A">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四、其他说明</w:t>
      </w:r>
    </w:p>
    <w:p w14:paraId="0C65D580">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（一）投标费用</w:t>
      </w:r>
    </w:p>
    <w:p w14:paraId="5873FA96">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无论投标过程和结果如何，投标人自行承担与投标有关的全部费用。</w:t>
      </w:r>
    </w:p>
    <w:p w14:paraId="30770255">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（二）关于分公司投标</w:t>
      </w:r>
    </w:p>
    <w:p w14:paraId="17ECA730">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仅允许银行、保险、石油石化、电力、电信、移动、联通等行业分公司投标，但需提供具有法人资格的总公司的营业执照原件扫描件及授权书，授权书须加盖总公司公章。</w:t>
      </w:r>
    </w:p>
    <w:p w14:paraId="523FD447">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（三）关于知识产权</w:t>
      </w:r>
    </w:p>
    <w:p w14:paraId="3FB9A184">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人必须保证，采购人在中华人民共和国境内使用投标货物、资料、技术、服务或其任何一部分时，享有不受限制的无偿使用权，如有第三方向采购人提出侵犯其专利权、商标权或其它知识产权的主张，该责任应由投标人承担。</w:t>
      </w:r>
    </w:p>
    <w:p w14:paraId="4EA46895">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2、投标报价应包含所有应向所有权人支付的专利权、商标权或其它知识产权的一切相关费用。</w:t>
      </w:r>
    </w:p>
    <w:p w14:paraId="3DC790F3">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3、系统软件、通用软件必须是具有在中国境内的合法使用权或版权的正版软件，涉及到第三方提出侵权或知识产权的起诉及支付版税等费用由投标人承担所有责任及费用。</w:t>
      </w:r>
    </w:p>
    <w:p w14:paraId="7F6C27E2">
      <w:pPr>
        <w:wordWrap w:val="0"/>
        <w:spacing w:line="360" w:lineRule="auto"/>
        <w:ind w:firstLine="422" w:firstLineChars="200"/>
        <w:rPr>
          <w:rFonts w:ascii="宋体" w:hAnsi="宋体" w:cs="宋体"/>
          <w:b/>
          <w:color w:val="auto"/>
          <w:sz w:val="21"/>
          <w:szCs w:val="21"/>
          <w:highlight w:val="none"/>
        </w:rPr>
      </w:pPr>
      <w:bookmarkStart w:id="62" w:name="_Toc23497307"/>
      <w:bookmarkStart w:id="63" w:name="_Toc460857903"/>
      <w:bookmarkStart w:id="64" w:name="_Toc17707916"/>
      <w:r>
        <w:rPr>
          <w:rFonts w:hint="eastAsia" w:ascii="宋体" w:hAnsi="宋体" w:cs="宋体"/>
          <w:b/>
          <w:color w:val="auto"/>
          <w:sz w:val="21"/>
          <w:szCs w:val="21"/>
          <w:highlight w:val="none"/>
        </w:rPr>
        <w:t>（四）联合体投标</w:t>
      </w:r>
      <w:bookmarkEnd w:id="62"/>
      <w:bookmarkEnd w:id="63"/>
      <w:bookmarkEnd w:id="64"/>
    </w:p>
    <w:p w14:paraId="3AFDDDE0">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本项目不接受联合体投标。</w:t>
      </w:r>
    </w:p>
    <w:p w14:paraId="5846CCFF">
      <w:pPr>
        <w:wordWrap w:val="0"/>
        <w:spacing w:line="360" w:lineRule="auto"/>
        <w:ind w:firstLine="422" w:firstLineChars="200"/>
        <w:rPr>
          <w:rFonts w:ascii="宋体" w:hAnsi="宋体" w:cs="宋体"/>
          <w:b/>
          <w:color w:val="auto"/>
          <w:sz w:val="21"/>
          <w:szCs w:val="21"/>
          <w:highlight w:val="none"/>
        </w:rPr>
      </w:pPr>
      <w:bookmarkStart w:id="65" w:name="_Toc17707917"/>
      <w:bookmarkStart w:id="66" w:name="_Toc460857904"/>
      <w:bookmarkStart w:id="67" w:name="_Toc23497308"/>
      <w:r>
        <w:rPr>
          <w:rFonts w:hint="eastAsia" w:ascii="宋体" w:hAnsi="宋体" w:cs="宋体"/>
          <w:b/>
          <w:color w:val="auto"/>
          <w:sz w:val="21"/>
          <w:szCs w:val="21"/>
          <w:highlight w:val="none"/>
        </w:rPr>
        <w:t>（五）转包与分包</w:t>
      </w:r>
      <w:bookmarkEnd w:id="65"/>
      <w:bookmarkEnd w:id="66"/>
      <w:bookmarkEnd w:id="67"/>
    </w:p>
    <w:p w14:paraId="520D3F61">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1.本项目不允许转包、分包。</w:t>
      </w:r>
    </w:p>
    <w:p w14:paraId="321CCC07">
      <w:pPr>
        <w:wordWrap w:val="0"/>
        <w:spacing w:line="360" w:lineRule="auto"/>
        <w:ind w:firstLine="422" w:firstLineChars="200"/>
        <w:rPr>
          <w:rFonts w:ascii="宋体" w:hAnsi="宋体" w:cs="宋体"/>
          <w:b/>
          <w:color w:val="auto"/>
          <w:sz w:val="21"/>
          <w:szCs w:val="21"/>
          <w:highlight w:val="none"/>
        </w:rPr>
      </w:pPr>
      <w:bookmarkStart w:id="68" w:name="_Toc460857905"/>
      <w:bookmarkStart w:id="69" w:name="_Toc23497309"/>
      <w:bookmarkStart w:id="70" w:name="_Toc460416650"/>
      <w:bookmarkStart w:id="71" w:name="_Toc460416601"/>
      <w:bookmarkStart w:id="72" w:name="_Toc460416345"/>
      <w:bookmarkStart w:id="73" w:name="_Toc17707918"/>
      <w:r>
        <w:rPr>
          <w:rFonts w:hint="eastAsia" w:ascii="宋体" w:hAnsi="宋体" w:cs="宋体"/>
          <w:b/>
          <w:color w:val="auto"/>
          <w:sz w:val="21"/>
          <w:szCs w:val="21"/>
          <w:highlight w:val="none"/>
        </w:rPr>
        <w:t>（六）特别说明</w:t>
      </w:r>
      <w:bookmarkEnd w:id="68"/>
      <w:bookmarkEnd w:id="69"/>
      <w:bookmarkEnd w:id="70"/>
      <w:bookmarkEnd w:id="71"/>
      <w:bookmarkEnd w:id="72"/>
      <w:bookmarkEnd w:id="73"/>
    </w:p>
    <w:p w14:paraId="058C8668">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1.投标人应仔细阅读采购文件的所有内容，按照采购文件的要求提交投标文件，并对所提供的全部资料的真实性承担法律责任。</w:t>
      </w:r>
    </w:p>
    <w:p w14:paraId="2109A022">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人在投标活动中提供任何虚假材料，其投标无效，并报监管部门查处；中标后发现的,中标人须依照《中华人民共和国政府采购法》第77条规定赔偿采购人，且民事赔偿并不免除违法投标人的行政与刑事责任。</w:t>
      </w:r>
    </w:p>
    <w:p w14:paraId="61954B5D">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五、投标报价</w:t>
      </w:r>
    </w:p>
    <w:p w14:paraId="1A873E93">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5.1投标报价为投标人为完成本项目，包括但不限于所有设备采购、运输及装卸、安装调试、验收、质保期内的售后服务、利润、税金，及政策性文件规定的各项应有的所有费用。</w:t>
      </w:r>
    </w:p>
    <w:p w14:paraId="321CF012">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5.2本次公开招标设有最高限价详见投标人须知前附表。</w:t>
      </w:r>
    </w:p>
    <w:p w14:paraId="66045C9F">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5.3投标人应详细列明各分项工作相关报价及依据，未列明的相关报价应视为已包含在已列明费用的报价中，采购人将不予单独支付。</w:t>
      </w:r>
    </w:p>
    <w:p w14:paraId="4CAC0857">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5.4结算的货币单位为人民币元。</w:t>
      </w:r>
    </w:p>
    <w:p w14:paraId="594F1BA0">
      <w:pPr>
        <w:tabs>
          <w:tab w:val="left" w:pos="525"/>
        </w:tabs>
        <w:snapToGrid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5.5</w:t>
      </w:r>
      <w:r>
        <w:rPr>
          <w:rFonts w:hint="eastAsia" w:ascii="宋体" w:hAnsi="宋体" w:cs="宋体"/>
          <w:b/>
          <w:color w:val="auto"/>
          <w:sz w:val="21"/>
          <w:szCs w:val="21"/>
          <w:highlight w:val="none"/>
        </w:rPr>
        <w:t>投标文件只允许有一个报价，有选择的或有条件的报价将不予接受。</w:t>
      </w:r>
    </w:p>
    <w:p w14:paraId="68F585FB">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六、投标有效期</w:t>
      </w:r>
    </w:p>
    <w:p w14:paraId="0734D603">
      <w:pPr>
        <w:wordWrap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1、投标文件从开标之日起，投标有效期为90个日历日。投标有效期不能小于采购文件的要求。</w:t>
      </w:r>
    </w:p>
    <w:p w14:paraId="48B01212">
      <w:pPr>
        <w:wordWrap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2、特殊情况下，采购人可与投标人协商延长投标文件的有效期，这种要求和答复均以书面形式进行。</w:t>
      </w:r>
    </w:p>
    <w:p w14:paraId="17C54035">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3、投标人可拒绝接受延期要求。同意延长有效期的投标人不能修改投标文件。</w:t>
      </w:r>
    </w:p>
    <w:p w14:paraId="47BF9493">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七、投标文件的形式和效力</w:t>
      </w:r>
    </w:p>
    <w:p w14:paraId="28C7BA64">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1、投标文件分为电子投标文件以及备份投标文件，备份投标文件分为以U盘或光盘存储的电子备份投标文件。</w:t>
      </w:r>
    </w:p>
    <w:p w14:paraId="1B1C1C76">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2、电子投标文件，按“项目采购-电子招投标操作指南”及本采购文件要求制作，并加密。</w:t>
      </w:r>
    </w:p>
    <w:p w14:paraId="4864BAA5">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3、以U盘或光盘存储的电子备份投标文件，按“项目采购-电子招投标操作指南”制作的电子备份文件。</w:t>
      </w:r>
    </w:p>
    <w:p w14:paraId="59B4C109">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4、投标文件按本章第八条投标文件的组成编制。</w:t>
      </w:r>
    </w:p>
    <w:p w14:paraId="1755B956">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5、投标文件填写字迹必须清楚、工整，对不同文字文本投标文件的解释发生异议的，以中文文本为准。</w:t>
      </w:r>
    </w:p>
    <w:p w14:paraId="75C316CF">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6、投标文件的效力</w:t>
      </w:r>
    </w:p>
    <w:p w14:paraId="65FB7590">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投标文件的启用，按先后顺位分别为电子投标文件、以U盘或光盘存储的电子备份投标文件。在下一顺位的投标文件启用时，前一顺位的投标文件自动失效。</w:t>
      </w:r>
    </w:p>
    <w:p w14:paraId="3784197E">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电子投标文件未能按时解密，投标人提供了电子备份投标文件，以电子备份投标文件作为依据，否则视为投标文件撤回。电子投标文件已按时解密的，电子备份投标文件自动失效。</w:t>
      </w:r>
    </w:p>
    <w:p w14:paraId="41C70BA8">
      <w:pPr>
        <w:wordWrap w:val="0"/>
        <w:spacing w:line="360" w:lineRule="auto"/>
        <w:ind w:firstLine="422" w:firstLineChars="200"/>
        <w:rPr>
          <w:rFonts w:ascii="宋体" w:hAnsi="宋体" w:cs="宋体"/>
          <w:b/>
          <w:bCs/>
          <w:color w:val="auto"/>
          <w:sz w:val="21"/>
          <w:szCs w:val="21"/>
          <w:highlight w:val="none"/>
        </w:rPr>
      </w:pPr>
      <w:bookmarkStart w:id="74" w:name="_Hlk23147633"/>
      <w:bookmarkStart w:id="75" w:name="_Hlk23150950"/>
      <w:r>
        <w:rPr>
          <w:rFonts w:hint="eastAsia" w:ascii="宋体" w:hAnsi="宋体" w:cs="宋体"/>
          <w:b/>
          <w:bCs/>
          <w:color w:val="auto"/>
          <w:sz w:val="21"/>
          <w:szCs w:val="21"/>
          <w:highlight w:val="none"/>
        </w:rPr>
        <w:t>八、投标文件的组成和份数</w:t>
      </w:r>
    </w:p>
    <w:p w14:paraId="2D5640D0">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1、投标文件的组成：</w:t>
      </w:r>
    </w:p>
    <w:p w14:paraId="3BF142D7">
      <w:pPr>
        <w:wordWrap w:val="0"/>
        <w:spacing w:line="360" w:lineRule="auto"/>
        <w:ind w:firstLine="422" w:firstLineChars="200"/>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rPr>
        <w:t>A、第一册：</w:t>
      </w:r>
      <w:r>
        <w:rPr>
          <w:rFonts w:hint="eastAsia" w:ascii="宋体" w:hAnsi="宋体" w:cs="宋体"/>
          <w:b/>
          <w:bCs/>
          <w:color w:val="auto"/>
          <w:sz w:val="21"/>
          <w:szCs w:val="21"/>
          <w:highlight w:val="none"/>
          <w:lang w:eastAsia="zh-CN"/>
        </w:rPr>
        <w:t>资格文件</w:t>
      </w:r>
    </w:p>
    <w:p w14:paraId="07CC57AA">
      <w:pPr>
        <w:spacing w:line="360" w:lineRule="auto"/>
        <w:ind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A1、关于资格的承诺函（格式见附件）；</w:t>
      </w:r>
    </w:p>
    <w:p w14:paraId="323838C0">
      <w:pPr>
        <w:spacing w:line="360" w:lineRule="auto"/>
        <w:ind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A2、营业执照副本（或事业法人登记证副本或其他登记证明材料）扫描件加盖投标人公章（投标人如果有名称变更的，应提供由行政主管部门出具的变更证明文件扫描件加盖投标人公章）；</w:t>
      </w:r>
    </w:p>
    <w:p w14:paraId="74775F22">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A3、中小企业声明函；</w:t>
      </w:r>
    </w:p>
    <w:p w14:paraId="2ED67F15">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A4、残疾人福利性单位声明函（如有需提供）；</w:t>
      </w:r>
    </w:p>
    <w:p w14:paraId="2F1F2FBF">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A5、投标人认为需要的其他资料（如有需提供）。</w:t>
      </w:r>
    </w:p>
    <w:p w14:paraId="232BC977">
      <w:pPr>
        <w:wordWrap w:val="0"/>
        <w:spacing w:line="360" w:lineRule="auto"/>
        <w:ind w:firstLine="422" w:firstLineChars="200"/>
        <w:rPr>
          <w:rFonts w:ascii="宋体" w:hAnsi="宋体" w:cs="宋体"/>
          <w:b/>
          <w:bCs/>
          <w:color w:val="auto"/>
          <w:sz w:val="21"/>
          <w:szCs w:val="21"/>
          <w:highlight w:val="none"/>
        </w:rPr>
      </w:pPr>
    </w:p>
    <w:p w14:paraId="6A80C946">
      <w:pPr>
        <w:wordWrap w:val="0"/>
        <w:spacing w:line="360" w:lineRule="auto"/>
        <w:ind w:firstLine="422" w:firstLineChars="200"/>
        <w:rPr>
          <w:rFonts w:ascii="宋体" w:hAnsi="宋体" w:cs="宋体"/>
          <w:b/>
          <w:bCs/>
          <w:color w:val="auto"/>
          <w:sz w:val="21"/>
          <w:szCs w:val="21"/>
          <w:highlight w:val="none"/>
        </w:rPr>
      </w:pPr>
      <w:r>
        <w:rPr>
          <w:rFonts w:hint="eastAsia" w:ascii="宋体" w:hAnsi="宋体" w:cs="宋体"/>
          <w:b/>
          <w:bCs/>
          <w:color w:val="auto"/>
          <w:sz w:val="21"/>
          <w:szCs w:val="21"/>
          <w:highlight w:val="none"/>
        </w:rPr>
        <w:t>B、第二册：商务和技术文件</w:t>
      </w:r>
    </w:p>
    <w:p w14:paraId="61157070">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自评分表</w:t>
      </w:r>
    </w:p>
    <w:p w14:paraId="496A77C2">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B1、投标书；</w:t>
      </w:r>
    </w:p>
    <w:p w14:paraId="7BAAE55D">
      <w:pPr>
        <w:wordWrap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B2、法定代表人身份证明；</w:t>
      </w:r>
    </w:p>
    <w:p w14:paraId="6351E82D">
      <w:pPr>
        <w:wordWrap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B3、法定代表人授权书；</w:t>
      </w:r>
    </w:p>
    <w:p w14:paraId="1F231246">
      <w:pPr>
        <w:wordWrap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B4、投标人一般情况表；</w:t>
      </w:r>
    </w:p>
    <w:p w14:paraId="7F58583C">
      <w:pPr>
        <w:wordWrap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B5、技术条款</w:t>
      </w:r>
      <w:r>
        <w:rPr>
          <w:rFonts w:hint="eastAsia" w:ascii="宋体"/>
          <w:color w:val="auto"/>
          <w:sz w:val="21"/>
          <w:szCs w:val="21"/>
          <w:highlight w:val="none"/>
          <w:lang w:val="en-US" w:eastAsia="zh-CN"/>
        </w:rPr>
        <w:t>偏离</w:t>
      </w:r>
      <w:r>
        <w:rPr>
          <w:rFonts w:hint="eastAsia" w:ascii="宋体"/>
          <w:color w:val="auto"/>
          <w:sz w:val="21"/>
          <w:szCs w:val="21"/>
          <w:highlight w:val="none"/>
        </w:rPr>
        <w:t>表；</w:t>
      </w:r>
    </w:p>
    <w:p w14:paraId="7A212A9C">
      <w:pPr>
        <w:wordWrap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B6、商务条款</w:t>
      </w:r>
      <w:r>
        <w:rPr>
          <w:rFonts w:hint="eastAsia" w:ascii="宋体"/>
          <w:color w:val="auto"/>
          <w:sz w:val="21"/>
          <w:szCs w:val="21"/>
          <w:highlight w:val="none"/>
          <w:lang w:val="en-US" w:eastAsia="zh-CN"/>
        </w:rPr>
        <w:t>偏离</w:t>
      </w:r>
      <w:r>
        <w:rPr>
          <w:rFonts w:hint="eastAsia" w:ascii="宋体"/>
          <w:color w:val="auto"/>
          <w:sz w:val="21"/>
          <w:szCs w:val="21"/>
          <w:highlight w:val="none"/>
        </w:rPr>
        <w:t>表；</w:t>
      </w:r>
    </w:p>
    <w:p w14:paraId="3E000575">
      <w:pPr>
        <w:wordWrap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B7、采购清单及技术要求</w:t>
      </w:r>
      <w:r>
        <w:rPr>
          <w:rFonts w:hint="eastAsia" w:ascii="宋体"/>
          <w:color w:val="auto"/>
          <w:sz w:val="21"/>
          <w:szCs w:val="21"/>
          <w:highlight w:val="none"/>
          <w:lang w:val="en-US" w:eastAsia="zh-CN"/>
        </w:rPr>
        <w:t>响应表</w:t>
      </w:r>
      <w:r>
        <w:rPr>
          <w:rFonts w:hint="eastAsia" w:ascii="宋体"/>
          <w:color w:val="auto"/>
          <w:sz w:val="21"/>
          <w:szCs w:val="21"/>
          <w:highlight w:val="none"/>
        </w:rPr>
        <w:t>；</w:t>
      </w:r>
    </w:p>
    <w:p w14:paraId="77FAE503">
      <w:pPr>
        <w:wordWrap w:val="0"/>
        <w:spacing w:line="360" w:lineRule="auto"/>
        <w:ind w:firstLine="420" w:firstLineChars="200"/>
        <w:rPr>
          <w:rFonts w:hint="eastAsia" w:ascii="宋体"/>
          <w:color w:val="auto"/>
          <w:sz w:val="21"/>
          <w:szCs w:val="21"/>
          <w:highlight w:val="none"/>
        </w:rPr>
      </w:pPr>
      <w:r>
        <w:rPr>
          <w:rFonts w:hint="eastAsia" w:ascii="宋体"/>
          <w:color w:val="auto"/>
          <w:sz w:val="21"/>
          <w:szCs w:val="21"/>
          <w:highlight w:val="none"/>
        </w:rPr>
        <w:t>B</w:t>
      </w:r>
      <w:r>
        <w:rPr>
          <w:rFonts w:hint="eastAsia" w:ascii="宋体"/>
          <w:color w:val="auto"/>
          <w:sz w:val="21"/>
          <w:szCs w:val="21"/>
          <w:highlight w:val="none"/>
          <w:lang w:val="en-US" w:eastAsia="zh-CN"/>
        </w:rPr>
        <w:t>8</w:t>
      </w:r>
      <w:r>
        <w:rPr>
          <w:rFonts w:hint="eastAsia" w:ascii="宋体"/>
          <w:color w:val="auto"/>
          <w:sz w:val="21"/>
          <w:szCs w:val="21"/>
          <w:highlight w:val="none"/>
        </w:rPr>
        <w:t>、</w:t>
      </w:r>
      <w:r>
        <w:rPr>
          <w:rFonts w:hint="eastAsia" w:ascii="宋体" w:hAnsi="宋体" w:cs="宋体"/>
          <w:color w:val="auto"/>
          <w:sz w:val="21"/>
          <w:szCs w:val="21"/>
          <w:highlight w:val="none"/>
        </w:rPr>
        <w:t>第五章“评标办法及标准”中评分标准（兼评委打分表）要求提供的资料（如有需提供）</w:t>
      </w:r>
      <w:r>
        <w:rPr>
          <w:rFonts w:hint="eastAsia" w:ascii="宋体"/>
          <w:color w:val="auto"/>
          <w:sz w:val="21"/>
          <w:szCs w:val="21"/>
          <w:highlight w:val="none"/>
        </w:rPr>
        <w:t>；</w:t>
      </w:r>
    </w:p>
    <w:p w14:paraId="3E154EA7">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B</w:t>
      </w: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rPr>
        <w:t>、投标人认为需要的其他资料（如有需提供）。</w:t>
      </w:r>
    </w:p>
    <w:bookmarkEnd w:id="74"/>
    <w:p w14:paraId="711EB403">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C、第三册：报价文件</w:t>
      </w:r>
    </w:p>
    <w:p w14:paraId="5B0F2A50">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C1、开标一览表；</w:t>
      </w:r>
    </w:p>
    <w:p w14:paraId="346E2233">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C2、投标分项报价表；</w:t>
      </w:r>
    </w:p>
    <w:p w14:paraId="40EE2A96">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C</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、投标人认为需要的其他资料（如有需提供）。</w:t>
      </w:r>
    </w:p>
    <w:bookmarkEnd w:id="75"/>
    <w:p w14:paraId="31344057">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2、投标文件的份数：</w:t>
      </w:r>
    </w:p>
    <w:p w14:paraId="7AF85827">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本项目实行网上投标，投标人应准备以下投标文件：</w:t>
      </w:r>
    </w:p>
    <w:p w14:paraId="4B435341">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（1）上传到政府采购云平台的电子投标文件（含</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、商务和技术文件、报价文件）1份。</w:t>
      </w:r>
    </w:p>
    <w:p w14:paraId="162E4D9A">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（2）以U盘或光盘存储的电子备份投标文件（含</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、商务和技术文件、报价文件）1份。</w:t>
      </w:r>
    </w:p>
    <w:p w14:paraId="6740E980">
      <w:pPr>
        <w:pStyle w:val="17"/>
        <w:spacing w:line="360" w:lineRule="auto"/>
        <w:ind w:firstLine="422" w:firstLineChars="200"/>
        <w:rPr>
          <w:color w:val="auto"/>
          <w:highlight w:val="none"/>
        </w:rPr>
      </w:pPr>
      <w:r>
        <w:rPr>
          <w:rFonts w:hint="eastAsia" w:ascii="宋体"/>
          <w:b/>
          <w:color w:val="auto"/>
          <w:sz w:val="21"/>
          <w:szCs w:val="21"/>
          <w:highlight w:val="none"/>
        </w:rPr>
        <w:t>投标人提供的以上材料必须真实有效，任何一项的虚假将导致其投标被拒绝。</w:t>
      </w:r>
    </w:p>
    <w:p w14:paraId="5867D3E2">
      <w:pPr>
        <w:wordWrap w:val="0"/>
        <w:spacing w:line="360" w:lineRule="auto"/>
        <w:ind w:firstLine="420" w:firstLineChars="200"/>
        <w:rPr>
          <w:rFonts w:ascii="宋体" w:hAnsi="宋体" w:cs="宋体"/>
          <w:b/>
          <w:bCs/>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b/>
          <w:bCs/>
          <w:color w:val="auto"/>
          <w:sz w:val="21"/>
          <w:szCs w:val="21"/>
          <w:highlight w:val="none"/>
        </w:rPr>
        <w:t>九、投标文件的签署盖章</w:t>
      </w:r>
    </w:p>
    <w:p w14:paraId="4206FF20">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1、采购文件第七章“附件”中标明加盖公章或签字的，加盖公章部分采用CA签章，签字部分由法定代表人或授权代表签字后扫描上传。授权代表签字的，还应附法定代表人签署的法定代表人授权书。</w:t>
      </w:r>
    </w:p>
    <w:p w14:paraId="728F61A5">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2、投标文件应尽量避免涂改、行间插字或删除。如果出现上述情况，改动之处应加盖投标人公章或由其法定代表人（或授权代表）签字确认。</w:t>
      </w:r>
    </w:p>
    <w:p w14:paraId="46E6450F">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十、投标文件的密封和标记</w:t>
      </w:r>
    </w:p>
    <w:p w14:paraId="43BC0A01">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1、电子投标文件：投标人应根据“项目采购-电子招投标操作指南”及本采购文件规定的格式和顺序编制电子投标文件并进行关联定位。</w:t>
      </w:r>
    </w:p>
    <w:p w14:paraId="154F4C4B">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2、以U盘或光盘存储的电子备份投标文件</w:t>
      </w:r>
      <w:r>
        <w:rPr>
          <w:rFonts w:hint="eastAsia" w:ascii="宋体" w:hAnsi="宋体" w:cs="宋体"/>
          <w:b/>
          <w:color w:val="auto"/>
          <w:sz w:val="21"/>
          <w:szCs w:val="21"/>
          <w:highlight w:val="none"/>
        </w:rPr>
        <w:t>用封袋密封后递交。</w:t>
      </w:r>
    </w:p>
    <w:p w14:paraId="7E46F73B">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3、电子备份投标文件须在封袋上分别注明：</w:t>
      </w:r>
    </w:p>
    <w:p w14:paraId="0BC7B2A4">
      <w:pPr>
        <w:tabs>
          <w:tab w:val="left" w:pos="900"/>
        </w:tabs>
        <w:wordWrap w:val="0"/>
        <w:spacing w:line="360" w:lineRule="auto"/>
        <w:ind w:firstLine="420" w:firstLineChars="200"/>
        <w:rPr>
          <w:rFonts w:ascii="宋体" w:hAnsi="宋体" w:cs="宋体"/>
          <w:color w:val="auto"/>
          <w:sz w:val="21"/>
          <w:szCs w:val="21"/>
          <w:highlight w:val="none"/>
          <w:u w:val="single"/>
        </w:rPr>
      </w:pPr>
      <w:r>
        <w:rPr>
          <w:rFonts w:hint="eastAsia" w:ascii="宋体" w:hAnsi="宋体" w:cs="宋体"/>
          <w:color w:val="auto"/>
          <w:sz w:val="21"/>
          <w:szCs w:val="21"/>
          <w:highlight w:val="none"/>
        </w:rPr>
        <w:t>（1）注    明：</w:t>
      </w:r>
      <w:r>
        <w:rPr>
          <w:rFonts w:hint="eastAsia" w:ascii="宋体" w:hAnsi="宋体" w:cs="宋体"/>
          <w:color w:val="auto"/>
          <w:sz w:val="21"/>
          <w:szCs w:val="21"/>
          <w:highlight w:val="none"/>
          <w:u w:val="single"/>
        </w:rPr>
        <w:t xml:space="preserve">“电子备份投标文件”    </w:t>
      </w:r>
      <w:r>
        <w:rPr>
          <w:rFonts w:hint="eastAsia" w:ascii="宋体" w:hAnsi="宋体" w:cs="宋体"/>
          <w:color w:val="auto"/>
          <w:sz w:val="21"/>
          <w:szCs w:val="21"/>
          <w:highlight w:val="none"/>
        </w:rPr>
        <w:t>；</w:t>
      </w:r>
    </w:p>
    <w:p w14:paraId="48FB20E9">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（2）采购编号：</w:t>
      </w:r>
      <w:r>
        <w:rPr>
          <w:rFonts w:hint="eastAsia" w:ascii="宋体" w:hAnsi="宋体" w:cs="宋体"/>
          <w:color w:val="auto"/>
          <w:sz w:val="21"/>
          <w:szCs w:val="21"/>
          <w:highlight w:val="none"/>
          <w:u w:val="single"/>
          <w:lang w:eastAsia="zh-CN"/>
        </w:rPr>
        <w:t>NBITC-202530765G</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087847E0">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（3）项目名称：</w:t>
      </w:r>
      <w:r>
        <w:rPr>
          <w:rFonts w:hint="eastAsia" w:ascii="宋体" w:hAnsi="宋体" w:cs="宋体"/>
          <w:color w:val="auto"/>
          <w:sz w:val="21"/>
          <w:szCs w:val="21"/>
          <w:highlight w:val="none"/>
          <w:u w:val="single"/>
          <w:lang w:eastAsia="zh-CN"/>
        </w:rPr>
        <w:t>宁波高新区求精书院理化生实验室（初中部）设施设备采购项目（二期）</w:t>
      </w:r>
      <w:r>
        <w:rPr>
          <w:rFonts w:hint="eastAsia" w:ascii="宋体" w:hAnsi="宋体" w:cs="宋体"/>
          <w:color w:val="auto"/>
          <w:sz w:val="21"/>
          <w:szCs w:val="21"/>
          <w:highlight w:val="none"/>
        </w:rPr>
        <w:t>；</w:t>
      </w:r>
    </w:p>
    <w:p w14:paraId="2271FB53">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（4）所投标项（如有多个标项须填写）：</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4E54DC89">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（5）在</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日（规定的开标日期和时间）前不准启封；</w:t>
      </w:r>
    </w:p>
    <w:p w14:paraId="216C0D01">
      <w:pPr>
        <w:tabs>
          <w:tab w:val="left" w:pos="900"/>
        </w:tabs>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（6）投标人的名称：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5E234102">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投标人须在包封上加盖投标人公章或由其法定代表人（或授权代表）签字。</w:t>
      </w:r>
    </w:p>
    <w:p w14:paraId="4BC71063">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投标人未按上述要求标记的，采购人（代理机构）不承担错放或提前开封的责任。</w:t>
      </w:r>
    </w:p>
    <w:p w14:paraId="02218D0A">
      <w:pPr>
        <w:wordWrap w:val="0"/>
        <w:spacing w:line="360" w:lineRule="auto"/>
        <w:ind w:firstLine="422" w:firstLineChars="200"/>
        <w:rPr>
          <w:rFonts w:ascii="宋体" w:hAnsi="宋体" w:cs="宋体"/>
          <w:color w:val="auto"/>
          <w:sz w:val="21"/>
          <w:szCs w:val="21"/>
          <w:highlight w:val="none"/>
        </w:rPr>
      </w:pPr>
      <w:r>
        <w:rPr>
          <w:rFonts w:hint="eastAsia" w:ascii="宋体" w:hAnsi="宋体" w:cs="宋体"/>
          <w:b/>
          <w:color w:val="auto"/>
          <w:sz w:val="21"/>
          <w:szCs w:val="21"/>
          <w:highlight w:val="none"/>
        </w:rPr>
        <w:t>十一、投标文件的递交</w:t>
      </w:r>
    </w:p>
    <w:p w14:paraId="0BD08D81">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1、电子投标文件：投标人应于提交投标文件截止时间前将电子投标文件（含</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、商务和技术文件、报价文件）上传到政府采购云平台（www.zcygov.cn）。</w:t>
      </w:r>
    </w:p>
    <w:p w14:paraId="60E157D0">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2、电子备份投标文件：</w:t>
      </w:r>
      <w:r>
        <w:rPr>
          <w:rFonts w:hint="eastAsia" w:ascii="宋体" w:hAnsi="宋体" w:cs="宋体"/>
          <w:color w:val="auto"/>
          <w:sz w:val="21"/>
          <w:szCs w:val="21"/>
          <w:highlight w:val="none"/>
          <w:lang w:val="en-US" w:eastAsia="zh-CN"/>
        </w:rPr>
        <w:t>投标人采用现场递交方式的，须</w:t>
      </w:r>
      <w:r>
        <w:rPr>
          <w:rFonts w:hint="eastAsia" w:ascii="宋体" w:hAnsi="宋体" w:cs="宋体"/>
          <w:color w:val="auto"/>
          <w:sz w:val="21"/>
          <w:szCs w:val="21"/>
          <w:highlight w:val="none"/>
        </w:rPr>
        <w:t>于提交投标文件截止时间前，将以U盘或光盘存储的电子备份投标文件（1份，含</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、商务和技术文件、报价文件）密封后现场递交方式送达，送达地址：高新区广贤路997号南楼三楼307室（高新区公共资源交易中心），联系方式：李蒙，0574-</w:t>
      </w:r>
      <w:r>
        <w:rPr>
          <w:rFonts w:hint="eastAsia" w:ascii="宋体" w:hAnsi="宋体" w:cs="宋体"/>
          <w:color w:val="auto"/>
          <w:sz w:val="21"/>
          <w:szCs w:val="21"/>
          <w:highlight w:val="none"/>
          <w:lang w:val="en-US" w:eastAsia="zh-CN"/>
        </w:rPr>
        <w:t>87629230</w:t>
      </w:r>
      <w:r>
        <w:rPr>
          <w:rFonts w:hint="eastAsia" w:ascii="宋体" w:hAnsi="宋体" w:cs="宋体"/>
          <w:color w:val="auto"/>
          <w:sz w:val="21"/>
          <w:szCs w:val="21"/>
          <w:highlight w:val="none"/>
        </w:rPr>
        <w:t>。</w:t>
      </w:r>
    </w:p>
    <w:p w14:paraId="4CBF5C1C">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投标人采用邮寄方式的，则须在提交投标文件截止时间前一天的17时前邮寄至宁波市国际招标有限公司（宁波市江北区环城北路西段207弄19号世茂茂悦商业中心1号楼八楼，联系方式：李蒙，</w:t>
      </w:r>
      <w:r>
        <w:rPr>
          <w:rFonts w:hint="eastAsia" w:ascii="宋体" w:hAnsi="宋体" w:cs="宋体"/>
          <w:color w:val="auto"/>
          <w:sz w:val="21"/>
          <w:szCs w:val="21"/>
          <w:highlight w:val="none"/>
        </w:rPr>
        <w:t>0574-</w:t>
      </w:r>
      <w:r>
        <w:rPr>
          <w:rFonts w:hint="eastAsia" w:ascii="宋体" w:hAnsi="宋体" w:cs="宋体"/>
          <w:color w:val="auto"/>
          <w:sz w:val="21"/>
          <w:szCs w:val="21"/>
          <w:highlight w:val="none"/>
          <w:lang w:val="en-US" w:eastAsia="zh-CN"/>
        </w:rPr>
        <w:t>87629230）。</w:t>
      </w:r>
      <w:r>
        <w:rPr>
          <w:rFonts w:hint="eastAsia" w:ascii="宋体" w:hAnsi="宋体" w:cs="宋体"/>
          <w:color w:val="auto"/>
          <w:sz w:val="21"/>
          <w:szCs w:val="21"/>
          <w:highlight w:val="none"/>
        </w:rPr>
        <w:t>邮寄后须将邮件单号、联系电话发送至代理机构电子邮箱（电子邮箱：nbitc@126.com），并致电采购代理机构，以便采购代理机构查询物流记录。各供应商应当确保电子备份投标文件的密封包装在邮寄过程保持完好，并在邮寄包裹上注明项目名称、项目编号。</w:t>
      </w:r>
    </w:p>
    <w:p w14:paraId="30C9BA7B">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电子备份投标文件密封破损而不符合招标文件对电子备份投标文件的密封要求的、或电子备份投标文件未能在投标截止时间前送达的，代理机构将拒绝其电子备份投标文件。供应商自行考虑邮寄在途时间，电子备份投标文件送达时间以代理机构工作人员实际签收时间为准。</w:t>
      </w:r>
    </w:p>
    <w:p w14:paraId="2C973B58">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电子备份投标文件不强制要求提交，但因电子投标文件未能按时解密或解密失败，投标人又未提交电子备份投标文件的，将被视为投标文件撤回，投标无效。</w:t>
      </w:r>
    </w:p>
    <w:p w14:paraId="74DB8CE5">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3、逾期送达的或者未送达指定地点的电子备份投标文件，代理机构不予受理。</w:t>
      </w:r>
    </w:p>
    <w:p w14:paraId="36306C91">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4、投标文件的补充、修改</w:t>
      </w:r>
    </w:p>
    <w:p w14:paraId="3BBAF019">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截止时间前，供应商可以对递交的投标文件进行补充、修改，补充、修改电子投标文件的，应当先行撤回原文件，补充、修改后重新上传，电子备份投标文件也应重新制作。在投标截止时间之后，供应商不得对其投标文件进行补充、修改。投标截止时间之后供应商要求撤销投标文件的，应向采购人提交正式文件。</w:t>
      </w:r>
    </w:p>
    <w:p w14:paraId="5D2F503F">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十二、开标</w:t>
      </w:r>
    </w:p>
    <w:p w14:paraId="7FB1F1CE">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代理机构在采购文件规定的时间和地点公开开标，并邀请所有投标人的法定代表人（或授权代表）准时在线参加。投标人的法定代表人（或授权代表）不参加开标的或迟到参加开标的，视同该投标人默认开标记录，不得事后对开标过程提出任何异议。</w:t>
      </w:r>
    </w:p>
    <w:p w14:paraId="308FAE2D">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2、电子投标开标及评审程序：一阶段开标，同时开启“</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”、“商务和技术文件”和“报价文件”。</w:t>
      </w:r>
    </w:p>
    <w:p w14:paraId="273082F0">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（1）宣布开标；</w:t>
      </w:r>
    </w:p>
    <w:p w14:paraId="571F93D8">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（2）投标截止时间后，投标人登录政府采购云平台，用“项目采购-开标评标”功能对电子投标文件进行在线解密，在线解密电子投标文件时间为开标时间后</w:t>
      </w:r>
      <w:r>
        <w:rPr>
          <w:rFonts w:hint="eastAsia" w:ascii="宋体" w:hAnsi="宋体" w:cs="宋体"/>
          <w:color w:val="auto"/>
          <w:sz w:val="21"/>
          <w:szCs w:val="21"/>
          <w:highlight w:val="none"/>
          <w:lang w:val="en-US" w:eastAsia="zh-CN"/>
        </w:rPr>
        <w:t>30分钟</w:t>
      </w:r>
      <w:r>
        <w:rPr>
          <w:rFonts w:hint="eastAsia" w:ascii="宋体" w:hAnsi="宋体" w:cs="宋体"/>
          <w:color w:val="auto"/>
          <w:sz w:val="21"/>
          <w:szCs w:val="21"/>
          <w:highlight w:val="none"/>
        </w:rPr>
        <w:t>内。</w:t>
      </w:r>
      <w:r>
        <w:rPr>
          <w:rFonts w:hint="eastAsia" w:ascii="宋体" w:hAnsi="宋体" w:cs="宋体"/>
          <w:color w:val="auto"/>
          <w:sz w:val="21"/>
          <w:szCs w:val="21"/>
          <w:highlight w:val="none"/>
          <w:lang w:val="en-US" w:eastAsia="zh-CN"/>
        </w:rPr>
        <w:t>投标人</w:t>
      </w:r>
      <w:r>
        <w:rPr>
          <w:rFonts w:hint="eastAsia" w:ascii="宋体" w:hAnsi="宋体" w:cs="宋体"/>
          <w:color w:val="auto"/>
          <w:sz w:val="21"/>
          <w:szCs w:val="21"/>
          <w:highlight w:val="none"/>
        </w:rPr>
        <w:t>按时在线解密投标文件的，以在线解密的投标文件作为评审依据，若</w:t>
      </w:r>
      <w:r>
        <w:rPr>
          <w:rFonts w:hint="eastAsia" w:ascii="宋体" w:hAnsi="宋体" w:cs="宋体"/>
          <w:color w:val="auto"/>
          <w:sz w:val="21"/>
          <w:szCs w:val="21"/>
          <w:highlight w:val="none"/>
          <w:lang w:val="en-US" w:eastAsia="zh-CN"/>
        </w:rPr>
        <w:t>投标人</w:t>
      </w:r>
      <w:r>
        <w:rPr>
          <w:rFonts w:hint="eastAsia" w:ascii="宋体" w:hAnsi="宋体" w:cs="宋体"/>
          <w:color w:val="auto"/>
          <w:sz w:val="21"/>
          <w:szCs w:val="21"/>
          <w:highlight w:val="none"/>
        </w:rPr>
        <w:t>在规定时间内无法解密或解密失败，则以备份电子投标文件作为评审依据（若备份电子投标文件与政采云平台上传的投标文件被识别为不一致，视为投标文件撤回）。无论是否启用备份电子投标文件，备份电子投标文件均不退还</w:t>
      </w:r>
      <w:r>
        <w:rPr>
          <w:rFonts w:hint="eastAsia" w:ascii="宋体" w:hAnsi="宋体" w:cs="宋体"/>
          <w:color w:val="auto"/>
          <w:sz w:val="21"/>
          <w:szCs w:val="21"/>
          <w:highlight w:val="none"/>
          <w:lang w:val="en-US" w:eastAsia="zh-CN"/>
        </w:rPr>
        <w:t>投标人</w:t>
      </w:r>
      <w:r>
        <w:rPr>
          <w:rFonts w:hint="eastAsia" w:ascii="宋体" w:hAnsi="宋体" w:cs="宋体"/>
          <w:color w:val="auto"/>
          <w:sz w:val="21"/>
          <w:szCs w:val="21"/>
          <w:highlight w:val="none"/>
        </w:rPr>
        <w:t>。若</w:t>
      </w:r>
      <w:r>
        <w:rPr>
          <w:rFonts w:hint="eastAsia" w:ascii="宋体" w:hAnsi="宋体" w:cs="宋体"/>
          <w:color w:val="auto"/>
          <w:sz w:val="21"/>
          <w:szCs w:val="21"/>
          <w:highlight w:val="none"/>
          <w:lang w:val="en-US" w:eastAsia="zh-CN"/>
        </w:rPr>
        <w:t>投标人</w:t>
      </w:r>
      <w:r>
        <w:rPr>
          <w:rFonts w:hint="eastAsia" w:ascii="宋体" w:hAnsi="宋体" w:cs="宋体"/>
          <w:color w:val="auto"/>
          <w:sz w:val="21"/>
          <w:szCs w:val="21"/>
          <w:highlight w:val="none"/>
        </w:rPr>
        <w:t>在规定时间内无法解密或解密失败且未提供备份电子投标文件或所提供的备份电子投标文件无法读取的，视为投标文件撤回。</w:t>
      </w:r>
    </w:p>
    <w:p w14:paraId="64CA2F86">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（3）介绍开标现场的人员情况；</w:t>
      </w:r>
    </w:p>
    <w:p w14:paraId="22554CC1">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（4）宣读递交投标文件的投标人名单、开标纪律、应当回避的情形等注意事项；</w:t>
      </w:r>
    </w:p>
    <w:p w14:paraId="23B521DB">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（5）投标人签署不存在影响公平竞争的《政府采购活动现场确认声明书》；</w:t>
      </w:r>
    </w:p>
    <w:p w14:paraId="7AC83D34">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（6）在政府采购云平台开启供应商解密后的“</w:t>
      </w:r>
      <w:r>
        <w:rPr>
          <w:rFonts w:hint="eastAsia" w:ascii="宋体" w:hAnsi="宋体" w:cs="宋体"/>
          <w:color w:val="auto"/>
          <w:sz w:val="21"/>
          <w:szCs w:val="21"/>
          <w:highlight w:val="none"/>
          <w:lang w:eastAsia="zh-CN"/>
        </w:rPr>
        <w:t>资格文件</w:t>
      </w:r>
      <w:r>
        <w:rPr>
          <w:rFonts w:hint="eastAsia" w:ascii="宋体" w:hAnsi="宋体" w:cs="宋体"/>
          <w:color w:val="auto"/>
          <w:sz w:val="21"/>
          <w:szCs w:val="21"/>
          <w:highlight w:val="none"/>
        </w:rPr>
        <w:t>”、“商务技术文件”、“报价文件”，宣读供应商名称、报价文件中“开标一览表”内容，以及采购人认为必要的其他内容与记录，并做开标记录；</w:t>
      </w:r>
    </w:p>
    <w:p w14:paraId="712A04F8">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（7）开标记录签字确认；</w:t>
      </w:r>
    </w:p>
    <w:p w14:paraId="7770C184">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（8）开标结束。</w:t>
      </w:r>
    </w:p>
    <w:p w14:paraId="6DCDAD9B">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（9）在政府采购云平台公布中标候选人名单及采购人最终确定</w:t>
      </w:r>
      <w:r>
        <w:rPr>
          <w:rFonts w:hint="eastAsia" w:ascii="宋体" w:hAnsi="宋体" w:cs="宋体"/>
          <w:color w:val="auto"/>
          <w:sz w:val="21"/>
          <w:szCs w:val="21"/>
          <w:highlight w:val="none"/>
          <w:lang w:eastAsia="zh-CN"/>
        </w:rPr>
        <w:t>中标供应商</w:t>
      </w:r>
      <w:r>
        <w:rPr>
          <w:rFonts w:hint="eastAsia" w:ascii="宋体" w:hAnsi="宋体" w:cs="宋体"/>
          <w:color w:val="auto"/>
          <w:sz w:val="21"/>
          <w:szCs w:val="21"/>
          <w:highlight w:val="none"/>
        </w:rPr>
        <w:t>名单的时间和公告方式等；</w:t>
      </w:r>
    </w:p>
    <w:p w14:paraId="107AFCE1">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3、特别说明：政府采购云平台如对电子化开标及评审程序有调整的，按调整后的程序操作。</w:t>
      </w:r>
    </w:p>
    <w:p w14:paraId="36FD8044">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本项目原则上采用政采云电子投标开标及评审程序，但有下情形之一的，按以下情况处理：</w:t>
      </w:r>
    </w:p>
    <w:p w14:paraId="075E67CC">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（1）若投标人在规定时间内无法解密或解密失败，代理机构将开启上述投标人递交的以U盘或光盘存储的电子备份投标文件，上传至政采云平台项目采购模块，以完成开标，电子投标文件自动失效。</w:t>
      </w:r>
    </w:p>
    <w:p w14:paraId="231C240D">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（2）采购过程中出现以下情形，导致电子交易平台无法正常运行，或者无法保证电子交易的公平、公正和安全时，采购人（或代理机构）可中止电子交易活动：</w:t>
      </w:r>
    </w:p>
    <w:p w14:paraId="2C299DB8">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2.1电子交易平台发生故障而无法登录访问的；</w:t>
      </w:r>
    </w:p>
    <w:p w14:paraId="1069172E">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2.2电子交易平台应用或数据库出现错误，不能进行正常操作的；</w:t>
      </w:r>
    </w:p>
    <w:p w14:paraId="30AC7D03">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2.3电子交易平台发现严重安全漏洞，有潜在泄密危险的；</w:t>
      </w:r>
    </w:p>
    <w:p w14:paraId="3F05D570">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 xml:space="preserve">2.4病毒发作导致不能进行正常操作的； </w:t>
      </w:r>
    </w:p>
    <w:p w14:paraId="55B3AA4A">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2.5其他无法保证电子交易的公平、公正和安全的情况。</w:t>
      </w:r>
    </w:p>
    <w:p w14:paraId="6278F39D">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出现前款规定情形，不影响采购公平、公正性的，采购人（或代理机构）可以待上述情形消除后继续组织电子交易活动。</w:t>
      </w:r>
    </w:p>
    <w:p w14:paraId="5FC69F63">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十三、评标</w:t>
      </w:r>
    </w:p>
    <w:p w14:paraId="57B4E882">
      <w:pPr>
        <w:wordWrap w:val="0"/>
        <w:spacing w:line="360" w:lineRule="auto"/>
        <w:ind w:firstLine="422" w:firstLineChars="200"/>
        <w:rPr>
          <w:rFonts w:ascii="宋体" w:hAnsi="宋体" w:cs="宋体"/>
          <w:b/>
          <w:color w:val="auto"/>
          <w:sz w:val="21"/>
          <w:szCs w:val="21"/>
          <w:highlight w:val="none"/>
        </w:rPr>
      </w:pPr>
      <w:bookmarkStart w:id="76" w:name="_Toc460857925"/>
      <w:bookmarkStart w:id="77" w:name="_Toc17884841"/>
      <w:r>
        <w:rPr>
          <w:rFonts w:hint="eastAsia" w:ascii="宋体" w:hAnsi="宋体" w:cs="宋体"/>
          <w:b/>
          <w:color w:val="auto"/>
          <w:sz w:val="21"/>
          <w:szCs w:val="21"/>
          <w:highlight w:val="none"/>
        </w:rPr>
        <w:t>（一）组建评标委员会</w:t>
      </w:r>
      <w:bookmarkEnd w:id="76"/>
      <w:bookmarkEnd w:id="77"/>
    </w:p>
    <w:p w14:paraId="46355C6F">
      <w:pPr>
        <w:pStyle w:val="25"/>
        <w:snapToGrid w:val="0"/>
        <w:spacing w:line="360" w:lineRule="auto"/>
        <w:ind w:firstLine="420" w:firstLineChars="200"/>
        <w:rPr>
          <w:rFonts w:hAnsi="宋体" w:cs="宋体"/>
          <w:color w:val="auto"/>
          <w:highlight w:val="none"/>
        </w:rPr>
      </w:pPr>
      <w:r>
        <w:rPr>
          <w:rFonts w:hint="eastAsia" w:hAnsi="宋体" w:cs="宋体"/>
          <w:color w:val="auto"/>
          <w:highlight w:val="none"/>
        </w:rPr>
        <w:t>本项目评标委员会依法组建。</w:t>
      </w:r>
    </w:p>
    <w:p w14:paraId="5414FADC">
      <w:pPr>
        <w:wordWrap w:val="0"/>
        <w:spacing w:line="360" w:lineRule="auto"/>
        <w:ind w:firstLine="422" w:firstLineChars="200"/>
        <w:rPr>
          <w:rFonts w:ascii="宋体" w:hAnsi="宋体" w:cs="宋体"/>
          <w:b/>
          <w:color w:val="auto"/>
          <w:sz w:val="21"/>
          <w:szCs w:val="21"/>
          <w:highlight w:val="none"/>
        </w:rPr>
      </w:pPr>
      <w:bookmarkStart w:id="78" w:name="_Toc17884842"/>
      <w:bookmarkStart w:id="79" w:name="_Toc460857926"/>
      <w:r>
        <w:rPr>
          <w:rFonts w:hint="eastAsia" w:ascii="宋体" w:hAnsi="宋体" w:cs="宋体"/>
          <w:b/>
          <w:color w:val="auto"/>
          <w:sz w:val="21"/>
          <w:szCs w:val="21"/>
          <w:highlight w:val="none"/>
        </w:rPr>
        <w:t>（二）评标的方式</w:t>
      </w:r>
      <w:bookmarkEnd w:id="78"/>
      <w:bookmarkEnd w:id="79"/>
    </w:p>
    <w:p w14:paraId="02666D85">
      <w:pPr>
        <w:pStyle w:val="25"/>
        <w:snapToGrid w:val="0"/>
        <w:spacing w:line="360" w:lineRule="auto"/>
        <w:ind w:left="757" w:leftChars="228" w:hanging="210" w:hangingChars="100"/>
        <w:rPr>
          <w:rFonts w:hAnsi="宋体" w:cs="宋体"/>
          <w:color w:val="auto"/>
          <w:highlight w:val="none"/>
        </w:rPr>
      </w:pPr>
      <w:r>
        <w:rPr>
          <w:rFonts w:hint="eastAsia" w:hAnsi="宋体" w:cs="宋体"/>
          <w:color w:val="auto"/>
          <w:highlight w:val="none"/>
        </w:rPr>
        <w:t>本项目采用不公开方式评标，评标的依据为采购文件和投标文件。</w:t>
      </w:r>
    </w:p>
    <w:p w14:paraId="2F7E94FC">
      <w:pPr>
        <w:wordWrap w:val="0"/>
        <w:spacing w:line="360" w:lineRule="auto"/>
        <w:ind w:firstLine="422" w:firstLineChars="200"/>
        <w:rPr>
          <w:rFonts w:ascii="宋体" w:hAnsi="宋体" w:cs="宋体"/>
          <w:b/>
          <w:color w:val="auto"/>
          <w:sz w:val="21"/>
          <w:szCs w:val="21"/>
          <w:highlight w:val="none"/>
        </w:rPr>
      </w:pPr>
      <w:bookmarkStart w:id="80" w:name="_Toc460857927"/>
      <w:bookmarkStart w:id="81" w:name="_Toc17884843"/>
      <w:r>
        <w:rPr>
          <w:rFonts w:hint="eastAsia" w:ascii="宋体" w:hAnsi="宋体" w:cs="宋体"/>
          <w:b/>
          <w:color w:val="auto"/>
          <w:sz w:val="21"/>
          <w:szCs w:val="21"/>
          <w:highlight w:val="none"/>
        </w:rPr>
        <w:t>（三）评标程序</w:t>
      </w:r>
      <w:bookmarkEnd w:id="80"/>
      <w:bookmarkEnd w:id="81"/>
    </w:p>
    <w:p w14:paraId="29141A0D">
      <w:pPr>
        <w:snapToGrid w:val="0"/>
        <w:spacing w:line="360" w:lineRule="auto"/>
        <w:ind w:firstLine="413" w:firstLineChars="196"/>
        <w:rPr>
          <w:rFonts w:ascii="宋体" w:hAnsi="宋体" w:cs="宋体"/>
          <w:b/>
          <w:bCs/>
          <w:color w:val="auto"/>
          <w:sz w:val="21"/>
          <w:szCs w:val="21"/>
          <w:highlight w:val="none"/>
        </w:rPr>
      </w:pPr>
      <w:r>
        <w:rPr>
          <w:rFonts w:hint="eastAsia" w:ascii="宋体" w:hAnsi="宋体" w:cs="宋体"/>
          <w:b/>
          <w:bCs/>
          <w:color w:val="auto"/>
          <w:sz w:val="21"/>
          <w:szCs w:val="21"/>
          <w:highlight w:val="none"/>
        </w:rPr>
        <w:t>1、资格审查</w:t>
      </w:r>
    </w:p>
    <w:p w14:paraId="292ECA3D">
      <w:pPr>
        <w:snapToGrid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招标代理机构工作人员对投标人的资格进行审查。</w:t>
      </w:r>
    </w:p>
    <w:p w14:paraId="6650BE38">
      <w:pPr>
        <w:snapToGrid w:val="0"/>
        <w:spacing w:line="360" w:lineRule="auto"/>
        <w:ind w:firstLine="413" w:firstLineChars="196"/>
        <w:rPr>
          <w:rFonts w:ascii="宋体" w:hAnsi="宋体" w:cs="宋体"/>
          <w:b/>
          <w:bCs/>
          <w:color w:val="auto"/>
          <w:sz w:val="21"/>
          <w:szCs w:val="21"/>
          <w:highlight w:val="none"/>
        </w:rPr>
      </w:pPr>
      <w:r>
        <w:rPr>
          <w:rFonts w:hint="eastAsia" w:ascii="宋体" w:hAnsi="宋体" w:cs="宋体"/>
          <w:b/>
          <w:bCs/>
          <w:color w:val="auto"/>
          <w:sz w:val="21"/>
          <w:szCs w:val="21"/>
          <w:highlight w:val="none"/>
        </w:rPr>
        <w:t>2、符合性审查与比较</w:t>
      </w:r>
    </w:p>
    <w:p w14:paraId="4391C78A">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（1）评标委员会审查投标文件的实质性内容是否符合采购文件的实质性要求。</w:t>
      </w:r>
    </w:p>
    <w:p w14:paraId="7A2A3F60">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（2）评标委员会将根据投标人的投标文件进行审查、核对,如有疑问,将对投标人进行询标，投标人要向评标委员会澄清有关问题,并最终以书面形式进行答复。</w:t>
      </w:r>
    </w:p>
    <w:p w14:paraId="21AE898B">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投标人代表未到场或者拒绝澄清或者澄清的内容改变了投标文件的实质性内容的，评标委员会有权对该投标文件作出不利于投标人的评判。</w:t>
      </w:r>
    </w:p>
    <w:p w14:paraId="04B9ABF2">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（3）各投标人的技术商务报价得分为所有评委的有效评分的算术平均数，由指定专人进行计算复核。</w:t>
      </w:r>
    </w:p>
    <w:p w14:paraId="5A9C51BD">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（4）采购代理机构工作人员协助评标委员会根据本项目的评分标准计算各投标人的报价得分。</w:t>
      </w:r>
    </w:p>
    <w:p w14:paraId="747DF6ED">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（5）评标委员会完成评标后,评委对各部分得分汇总,计算出本项目最终得分。评标委员会按评标原则推荐中标候选人同时起草评标报告。</w:t>
      </w:r>
    </w:p>
    <w:p w14:paraId="61B1EB07">
      <w:pPr>
        <w:wordWrap w:val="0"/>
        <w:spacing w:line="360" w:lineRule="auto"/>
        <w:ind w:firstLine="422" w:firstLineChars="200"/>
        <w:rPr>
          <w:rFonts w:ascii="宋体" w:hAnsi="宋体" w:cs="宋体"/>
          <w:b/>
          <w:color w:val="auto"/>
          <w:sz w:val="21"/>
          <w:szCs w:val="21"/>
          <w:highlight w:val="none"/>
        </w:rPr>
      </w:pPr>
      <w:bookmarkStart w:id="82" w:name="_Toc460857928"/>
      <w:bookmarkStart w:id="83" w:name="_Toc17884844"/>
      <w:r>
        <w:rPr>
          <w:rFonts w:hint="eastAsia" w:ascii="宋体" w:hAnsi="宋体" w:cs="宋体"/>
          <w:b/>
          <w:color w:val="auto"/>
          <w:sz w:val="21"/>
          <w:szCs w:val="21"/>
          <w:highlight w:val="none"/>
        </w:rPr>
        <w:t>（四）澄清问题的形式</w:t>
      </w:r>
      <w:bookmarkEnd w:id="82"/>
      <w:bookmarkEnd w:id="83"/>
    </w:p>
    <w:p w14:paraId="7031757F">
      <w:pPr>
        <w:widowControl/>
        <w:spacing w:line="360" w:lineRule="auto"/>
        <w:ind w:firstLine="420" w:firstLineChars="200"/>
        <w:outlineLvl w:val="1"/>
        <w:rPr>
          <w:rFonts w:ascii="宋体" w:hAnsi="宋体" w:cs="宋体"/>
          <w:color w:val="auto"/>
          <w:sz w:val="21"/>
          <w:szCs w:val="21"/>
          <w:highlight w:val="none"/>
        </w:rPr>
      </w:pPr>
      <w:bookmarkStart w:id="84" w:name="_Toc26905"/>
      <w:bookmarkStart w:id="85" w:name="_Toc497898868"/>
      <w:bookmarkStart w:id="86" w:name="_Toc1843"/>
      <w:bookmarkStart w:id="87" w:name="_Toc17884845"/>
      <w:bookmarkStart w:id="88" w:name="_Toc460857930"/>
      <w:r>
        <w:rPr>
          <w:rFonts w:hint="eastAsia" w:ascii="宋体" w:hAnsi="宋体" w:cs="宋体"/>
          <w:color w:val="auto"/>
          <w:sz w:val="21"/>
          <w:szCs w:val="21"/>
          <w:highlight w:val="none"/>
        </w:rPr>
        <w:t>对于投标文件中含义不明确、同类问题表述不一致或者有明显文字和计算错误的内容，评标委员会可要求投标人以书面形式作出必要的澄清、说明或者补正。</w:t>
      </w:r>
      <w:bookmarkEnd w:id="84"/>
      <w:bookmarkEnd w:id="85"/>
      <w:bookmarkEnd w:id="86"/>
    </w:p>
    <w:p w14:paraId="56A3C1AF">
      <w:pPr>
        <w:widowControl/>
        <w:spacing w:line="360" w:lineRule="auto"/>
        <w:ind w:firstLine="420" w:firstLineChars="200"/>
        <w:outlineLvl w:val="1"/>
        <w:rPr>
          <w:rFonts w:ascii="宋体" w:hAnsi="宋体" w:cs="宋体"/>
          <w:color w:val="auto"/>
          <w:sz w:val="21"/>
          <w:szCs w:val="21"/>
          <w:highlight w:val="none"/>
        </w:rPr>
      </w:pPr>
      <w:bookmarkStart w:id="89" w:name="_Toc32628"/>
      <w:bookmarkStart w:id="90" w:name="_Toc6678"/>
      <w:bookmarkStart w:id="91" w:name="_Toc497898869"/>
      <w:r>
        <w:rPr>
          <w:rFonts w:hint="eastAsia" w:ascii="宋体" w:hAnsi="宋体" w:cs="宋体"/>
          <w:color w:val="auto"/>
          <w:sz w:val="21"/>
          <w:szCs w:val="21"/>
          <w:highlight w:val="none"/>
        </w:rPr>
        <w:t>投标人的澄清、说明或者补正应当采用书面形式，并加盖公章，或者由法定代表人或其授权代表签字确认，投标人的澄清、说明或者补正不得超出投标文件的范围或者改变投标文件的实质性内容。</w:t>
      </w:r>
      <w:bookmarkEnd w:id="89"/>
      <w:bookmarkEnd w:id="90"/>
      <w:bookmarkEnd w:id="91"/>
    </w:p>
    <w:p w14:paraId="3E5237FB">
      <w:pPr>
        <w:wordWrap w:val="0"/>
        <w:spacing w:line="360" w:lineRule="auto"/>
        <w:ind w:firstLine="422" w:firstLineChars="200"/>
        <w:rPr>
          <w:rFonts w:ascii="宋体" w:hAnsi="宋体" w:cs="宋体"/>
          <w:b/>
          <w:color w:val="auto"/>
          <w:sz w:val="21"/>
          <w:szCs w:val="21"/>
          <w:highlight w:val="none"/>
        </w:rPr>
      </w:pPr>
      <w:bookmarkStart w:id="92" w:name="_Toc497898870"/>
      <w:r>
        <w:rPr>
          <w:rFonts w:hint="eastAsia" w:ascii="宋体" w:hAnsi="宋体" w:cs="宋体"/>
          <w:b/>
          <w:color w:val="auto"/>
          <w:sz w:val="21"/>
          <w:szCs w:val="21"/>
          <w:highlight w:val="none"/>
        </w:rPr>
        <w:t>（五）错误修正</w:t>
      </w:r>
      <w:bookmarkEnd w:id="92"/>
    </w:p>
    <w:p w14:paraId="7A7BD563">
      <w:pPr>
        <w:pStyle w:val="135"/>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投标文件报价出现前后不一致的，除采购文件另有规定外，按照下列规定修正：</w:t>
      </w:r>
    </w:p>
    <w:p w14:paraId="7076DC8B">
      <w:pPr>
        <w:pStyle w:val="135"/>
        <w:widowControl/>
        <w:spacing w:line="360" w:lineRule="auto"/>
        <w:ind w:left="17" w:leftChars="7" w:firstLine="529" w:firstLineChars="252"/>
        <w:rPr>
          <w:rFonts w:hAnsi="宋体" w:cs="宋体"/>
          <w:color w:val="auto"/>
          <w:sz w:val="21"/>
          <w:szCs w:val="21"/>
          <w:highlight w:val="none"/>
        </w:rPr>
      </w:pPr>
      <w:r>
        <w:rPr>
          <w:rFonts w:hint="eastAsia" w:hAnsi="宋体" w:cs="宋体"/>
          <w:color w:val="auto"/>
          <w:sz w:val="21"/>
          <w:szCs w:val="21"/>
          <w:highlight w:val="none"/>
        </w:rPr>
        <w:t>（1）投标文件中开标一览表内容与投标文件中分项报价表内容不一致的，以开标一览表为准；</w:t>
      </w:r>
    </w:p>
    <w:p w14:paraId="3E1DF4D4">
      <w:pPr>
        <w:pStyle w:val="135"/>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（2）大写金额和小写金额不一致的，以大写金额为准；</w:t>
      </w:r>
    </w:p>
    <w:p w14:paraId="29219E97">
      <w:pPr>
        <w:pStyle w:val="135"/>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（3）单价金额小数点或者百分比有明显错位的，以开标一览表的总价为准，并修改单价；</w:t>
      </w:r>
    </w:p>
    <w:p w14:paraId="4B8F20F5">
      <w:pPr>
        <w:pStyle w:val="135"/>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（4）总价金额与按单价汇总金额不一致的，以单价金额计算结果为准；</w:t>
      </w:r>
    </w:p>
    <w:p w14:paraId="0246C65F">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bCs/>
          <w:color w:val="auto"/>
          <w:sz w:val="21"/>
          <w:szCs w:val="21"/>
          <w:highlight w:val="none"/>
        </w:rPr>
        <w:t>同时出现两种以上不一致的，按照前款规定的顺序修正。修正后的报价经投标人确认后具有约束</w:t>
      </w:r>
      <w:r>
        <w:rPr>
          <w:rFonts w:hint="eastAsia" w:ascii="宋体" w:hAnsi="宋体" w:cs="宋体"/>
          <w:b/>
          <w:color w:val="auto"/>
          <w:sz w:val="21"/>
          <w:szCs w:val="21"/>
          <w:highlight w:val="none"/>
        </w:rPr>
        <w:t>力，若投标人不确认的，则其投标无效。</w:t>
      </w:r>
    </w:p>
    <w:p w14:paraId="5787E77F">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（六）评标原则和评标办法</w:t>
      </w:r>
      <w:bookmarkEnd w:id="87"/>
      <w:bookmarkEnd w:id="88"/>
    </w:p>
    <w:p w14:paraId="35835085">
      <w:pPr>
        <w:pStyle w:val="25"/>
        <w:snapToGrid w:val="0"/>
        <w:spacing w:line="360" w:lineRule="auto"/>
        <w:ind w:firstLine="420" w:firstLineChars="200"/>
        <w:rPr>
          <w:rFonts w:hAnsi="宋体" w:cs="宋体"/>
          <w:color w:val="auto"/>
          <w:highlight w:val="none"/>
        </w:rPr>
      </w:pPr>
      <w:r>
        <w:rPr>
          <w:rFonts w:hint="eastAsia" w:hAnsi="宋体" w:cs="宋体"/>
          <w:color w:val="auto"/>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67B1E5DD">
      <w:pPr>
        <w:pStyle w:val="25"/>
        <w:snapToGrid w:val="0"/>
        <w:spacing w:line="360" w:lineRule="auto"/>
        <w:ind w:firstLine="422" w:firstLineChars="200"/>
        <w:rPr>
          <w:rFonts w:hAnsi="宋体" w:cs="宋体"/>
          <w:b/>
          <w:color w:val="auto"/>
          <w:highlight w:val="none"/>
        </w:rPr>
      </w:pPr>
      <w:r>
        <w:rPr>
          <w:rFonts w:hint="eastAsia" w:hAnsi="宋体" w:cs="宋体"/>
          <w:b/>
          <w:color w:val="auto"/>
          <w:highlight w:val="none"/>
        </w:rPr>
        <w:t>2、评标办法。本项目评标办法是</w:t>
      </w:r>
      <w:r>
        <w:rPr>
          <w:rFonts w:hint="eastAsia" w:hAnsi="宋体" w:cs="宋体"/>
          <w:b/>
          <w:color w:val="auto"/>
          <w:highlight w:val="none"/>
          <w:u w:val="single"/>
        </w:rPr>
        <w:t xml:space="preserve"> 综合评分法 </w:t>
      </w:r>
      <w:r>
        <w:rPr>
          <w:rFonts w:hint="eastAsia" w:hAnsi="宋体" w:cs="宋体"/>
          <w:b/>
          <w:color w:val="auto"/>
          <w:highlight w:val="none"/>
        </w:rPr>
        <w:t>，具体评标内容及评分标准等详见《第五章 评标办法及标准》。</w:t>
      </w:r>
    </w:p>
    <w:p w14:paraId="4B70A5E4">
      <w:pPr>
        <w:spacing w:line="360" w:lineRule="auto"/>
        <w:ind w:firstLine="422" w:firstLineChars="200"/>
        <w:rPr>
          <w:rFonts w:ascii="宋体" w:hAnsi="宋体" w:cs="宋体"/>
          <w:b/>
          <w:color w:val="auto"/>
          <w:sz w:val="21"/>
          <w:szCs w:val="21"/>
          <w:highlight w:val="none"/>
        </w:rPr>
      </w:pPr>
      <w:bookmarkStart w:id="93" w:name="_Toc460857931"/>
      <w:bookmarkStart w:id="94" w:name="_Toc17884846"/>
      <w:r>
        <w:rPr>
          <w:rFonts w:hint="eastAsia" w:ascii="宋体" w:hAnsi="宋体" w:cs="宋体"/>
          <w:b/>
          <w:color w:val="auto"/>
          <w:sz w:val="21"/>
          <w:szCs w:val="21"/>
          <w:highlight w:val="none"/>
        </w:rPr>
        <w:t>十四、</w:t>
      </w:r>
      <w:bookmarkEnd w:id="93"/>
      <w:bookmarkEnd w:id="94"/>
      <w:r>
        <w:rPr>
          <w:rFonts w:hint="eastAsia" w:ascii="宋体" w:hAnsi="宋体" w:cs="宋体"/>
          <w:b/>
          <w:color w:val="auto"/>
          <w:sz w:val="21"/>
          <w:szCs w:val="21"/>
          <w:highlight w:val="none"/>
        </w:rPr>
        <w:t>项目终止</w:t>
      </w:r>
    </w:p>
    <w:p w14:paraId="17110A08">
      <w:pPr>
        <w:snapToGrid w:val="0"/>
        <w:spacing w:line="360" w:lineRule="auto"/>
        <w:ind w:firstLine="420" w:firstLineChars="200"/>
        <w:rPr>
          <w:rFonts w:ascii="宋体" w:hAnsi="宋体" w:cs="宋体"/>
          <w:color w:val="auto"/>
          <w:sz w:val="21"/>
          <w:szCs w:val="21"/>
          <w:highlight w:val="none"/>
        </w:rPr>
      </w:pPr>
      <w:bookmarkStart w:id="95" w:name="_Toc460857932"/>
      <w:r>
        <w:rPr>
          <w:rFonts w:hint="eastAsia" w:ascii="宋体" w:hAnsi="宋体" w:cs="宋体"/>
          <w:color w:val="auto"/>
          <w:sz w:val="21"/>
          <w:szCs w:val="21"/>
          <w:highlight w:val="none"/>
        </w:rPr>
        <w:t>政府采购的国内公开招标，采购响应截止时间或评审期间，出现参与采购响应或者对采购文件作出实质性响应的投标人不足3家的情况，本项目终止招标。</w:t>
      </w:r>
    </w:p>
    <w:p w14:paraId="75A3426E">
      <w:pPr>
        <w:spacing w:line="360" w:lineRule="auto"/>
        <w:ind w:firstLine="422" w:firstLineChars="200"/>
        <w:rPr>
          <w:rFonts w:ascii="宋体" w:hAnsi="宋体" w:cs="宋体"/>
          <w:b/>
          <w:color w:val="auto"/>
          <w:sz w:val="21"/>
          <w:szCs w:val="21"/>
          <w:highlight w:val="none"/>
        </w:rPr>
      </w:pPr>
      <w:bookmarkStart w:id="96" w:name="_Toc17884847"/>
      <w:r>
        <w:rPr>
          <w:rFonts w:hint="eastAsia" w:ascii="宋体" w:hAnsi="宋体" w:cs="宋体"/>
          <w:b/>
          <w:color w:val="auto"/>
          <w:sz w:val="21"/>
          <w:szCs w:val="21"/>
          <w:highlight w:val="none"/>
        </w:rPr>
        <w:t>十五、定标</w:t>
      </w:r>
      <w:bookmarkEnd w:id="95"/>
      <w:bookmarkEnd w:id="96"/>
    </w:p>
    <w:p w14:paraId="172C7AC1">
      <w:pPr>
        <w:spacing w:line="360" w:lineRule="auto"/>
        <w:ind w:firstLine="422" w:firstLineChars="200"/>
        <w:rPr>
          <w:rFonts w:ascii="宋体" w:hAnsi="宋体" w:cs="宋体"/>
          <w:b/>
          <w:color w:val="auto"/>
          <w:sz w:val="21"/>
          <w:szCs w:val="21"/>
          <w:highlight w:val="none"/>
        </w:rPr>
      </w:pPr>
      <w:bookmarkStart w:id="97" w:name="_Toc460857933"/>
      <w:bookmarkStart w:id="98" w:name="_Toc17884848"/>
      <w:r>
        <w:rPr>
          <w:rFonts w:hint="eastAsia" w:ascii="宋体" w:hAnsi="宋体" w:cs="宋体"/>
          <w:b/>
          <w:color w:val="auto"/>
          <w:sz w:val="21"/>
          <w:szCs w:val="21"/>
          <w:highlight w:val="none"/>
        </w:rPr>
        <w:t>（一）确定中标人</w:t>
      </w:r>
      <w:bookmarkEnd w:id="97"/>
      <w:bookmarkEnd w:id="98"/>
    </w:p>
    <w:p w14:paraId="388AAF14">
      <w:pPr>
        <w:pStyle w:val="25"/>
        <w:spacing w:line="360" w:lineRule="auto"/>
        <w:ind w:firstLine="420" w:firstLineChars="200"/>
        <w:rPr>
          <w:rFonts w:hAnsi="宋体" w:cs="宋体"/>
          <w:color w:val="auto"/>
          <w:highlight w:val="none"/>
        </w:rPr>
      </w:pPr>
      <w:bookmarkStart w:id="99" w:name="_Toc460857934"/>
      <w:bookmarkStart w:id="100" w:name="_Toc17884849"/>
      <w:bookmarkStart w:id="101" w:name="_Toc460416664"/>
      <w:bookmarkStart w:id="102" w:name="_Toc460416359"/>
      <w:r>
        <w:rPr>
          <w:rFonts w:hint="eastAsia" w:hAnsi="宋体" w:cs="宋体"/>
          <w:color w:val="auto"/>
          <w:highlight w:val="none"/>
        </w:rPr>
        <w:t>1、确定中标人。本项目由评标委员会推荐中标候选人，采购人不得在评标委员会推荐的中标候选人以外确定中标人。</w:t>
      </w:r>
    </w:p>
    <w:p w14:paraId="5E914FC0">
      <w:pPr>
        <w:pStyle w:val="25"/>
        <w:spacing w:line="360" w:lineRule="auto"/>
        <w:ind w:firstLine="420" w:firstLineChars="200"/>
        <w:rPr>
          <w:rFonts w:hAnsi="宋体" w:cs="宋体"/>
          <w:color w:val="auto"/>
          <w:highlight w:val="none"/>
        </w:rPr>
      </w:pPr>
      <w:r>
        <w:rPr>
          <w:rFonts w:hint="eastAsia" w:hAnsi="宋体" w:cs="宋体"/>
          <w:color w:val="auto"/>
          <w:highlight w:val="none"/>
        </w:rPr>
        <w:t>2、采购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中标候选人为中标人。</w:t>
      </w:r>
    </w:p>
    <w:p w14:paraId="3770EC39">
      <w:pPr>
        <w:pStyle w:val="25"/>
        <w:spacing w:line="360" w:lineRule="auto"/>
        <w:ind w:firstLine="420" w:firstLineChars="200"/>
        <w:rPr>
          <w:rFonts w:hAnsi="宋体" w:cs="宋体"/>
          <w:color w:val="auto"/>
          <w:highlight w:val="none"/>
        </w:rPr>
      </w:pPr>
      <w:r>
        <w:rPr>
          <w:rFonts w:hint="eastAsia" w:hAnsi="宋体" w:cs="宋体"/>
          <w:color w:val="auto"/>
          <w:highlight w:val="none"/>
        </w:rPr>
        <w:t>3、采购代理机构自中标人确定之日起2个工作日内，在发布招标公告的网站上对中标结果进行公示，中标结果公告期限为1个工作日，发出结果公示的同时发出中标通知书。</w:t>
      </w:r>
    </w:p>
    <w:p w14:paraId="58032B22">
      <w:pPr>
        <w:pStyle w:val="25"/>
        <w:spacing w:line="360" w:lineRule="auto"/>
        <w:ind w:firstLine="420" w:firstLineChars="200"/>
        <w:rPr>
          <w:rFonts w:hAnsi="宋体" w:cs="宋体"/>
          <w:color w:val="auto"/>
          <w:highlight w:val="none"/>
        </w:rPr>
      </w:pPr>
      <w:r>
        <w:rPr>
          <w:rFonts w:hint="eastAsia" w:hAnsi="宋体" w:cs="宋体"/>
          <w:color w:val="auto"/>
          <w:highlight w:val="none"/>
        </w:rPr>
        <w:t>4、凡发现中标人有下列行为之一的，将移交政府采购监督管理部门依法处理：</w:t>
      </w:r>
    </w:p>
    <w:p w14:paraId="3EA7D496">
      <w:pPr>
        <w:numPr>
          <w:ilvl w:val="0"/>
          <w:numId w:val="4"/>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提供虚假材料谋取中标的；</w:t>
      </w:r>
    </w:p>
    <w:p w14:paraId="65CB84D6">
      <w:pPr>
        <w:numPr>
          <w:ilvl w:val="0"/>
          <w:numId w:val="4"/>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采取不正当手段诋毁、排挤其他投标人的；</w:t>
      </w:r>
    </w:p>
    <w:p w14:paraId="0B64DDC7">
      <w:pPr>
        <w:numPr>
          <w:ilvl w:val="0"/>
          <w:numId w:val="4"/>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与采购人、其他投标人或者采购代理机构工作人员恶意串通的；</w:t>
      </w:r>
    </w:p>
    <w:p w14:paraId="0FDA234B">
      <w:pPr>
        <w:numPr>
          <w:ilvl w:val="0"/>
          <w:numId w:val="4"/>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向采购人或采购代理机构人员行贿或者提供其他不正当利益的；</w:t>
      </w:r>
    </w:p>
    <w:p w14:paraId="6E0FED31">
      <w:pPr>
        <w:numPr>
          <w:ilvl w:val="0"/>
          <w:numId w:val="4"/>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拒绝有关部门监督检查或者提供虚假情况的；</w:t>
      </w:r>
    </w:p>
    <w:p w14:paraId="5F0B6C60">
      <w:pPr>
        <w:numPr>
          <w:ilvl w:val="0"/>
          <w:numId w:val="4"/>
        </w:num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有法律、法规规定的其他损害采购人利益和社会公共利益情形的。</w:t>
      </w:r>
    </w:p>
    <w:p w14:paraId="3B6BFC86">
      <w:pPr>
        <w:widowControl/>
        <w:spacing w:line="360" w:lineRule="auto"/>
        <w:ind w:firstLine="422" w:firstLineChars="200"/>
        <w:outlineLvl w:val="1"/>
        <w:rPr>
          <w:rFonts w:ascii="宋体" w:hAnsi="宋体" w:cs="宋体"/>
          <w:b/>
          <w:color w:val="auto"/>
          <w:sz w:val="21"/>
          <w:szCs w:val="21"/>
          <w:highlight w:val="none"/>
        </w:rPr>
      </w:pPr>
      <w:bookmarkStart w:id="103" w:name="_Toc497898872"/>
      <w:bookmarkStart w:id="104" w:name="_Toc23995"/>
      <w:bookmarkStart w:id="105" w:name="_Toc19049"/>
      <w:r>
        <w:rPr>
          <w:rFonts w:hint="eastAsia" w:ascii="宋体" w:hAnsi="宋体" w:cs="宋体"/>
          <w:b/>
          <w:color w:val="auto"/>
          <w:sz w:val="21"/>
          <w:szCs w:val="21"/>
          <w:highlight w:val="none"/>
        </w:rPr>
        <w:t>十六、评标过程的监控</w:t>
      </w:r>
      <w:bookmarkEnd w:id="103"/>
      <w:bookmarkEnd w:id="104"/>
      <w:bookmarkEnd w:id="105"/>
    </w:p>
    <w:p w14:paraId="79BA108A">
      <w:pPr>
        <w:snapToGrid w:val="0"/>
        <w:spacing w:line="360" w:lineRule="auto"/>
        <w:ind w:firstLine="420" w:firstLineChars="200"/>
        <w:rPr>
          <w:rFonts w:ascii="宋体" w:hAnsi="宋体" w:cs="宋体"/>
          <w:bCs/>
          <w:color w:val="auto"/>
          <w:sz w:val="21"/>
          <w:szCs w:val="21"/>
          <w:highlight w:val="none"/>
        </w:rPr>
      </w:pPr>
      <w:bookmarkStart w:id="106" w:name="_Toc497898873"/>
      <w:r>
        <w:rPr>
          <w:rFonts w:hint="eastAsia" w:ascii="宋体" w:hAnsi="宋体" w:cs="宋体"/>
          <w:color w:val="auto"/>
          <w:sz w:val="21"/>
          <w:szCs w:val="21"/>
          <w:highlight w:val="none"/>
        </w:rPr>
        <w:t>本项目评标过程实行全程录音</w:t>
      </w:r>
      <w:r>
        <w:rPr>
          <w:rFonts w:hint="eastAsia" w:ascii="宋体" w:hAnsi="宋体" w:cs="宋体"/>
          <w:bCs/>
          <w:color w:val="auto"/>
          <w:sz w:val="21"/>
          <w:szCs w:val="21"/>
          <w:highlight w:val="none"/>
        </w:rPr>
        <w:t>、录像监控，投标人在评标过程中所进行的试图影响评标结果的不公正活动，可能导致其投标被拒绝。</w:t>
      </w:r>
      <w:bookmarkEnd w:id="106"/>
    </w:p>
    <w:bookmarkEnd w:id="99"/>
    <w:bookmarkEnd w:id="100"/>
    <w:bookmarkEnd w:id="101"/>
    <w:bookmarkEnd w:id="102"/>
    <w:p w14:paraId="39C1D83E">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十七、采购文件的澄清和修改</w:t>
      </w:r>
    </w:p>
    <w:p w14:paraId="0AE3FDED">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b/>
          <w:color w:val="auto"/>
          <w:sz w:val="21"/>
          <w:szCs w:val="21"/>
          <w:highlight w:val="none"/>
        </w:rPr>
        <w:t>采购人可以对已发出的采购文件进行必要的澄清或者修改，将以“更正公告”的形式发布在政采云平台，投标人应及时登录政采云平台，进行浏览并下载，未及时浏览下载的责任自负。</w:t>
      </w:r>
      <w:r>
        <w:rPr>
          <w:rFonts w:hint="eastAsia" w:ascii="宋体" w:hAnsi="宋体" w:cs="宋体"/>
          <w:color w:val="auto"/>
          <w:sz w:val="21"/>
          <w:szCs w:val="21"/>
          <w:highlight w:val="none"/>
        </w:rPr>
        <w:t>澄清或者修改的内容可能影响投标文件编制的，采购人应当在投标截止时间至少15日前，不足15日的，采购人应当顺延提交投标文件的截止时间；澄清或者修改的内容不影响投标文件编制的，则不受15日的期限限制。澄清或者修改的内容为采购文件的组成部分，对所有投标人具有约束力。</w:t>
      </w:r>
    </w:p>
    <w:p w14:paraId="06673EE9">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十八、质疑与投诉</w:t>
      </w:r>
    </w:p>
    <w:p w14:paraId="721BF088">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投标人认为采购文件、采购过程、中标或者成交结果使自己的权益受到损害的，可以在知道或者应知其权益受到损害之日起7个工作日内，以书面形式向采购人、代理机构提出质疑。投标人应当在法定质疑期内一次性提出针对采购公告、采购文件、开标评标、采购结果等同一采购程序环节的质疑，第二次提出的质疑视为质疑无效，采购人、代理机构将不予受理（对于采购人、代理机构作出的澄清或者修改的内容提出质疑的除外）。</w:t>
      </w:r>
    </w:p>
    <w:p w14:paraId="5262F491">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提出质疑的投标人应当是参与所质疑项目采购活动的投标人。未依法获取采购文件的，不得就采购文件提出质疑；未提交投标文件的投标人，视为与采购结果没有利害关系，不得就采购响应截止时间后的采购过程、采购结果提出质疑。</w:t>
      </w:r>
    </w:p>
    <w:p w14:paraId="3F815EC8">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投标人提出质疑应当提交质疑函和必要的证明材料，质疑函应当以书面形式提出，质疑函格式和内容须符合财政部《质疑函范本》、《投诉书范本》要求，投标人可到中国政府采购网自行下载财政部《质疑函范本》、《投诉书范本》。</w:t>
      </w:r>
    </w:p>
    <w:p w14:paraId="7AFC6453">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投标人质疑实行实名制，质疑函应当署名，投标人为自然人的，应当由本人签字；投标人为法人或者其他组织的，应当由法定代表人、主要负责人，或者其授权代表（指代理人）签字或者盖章，并加盖投标人公章；代理人提出质疑的，应当提交投标人签署的授权委托书；以联合体形式参加政府采购活动的，其质疑应当由组成联合体的所有投标人共同提出。</w:t>
      </w:r>
    </w:p>
    <w:p w14:paraId="38610D00">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5、采购人、代理机构接收质疑函的方式：只接收投标人以当面递交、邮寄、传真或电子邮件方式提出的质疑函，以其他方式提出的质疑不予接收。</w:t>
      </w:r>
    </w:p>
    <w:p w14:paraId="00729A2A">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采取邮寄方式的，提出质疑的时间为质疑函原件交邮的时间（以邮戳时间或快递收件时间为准）。</w:t>
      </w:r>
    </w:p>
    <w:p w14:paraId="0B56C6A3">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采取传真、电子邮件方式的，投标人应当在传真、电子邮件发出后将质疑函原件邮寄给被质疑人，提出质疑的时间为质疑函原件交邮的时间（以邮戳时间或快递收件时间为准）。</w:t>
      </w:r>
    </w:p>
    <w:p w14:paraId="5C9C2396">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6、采购人、代理机构以实际收到质疑函原件之日作为收到质疑函的日期，将在收到质疑函后7个工作日内作出答复。</w:t>
      </w:r>
    </w:p>
    <w:p w14:paraId="34564165">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7、采购人、代理机构接收质疑函的联系人、联系电话和通讯地址等信息详见采购公告。</w:t>
      </w:r>
    </w:p>
    <w:p w14:paraId="7BF89AF4">
      <w:pPr>
        <w:wordWrap w:val="0"/>
        <w:spacing w:line="360" w:lineRule="auto"/>
        <w:ind w:firstLine="422" w:firstLineChars="200"/>
        <w:rPr>
          <w:rFonts w:ascii="宋体" w:hAnsi="宋体" w:cs="宋体"/>
          <w:color w:val="auto"/>
          <w:sz w:val="21"/>
          <w:szCs w:val="21"/>
          <w:highlight w:val="none"/>
        </w:rPr>
      </w:pP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rPr>
        <w:t>十九、最高限价</w:t>
      </w:r>
    </w:p>
    <w:p w14:paraId="4E3DCD5A">
      <w:pPr>
        <w:wordWrap w:val="0"/>
        <w:spacing w:line="360" w:lineRule="auto"/>
        <w:ind w:firstLine="420" w:firstLineChars="200"/>
        <w:rPr>
          <w:rFonts w:ascii="宋体" w:hAnsi="宋体" w:cs="宋体"/>
          <w:bCs/>
          <w:color w:val="auto"/>
          <w:sz w:val="21"/>
          <w:szCs w:val="21"/>
          <w:highlight w:val="none"/>
        </w:rPr>
      </w:pPr>
      <w:bookmarkStart w:id="107" w:name="_Hlk37142004"/>
      <w:r>
        <w:rPr>
          <w:rFonts w:hint="eastAsia" w:ascii="宋体" w:hAnsi="宋体" w:cs="宋体"/>
          <w:color w:val="auto"/>
          <w:sz w:val="21"/>
          <w:szCs w:val="21"/>
          <w:highlight w:val="none"/>
        </w:rPr>
        <w:t>1、</w:t>
      </w:r>
      <w:r>
        <w:rPr>
          <w:rFonts w:hint="eastAsia" w:ascii="宋体" w:hAnsi="宋体"/>
          <w:bCs/>
          <w:color w:val="auto"/>
          <w:sz w:val="21"/>
          <w:szCs w:val="21"/>
          <w:highlight w:val="none"/>
        </w:rPr>
        <w:t>投标</w:t>
      </w:r>
      <w:r>
        <w:rPr>
          <w:rFonts w:hint="eastAsia" w:ascii="宋体" w:hAnsi="宋体"/>
          <w:bCs/>
          <w:color w:val="auto"/>
          <w:sz w:val="21"/>
          <w:szCs w:val="21"/>
          <w:highlight w:val="none"/>
          <w:lang w:val="en-US" w:eastAsia="zh-CN"/>
        </w:rPr>
        <w:t>报价</w:t>
      </w:r>
      <w:r>
        <w:rPr>
          <w:rFonts w:hint="eastAsia" w:ascii="宋体" w:hAnsi="宋体"/>
          <w:bCs/>
          <w:color w:val="auto"/>
          <w:sz w:val="21"/>
          <w:szCs w:val="21"/>
          <w:highlight w:val="none"/>
        </w:rPr>
        <w:t>不得超过</w:t>
      </w:r>
      <w:r>
        <w:rPr>
          <w:rFonts w:hint="eastAsia" w:ascii="宋体" w:hAnsi="宋体"/>
          <w:bCs/>
          <w:color w:val="auto"/>
          <w:sz w:val="21"/>
          <w:szCs w:val="21"/>
          <w:highlight w:val="none"/>
          <w:lang w:val="en-US" w:eastAsia="zh-CN"/>
        </w:rPr>
        <w:t>最高限价</w:t>
      </w:r>
      <w:r>
        <w:rPr>
          <w:rFonts w:hint="eastAsia" w:ascii="宋体" w:hAnsi="宋体"/>
          <w:bCs/>
          <w:color w:val="auto"/>
          <w:sz w:val="21"/>
          <w:szCs w:val="21"/>
          <w:highlight w:val="none"/>
        </w:rPr>
        <w:t>，否则作无效处理</w:t>
      </w:r>
      <w:r>
        <w:rPr>
          <w:rFonts w:hint="eastAsia" w:ascii="宋体" w:hAnsi="宋体" w:cs="宋体"/>
          <w:bCs/>
          <w:color w:val="auto"/>
          <w:sz w:val="21"/>
          <w:szCs w:val="21"/>
          <w:highlight w:val="none"/>
        </w:rPr>
        <w:t>。</w:t>
      </w:r>
    </w:p>
    <w:p w14:paraId="77396C2B">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二十、招标代理服务费</w:t>
      </w:r>
    </w:p>
    <w:p w14:paraId="1880E5E6">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1、本项目招标代理费按</w:t>
      </w:r>
      <w:r>
        <w:rPr>
          <w:rFonts w:hint="eastAsia" w:ascii="宋体" w:hAnsi="宋体" w:cs="宋体"/>
          <w:color w:val="auto"/>
          <w:sz w:val="21"/>
          <w:szCs w:val="21"/>
          <w:highlight w:val="none"/>
          <w:lang w:val="en-US" w:eastAsia="zh-CN"/>
        </w:rPr>
        <w:t>8600</w:t>
      </w:r>
      <w:r>
        <w:rPr>
          <w:rFonts w:hint="eastAsia" w:ascii="宋体" w:hAnsi="宋体" w:cs="宋体"/>
          <w:color w:val="auto"/>
          <w:sz w:val="21"/>
          <w:szCs w:val="21"/>
          <w:highlight w:val="none"/>
        </w:rPr>
        <w:t>.00元向中标人收取。</w:t>
      </w:r>
    </w:p>
    <w:p w14:paraId="4CAC471E">
      <w:pPr>
        <w:wordWrap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rPr>
        <w:t>中标供应商</w:t>
      </w:r>
      <w:r>
        <w:rPr>
          <w:rFonts w:hint="eastAsia" w:ascii="宋体" w:hAnsi="宋体" w:cs="宋体"/>
          <w:color w:val="auto"/>
          <w:sz w:val="21"/>
          <w:szCs w:val="21"/>
          <w:highlight w:val="none"/>
        </w:rPr>
        <w:t>应在代理机构发出中标通知书5个工作日内向本代理机构支付招标代理服务费。</w:t>
      </w:r>
    </w:p>
    <w:p w14:paraId="7EDA195F">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3、招标代理服务费收取银行票汇款、电汇款。</w:t>
      </w:r>
    </w:p>
    <w:p w14:paraId="6C9E9C8C">
      <w:pPr>
        <w:wordWrap w:val="0"/>
        <w:spacing w:line="360" w:lineRule="auto"/>
        <w:ind w:firstLine="630" w:firstLineChars="300"/>
        <w:rPr>
          <w:rFonts w:ascii="宋体" w:hAnsi="宋体" w:cs="宋体"/>
          <w:color w:val="auto"/>
          <w:sz w:val="21"/>
          <w:szCs w:val="21"/>
          <w:highlight w:val="none"/>
        </w:rPr>
      </w:pPr>
      <w:r>
        <w:rPr>
          <w:rFonts w:hint="eastAsia" w:ascii="宋体" w:hAnsi="宋体" w:cs="宋体"/>
          <w:color w:val="auto"/>
          <w:sz w:val="21"/>
          <w:szCs w:val="21"/>
          <w:highlight w:val="none"/>
        </w:rPr>
        <w:t>账户名称：宁波市国际招标有限公司</w:t>
      </w:r>
    </w:p>
    <w:p w14:paraId="70327C0D">
      <w:pPr>
        <w:wordWrap w:val="0"/>
        <w:spacing w:line="360" w:lineRule="auto"/>
        <w:ind w:firstLine="630" w:firstLineChars="300"/>
        <w:rPr>
          <w:rFonts w:ascii="宋体" w:hAnsi="宋体" w:cs="宋体"/>
          <w:color w:val="auto"/>
          <w:sz w:val="21"/>
          <w:szCs w:val="21"/>
          <w:highlight w:val="none"/>
        </w:rPr>
      </w:pPr>
      <w:r>
        <w:rPr>
          <w:rFonts w:hint="eastAsia" w:ascii="宋体" w:hAnsi="宋体" w:cs="宋体"/>
          <w:color w:val="auto"/>
          <w:sz w:val="21"/>
          <w:szCs w:val="21"/>
          <w:highlight w:val="none"/>
        </w:rPr>
        <w:t>开户银行：上海浦东发展银行江北支行</w:t>
      </w:r>
    </w:p>
    <w:p w14:paraId="05B2C9E8">
      <w:pPr>
        <w:wordWrap w:val="0"/>
        <w:spacing w:line="360" w:lineRule="auto"/>
        <w:ind w:firstLine="630" w:firstLineChars="300"/>
        <w:rPr>
          <w:rFonts w:ascii="宋体" w:hAnsi="宋体" w:cs="宋体"/>
          <w:color w:val="auto"/>
          <w:sz w:val="21"/>
          <w:szCs w:val="21"/>
          <w:highlight w:val="none"/>
        </w:rPr>
      </w:pPr>
      <w:r>
        <w:rPr>
          <w:rFonts w:hint="eastAsia" w:ascii="宋体" w:hAnsi="宋体" w:cs="宋体"/>
          <w:color w:val="auto"/>
          <w:sz w:val="21"/>
          <w:szCs w:val="21"/>
          <w:highlight w:val="none"/>
        </w:rPr>
        <w:t>银行账号：94090154800000191</w:t>
      </w:r>
    </w:p>
    <w:p w14:paraId="4BF7B3F7">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4、邮箱：nbitc@126.com</w:t>
      </w:r>
    </w:p>
    <w:bookmarkEnd w:id="107"/>
    <w:p w14:paraId="036E7BC8">
      <w:pPr>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二十一、合同授予</w:t>
      </w:r>
    </w:p>
    <w:p w14:paraId="6E2BFCB4">
      <w:pPr>
        <w:spacing w:line="360" w:lineRule="auto"/>
        <w:ind w:firstLine="422" w:firstLineChars="200"/>
        <w:rPr>
          <w:rFonts w:ascii="宋体" w:hAnsi="宋体" w:cs="宋体"/>
          <w:b/>
          <w:color w:val="auto"/>
          <w:sz w:val="21"/>
          <w:szCs w:val="21"/>
          <w:highlight w:val="none"/>
        </w:rPr>
      </w:pPr>
      <w:bookmarkStart w:id="108" w:name="_Toc17884850"/>
      <w:bookmarkStart w:id="109" w:name="_Toc460857935"/>
      <w:r>
        <w:rPr>
          <w:rFonts w:hint="eastAsia" w:ascii="宋体" w:hAnsi="宋体" w:cs="宋体"/>
          <w:b/>
          <w:color w:val="auto"/>
          <w:sz w:val="21"/>
          <w:szCs w:val="21"/>
          <w:highlight w:val="none"/>
        </w:rPr>
        <w:t>（一）签订合同</w:t>
      </w:r>
      <w:bookmarkEnd w:id="108"/>
      <w:bookmarkEnd w:id="109"/>
    </w:p>
    <w:p w14:paraId="51824766">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1、采购人与中标人应当在中标通知书发出之日起</w:t>
      </w:r>
      <w:r>
        <w:rPr>
          <w:rFonts w:hint="eastAsia" w:ascii="宋体" w:hAnsi="宋体" w:cs="宋体"/>
          <w:b/>
          <w:color w:val="auto"/>
          <w:sz w:val="21"/>
          <w:szCs w:val="21"/>
          <w:highlight w:val="none"/>
          <w:u w:val="single"/>
        </w:rPr>
        <w:t>30</w:t>
      </w:r>
      <w:r>
        <w:rPr>
          <w:rFonts w:hint="eastAsia" w:ascii="宋体" w:hAnsi="宋体" w:cs="宋体"/>
          <w:color w:val="auto"/>
          <w:sz w:val="21"/>
          <w:szCs w:val="21"/>
          <w:highlight w:val="none"/>
        </w:rPr>
        <w:t>日内签订政府采购合同。</w:t>
      </w:r>
    </w:p>
    <w:p w14:paraId="3E7D0A28">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2、中标人拖延、拒签合同的,将取消中标资格。</w:t>
      </w:r>
    </w:p>
    <w:p w14:paraId="6FAF5D5C">
      <w:pPr>
        <w:spacing w:line="360" w:lineRule="auto"/>
        <w:ind w:firstLine="422" w:firstLineChars="200"/>
        <w:rPr>
          <w:rFonts w:ascii="宋体" w:hAnsi="宋体" w:cs="宋体"/>
          <w:b/>
          <w:color w:val="auto"/>
          <w:sz w:val="21"/>
          <w:szCs w:val="21"/>
          <w:highlight w:val="none"/>
        </w:rPr>
      </w:pPr>
      <w:bookmarkStart w:id="110" w:name="_Toc17884851"/>
      <w:bookmarkStart w:id="111" w:name="_Toc460857936"/>
      <w:r>
        <w:rPr>
          <w:rFonts w:hint="eastAsia" w:ascii="宋体" w:hAnsi="宋体" w:cs="宋体"/>
          <w:b/>
          <w:color w:val="auto"/>
          <w:sz w:val="21"/>
          <w:szCs w:val="21"/>
          <w:highlight w:val="none"/>
        </w:rPr>
        <w:t>（二）履约保证金</w:t>
      </w:r>
      <w:bookmarkEnd w:id="110"/>
      <w:bookmarkEnd w:id="111"/>
      <w:r>
        <w:rPr>
          <w:rFonts w:hint="eastAsia" w:ascii="宋体" w:hAnsi="宋体" w:cs="宋体"/>
          <w:b/>
          <w:color w:val="auto"/>
          <w:sz w:val="21"/>
          <w:szCs w:val="21"/>
          <w:highlight w:val="none"/>
        </w:rPr>
        <w:t>（详见投标人须知前附表）</w:t>
      </w:r>
    </w:p>
    <w:p w14:paraId="2BFC33CD">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二十二、特别说明</w:t>
      </w:r>
    </w:p>
    <w:p w14:paraId="5ABCD9F3">
      <w:pPr>
        <w:wordWrap w:val="0"/>
        <w:spacing w:line="360" w:lineRule="auto"/>
        <w:ind w:firstLine="424" w:firstLineChars="202"/>
        <w:rPr>
          <w:rFonts w:ascii="宋体" w:hAnsi="宋体" w:cs="宋体"/>
          <w:color w:val="auto"/>
          <w:sz w:val="21"/>
          <w:szCs w:val="21"/>
          <w:highlight w:val="none"/>
        </w:rPr>
      </w:pPr>
      <w:bookmarkStart w:id="112" w:name="_Toc21541015"/>
      <w:bookmarkStart w:id="113" w:name="_Toc495244277"/>
      <w:r>
        <w:rPr>
          <w:rFonts w:hint="eastAsia" w:ascii="宋体" w:hAnsi="宋体" w:cs="宋体"/>
          <w:color w:val="auto"/>
          <w:sz w:val="21"/>
          <w:szCs w:val="21"/>
          <w:highlight w:val="none"/>
        </w:rPr>
        <w:t>1、执行财政部、工业和信息化部《政府采购促进中小企业发展管理办法》（财库〔2020〕46号）。政府采购活动中有关中小企业的相关规定如下：</w:t>
      </w:r>
    </w:p>
    <w:p w14:paraId="6F51A40D">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C45C985">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1.2在政府采购活动中，投标人提供的货物、工程或者服务符合下列情形的，享受《政府采购促进中小企业发展管理办法》规定的中小企业扶持政策：</w:t>
      </w:r>
    </w:p>
    <w:p w14:paraId="1DF62B62">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（1）、在货物采购项目中，货物由中小企业制造，即货物由中小企业生产且使用该中小企业商号或者注册商标；</w:t>
      </w:r>
    </w:p>
    <w:p w14:paraId="7DC3AE9D">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（2）、在工程采购项目中，工程由中小企业承建，即工程施工单位为中小企业；</w:t>
      </w:r>
    </w:p>
    <w:p w14:paraId="13997BCF">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（3）、在服务采购项目中，服务由中小企业承接，即提供服务的人员为中小企业依照《中华人民共和国劳动合同法》订立劳动合同的从业人员。</w:t>
      </w:r>
    </w:p>
    <w:p w14:paraId="79E7BA2A">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在货物采购项目中，投标人提供的货物既有中小企业制造货物，也有大型企业制造货物的，不享受《政府采购促进中小企业发展管理办法》规定的中小企业扶持政策。</w:t>
      </w:r>
    </w:p>
    <w:p w14:paraId="61CA47BD">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以联合体形式参加政府采购活动，联合体各方均为中小企业的，联合体视同中小企业。其中，联合体各方均为小微企业的，联合体视同小微企业。</w:t>
      </w:r>
    </w:p>
    <w:p w14:paraId="59AE2531">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1.3中小企业参加政府采购活动，应当出具《政府采购促进中小企业发展管理办法》规定的《中小企业声明函》（格式见本采购文件附件），否则不得享受相关中小企业扶持政策。</w:t>
      </w:r>
    </w:p>
    <w:p w14:paraId="3A4F1305">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1.4采购活动过程中，对投标人的“中小企业”资格认定，以投标人提交的《中小企业声明函》为准，投标人必须实事求是地提交声明函，如有虚假，将依法承担法律责任。如果在采购活动过程中相关采购当事人对投标人“中小企业”资格有异议的，由货物制造商或者工程、服务投标人注册登记所在地的县级以上人民政府中小企业主管部门负责认定。</w:t>
      </w:r>
    </w:p>
    <w:p w14:paraId="44208E2E">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投标人提供声明函内容不实的，属于提供虚假材料谋取中标、成交，依照《中华人民共和国政府采购法》等国家有关规定追究相应责任。</w:t>
      </w:r>
    </w:p>
    <w:p w14:paraId="3DA12341">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适用招标投标法的政府采购工程建设项目，投标人提供声明函内容不实的，属于弄虚作假骗取中标，依照《中华人民共和国招标投标法》等国家有关规定追究相应责任。</w:t>
      </w:r>
    </w:p>
    <w:p w14:paraId="0446E6D3">
      <w:pPr>
        <w:wordWrap w:val="0"/>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1.5《中小企业声明函》由参加投标的投标人提交，如投标人为代理商，须自行采集制造商的中小企业划分类型信息填入相应栏目并对其真实性负责。</w:t>
      </w:r>
    </w:p>
    <w:p w14:paraId="2E4B7580">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执行财政部、司法部《关于政府采购支持监狱企业发展有关问题的通知》。监狱企业（监狱和戒毒企业）提供自己企业的产品（服务）参加投标视同小型、微型企业，享受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112"/>
      <w:bookmarkEnd w:id="113"/>
    </w:p>
    <w:p w14:paraId="33CDD610">
      <w:pPr>
        <w:wordWrap w:val="0"/>
        <w:spacing w:line="360" w:lineRule="auto"/>
        <w:ind w:firstLine="420" w:firstLineChars="200"/>
        <w:rPr>
          <w:rFonts w:ascii="宋体" w:hAnsi="宋体" w:cs="宋体"/>
          <w:color w:val="auto"/>
          <w:sz w:val="21"/>
          <w:szCs w:val="21"/>
          <w:highlight w:val="none"/>
        </w:rPr>
      </w:pPr>
      <w:bookmarkStart w:id="114" w:name="_Toc21541016"/>
      <w:r>
        <w:rPr>
          <w:rFonts w:hint="eastAsia" w:ascii="宋体" w:hAnsi="宋体" w:cs="宋体"/>
          <w:color w:val="auto"/>
          <w:sz w:val="21"/>
          <w:szCs w:val="21"/>
          <w:highlight w:val="none"/>
        </w:rPr>
        <w:t>3、执行《三部门联合发布关于促进残疾人就业政府采购政策的通知》，在政府采购活动中，残疾人福利性单位视同小型、微型企业，残疾人福利性单位参加政府采购活动时，应当提供《残疾人福利性单位声明函》（格式见第六章投标文件格式），并对声明的真实性负责，未能提供的不予认可。</w:t>
      </w:r>
      <w:bookmarkEnd w:id="114"/>
    </w:p>
    <w:p w14:paraId="13823588">
      <w:pPr>
        <w:wordWrap w:val="0"/>
        <w:spacing w:line="360" w:lineRule="auto"/>
        <w:ind w:firstLine="420" w:firstLineChars="200"/>
        <w:rPr>
          <w:rFonts w:ascii="宋体" w:hAnsi="宋体" w:cs="宋体"/>
          <w:color w:val="auto"/>
          <w:sz w:val="21"/>
          <w:szCs w:val="21"/>
          <w:highlight w:val="none"/>
        </w:rPr>
      </w:pPr>
      <w:bookmarkStart w:id="115" w:name="_Toc21541017"/>
      <w:bookmarkStart w:id="116" w:name="_Toc419729158"/>
      <w:r>
        <w:rPr>
          <w:rFonts w:hint="eastAsia" w:ascii="宋体" w:hAnsi="宋体" w:cs="宋体"/>
          <w:color w:val="auto"/>
          <w:sz w:val="21"/>
          <w:szCs w:val="21"/>
          <w:highlight w:val="none"/>
        </w:rPr>
        <w:t>4、本项目不组织潜在投标人现场考察或者召开开标前答疑。</w:t>
      </w:r>
      <w:bookmarkEnd w:id="115"/>
    </w:p>
    <w:p w14:paraId="4588EB56">
      <w:pPr>
        <w:wordWrap w:val="0"/>
        <w:spacing w:line="360" w:lineRule="auto"/>
        <w:ind w:firstLine="420" w:firstLineChars="200"/>
        <w:rPr>
          <w:rFonts w:ascii="宋体" w:hAnsi="宋体" w:cs="宋体"/>
          <w:color w:val="auto"/>
          <w:sz w:val="21"/>
          <w:szCs w:val="21"/>
          <w:highlight w:val="none"/>
        </w:rPr>
      </w:pPr>
      <w:bookmarkStart w:id="117" w:name="_Toc21541018"/>
      <w:r>
        <w:rPr>
          <w:rFonts w:hint="eastAsia" w:ascii="宋体" w:hAnsi="宋体" w:cs="宋体"/>
          <w:color w:val="auto"/>
          <w:sz w:val="21"/>
          <w:szCs w:val="21"/>
          <w:highlight w:val="none"/>
        </w:rPr>
        <w:t>5、本文件未及事项，在签订合同时供需及使用方友好商定。</w:t>
      </w:r>
      <w:bookmarkEnd w:id="116"/>
      <w:bookmarkEnd w:id="117"/>
    </w:p>
    <w:p w14:paraId="38C3080B">
      <w:pPr>
        <w:wordWrap w:val="0"/>
        <w:spacing w:line="360" w:lineRule="auto"/>
        <w:ind w:firstLine="420" w:firstLineChars="200"/>
        <w:rPr>
          <w:rFonts w:ascii="宋体" w:hAnsi="宋体" w:cs="宋体"/>
          <w:color w:val="auto"/>
          <w:sz w:val="21"/>
          <w:szCs w:val="21"/>
          <w:highlight w:val="none"/>
        </w:rPr>
      </w:pPr>
      <w:r>
        <w:rPr>
          <w:rFonts w:hint="eastAsia" w:ascii="宋体" w:hAnsi="宋体" w:cs="宋体"/>
          <w:b w:val="0"/>
          <w:bCs/>
          <w:color w:val="auto"/>
          <w:sz w:val="21"/>
          <w:szCs w:val="21"/>
          <w:highlight w:val="none"/>
          <w:lang w:eastAsia="zh-CN"/>
        </w:rPr>
        <w:t>★</w:t>
      </w:r>
      <w:r>
        <w:rPr>
          <w:rFonts w:hint="eastAsia" w:ascii="宋体" w:hAnsi="宋体" w:cs="宋体"/>
          <w:color w:val="auto"/>
          <w:sz w:val="21"/>
          <w:szCs w:val="21"/>
          <w:highlight w:val="none"/>
        </w:rPr>
        <w:t>6、不同投标人的投标文件出自同一终端设备或在相同Internet主机分配地址（相同IP地址）网上报名投标的作无效标处理。</w:t>
      </w:r>
    </w:p>
    <w:p w14:paraId="2CE7649B">
      <w:pPr>
        <w:spacing w:line="360" w:lineRule="auto"/>
        <w:ind w:firstLine="420" w:firstLineChars="200"/>
        <w:rPr>
          <w:rFonts w:ascii="宋体"/>
          <w:b/>
          <w:color w:val="auto"/>
          <w:sz w:val="32"/>
          <w:szCs w:val="32"/>
          <w:highlight w:val="none"/>
        </w:rPr>
      </w:pPr>
      <w:bookmarkStart w:id="118" w:name="_Toc419729159"/>
      <w:r>
        <w:rPr>
          <w:rFonts w:hint="eastAsia" w:ascii="宋体" w:hAnsi="宋体" w:cs="宋体"/>
          <w:color w:val="auto"/>
          <w:sz w:val="21"/>
          <w:szCs w:val="21"/>
          <w:highlight w:val="none"/>
        </w:rPr>
        <w:t>7、本采购文件解释权归采购人。</w:t>
      </w:r>
      <w:bookmarkEnd w:id="118"/>
    </w:p>
    <w:bookmarkEnd w:id="33"/>
    <w:bookmarkEnd w:id="34"/>
    <w:bookmarkEnd w:id="3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091766FC">
      <w:pPr>
        <w:rPr>
          <w:color w:val="auto"/>
          <w:highlight w:val="none"/>
        </w:rPr>
      </w:pPr>
      <w:bookmarkStart w:id="119" w:name="_Toc241827247"/>
      <w:bookmarkStart w:id="120" w:name="_Toc201632872"/>
      <w:r>
        <w:rPr>
          <w:rFonts w:hint="eastAsia"/>
          <w:color w:val="auto"/>
          <w:highlight w:val="none"/>
        </w:rPr>
        <w:br w:type="page"/>
      </w:r>
    </w:p>
    <w:p w14:paraId="4A56E2E1">
      <w:pPr>
        <w:pStyle w:val="3"/>
        <w:spacing w:before="0" w:after="0" w:line="240" w:lineRule="auto"/>
        <w:jc w:val="center"/>
        <w:rPr>
          <w:color w:val="auto"/>
          <w:highlight w:val="none"/>
        </w:rPr>
      </w:pPr>
      <w:bookmarkStart w:id="121" w:name="_Toc21453"/>
      <w:r>
        <w:rPr>
          <w:rFonts w:hint="eastAsia"/>
          <w:color w:val="auto"/>
          <w:highlight w:val="none"/>
        </w:rPr>
        <w:t xml:space="preserve">第三章 </w:t>
      </w:r>
      <w:bookmarkEnd w:id="119"/>
      <w:bookmarkEnd w:id="120"/>
      <w:bookmarkStart w:id="122" w:name="_Toc241827248"/>
      <w:r>
        <w:rPr>
          <w:rFonts w:hint="eastAsia"/>
          <w:color w:val="auto"/>
          <w:highlight w:val="none"/>
        </w:rPr>
        <w:t xml:space="preserve"> 合同主要条款</w:t>
      </w:r>
      <w:bookmarkEnd w:id="121"/>
    </w:p>
    <w:p w14:paraId="2F6DA5BD">
      <w:pPr>
        <w:jc w:val="center"/>
        <w:rPr>
          <w:rFonts w:ascii="宋体" w:hAnsi="宋体" w:cs="宋体"/>
          <w:color w:val="auto"/>
          <w:kern w:val="2"/>
          <w:sz w:val="21"/>
          <w:szCs w:val="21"/>
          <w:highlight w:val="none"/>
        </w:rPr>
      </w:pPr>
      <w:r>
        <w:rPr>
          <w:rFonts w:hint="eastAsia" w:ascii="宋体" w:hAnsi="宋体" w:cs="宋体"/>
          <w:b/>
          <w:color w:val="auto"/>
          <w:kern w:val="2"/>
          <w:sz w:val="21"/>
          <w:szCs w:val="21"/>
          <w:highlight w:val="none"/>
        </w:rPr>
        <w:t>（本合同条款为参考格式，具体由甲乙双方协商签订，与前款冲突之处以前款约定为准）</w:t>
      </w:r>
    </w:p>
    <w:p w14:paraId="0B07F211">
      <w:pPr>
        <w:jc w:val="both"/>
        <w:rPr>
          <w:rFonts w:ascii="宋体" w:hAnsi="宋体" w:cs="宋体"/>
          <w:color w:val="auto"/>
          <w:kern w:val="2"/>
          <w:sz w:val="21"/>
          <w:szCs w:val="21"/>
          <w:highlight w:val="none"/>
        </w:rPr>
      </w:pPr>
    </w:p>
    <w:p w14:paraId="320F0319">
      <w:pPr>
        <w:pStyle w:val="17"/>
        <w:spacing w:after="0"/>
        <w:jc w:val="center"/>
        <w:rPr>
          <w:rFonts w:hint="eastAsia" w:ascii="宋体" w:hAnsi="宋体" w:cs="宋体"/>
          <w:b/>
          <w:bCs/>
          <w:spacing w:val="-20"/>
          <w:kern w:val="44"/>
          <w:sz w:val="48"/>
          <w:szCs w:val="48"/>
          <w:highlight w:val="none"/>
        </w:rPr>
      </w:pPr>
      <w:r>
        <w:rPr>
          <w:rFonts w:hint="eastAsia" w:ascii="宋体" w:hAnsi="宋体" w:cs="宋体"/>
          <w:b/>
          <w:bCs/>
          <w:spacing w:val="-20"/>
          <w:kern w:val="44"/>
          <w:sz w:val="48"/>
          <w:szCs w:val="48"/>
          <w:highlight w:val="none"/>
        </w:rPr>
        <w:t>政府采购</w:t>
      </w:r>
      <w:r>
        <w:rPr>
          <w:rFonts w:hint="eastAsia" w:ascii="宋体" w:hAnsi="宋体" w:cs="宋体"/>
          <w:b/>
          <w:bCs/>
          <w:spacing w:val="-20"/>
          <w:kern w:val="44"/>
          <w:sz w:val="48"/>
          <w:szCs w:val="48"/>
          <w:highlight w:val="none"/>
          <w:lang w:eastAsia="zh-CN"/>
        </w:rPr>
        <w:t>货物买卖</w:t>
      </w:r>
      <w:r>
        <w:rPr>
          <w:rFonts w:hint="eastAsia" w:ascii="宋体" w:hAnsi="宋体" w:cs="宋体"/>
          <w:b/>
          <w:bCs/>
          <w:spacing w:val="-20"/>
          <w:kern w:val="44"/>
          <w:sz w:val="48"/>
          <w:szCs w:val="48"/>
          <w:highlight w:val="none"/>
        </w:rPr>
        <w:t>合同</w:t>
      </w:r>
    </w:p>
    <w:p w14:paraId="46A190CB">
      <w:pPr>
        <w:pStyle w:val="17"/>
        <w:spacing w:after="0"/>
        <w:jc w:val="center"/>
        <w:rPr>
          <w:rFonts w:hint="eastAsia" w:ascii="宋体" w:hAnsi="宋体" w:eastAsia="宋体" w:cs="宋体"/>
          <w:b/>
          <w:bCs/>
          <w:spacing w:val="-20"/>
          <w:kern w:val="44"/>
          <w:sz w:val="48"/>
          <w:szCs w:val="48"/>
          <w:highlight w:val="none"/>
          <w:lang w:eastAsia="zh-CN"/>
        </w:rPr>
      </w:pPr>
      <w:r>
        <w:rPr>
          <w:rFonts w:hint="eastAsia" w:ascii="宋体" w:hAnsi="宋体" w:cs="宋体"/>
          <w:b/>
          <w:bCs/>
          <w:spacing w:val="-20"/>
          <w:kern w:val="44"/>
          <w:sz w:val="48"/>
          <w:szCs w:val="48"/>
          <w:highlight w:val="none"/>
          <w:lang w:eastAsia="zh-CN"/>
        </w:rPr>
        <w:t>（试行）</w:t>
      </w:r>
    </w:p>
    <w:p w14:paraId="5B20BD7B">
      <w:pPr>
        <w:rPr>
          <w:rFonts w:ascii="宋体" w:hAnsi="宋体" w:cs="宋体"/>
          <w:b/>
          <w:bCs/>
          <w:spacing w:val="-20"/>
          <w:kern w:val="44"/>
          <w:sz w:val="40"/>
          <w:szCs w:val="40"/>
          <w:highlight w:val="none"/>
        </w:rPr>
      </w:pPr>
    </w:p>
    <w:p w14:paraId="1882F72A">
      <w:pPr>
        <w:rPr>
          <w:rFonts w:ascii="宋体" w:hAnsi="宋体" w:cs="宋体"/>
          <w:b/>
          <w:bCs/>
          <w:spacing w:val="-20"/>
          <w:kern w:val="44"/>
          <w:sz w:val="40"/>
          <w:szCs w:val="40"/>
          <w:highlight w:val="none"/>
        </w:rPr>
      </w:pPr>
    </w:p>
    <w:p w14:paraId="306C1B2B">
      <w:pPr>
        <w:rPr>
          <w:rFonts w:ascii="宋体" w:hAnsi="宋体" w:cs="宋体"/>
          <w:b/>
          <w:bCs/>
          <w:spacing w:val="-20"/>
          <w:kern w:val="44"/>
          <w:sz w:val="40"/>
          <w:szCs w:val="40"/>
          <w:highlight w:val="none"/>
        </w:rPr>
      </w:pPr>
    </w:p>
    <w:p w14:paraId="795F8C01">
      <w:pPr>
        <w:spacing w:line="360" w:lineRule="auto"/>
        <w:ind w:left="480" w:leftChars="200"/>
        <w:rPr>
          <w:sz w:val="32"/>
          <w:szCs w:val="32"/>
          <w:highlight w:val="none"/>
        </w:rPr>
      </w:pPr>
      <w:r>
        <w:rPr>
          <w:rFonts w:hint="eastAsia" w:ascii="宋体" w:hAnsi="宋体" w:cs="宋体"/>
          <w:kern w:val="0"/>
          <w:sz w:val="32"/>
          <w:szCs w:val="32"/>
          <w:highlight w:val="none"/>
        </w:rPr>
        <w:t>项目名称：</w:t>
      </w:r>
      <w:r>
        <w:rPr>
          <w:rFonts w:hint="eastAsia"/>
          <w:sz w:val="32"/>
          <w:szCs w:val="32"/>
          <w:highlight w:val="none"/>
          <w:u w:val="single"/>
        </w:rPr>
        <w:t xml:space="preserve">                             </w:t>
      </w:r>
    </w:p>
    <w:p w14:paraId="061BB10F">
      <w:pPr>
        <w:spacing w:line="360" w:lineRule="auto"/>
        <w:ind w:left="480" w:leftChars="200"/>
        <w:rPr>
          <w:sz w:val="32"/>
          <w:szCs w:val="32"/>
          <w:highlight w:val="none"/>
          <w:u w:val="single"/>
        </w:rPr>
      </w:pPr>
      <w:r>
        <w:rPr>
          <w:rFonts w:hint="eastAsia"/>
          <w:sz w:val="32"/>
          <w:szCs w:val="32"/>
          <w:highlight w:val="none"/>
        </w:rPr>
        <w:t>合同编号：</w:t>
      </w:r>
      <w:r>
        <w:rPr>
          <w:rFonts w:hint="eastAsia"/>
          <w:sz w:val="32"/>
          <w:szCs w:val="32"/>
          <w:highlight w:val="none"/>
          <w:u w:val="single"/>
        </w:rPr>
        <w:t xml:space="preserve">                             </w:t>
      </w:r>
    </w:p>
    <w:p w14:paraId="7506D3BD">
      <w:pPr>
        <w:spacing w:line="360" w:lineRule="auto"/>
        <w:ind w:left="480" w:leftChars="200"/>
        <w:rPr>
          <w:sz w:val="32"/>
          <w:szCs w:val="32"/>
          <w:highlight w:val="none"/>
        </w:rPr>
      </w:pPr>
      <w:r>
        <w:rPr>
          <w:rFonts w:hint="eastAsia"/>
          <w:sz w:val="32"/>
          <w:szCs w:val="32"/>
          <w:highlight w:val="none"/>
        </w:rPr>
        <w:t>甲    方：</w:t>
      </w:r>
      <w:r>
        <w:rPr>
          <w:rFonts w:hint="eastAsia"/>
          <w:sz w:val="32"/>
          <w:szCs w:val="32"/>
          <w:highlight w:val="none"/>
          <w:u w:val="single"/>
        </w:rPr>
        <w:t xml:space="preserve">                             </w:t>
      </w:r>
    </w:p>
    <w:p w14:paraId="0A7C644A">
      <w:pPr>
        <w:spacing w:line="360" w:lineRule="auto"/>
        <w:ind w:left="480" w:leftChars="200"/>
        <w:rPr>
          <w:sz w:val="32"/>
          <w:szCs w:val="32"/>
          <w:highlight w:val="none"/>
          <w:u w:val="single"/>
        </w:rPr>
      </w:pPr>
      <w:r>
        <w:rPr>
          <w:rFonts w:hint="eastAsia"/>
          <w:sz w:val="32"/>
          <w:szCs w:val="32"/>
          <w:highlight w:val="none"/>
        </w:rPr>
        <w:t>乙    方：</w:t>
      </w:r>
      <w:r>
        <w:rPr>
          <w:rFonts w:hint="eastAsia"/>
          <w:sz w:val="32"/>
          <w:szCs w:val="32"/>
          <w:highlight w:val="none"/>
          <w:u w:val="single"/>
        </w:rPr>
        <w:t xml:space="preserve">                             </w:t>
      </w:r>
    </w:p>
    <w:p w14:paraId="72B48008">
      <w:pPr>
        <w:spacing w:line="360" w:lineRule="auto"/>
        <w:ind w:left="480" w:leftChars="200"/>
        <w:rPr>
          <w:sz w:val="32"/>
          <w:szCs w:val="32"/>
          <w:highlight w:val="none"/>
        </w:rPr>
      </w:pPr>
      <w:r>
        <w:rPr>
          <w:rFonts w:hint="eastAsia"/>
          <w:sz w:val="32"/>
          <w:szCs w:val="32"/>
          <w:highlight w:val="none"/>
        </w:rPr>
        <w:t>签订时间：</w:t>
      </w:r>
      <w:r>
        <w:rPr>
          <w:rFonts w:hint="eastAsia"/>
          <w:sz w:val="32"/>
          <w:szCs w:val="32"/>
          <w:highlight w:val="none"/>
          <w:u w:val="single"/>
        </w:rPr>
        <w:t xml:space="preserve">      </w:t>
      </w:r>
      <w:r>
        <w:rPr>
          <w:sz w:val="32"/>
          <w:szCs w:val="32"/>
          <w:highlight w:val="none"/>
          <w:u w:val="single"/>
        </w:rPr>
        <w:t xml:space="preserve">           </w:t>
      </w:r>
      <w:r>
        <w:rPr>
          <w:rFonts w:hint="eastAsia"/>
          <w:sz w:val="32"/>
          <w:szCs w:val="32"/>
          <w:highlight w:val="none"/>
          <w:u w:val="single"/>
        </w:rPr>
        <w:t xml:space="preserve">            </w:t>
      </w:r>
    </w:p>
    <w:p w14:paraId="17A43D04">
      <w:pPr>
        <w:rPr>
          <w:highlight w:val="none"/>
        </w:rPr>
      </w:pPr>
    </w:p>
    <w:p w14:paraId="69D26C9D">
      <w:pPr>
        <w:rPr>
          <w:rFonts w:eastAsia="黑体"/>
          <w:sz w:val="44"/>
          <w:szCs w:val="44"/>
          <w:highlight w:val="none"/>
        </w:rPr>
      </w:pPr>
      <w:r>
        <w:rPr>
          <w:rFonts w:eastAsia="黑体"/>
          <w:sz w:val="44"/>
          <w:szCs w:val="44"/>
          <w:highlight w:val="none"/>
        </w:rPr>
        <w:br w:type="page"/>
      </w:r>
    </w:p>
    <w:p w14:paraId="71A92CCB">
      <w:pPr>
        <w:rPr>
          <w:rFonts w:eastAsia="黑体"/>
          <w:sz w:val="44"/>
          <w:szCs w:val="44"/>
          <w:highlight w:val="none"/>
        </w:rPr>
      </w:pPr>
    </w:p>
    <w:p w14:paraId="0FBBE57F">
      <w:pPr>
        <w:rPr>
          <w:rFonts w:eastAsia="黑体"/>
          <w:sz w:val="44"/>
          <w:szCs w:val="44"/>
          <w:highlight w:val="none"/>
        </w:rPr>
      </w:pPr>
    </w:p>
    <w:p w14:paraId="404BFC1F">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使</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lang w:eastAsia="zh-CN"/>
        </w:rPr>
        <w:t>用</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lang w:eastAsia="zh-CN"/>
        </w:rPr>
        <w:t>说</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lang w:eastAsia="zh-CN"/>
        </w:rPr>
        <w:t>明</w:t>
      </w:r>
    </w:p>
    <w:p w14:paraId="1758FDC6">
      <w:pPr>
        <w:ind w:firstLine="420" w:firstLineChars="200"/>
        <w:rPr>
          <w:rFonts w:hint="eastAsia" w:ascii="宋体" w:hAnsi="宋体" w:eastAsia="宋体" w:cs="宋体"/>
          <w:sz w:val="21"/>
          <w:szCs w:val="21"/>
          <w:highlight w:val="none"/>
          <w:lang w:val="en-US" w:eastAsia="zh-CN"/>
        </w:rPr>
      </w:pPr>
    </w:p>
    <w:p w14:paraId="688ABE5C">
      <w:pPr>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1.本合同标准文本适用于购买现成货物的采购项目，不包括需要供应商定制开发、创新研发的货物采购项目。</w:t>
      </w:r>
    </w:p>
    <w:p w14:paraId="36907E9A">
      <w:pPr>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2.本合同标准文本为政府采购货物买卖合同编制提供参考，可以结合采购项目具体情况，对文本作必要的调整修订后使用。</w:t>
      </w:r>
    </w:p>
    <w:p w14:paraId="43006690">
      <w:pPr>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3.本合同标准文本各条款中，如涉及填写多家供应商、制造商，多种采购标的、分包主要内容等信息的，可根据采购项目具体情况添加信息项。</w:t>
      </w:r>
    </w:p>
    <w:p w14:paraId="192528F8">
      <w:pPr>
        <w:ind w:firstLine="420" w:firstLineChars="200"/>
        <w:jc w:val="both"/>
        <w:rPr>
          <w:rFonts w:hint="eastAsia" w:ascii="宋体" w:hAnsi="宋体" w:eastAsia="宋体" w:cs="宋体"/>
          <w:sz w:val="21"/>
          <w:szCs w:val="21"/>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5F4BB48">
      <w:pPr>
        <w:pStyle w:val="3"/>
        <w:adjustRightInd w:val="0"/>
        <w:snapToGrid w:val="0"/>
        <w:spacing w:beforeLines="0" w:line="400" w:lineRule="exact"/>
        <w:jc w:val="center"/>
        <w:rPr>
          <w:rFonts w:hint="eastAsia" w:ascii="宋体" w:hAnsi="宋体" w:eastAsia="宋体" w:cs="宋体"/>
          <w:b w:val="0"/>
          <w:bCs w:val="0"/>
          <w:sz w:val="21"/>
          <w:szCs w:val="21"/>
          <w:highlight w:val="none"/>
        </w:rPr>
      </w:pPr>
      <w:bookmarkStart w:id="123" w:name="_Toc22209"/>
      <w:bookmarkStart w:id="124" w:name="_Toc3369"/>
      <w:r>
        <w:rPr>
          <w:rFonts w:hint="eastAsia" w:ascii="宋体" w:hAnsi="宋体" w:eastAsia="宋体" w:cs="宋体"/>
          <w:b w:val="0"/>
          <w:bCs w:val="0"/>
          <w:sz w:val="21"/>
          <w:szCs w:val="21"/>
          <w:highlight w:val="none"/>
        </w:rPr>
        <w:t>第一节 政府采购合同协议书</w:t>
      </w:r>
      <w:bookmarkEnd w:id="123"/>
      <w:bookmarkEnd w:id="124"/>
    </w:p>
    <w:p w14:paraId="1FF2B8AD">
      <w:pPr>
        <w:adjustRightInd w:val="0"/>
        <w:snapToGrid w:val="0"/>
        <w:spacing w:before="0" w:beforeLines="0"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甲方（全称）：</w:t>
      </w:r>
      <w:r>
        <w:rPr>
          <w:rFonts w:hint="eastAsia" w:ascii="宋体" w:hAnsi="宋体" w:eastAsia="宋体" w:cs="宋体"/>
          <w:sz w:val="21"/>
          <w:szCs w:val="21"/>
          <w:highlight w:val="none"/>
          <w:u w:val="single"/>
        </w:rPr>
        <w:t xml:space="preserve">                        </w:t>
      </w:r>
    </w:p>
    <w:p w14:paraId="671516B5">
      <w:pPr>
        <w:adjustRightInd w:val="0"/>
        <w:snapToGrid w:val="0"/>
        <w:spacing w:before="0" w:beforeLines="0"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乙方（全称）：</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（供应商）</w:t>
      </w:r>
    </w:p>
    <w:p w14:paraId="3624779C">
      <w:pPr>
        <w:spacing w:beforeLines="0" w:line="400" w:lineRule="exact"/>
        <w:rPr>
          <w:rFonts w:hint="eastAsia" w:ascii="宋体" w:hAnsi="宋体" w:eastAsia="宋体" w:cs="宋体"/>
          <w:sz w:val="21"/>
          <w:szCs w:val="21"/>
          <w:highlight w:val="none"/>
          <w:lang w:val="en-US" w:eastAsia="zh-CN"/>
        </w:rPr>
      </w:pPr>
    </w:p>
    <w:p w14:paraId="2CEAFE93">
      <w:pPr>
        <w:pStyle w:val="20"/>
        <w:adjustRightInd w:val="0"/>
        <w:snapToGrid w:val="0"/>
        <w:spacing w:before="0" w:beforeLines="0" w:after="0" w:line="400" w:lineRule="exact"/>
        <w:ind w:left="0" w:leftChars="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依据《中华人民共和国民法典》</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《中华人民共和国政府采购法》等有关的法律法规，以及</w:t>
      </w:r>
      <w:r>
        <w:rPr>
          <w:rFonts w:hint="eastAsia" w:ascii="宋体" w:hAnsi="宋体" w:eastAsia="宋体" w:cs="宋体"/>
          <w:i w:val="0"/>
          <w:iCs w:val="0"/>
          <w:sz w:val="21"/>
          <w:szCs w:val="21"/>
          <w:highlight w:val="none"/>
          <w:u w:val="none"/>
          <w:lang w:eastAsia="zh-CN"/>
        </w:rPr>
        <w:t>本采购项目</w:t>
      </w:r>
      <w:r>
        <w:rPr>
          <w:rFonts w:hint="eastAsia" w:ascii="宋体" w:hAnsi="宋体" w:eastAsia="宋体" w:cs="宋体"/>
          <w:sz w:val="21"/>
          <w:szCs w:val="21"/>
          <w:highlight w:val="none"/>
        </w:rPr>
        <w:t>的</w:t>
      </w:r>
      <w:r>
        <w:rPr>
          <w:rFonts w:hint="eastAsia" w:ascii="宋体" w:hAnsi="宋体" w:eastAsia="宋体" w:cs="宋体"/>
          <w:sz w:val="21"/>
          <w:szCs w:val="21"/>
          <w:highlight w:val="none"/>
          <w:lang w:eastAsia="zh-CN"/>
        </w:rPr>
        <w:t>招标</w:t>
      </w:r>
      <w:r>
        <w:rPr>
          <w:rFonts w:hint="eastAsia" w:ascii="宋体" w:hAnsi="宋体" w:eastAsia="宋体" w:cs="宋体"/>
          <w:sz w:val="21"/>
          <w:szCs w:val="21"/>
          <w:highlight w:val="none"/>
          <w:lang w:val="en-US" w:eastAsia="zh-CN"/>
        </w:rPr>
        <w:t>/谈判</w:t>
      </w:r>
      <w:r>
        <w:rPr>
          <w:rFonts w:hint="eastAsia" w:ascii="宋体" w:hAnsi="宋体" w:eastAsia="宋体" w:cs="宋体"/>
          <w:sz w:val="21"/>
          <w:szCs w:val="21"/>
          <w:highlight w:val="none"/>
          <w:lang w:eastAsia="zh-CN"/>
        </w:rPr>
        <w:t>文件等</w:t>
      </w:r>
      <w:r>
        <w:rPr>
          <w:rFonts w:hint="eastAsia" w:ascii="宋体" w:hAnsi="宋体" w:eastAsia="宋体" w:cs="宋体"/>
          <w:sz w:val="21"/>
          <w:szCs w:val="21"/>
          <w:highlight w:val="none"/>
        </w:rPr>
        <w:t>采购文件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 xml:space="preserve">乙方的《投标（响应）文件》及《中标（成交）通知书》，甲乙双方同意签订本合同。具体情况及要求如下：     </w:t>
      </w:r>
    </w:p>
    <w:p w14:paraId="79B772DA">
      <w:pPr>
        <w:numPr>
          <w:ilvl w:val="0"/>
          <w:numId w:val="5"/>
        </w:numPr>
        <w:adjustRightInd w:val="0"/>
        <w:snapToGrid w:val="0"/>
        <w:spacing w:before="0" w:beforeLines="0" w:line="400" w:lineRule="exact"/>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项目信息</w:t>
      </w:r>
    </w:p>
    <w:p w14:paraId="0713CE30">
      <w:pPr>
        <w:pStyle w:val="20"/>
        <w:numPr>
          <w:ilvl w:val="0"/>
          <w:numId w:val="6"/>
        </w:numPr>
        <w:adjustRightInd w:val="0"/>
        <w:snapToGrid w:val="0"/>
        <w:spacing w:before="0" w:beforeLines="0" w:after="0" w:line="400" w:lineRule="exact"/>
        <w:ind w:left="0" w:leftChars="0"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采购项目名称：</w:t>
      </w:r>
      <w:r>
        <w:rPr>
          <w:rFonts w:hint="eastAsia" w:ascii="宋体" w:hAnsi="宋体" w:eastAsia="宋体" w:cs="宋体"/>
          <w:sz w:val="21"/>
          <w:szCs w:val="21"/>
          <w:highlight w:val="none"/>
          <w:u w:val="single"/>
        </w:rPr>
        <w:t xml:space="preserve">                                          </w:t>
      </w:r>
    </w:p>
    <w:p w14:paraId="07181A1C">
      <w:pPr>
        <w:pStyle w:val="20"/>
        <w:numPr>
          <w:ilvl w:val="-1"/>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sz w:val="21"/>
          <w:szCs w:val="21"/>
          <w:highlight w:val="none"/>
          <w:u w:val="none"/>
          <w:lang w:val="en-US" w:eastAsia="zh-CN"/>
        </w:rPr>
      </w:pPr>
      <w:r>
        <w:rPr>
          <w:rFonts w:hint="eastAsia" w:ascii="宋体" w:hAnsi="宋体" w:eastAsia="宋体" w:cs="宋体"/>
          <w:sz w:val="21"/>
          <w:szCs w:val="21"/>
          <w:highlight w:val="none"/>
          <w:u w:val="none"/>
          <w:lang w:val="en-US" w:eastAsia="zh-CN"/>
        </w:rPr>
        <w:t xml:space="preserve">         采购项目编号：</w:t>
      </w:r>
      <w:r>
        <w:rPr>
          <w:rFonts w:hint="eastAsia" w:ascii="宋体" w:hAnsi="宋体" w:eastAsia="宋体" w:cs="宋体"/>
          <w:sz w:val="21"/>
          <w:szCs w:val="21"/>
          <w:highlight w:val="none"/>
          <w:u w:val="single"/>
        </w:rPr>
        <w:t xml:space="preserve">                                          </w:t>
      </w:r>
    </w:p>
    <w:p w14:paraId="03172CCD">
      <w:pPr>
        <w:pStyle w:val="20"/>
        <w:adjustRightInd w:val="0"/>
        <w:snapToGrid w:val="0"/>
        <w:spacing w:before="0" w:beforeLines="0" w:after="0" w:line="400" w:lineRule="exact"/>
        <w:ind w:left="0" w:leftChars="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（2）采购计划编号：</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14:paraId="3458009D">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（3）项目内容：</w:t>
      </w:r>
    </w:p>
    <w:p w14:paraId="05CDB6CE">
      <w:pPr>
        <w:adjustRightInd w:val="0"/>
        <w:snapToGrid w:val="0"/>
        <w:spacing w:before="0" w:beforeLines="0" w:line="400" w:lineRule="exact"/>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lang w:eastAsia="zh-CN"/>
        </w:rPr>
        <w:t>采购标的及数量</w:t>
      </w:r>
      <w:r>
        <w:rPr>
          <w:rFonts w:hint="eastAsia" w:ascii="宋体" w:hAnsi="宋体" w:eastAsia="宋体" w:cs="宋体"/>
          <w:sz w:val="21"/>
          <w:szCs w:val="21"/>
          <w:highlight w:val="none"/>
          <w:lang w:val="en-US" w:eastAsia="zh-CN"/>
        </w:rPr>
        <w:t>（台/套</w:t>
      </w:r>
      <w:r>
        <w:rPr>
          <w:rFonts w:hint="eastAsia" w:ascii="宋体" w:hAnsi="宋体" w:eastAsia="宋体" w:cs="宋体"/>
          <w:sz w:val="21"/>
          <w:szCs w:val="21"/>
          <w:highlight w:val="none"/>
          <w:lang w:val="en" w:eastAsia="zh-CN"/>
        </w:rPr>
        <w:t>/个/架/组等</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 xml:space="preserve"> </w:t>
      </w:r>
    </w:p>
    <w:p w14:paraId="3D1EB1E0">
      <w:pPr>
        <w:numPr>
          <w:ilvl w:val="-1"/>
          <w:numId w:val="0"/>
        </w:numPr>
        <w:adjustRightInd w:val="0"/>
        <w:snapToGrid w:val="0"/>
        <w:spacing w:before="0" w:beforeLines="0" w:line="400" w:lineRule="exact"/>
        <w:ind w:firstLine="420" w:firstLineChars="200"/>
        <w:rPr>
          <w:rFonts w:hint="eastAsia" w:ascii="宋体" w:hAnsi="宋体" w:eastAsia="宋体" w:cs="宋体"/>
          <w:sz w:val="21"/>
          <w:szCs w:val="21"/>
          <w:highlight w:val="none"/>
          <w:lang w:val="en" w:eastAsia="zh-CN"/>
        </w:rPr>
      </w:pP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lang w:val="en-US" w:eastAsia="zh-CN"/>
        </w:rPr>
        <w:t>品牌：</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lang w:val="en" w:eastAsia="zh-CN"/>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lang w:val="en" w:eastAsia="zh-CN"/>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none"/>
          <w:lang w:val="en" w:eastAsia="zh-CN"/>
        </w:rPr>
        <w:t xml:space="preserve">     </w:t>
      </w:r>
      <w:r>
        <w:rPr>
          <w:rFonts w:hint="eastAsia" w:ascii="宋体" w:hAnsi="宋体" w:eastAsia="宋体" w:cs="宋体"/>
          <w:sz w:val="21"/>
          <w:szCs w:val="21"/>
          <w:highlight w:val="none"/>
          <w:lang w:val="en-US" w:eastAsia="zh-CN"/>
        </w:rPr>
        <w:t>规格型号：</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lang w:val="en" w:eastAsia="zh-CN"/>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lang w:val="en" w:eastAsia="zh-CN"/>
        </w:rPr>
        <w:t xml:space="preserve">   </w:t>
      </w:r>
    </w:p>
    <w:p w14:paraId="7EBFC296">
      <w:pPr>
        <w:adjustRightInd w:val="0"/>
        <w:snapToGrid w:val="0"/>
        <w:spacing w:before="0" w:beforeLines="0" w:line="400" w:lineRule="exact"/>
        <w:ind w:firstLine="945" w:firstLineChars="45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采购标的的技术要求、商务要求具体见附件。</w:t>
      </w:r>
    </w:p>
    <w:p w14:paraId="796BD20A">
      <w:pPr>
        <w:pStyle w:val="51"/>
        <w:numPr>
          <w:ilvl w:val="-1"/>
          <w:numId w:val="0"/>
        </w:numPr>
        <w:adjustRightInd w:val="0"/>
        <w:snapToGrid w:val="0"/>
        <w:spacing w:before="0" w:beforeLines="0" w:line="400" w:lineRule="exact"/>
        <w:ind w:left="0" w:firstLine="0" w:firstLineChars="0"/>
        <w:rPr>
          <w:rFonts w:hint="eastAsia" w:ascii="宋体" w:hAnsi="宋体" w:eastAsia="宋体" w:cs="宋体"/>
          <w:iCs w:val="0"/>
          <w:sz w:val="21"/>
          <w:szCs w:val="21"/>
          <w:highlight w:val="none"/>
          <w:lang w:val="en-US" w:eastAsia="zh-CN"/>
        </w:rPr>
      </w:pPr>
      <w:r>
        <w:rPr>
          <w:rFonts w:hint="eastAsia" w:ascii="宋体" w:hAnsi="宋体" w:eastAsia="宋体" w:cs="宋体"/>
          <w:iCs w:val="0"/>
          <w:sz w:val="21"/>
          <w:szCs w:val="21"/>
          <w:highlight w:val="none"/>
          <w:lang w:val="en-US" w:eastAsia="zh-CN"/>
        </w:rPr>
        <w:t xml:space="preserve">    （</w:t>
      </w:r>
      <w:r>
        <w:rPr>
          <w:rFonts w:hint="eastAsia" w:ascii="宋体" w:hAnsi="宋体" w:eastAsia="宋体" w:cs="宋体"/>
          <w:iCs w:val="0"/>
          <w:sz w:val="21"/>
          <w:szCs w:val="21"/>
          <w:highlight w:val="none"/>
          <w:lang w:val="en" w:eastAsia="zh-CN"/>
        </w:rPr>
        <w:t>4</w:t>
      </w:r>
      <w:r>
        <w:rPr>
          <w:rFonts w:hint="eastAsia" w:ascii="宋体" w:hAnsi="宋体" w:eastAsia="宋体" w:cs="宋体"/>
          <w:iCs w:val="0"/>
          <w:sz w:val="21"/>
          <w:szCs w:val="21"/>
          <w:highlight w:val="none"/>
          <w:lang w:val="en-US" w:eastAsia="zh-CN"/>
        </w:rPr>
        <w:t>）政府采购组织形式：</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lang w:eastAsia="zh-CN"/>
        </w:rPr>
        <w:t>政府集中采购</w:t>
      </w:r>
      <w:r>
        <w:rPr>
          <w:rFonts w:hint="eastAsia" w:ascii="宋体" w:hAnsi="宋体" w:eastAsia="宋体" w:cs="宋体"/>
          <w:iCs w:val="0"/>
          <w:sz w:val="21"/>
          <w:szCs w:val="21"/>
          <w:highlight w:val="none"/>
          <w:lang w:val="en-US" w:eastAsia="zh-CN"/>
        </w:rPr>
        <w:t xml:space="preserve">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lang w:val="en-US" w:eastAsia="zh-CN"/>
        </w:rPr>
        <w:t xml:space="preserve">部门集中采购  </w:t>
      </w:r>
      <w:r>
        <w:rPr>
          <w:rFonts w:hint="eastAsia" w:ascii="宋体" w:hAnsi="宋体" w:eastAsia="宋体" w:cs="宋体"/>
          <w:iCs w:val="0"/>
          <w:sz w:val="21"/>
          <w:szCs w:val="21"/>
          <w:highlight w:val="none"/>
        </w:rPr>
        <w:sym w:font="Wingdings" w:char="00FE"/>
      </w:r>
      <w:r>
        <w:rPr>
          <w:rFonts w:hint="eastAsia" w:ascii="宋体" w:hAnsi="宋体" w:eastAsia="宋体" w:cs="宋体"/>
          <w:iCs w:val="0"/>
          <w:sz w:val="21"/>
          <w:szCs w:val="21"/>
          <w:highlight w:val="none"/>
          <w:lang w:val="en-US" w:eastAsia="zh-CN"/>
        </w:rPr>
        <w:t>分散采购</w:t>
      </w:r>
    </w:p>
    <w:p w14:paraId="666EC684">
      <w:pPr>
        <w:pStyle w:val="51"/>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highlight w:val="none"/>
          <w:lang w:eastAsia="zh-CN"/>
        </w:rPr>
      </w:pPr>
      <w:r>
        <w:rPr>
          <w:rFonts w:hint="eastAsia" w:ascii="宋体" w:hAnsi="宋体" w:eastAsia="宋体" w:cs="宋体"/>
          <w:iCs w:val="0"/>
          <w:sz w:val="21"/>
          <w:szCs w:val="21"/>
          <w:highlight w:val="none"/>
          <w:lang w:val="en-US" w:eastAsia="zh-CN"/>
        </w:rPr>
        <w:t>（</w:t>
      </w:r>
      <w:r>
        <w:rPr>
          <w:rFonts w:hint="eastAsia" w:ascii="宋体" w:hAnsi="宋体" w:eastAsia="宋体" w:cs="宋体"/>
          <w:iCs w:val="0"/>
          <w:sz w:val="21"/>
          <w:szCs w:val="21"/>
          <w:highlight w:val="none"/>
          <w:lang w:val="en" w:eastAsia="zh-CN"/>
        </w:rPr>
        <w:t>5</w:t>
      </w:r>
      <w:r>
        <w:rPr>
          <w:rFonts w:hint="eastAsia" w:ascii="宋体" w:hAnsi="宋体" w:eastAsia="宋体" w:cs="宋体"/>
          <w:iCs w:val="0"/>
          <w:sz w:val="21"/>
          <w:szCs w:val="21"/>
          <w:highlight w:val="none"/>
          <w:lang w:val="en-US" w:eastAsia="zh-CN"/>
        </w:rPr>
        <w:t>）政府采购方式：</w:t>
      </w:r>
      <w:r>
        <w:rPr>
          <w:rFonts w:hint="eastAsia" w:ascii="宋体" w:hAnsi="宋体" w:eastAsia="宋体" w:cs="宋体"/>
          <w:iCs w:val="0"/>
          <w:sz w:val="21"/>
          <w:szCs w:val="21"/>
          <w:highlight w:val="none"/>
        </w:rPr>
        <w:sym w:font="Wingdings" w:char="00FE"/>
      </w:r>
      <w:r>
        <w:rPr>
          <w:rFonts w:hint="eastAsia" w:ascii="宋体" w:hAnsi="宋体" w:eastAsia="宋体" w:cs="宋体"/>
          <w:iCs w:val="0"/>
          <w:sz w:val="21"/>
          <w:szCs w:val="21"/>
          <w:highlight w:val="none"/>
          <w:lang w:eastAsia="zh-CN"/>
        </w:rPr>
        <w:t>公开招标</w:t>
      </w:r>
      <w:r>
        <w:rPr>
          <w:rFonts w:hint="eastAsia" w:ascii="宋体" w:hAnsi="宋体" w:eastAsia="宋体" w:cs="宋体"/>
          <w:iCs w:val="0"/>
          <w:sz w:val="21"/>
          <w:szCs w:val="21"/>
          <w:highlight w:val="none"/>
          <w:lang w:val="en-US" w:eastAsia="zh-CN"/>
        </w:rPr>
        <w:t xml:space="preserve">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lang w:eastAsia="zh-CN"/>
        </w:rPr>
        <w:t>邀请招标</w:t>
      </w:r>
      <w:r>
        <w:rPr>
          <w:rFonts w:hint="eastAsia" w:ascii="宋体" w:hAnsi="宋体" w:eastAsia="宋体" w:cs="宋体"/>
          <w:iCs w:val="0"/>
          <w:sz w:val="21"/>
          <w:szCs w:val="21"/>
          <w:highlight w:val="none"/>
          <w:lang w:val="en-US" w:eastAsia="zh-CN"/>
        </w:rPr>
        <w:t xml:space="preserve">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lang w:eastAsia="zh-CN"/>
        </w:rPr>
        <w:t>竞争性谈判</w:t>
      </w:r>
      <w:r>
        <w:rPr>
          <w:rFonts w:hint="eastAsia" w:ascii="宋体" w:hAnsi="宋体" w:eastAsia="宋体" w:cs="宋体"/>
          <w:iCs w:val="0"/>
          <w:sz w:val="21"/>
          <w:szCs w:val="21"/>
          <w:highlight w:val="none"/>
          <w:lang w:val="en-US" w:eastAsia="zh-CN"/>
        </w:rPr>
        <w:t xml:space="preserve">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lang w:eastAsia="zh-CN"/>
        </w:rPr>
        <w:t>竞争性磋商</w:t>
      </w:r>
    </w:p>
    <w:p w14:paraId="71BB7308">
      <w:pPr>
        <w:pStyle w:val="51"/>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highlight w:val="none"/>
          <w:u w:val="single"/>
          <w:lang w:val="en-US" w:eastAsia="zh-CN"/>
        </w:rPr>
      </w:pP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lang w:eastAsia="zh-CN"/>
        </w:rPr>
        <w:t>询价</w:t>
      </w:r>
      <w:r>
        <w:rPr>
          <w:rFonts w:hint="eastAsia" w:ascii="宋体" w:hAnsi="宋体" w:eastAsia="宋体" w:cs="宋体"/>
          <w:iCs w:val="0"/>
          <w:sz w:val="21"/>
          <w:szCs w:val="21"/>
          <w:highlight w:val="none"/>
          <w:lang w:val="en-US" w:eastAsia="zh-CN"/>
        </w:rPr>
        <w:t xml:space="preserve">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lang w:eastAsia="zh-CN"/>
        </w:rPr>
        <w:t>单一来源</w:t>
      </w:r>
      <w:r>
        <w:rPr>
          <w:rFonts w:hint="eastAsia" w:ascii="宋体" w:hAnsi="宋体" w:eastAsia="宋体" w:cs="宋体"/>
          <w:iCs w:val="0"/>
          <w:sz w:val="21"/>
          <w:szCs w:val="21"/>
          <w:highlight w:val="none"/>
          <w:lang w:val="en-US" w:eastAsia="zh-CN"/>
        </w:rPr>
        <w:t xml:space="preserve">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lang w:eastAsia="zh-CN"/>
        </w:rPr>
        <w:t>框架协议</w:t>
      </w:r>
      <w:r>
        <w:rPr>
          <w:rFonts w:hint="eastAsia" w:ascii="宋体" w:hAnsi="宋体" w:eastAsia="宋体" w:cs="宋体"/>
          <w:iCs w:val="0"/>
          <w:sz w:val="21"/>
          <w:szCs w:val="21"/>
          <w:highlight w:val="none"/>
          <w:lang w:val="en-US" w:eastAsia="zh-CN"/>
        </w:rPr>
        <w:t xml:space="preserve">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lang w:eastAsia="zh-CN"/>
        </w:rPr>
        <w:t>其他：</w:t>
      </w:r>
      <w:r>
        <w:rPr>
          <w:rFonts w:hint="eastAsia" w:ascii="宋体" w:hAnsi="宋体" w:eastAsia="宋体" w:cs="宋体"/>
          <w:iCs w:val="0"/>
          <w:sz w:val="21"/>
          <w:szCs w:val="21"/>
          <w:highlight w:val="none"/>
          <w:u w:val="single"/>
          <w:lang w:val="en-US" w:eastAsia="zh-CN"/>
        </w:rPr>
        <w:t xml:space="preserve">          </w:t>
      </w:r>
    </w:p>
    <w:p w14:paraId="6016B50E">
      <w:pPr>
        <w:pStyle w:val="51"/>
        <w:numPr>
          <w:ilvl w:val="-1"/>
          <w:numId w:val="0"/>
        </w:numPr>
        <w:adjustRightInd w:val="0"/>
        <w:snapToGrid w:val="0"/>
        <w:spacing w:before="0" w:beforeLines="0" w:line="400" w:lineRule="exact"/>
        <w:ind w:firstLine="210" w:firstLineChars="100"/>
        <w:rPr>
          <w:rFonts w:hint="eastAsia" w:ascii="宋体" w:hAnsi="宋体" w:eastAsia="宋体" w:cs="宋体"/>
          <w:w w:val="100"/>
          <w:kern w:val="2"/>
          <w:sz w:val="21"/>
          <w:szCs w:val="21"/>
          <w:highlight w:val="none"/>
          <w:lang w:val="en-US" w:eastAsia="zh-CN" w:bidi="ar-SA"/>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lang w:val="en" w:eastAsia="zh-CN"/>
        </w:rPr>
        <w:t>6</w:t>
      </w:r>
      <w:r>
        <w:rPr>
          <w:rFonts w:hint="eastAsia" w:ascii="宋体" w:hAnsi="宋体" w:eastAsia="宋体" w:cs="宋体"/>
          <w:sz w:val="21"/>
          <w:szCs w:val="21"/>
          <w:highlight w:val="none"/>
          <w:lang w:val="en-US" w:eastAsia="zh-CN"/>
        </w:rPr>
        <w:t>）</w:t>
      </w:r>
      <w:r>
        <w:rPr>
          <w:rFonts w:hint="eastAsia" w:ascii="宋体" w:hAnsi="宋体" w:eastAsia="宋体" w:cs="宋体"/>
          <w:w w:val="100"/>
          <w:kern w:val="2"/>
          <w:sz w:val="21"/>
          <w:szCs w:val="21"/>
          <w:highlight w:val="none"/>
          <w:lang w:val="en-US" w:eastAsia="zh-CN" w:bidi="ar-SA"/>
        </w:rPr>
        <w:t>中标（成交）采购标的制造商是否为中小企业：</w:t>
      </w:r>
      <w:r>
        <w:rPr>
          <w:rFonts w:hint="eastAsia" w:ascii="宋体" w:hAnsi="宋体" w:eastAsia="宋体" w:cs="宋体"/>
          <w:w w:val="100"/>
          <w:kern w:val="2"/>
          <w:sz w:val="21"/>
          <w:szCs w:val="21"/>
          <w:highlight w:val="none"/>
          <w:lang w:val="en-US" w:eastAsia="zh-CN" w:bidi="ar-SA"/>
        </w:rPr>
        <w:sym w:font="Wingdings" w:char="00FE"/>
      </w:r>
      <w:r>
        <w:rPr>
          <w:rFonts w:hint="eastAsia" w:ascii="宋体" w:hAnsi="宋体" w:eastAsia="宋体" w:cs="宋体"/>
          <w:w w:val="100"/>
          <w:kern w:val="2"/>
          <w:sz w:val="21"/>
          <w:szCs w:val="21"/>
          <w:highlight w:val="none"/>
          <w:lang w:val="en-US" w:eastAsia="zh-CN" w:bidi="ar-SA"/>
        </w:rPr>
        <w:t xml:space="preserve">是      </w:t>
      </w:r>
      <w:r>
        <w:rPr>
          <w:rFonts w:hint="eastAsia" w:ascii="宋体" w:hAnsi="宋体" w:eastAsia="宋体" w:cs="宋体"/>
          <w:w w:val="100"/>
          <w:kern w:val="2"/>
          <w:sz w:val="21"/>
          <w:szCs w:val="21"/>
          <w:highlight w:val="none"/>
          <w:lang w:val="en-US" w:eastAsia="zh-CN" w:bidi="ar-SA"/>
        </w:rPr>
        <w:sym w:font="Wingdings" w:char="00A8"/>
      </w:r>
      <w:r>
        <w:rPr>
          <w:rFonts w:hint="eastAsia" w:ascii="宋体" w:hAnsi="宋体" w:eastAsia="宋体" w:cs="宋体"/>
          <w:w w:val="100"/>
          <w:kern w:val="2"/>
          <w:sz w:val="21"/>
          <w:szCs w:val="21"/>
          <w:highlight w:val="none"/>
          <w:lang w:val="en-US" w:eastAsia="zh-CN" w:bidi="ar-SA"/>
        </w:rPr>
        <w:t>否</w:t>
      </w:r>
    </w:p>
    <w:p w14:paraId="42231B47">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 w:val="21"/>
          <w:szCs w:val="21"/>
          <w:highlight w:val="none"/>
        </w:rPr>
      </w:pPr>
      <w:r>
        <w:rPr>
          <w:rFonts w:hint="eastAsia" w:ascii="宋体" w:hAnsi="宋体" w:eastAsia="宋体" w:cs="宋体"/>
          <w:w w:val="100"/>
          <w:sz w:val="21"/>
          <w:szCs w:val="21"/>
          <w:highlight w:val="none"/>
          <w:lang w:val="en-US" w:eastAsia="zh-CN"/>
        </w:rPr>
        <w:t xml:space="preserve">         本合同</w:t>
      </w:r>
      <w:r>
        <w:rPr>
          <w:rFonts w:hint="eastAsia" w:ascii="宋体" w:hAnsi="宋体" w:eastAsia="宋体" w:cs="宋体"/>
          <w:w w:val="100"/>
          <w:sz w:val="21"/>
          <w:szCs w:val="21"/>
          <w:highlight w:val="none"/>
        </w:rPr>
        <w:t>是否</w:t>
      </w:r>
      <w:r>
        <w:rPr>
          <w:rFonts w:hint="eastAsia" w:ascii="宋体" w:hAnsi="宋体" w:eastAsia="宋体" w:cs="宋体"/>
          <w:w w:val="100"/>
          <w:sz w:val="21"/>
          <w:szCs w:val="21"/>
          <w:highlight w:val="none"/>
          <w:lang w:eastAsia="zh-CN"/>
        </w:rPr>
        <w:t>为专门面向</w:t>
      </w:r>
      <w:r>
        <w:rPr>
          <w:rFonts w:hint="eastAsia" w:ascii="宋体" w:hAnsi="宋体" w:eastAsia="宋体" w:cs="宋体"/>
          <w:w w:val="100"/>
          <w:sz w:val="21"/>
          <w:szCs w:val="21"/>
          <w:highlight w:val="none"/>
        </w:rPr>
        <w:t>中小企业</w:t>
      </w:r>
      <w:r>
        <w:rPr>
          <w:rFonts w:hint="eastAsia" w:ascii="宋体" w:hAnsi="宋体" w:eastAsia="宋体" w:cs="宋体"/>
          <w:w w:val="100"/>
          <w:sz w:val="21"/>
          <w:szCs w:val="21"/>
          <w:highlight w:val="none"/>
          <w:lang w:eastAsia="zh-CN"/>
        </w:rPr>
        <w:t>的采</w:t>
      </w:r>
      <w:r>
        <w:rPr>
          <w:rFonts w:hint="eastAsia" w:ascii="宋体" w:hAnsi="宋体" w:eastAsia="宋体" w:cs="宋体"/>
          <w:w w:val="100"/>
          <w:sz w:val="21"/>
          <w:szCs w:val="21"/>
          <w:highlight w:val="none"/>
          <w:shd w:val="clear"/>
          <w:lang w:eastAsia="zh-CN"/>
        </w:rPr>
        <w:t>购</w:t>
      </w:r>
      <w:r>
        <w:rPr>
          <w:rFonts w:hint="eastAsia" w:ascii="宋体" w:hAnsi="宋体" w:eastAsia="宋体" w:cs="宋体"/>
          <w:w w:val="100"/>
          <w:sz w:val="21"/>
          <w:szCs w:val="21"/>
          <w:highlight w:val="none"/>
          <w:shd w:val="clear"/>
        </w:rPr>
        <w:t>合同</w:t>
      </w:r>
      <w:r>
        <w:rPr>
          <w:rFonts w:hint="eastAsia" w:ascii="宋体" w:hAnsi="宋体" w:eastAsia="宋体" w:cs="宋体"/>
          <w:w w:val="100"/>
          <w:sz w:val="21"/>
          <w:szCs w:val="21"/>
          <w:highlight w:val="none"/>
          <w:shd w:val="clear"/>
          <w:lang w:eastAsia="zh-CN"/>
        </w:rPr>
        <w:t>（中小企业预留合同）</w:t>
      </w:r>
      <w:r>
        <w:rPr>
          <w:rFonts w:hint="eastAsia" w:ascii="宋体" w:hAnsi="宋体" w:eastAsia="宋体" w:cs="宋体"/>
          <w:sz w:val="21"/>
          <w:szCs w:val="21"/>
          <w:highlight w:val="none"/>
          <w:shd w:val="clear"/>
        </w:rPr>
        <w:t>：</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是 </w:t>
      </w: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否</w:t>
      </w:r>
    </w:p>
    <w:p w14:paraId="0F281013">
      <w:pPr>
        <w:numPr>
          <w:ilvl w:val="-1"/>
          <w:numId w:val="0"/>
        </w:numPr>
        <w:adjustRightInd w:val="0"/>
        <w:snapToGrid w:val="0"/>
        <w:spacing w:before="0" w:beforeLines="0" w:line="400" w:lineRule="exact"/>
        <w:ind w:firstLine="0" w:firstLineChars="0"/>
        <w:rPr>
          <w:rFonts w:hint="eastAsia" w:ascii="宋体" w:hAnsi="宋体" w:eastAsia="宋体" w:cs="宋体"/>
          <w:iCs/>
          <w:sz w:val="21"/>
          <w:szCs w:val="21"/>
          <w:highlight w:val="none"/>
        </w:rPr>
      </w:pPr>
      <w:r>
        <w:rPr>
          <w:rFonts w:hint="eastAsia" w:ascii="宋体" w:hAnsi="宋体" w:eastAsia="宋体" w:cs="宋体"/>
          <w:sz w:val="21"/>
          <w:szCs w:val="21"/>
          <w:highlight w:val="none"/>
          <w:lang w:val="en-US" w:eastAsia="zh-CN"/>
        </w:rPr>
        <w:t xml:space="preserve">         若本项目不专门面向中小企业采购，是否给予小微企业评审优惠：</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是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否</w:t>
      </w:r>
    </w:p>
    <w:p w14:paraId="719C4D28">
      <w:pPr>
        <w:numPr>
          <w:ilvl w:val="-1"/>
          <w:numId w:val="0"/>
        </w:numPr>
        <w:adjustRightInd w:val="0"/>
        <w:snapToGrid w:val="0"/>
        <w:spacing w:before="0" w:beforeLines="0" w:line="400" w:lineRule="exact"/>
        <w:ind w:firstLine="0" w:firstLineChars="0"/>
        <w:rPr>
          <w:rFonts w:hint="eastAsia" w:ascii="宋体" w:hAnsi="宋体" w:eastAsia="宋体" w:cs="宋体"/>
          <w:iCs/>
          <w:sz w:val="21"/>
          <w:szCs w:val="21"/>
          <w:highlight w:val="none"/>
        </w:rPr>
      </w:pPr>
      <w:r>
        <w:rPr>
          <w:rFonts w:hint="eastAsia" w:ascii="宋体" w:hAnsi="宋体" w:eastAsia="宋体" w:cs="宋体"/>
          <w:sz w:val="21"/>
          <w:szCs w:val="21"/>
          <w:highlight w:val="none"/>
          <w:lang w:val="en-US" w:eastAsia="zh-CN"/>
        </w:rPr>
        <w:t xml:space="preserve">         中标（成交）采购标的制造商是否为残疾人福利性单位：</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是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否</w:t>
      </w:r>
    </w:p>
    <w:p w14:paraId="0A9FD2CB">
      <w:pPr>
        <w:numPr>
          <w:ilvl w:val="0"/>
          <w:numId w:val="0"/>
        </w:numPr>
        <w:snapToGrid w:val="0"/>
        <w:spacing w:beforeLines="0" w:line="400" w:lineRule="exact"/>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中标（成交）采购标的制造商是否为监狱企业：</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是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否</w:t>
      </w:r>
    </w:p>
    <w:p w14:paraId="07575CF7">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 w:eastAsia="zh-CN"/>
        </w:rPr>
        <w:t>7</w:t>
      </w:r>
      <w:r>
        <w:rPr>
          <w:rFonts w:hint="eastAsia" w:ascii="宋体" w:hAnsi="宋体" w:eastAsia="宋体" w:cs="宋体"/>
          <w:sz w:val="21"/>
          <w:szCs w:val="21"/>
          <w:highlight w:val="none"/>
        </w:rPr>
        <w:t>）合同是否分包：</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是       </w:t>
      </w:r>
      <w:r>
        <w:rPr>
          <w:rFonts w:hint="eastAsia" w:ascii="宋体" w:hAnsi="宋体" w:eastAsia="宋体" w:cs="宋体"/>
          <w:iCs/>
          <w:sz w:val="21"/>
          <w:szCs w:val="21"/>
          <w:highlight w:val="none"/>
        </w:rPr>
        <w:sym w:font="Wingdings" w:char="00FE"/>
      </w:r>
      <w:r>
        <w:rPr>
          <w:rFonts w:hint="eastAsia" w:ascii="宋体" w:hAnsi="宋体" w:eastAsia="宋体" w:cs="宋体"/>
          <w:iCs/>
          <w:sz w:val="21"/>
          <w:szCs w:val="21"/>
          <w:highlight w:val="none"/>
        </w:rPr>
        <w:t>否</w:t>
      </w:r>
    </w:p>
    <w:p w14:paraId="3F6A4BB8">
      <w:pPr>
        <w:adjustRightInd w:val="0"/>
        <w:snapToGrid w:val="0"/>
        <w:spacing w:before="0" w:beforeLines="0" w:line="400" w:lineRule="exact"/>
        <w:ind w:firstLine="840" w:firstLineChars="400"/>
        <w:rPr>
          <w:rFonts w:hint="eastAsia" w:ascii="宋体" w:hAnsi="宋体" w:eastAsia="宋体" w:cs="宋体"/>
          <w:sz w:val="21"/>
          <w:szCs w:val="21"/>
          <w:highlight w:val="none"/>
          <w:u w:val="singl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分包主要内容：</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p>
    <w:p w14:paraId="4D659C7C">
      <w:pPr>
        <w:adjustRightInd w:val="0"/>
        <w:snapToGrid w:val="0"/>
        <w:spacing w:before="0" w:beforeLines="0" w:line="400" w:lineRule="exact"/>
        <w:ind w:firstLine="840" w:firstLineChars="400"/>
        <w:rPr>
          <w:rFonts w:hint="eastAsia" w:ascii="宋体" w:hAnsi="宋体" w:eastAsia="宋体" w:cs="宋体"/>
          <w:sz w:val="21"/>
          <w:szCs w:val="21"/>
          <w:highlight w:val="none"/>
        </w:rPr>
      </w:pP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rPr>
        <w:t>分包供应商</w:t>
      </w:r>
      <w:r>
        <w:rPr>
          <w:rFonts w:hint="eastAsia" w:ascii="宋体" w:hAnsi="宋体" w:eastAsia="宋体" w:cs="宋体"/>
          <w:sz w:val="21"/>
          <w:szCs w:val="21"/>
          <w:highlight w:val="none"/>
          <w:lang w:eastAsia="zh-CN"/>
        </w:rPr>
        <w:t>/制造商</w:t>
      </w:r>
      <w:r>
        <w:rPr>
          <w:rFonts w:hint="eastAsia" w:ascii="宋体" w:hAnsi="宋体" w:eastAsia="宋体" w:cs="宋体"/>
          <w:sz w:val="21"/>
          <w:szCs w:val="21"/>
          <w:highlight w:val="none"/>
        </w:rPr>
        <w:t>名称</w:t>
      </w:r>
      <w:r>
        <w:rPr>
          <w:rFonts w:hint="eastAsia" w:ascii="宋体" w:hAnsi="宋体" w:eastAsia="宋体" w:cs="宋体"/>
          <w:sz w:val="21"/>
          <w:szCs w:val="21"/>
          <w:highlight w:val="none"/>
          <w:lang w:eastAsia="zh-CN"/>
        </w:rPr>
        <w:t>（如供应商和制造商不同，请分别填写）</w:t>
      </w:r>
      <w:r>
        <w:rPr>
          <w:rFonts w:hint="eastAsia" w:ascii="宋体" w:hAnsi="宋体" w:eastAsia="宋体" w:cs="宋体"/>
          <w:sz w:val="21"/>
          <w:szCs w:val="21"/>
          <w:highlight w:val="none"/>
        </w:rPr>
        <w:t>：</w:t>
      </w:r>
    </w:p>
    <w:p w14:paraId="282426F3">
      <w:pPr>
        <w:adjustRightInd w:val="0"/>
        <w:snapToGrid w:val="0"/>
        <w:spacing w:before="0" w:beforeLines="0" w:line="400" w:lineRule="exact"/>
        <w:ind w:firstLine="840" w:firstLineChars="4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p>
    <w:p w14:paraId="37B96301">
      <w:pPr>
        <w:adjustRightInd w:val="0"/>
        <w:snapToGrid w:val="0"/>
        <w:spacing w:before="0" w:beforeLines="0" w:line="400" w:lineRule="exact"/>
        <w:ind w:firstLine="840" w:firstLineChars="4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分包供应商</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制造商</w:t>
      </w:r>
      <w:r>
        <w:rPr>
          <w:rFonts w:hint="eastAsia" w:ascii="宋体" w:hAnsi="宋体" w:eastAsia="宋体" w:cs="宋体"/>
          <w:sz w:val="21"/>
          <w:szCs w:val="21"/>
          <w:highlight w:val="none"/>
        </w:rPr>
        <w:t>类型</w:t>
      </w:r>
      <w:r>
        <w:rPr>
          <w:rFonts w:hint="eastAsia" w:ascii="宋体" w:hAnsi="宋体" w:eastAsia="宋体" w:cs="宋体"/>
          <w:sz w:val="21"/>
          <w:szCs w:val="21"/>
          <w:highlight w:val="none"/>
          <w:lang w:eastAsia="zh-CN"/>
        </w:rPr>
        <w:t>（如果供应商和制造商不同，只填写制造商类型）</w:t>
      </w:r>
      <w:r>
        <w:rPr>
          <w:rFonts w:hint="eastAsia" w:ascii="宋体" w:hAnsi="宋体" w:eastAsia="宋体" w:cs="宋体"/>
          <w:sz w:val="21"/>
          <w:szCs w:val="21"/>
          <w:highlight w:val="none"/>
        </w:rPr>
        <w:t>：</w:t>
      </w:r>
    </w:p>
    <w:p w14:paraId="32649B1F">
      <w:pPr>
        <w:adjustRightInd w:val="0"/>
        <w:snapToGrid w:val="0"/>
        <w:spacing w:beforeLines="0" w:line="400" w:lineRule="exact"/>
        <w:ind w:firstLine="840" w:firstLineChars="400"/>
        <w:rPr>
          <w:rFonts w:hint="eastAsia" w:ascii="宋体" w:hAnsi="宋体" w:eastAsia="宋体" w:cs="宋体"/>
          <w:iCs/>
          <w:sz w:val="21"/>
          <w:szCs w:val="21"/>
          <w:highlight w:val="none"/>
          <w:lang w:val="en-US" w:eastAsia="zh-CN"/>
        </w:rPr>
      </w:pP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大型企业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中型企业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小微型企业</w:t>
      </w:r>
      <w:r>
        <w:rPr>
          <w:rFonts w:hint="eastAsia" w:ascii="宋体" w:hAnsi="宋体" w:eastAsia="宋体" w:cs="宋体"/>
          <w:iCs/>
          <w:sz w:val="21"/>
          <w:szCs w:val="21"/>
          <w:highlight w:val="none"/>
          <w:lang w:val="en-US" w:eastAsia="zh-CN"/>
        </w:rPr>
        <w:t xml:space="preserve">  </w:t>
      </w:r>
    </w:p>
    <w:p w14:paraId="0FE8FDF4">
      <w:pPr>
        <w:adjustRightInd w:val="0"/>
        <w:snapToGrid w:val="0"/>
        <w:spacing w:beforeLines="0" w:line="400" w:lineRule="exact"/>
        <w:ind w:firstLine="840" w:firstLineChars="400"/>
        <w:rPr>
          <w:rFonts w:hint="eastAsia" w:ascii="宋体" w:hAnsi="宋体" w:eastAsia="宋体" w:cs="宋体"/>
          <w:sz w:val="21"/>
          <w:szCs w:val="21"/>
          <w:highlight w:val="none"/>
          <w:u w:val="none"/>
          <w:lang w:val="en-US" w:eastAsia="zh-CN"/>
        </w:rPr>
      </w:pP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eastAsia="zh-CN"/>
        </w:rPr>
        <w:t>残疾人福利性单位</w:t>
      </w: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eastAsia="zh-CN"/>
        </w:rPr>
        <w:t>监狱</w:t>
      </w:r>
      <w:r>
        <w:rPr>
          <w:rFonts w:hint="eastAsia" w:ascii="宋体" w:hAnsi="宋体" w:eastAsia="宋体" w:cs="宋体"/>
          <w:iCs/>
          <w:sz w:val="21"/>
          <w:szCs w:val="21"/>
          <w:highlight w:val="none"/>
        </w:rPr>
        <w:t>企业</w:t>
      </w: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eastAsia="zh-CN"/>
        </w:rPr>
        <w:t>其他</w:t>
      </w:r>
    </w:p>
    <w:p w14:paraId="771E1F96">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 w:val="21"/>
          <w:szCs w:val="21"/>
          <w:highlight w:val="none"/>
        </w:rPr>
      </w:pP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u w:val="none"/>
          <w:lang w:val="en" w:eastAsia="zh-CN"/>
        </w:rPr>
        <w:t>8</w:t>
      </w:r>
      <w:r>
        <w:rPr>
          <w:rFonts w:hint="eastAsia" w:ascii="宋体" w:hAnsi="宋体" w:eastAsia="宋体" w:cs="宋体"/>
          <w:sz w:val="21"/>
          <w:szCs w:val="21"/>
          <w:highlight w:val="none"/>
          <w:u w:val="none"/>
          <w:lang w:val="en-US" w:eastAsia="zh-CN"/>
        </w:rPr>
        <w:t>）中标（成交）供应商是否为外商投资企业：</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是       </w:t>
      </w:r>
      <w:r>
        <w:rPr>
          <w:rFonts w:hint="eastAsia" w:ascii="宋体" w:hAnsi="宋体" w:eastAsia="宋体" w:cs="宋体"/>
          <w:iCs/>
          <w:sz w:val="21"/>
          <w:szCs w:val="21"/>
          <w:highlight w:val="none"/>
        </w:rPr>
        <w:sym w:font="Wingdings" w:char="00FE"/>
      </w:r>
      <w:r>
        <w:rPr>
          <w:rFonts w:hint="eastAsia" w:ascii="宋体" w:hAnsi="宋体" w:eastAsia="宋体" w:cs="宋体"/>
          <w:iCs/>
          <w:sz w:val="21"/>
          <w:szCs w:val="21"/>
          <w:highlight w:val="none"/>
        </w:rPr>
        <w:t>否</w:t>
      </w:r>
    </w:p>
    <w:p w14:paraId="230E9F7C">
      <w:pPr>
        <w:pStyle w:val="51"/>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4F395463">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w:t>
      </w:r>
      <w:r>
        <w:rPr>
          <w:rFonts w:hint="eastAsia" w:ascii="宋体" w:hAnsi="宋体" w:eastAsia="宋体" w:cs="宋体"/>
          <w:b w:val="0"/>
          <w:bCs w:val="0"/>
          <w:sz w:val="21"/>
          <w:szCs w:val="21"/>
          <w:highlight w:val="none"/>
          <w:u w:val="none"/>
          <w:lang w:val="en" w:eastAsia="zh-CN"/>
        </w:rPr>
        <w:t>9</w:t>
      </w:r>
      <w:r>
        <w:rPr>
          <w:rFonts w:hint="eastAsia" w:ascii="宋体" w:hAnsi="宋体" w:eastAsia="宋体" w:cs="宋体"/>
          <w:b w:val="0"/>
          <w:bCs w:val="0"/>
          <w:sz w:val="21"/>
          <w:szCs w:val="21"/>
          <w:highlight w:val="none"/>
          <w:u w:val="none"/>
          <w:lang w:val="en-US" w:eastAsia="zh-CN"/>
        </w:rPr>
        <w:t>）是否涉及进口产品：</w:t>
      </w:r>
    </w:p>
    <w:p w14:paraId="3F5491AC">
      <w:pPr>
        <w:numPr>
          <w:ilvl w:val="-1"/>
          <w:numId w:val="0"/>
        </w:numPr>
        <w:adjustRightInd w:val="0"/>
        <w:snapToGrid w:val="0"/>
        <w:spacing w:before="0" w:beforeLines="0" w:line="400" w:lineRule="exact"/>
        <w:ind w:firstLine="840" w:firstLineChars="400"/>
        <w:rPr>
          <w:rFonts w:hint="eastAsia" w:ascii="宋体" w:hAnsi="宋体" w:eastAsia="宋体" w:cs="宋体"/>
          <w:sz w:val="21"/>
          <w:szCs w:val="21"/>
          <w:highlight w:val="none"/>
          <w:u w:val="single"/>
          <w:lang w:val="en-US" w:eastAsia="zh-CN"/>
        </w:rPr>
      </w:pPr>
      <w:r>
        <w:rPr>
          <w:rFonts w:hint="eastAsia" w:ascii="宋体" w:hAnsi="宋体" w:eastAsia="宋体" w:cs="宋体"/>
          <w:iCs w:val="0"/>
          <w:sz w:val="21"/>
          <w:szCs w:val="21"/>
          <w:highlight w:val="none"/>
          <w:lang w:val="en-US" w:eastAsia="zh-CN"/>
        </w:rPr>
        <w:t xml:space="preserve">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rPr>
        <w:t>是</w:t>
      </w:r>
      <w:r>
        <w:rPr>
          <w:rFonts w:hint="eastAsia" w:ascii="宋体" w:hAnsi="宋体" w:eastAsia="宋体" w:cs="宋体"/>
          <w:iCs w:val="0"/>
          <w:sz w:val="21"/>
          <w:szCs w:val="21"/>
          <w:highlight w:val="none"/>
          <w:lang w:eastAsia="zh-CN"/>
        </w:rPr>
        <w:t>，《政府采购品目分类目录》底级品目名称</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 xml:space="preserve"> 金额：</w:t>
      </w:r>
      <w:r>
        <w:rPr>
          <w:rFonts w:hint="eastAsia" w:ascii="宋体" w:hAnsi="宋体" w:eastAsia="宋体" w:cs="宋体"/>
          <w:sz w:val="21"/>
          <w:szCs w:val="21"/>
          <w:highlight w:val="none"/>
          <w:u w:val="single"/>
          <w:lang w:val="en-US" w:eastAsia="zh-CN"/>
        </w:rPr>
        <w:t xml:space="preserve">        </w:t>
      </w:r>
    </w:p>
    <w:p w14:paraId="0B14510C">
      <w:pPr>
        <w:numPr>
          <w:ilvl w:val="-1"/>
          <w:numId w:val="0"/>
        </w:numPr>
        <w:adjustRightInd w:val="0"/>
        <w:snapToGrid w:val="0"/>
        <w:spacing w:before="0" w:beforeLines="0" w:line="400" w:lineRule="exact"/>
        <w:ind w:firstLine="840" w:firstLineChars="400"/>
        <w:rPr>
          <w:rFonts w:hint="eastAsia" w:ascii="宋体" w:hAnsi="宋体" w:eastAsia="宋体" w:cs="宋体"/>
          <w:iCs w:val="0"/>
          <w:sz w:val="21"/>
          <w:szCs w:val="21"/>
          <w:highlight w:val="none"/>
        </w:rPr>
      </w:pPr>
      <w:r>
        <w:rPr>
          <w:rFonts w:hint="eastAsia" w:ascii="宋体" w:hAnsi="宋体" w:eastAsia="宋体" w:cs="宋体"/>
          <w:sz w:val="21"/>
          <w:szCs w:val="21"/>
          <w:highlight w:val="none"/>
          <w:lang w:val="en-US" w:eastAsia="zh-CN"/>
        </w:rPr>
        <w:t xml:space="preserve">        国别：</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 xml:space="preserve"> 品牌：</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none"/>
          <w:lang w:val="en-US" w:eastAsia="zh-CN"/>
        </w:rPr>
        <w:t xml:space="preserve"> 规格型号：</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iCs w:val="0"/>
          <w:sz w:val="21"/>
          <w:szCs w:val="21"/>
          <w:highlight w:val="none"/>
        </w:rPr>
        <w:t xml:space="preserve">      </w:t>
      </w:r>
    </w:p>
    <w:p w14:paraId="01E40327">
      <w:pPr>
        <w:adjustRightInd w:val="0"/>
        <w:snapToGrid w:val="0"/>
        <w:spacing w:before="0" w:beforeLines="0" w:line="400" w:lineRule="exact"/>
        <w:ind w:firstLine="840" w:firstLineChars="400"/>
        <w:rPr>
          <w:rFonts w:hint="eastAsia" w:ascii="宋体" w:hAnsi="宋体" w:eastAsia="宋体" w:cs="宋体"/>
          <w:sz w:val="21"/>
          <w:szCs w:val="21"/>
          <w:highlight w:val="none"/>
          <w:u w:val="none"/>
          <w:lang w:val="en-US" w:eastAsia="zh-CN"/>
        </w:rPr>
      </w:pPr>
      <w:r>
        <w:rPr>
          <w:rFonts w:hint="eastAsia" w:ascii="宋体" w:hAnsi="宋体" w:eastAsia="宋体" w:cs="宋体"/>
          <w:iCs w:val="0"/>
          <w:sz w:val="21"/>
          <w:szCs w:val="21"/>
          <w:highlight w:val="none"/>
          <w:lang w:val="en-US" w:eastAsia="zh-CN"/>
        </w:rPr>
        <w:t xml:space="preserve"> </w:t>
      </w:r>
      <w:r>
        <w:rPr>
          <w:rFonts w:hint="eastAsia" w:ascii="宋体" w:hAnsi="宋体" w:eastAsia="宋体" w:cs="宋体"/>
          <w:iCs w:val="0"/>
          <w:sz w:val="21"/>
          <w:szCs w:val="21"/>
          <w:highlight w:val="none"/>
        </w:rPr>
        <w:sym w:font="Wingdings" w:char="00FE"/>
      </w:r>
      <w:r>
        <w:rPr>
          <w:rFonts w:hint="eastAsia" w:ascii="宋体" w:hAnsi="宋体" w:eastAsia="宋体" w:cs="宋体"/>
          <w:iCs w:val="0"/>
          <w:sz w:val="21"/>
          <w:szCs w:val="21"/>
          <w:highlight w:val="none"/>
          <w:lang w:eastAsia="zh-CN"/>
        </w:rPr>
        <w:t>否</w:t>
      </w:r>
    </w:p>
    <w:p w14:paraId="04AC15E6">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 xml:space="preserve">    （1</w:t>
      </w:r>
      <w:r>
        <w:rPr>
          <w:rFonts w:hint="eastAsia" w:ascii="宋体" w:hAnsi="宋体" w:eastAsia="宋体" w:cs="宋体"/>
          <w:b w:val="0"/>
          <w:bCs w:val="0"/>
          <w:sz w:val="21"/>
          <w:szCs w:val="21"/>
          <w:highlight w:val="none"/>
          <w:u w:val="none"/>
          <w:lang w:val="en" w:eastAsia="zh-CN"/>
        </w:rPr>
        <w:t>0</w:t>
      </w:r>
      <w:r>
        <w:rPr>
          <w:rFonts w:hint="eastAsia" w:ascii="宋体" w:hAnsi="宋体" w:eastAsia="宋体" w:cs="宋体"/>
          <w:b w:val="0"/>
          <w:bCs w:val="0"/>
          <w:sz w:val="21"/>
          <w:szCs w:val="21"/>
          <w:highlight w:val="none"/>
          <w:u w:val="none"/>
          <w:lang w:val="en-US" w:eastAsia="zh-CN"/>
        </w:rPr>
        <w:t>）是否涉及节能产品：</w:t>
      </w:r>
    </w:p>
    <w:p w14:paraId="5D8B670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sz w:val="21"/>
          <w:szCs w:val="21"/>
          <w:highlight w:val="none"/>
          <w:lang w:val="en-US" w:eastAsia="zh-CN"/>
        </w:rPr>
      </w:pPr>
      <w:r>
        <w:rPr>
          <w:rFonts w:hint="eastAsia" w:ascii="宋体" w:hAnsi="宋体" w:eastAsia="宋体" w:cs="宋体"/>
          <w:b w:val="0"/>
          <w:bCs w:val="0"/>
          <w:sz w:val="21"/>
          <w:szCs w:val="21"/>
          <w:highlight w:val="none"/>
          <w:u w:val="none"/>
          <w:lang w:val="en-US" w:eastAsia="zh-CN"/>
        </w:rPr>
        <w:t xml:space="preserve">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rPr>
        <w:t>是</w:t>
      </w:r>
      <w:r>
        <w:rPr>
          <w:rFonts w:hint="eastAsia" w:ascii="宋体" w:hAnsi="宋体" w:eastAsia="宋体" w:cs="宋体"/>
          <w:iCs w:val="0"/>
          <w:sz w:val="21"/>
          <w:szCs w:val="21"/>
          <w:highlight w:val="none"/>
          <w:lang w:eastAsia="zh-CN"/>
        </w:rPr>
        <w:t>，《节能产品政府采购品目清单》的底级品目名称：</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iCs/>
          <w:sz w:val="21"/>
          <w:szCs w:val="21"/>
          <w:highlight w:val="none"/>
          <w:lang w:val="en-US" w:eastAsia="zh-CN"/>
        </w:rPr>
        <w:t xml:space="preserve">     </w:t>
      </w:r>
    </w:p>
    <w:p w14:paraId="58F9FD5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sz w:val="21"/>
          <w:szCs w:val="21"/>
          <w:highlight w:val="none"/>
          <w:lang w:val="en-US" w:eastAsia="zh-CN"/>
        </w:rPr>
      </w:pP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eastAsia="zh-CN"/>
        </w:rPr>
        <w:t>强制采购</w:t>
      </w: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eastAsia="zh-CN"/>
        </w:rPr>
        <w:t>优先采购</w:t>
      </w:r>
      <w:r>
        <w:rPr>
          <w:rFonts w:hint="eastAsia" w:ascii="宋体" w:hAnsi="宋体" w:eastAsia="宋体" w:cs="宋体"/>
          <w:iCs/>
          <w:sz w:val="21"/>
          <w:szCs w:val="21"/>
          <w:highlight w:val="none"/>
          <w:lang w:val="en-US" w:eastAsia="zh-CN"/>
        </w:rPr>
        <w:t xml:space="preserve">    </w:t>
      </w:r>
    </w:p>
    <w:p w14:paraId="3C7E8000">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1"/>
          <w:szCs w:val="21"/>
          <w:highlight w:val="none"/>
        </w:rPr>
      </w:pP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rPr>
        <w:t>否</w:t>
      </w:r>
    </w:p>
    <w:p w14:paraId="6F45217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 xml:space="preserve">          是否涉及环境标志产品：</w:t>
      </w:r>
    </w:p>
    <w:p w14:paraId="543FFA88">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1"/>
          <w:szCs w:val="21"/>
          <w:highlight w:val="none"/>
          <w:lang w:eastAsia="zh-CN"/>
        </w:rPr>
      </w:pPr>
      <w:r>
        <w:rPr>
          <w:rFonts w:hint="eastAsia" w:ascii="宋体" w:hAnsi="宋体" w:eastAsia="宋体" w:cs="宋体"/>
          <w:b w:val="0"/>
          <w:bCs w:val="0"/>
          <w:sz w:val="21"/>
          <w:szCs w:val="21"/>
          <w:highlight w:val="none"/>
          <w:u w:val="none"/>
          <w:lang w:val="en-US" w:eastAsia="zh-CN"/>
        </w:rPr>
        <w:t xml:space="preserve">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rPr>
        <w:t>是</w:t>
      </w:r>
      <w:r>
        <w:rPr>
          <w:rFonts w:hint="eastAsia" w:ascii="宋体" w:hAnsi="宋体" w:eastAsia="宋体" w:cs="宋体"/>
          <w:iCs w:val="0"/>
          <w:sz w:val="21"/>
          <w:szCs w:val="21"/>
          <w:highlight w:val="none"/>
          <w:lang w:eastAsia="zh-CN"/>
        </w:rPr>
        <w:t>，《环境标志产品政府采购品目清单》的底级品目名称：</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iCs/>
          <w:sz w:val="21"/>
          <w:szCs w:val="21"/>
          <w:highlight w:val="none"/>
          <w:lang w:val="en-US" w:eastAsia="zh-CN"/>
        </w:rPr>
        <w:t xml:space="preserve"> </w:t>
      </w:r>
    </w:p>
    <w:p w14:paraId="564A7DA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sz w:val="21"/>
          <w:szCs w:val="21"/>
          <w:highlight w:val="none"/>
          <w:lang w:val="en-US" w:eastAsia="zh-CN"/>
        </w:rPr>
      </w:pP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eastAsia="zh-CN"/>
        </w:rPr>
        <w:t>强制采购</w:t>
      </w: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eastAsia="zh-CN"/>
        </w:rPr>
        <w:t>优先采购</w:t>
      </w:r>
      <w:r>
        <w:rPr>
          <w:rFonts w:hint="eastAsia" w:ascii="宋体" w:hAnsi="宋体" w:eastAsia="宋体" w:cs="宋体"/>
          <w:iCs/>
          <w:sz w:val="21"/>
          <w:szCs w:val="21"/>
          <w:highlight w:val="none"/>
          <w:lang w:val="en-US" w:eastAsia="zh-CN"/>
        </w:rPr>
        <w:t xml:space="preserve">    </w:t>
      </w:r>
    </w:p>
    <w:p w14:paraId="38741C5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sz w:val="21"/>
          <w:szCs w:val="21"/>
          <w:highlight w:val="none"/>
          <w:u w:val="none"/>
          <w:lang w:val="en-US" w:eastAsia="zh-CN"/>
        </w:rPr>
      </w:pP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rPr>
        <w:t>否</w:t>
      </w:r>
    </w:p>
    <w:p w14:paraId="6A17D2AC">
      <w:pPr>
        <w:pStyle w:val="51"/>
        <w:numPr>
          <w:ilvl w:val="-1"/>
          <w:numId w:val="0"/>
        </w:numPr>
        <w:adjustRightInd w:val="0"/>
        <w:snapToGrid w:val="0"/>
        <w:spacing w:before="0" w:beforeLines="0" w:line="400" w:lineRule="exact"/>
        <w:ind w:firstLine="0" w:firstLineChars="0"/>
        <w:rPr>
          <w:rFonts w:hint="eastAsia" w:ascii="宋体" w:hAnsi="宋体" w:eastAsia="宋体" w:cs="宋体"/>
          <w:iCs w:val="0"/>
          <w:kern w:val="2"/>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 xml:space="preserve">          </w:t>
      </w:r>
      <w:r>
        <w:rPr>
          <w:rFonts w:hint="eastAsia" w:ascii="宋体" w:hAnsi="宋体" w:eastAsia="宋体" w:cs="宋体"/>
          <w:b w:val="0"/>
          <w:bCs w:val="0"/>
          <w:kern w:val="2"/>
          <w:sz w:val="21"/>
          <w:szCs w:val="21"/>
          <w:highlight w:val="none"/>
          <w:u w:val="none"/>
          <w:lang w:val="en-US" w:eastAsia="zh-CN"/>
        </w:rPr>
        <w:t>是否涉及绿色产品：</w:t>
      </w:r>
      <w:r>
        <w:rPr>
          <w:rFonts w:hint="eastAsia" w:ascii="宋体" w:hAnsi="宋体" w:eastAsia="宋体" w:cs="宋体"/>
          <w:iCs w:val="0"/>
          <w:kern w:val="2"/>
          <w:sz w:val="21"/>
          <w:szCs w:val="21"/>
          <w:highlight w:val="none"/>
          <w:u w:val="none"/>
          <w:lang w:val="en-US" w:eastAsia="zh-CN"/>
        </w:rPr>
        <w:t xml:space="preserve"> </w:t>
      </w:r>
    </w:p>
    <w:p w14:paraId="747DC89C">
      <w:pPr>
        <w:pStyle w:val="51"/>
        <w:spacing w:beforeLines="0"/>
        <w:ind w:firstLine="420" w:firstLineChars="0"/>
        <w:rPr>
          <w:rFonts w:hint="eastAsia" w:ascii="宋体" w:hAnsi="宋体" w:eastAsia="宋体" w:cs="宋体"/>
          <w:sz w:val="21"/>
          <w:szCs w:val="21"/>
          <w:highlight w:val="none"/>
          <w:u w:val="single"/>
          <w:lang w:val="en-US" w:eastAsia="zh-CN"/>
        </w:rPr>
      </w:pPr>
      <w:r>
        <w:rPr>
          <w:rFonts w:hint="eastAsia" w:ascii="宋体" w:hAnsi="宋体" w:eastAsia="宋体" w:cs="宋体"/>
          <w:iCs w:val="0"/>
          <w:kern w:val="2"/>
          <w:sz w:val="21"/>
          <w:szCs w:val="21"/>
          <w:highlight w:val="none"/>
          <w:u w:val="none"/>
          <w:lang w:val="en-US" w:eastAsia="zh-CN"/>
        </w:rPr>
        <w:t xml:space="preserve">     </w:t>
      </w:r>
      <w:r>
        <w:rPr>
          <w:rFonts w:hint="eastAsia" w:ascii="宋体" w:hAnsi="宋体" w:eastAsia="宋体" w:cs="宋体"/>
          <w:iCs w:val="0"/>
          <w:kern w:val="2"/>
          <w:sz w:val="21"/>
          <w:szCs w:val="21"/>
          <w:highlight w:val="none"/>
          <w:u w:val="none"/>
        </w:rPr>
        <w:sym w:font="Wingdings" w:char="00A8"/>
      </w:r>
      <w:r>
        <w:rPr>
          <w:rFonts w:hint="eastAsia" w:ascii="宋体" w:hAnsi="宋体" w:eastAsia="宋体" w:cs="宋体"/>
          <w:iCs w:val="0"/>
          <w:kern w:val="2"/>
          <w:sz w:val="21"/>
          <w:szCs w:val="21"/>
          <w:highlight w:val="none"/>
          <w:u w:val="none"/>
        </w:rPr>
        <w:t>是</w:t>
      </w:r>
      <w:r>
        <w:rPr>
          <w:rFonts w:hint="eastAsia" w:ascii="宋体" w:hAnsi="宋体" w:eastAsia="宋体" w:cs="宋体"/>
          <w:iCs w:val="0"/>
          <w:kern w:val="2"/>
          <w:sz w:val="21"/>
          <w:szCs w:val="21"/>
          <w:highlight w:val="none"/>
          <w:u w:val="none"/>
          <w:lang w:eastAsia="zh-CN"/>
        </w:rPr>
        <w:t>，绿色产品政府采购相关政策确定的底级品目名称：</w:t>
      </w:r>
      <w:r>
        <w:rPr>
          <w:rFonts w:hint="eastAsia" w:ascii="宋体" w:hAnsi="宋体" w:eastAsia="宋体" w:cs="宋体"/>
          <w:sz w:val="21"/>
          <w:szCs w:val="21"/>
          <w:highlight w:val="none"/>
          <w:u w:val="single"/>
          <w:lang w:val="en-US" w:eastAsia="zh-CN"/>
        </w:rPr>
        <w:t xml:space="preserve">         </w:t>
      </w:r>
    </w:p>
    <w:p w14:paraId="16EB265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sz w:val="21"/>
          <w:szCs w:val="21"/>
          <w:highlight w:val="none"/>
          <w:lang w:val="en-US" w:eastAsia="zh-CN"/>
        </w:rPr>
      </w:pP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eastAsia="zh-CN"/>
        </w:rPr>
        <w:t>强制采购</w:t>
      </w: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eastAsia="zh-CN"/>
        </w:rPr>
        <w:t>优先采购</w:t>
      </w:r>
      <w:r>
        <w:rPr>
          <w:rFonts w:hint="eastAsia" w:ascii="宋体" w:hAnsi="宋体" w:eastAsia="宋体" w:cs="宋体"/>
          <w:iCs/>
          <w:sz w:val="21"/>
          <w:szCs w:val="21"/>
          <w:highlight w:val="none"/>
          <w:lang w:val="en-US" w:eastAsia="zh-CN"/>
        </w:rPr>
        <w:t xml:space="preserve">    </w:t>
      </w:r>
    </w:p>
    <w:p w14:paraId="4C9B9B9B">
      <w:pPr>
        <w:pStyle w:val="51"/>
        <w:spacing w:beforeLines="0"/>
        <w:ind w:firstLine="420" w:firstLineChars="0"/>
        <w:rPr>
          <w:rFonts w:hint="eastAsia" w:ascii="宋体" w:hAnsi="宋体" w:eastAsia="宋体" w:cs="宋体"/>
          <w:b w:val="0"/>
          <w:bCs w:val="0"/>
          <w:sz w:val="21"/>
          <w:szCs w:val="21"/>
          <w:highlight w:val="none"/>
          <w:u w:val="none"/>
          <w:lang w:val="en-US" w:eastAsia="zh-CN"/>
        </w:rPr>
      </w:pPr>
      <w:r>
        <w:rPr>
          <w:rFonts w:hint="eastAsia" w:ascii="宋体" w:hAnsi="宋体" w:eastAsia="宋体" w:cs="宋体"/>
          <w:iCs w:val="0"/>
          <w:kern w:val="2"/>
          <w:sz w:val="21"/>
          <w:szCs w:val="21"/>
          <w:highlight w:val="none"/>
          <w:u w:val="none"/>
          <w:lang w:val="en-US" w:eastAsia="zh-CN"/>
        </w:rPr>
        <w:t xml:space="preserve">     </w:t>
      </w:r>
      <w:r>
        <w:rPr>
          <w:rFonts w:hint="eastAsia" w:ascii="宋体" w:hAnsi="宋体" w:eastAsia="宋体" w:cs="宋体"/>
          <w:iCs w:val="0"/>
          <w:kern w:val="2"/>
          <w:sz w:val="21"/>
          <w:szCs w:val="21"/>
          <w:highlight w:val="none"/>
          <w:u w:val="none"/>
        </w:rPr>
        <w:sym w:font="Wingdings" w:char="00A8"/>
      </w:r>
      <w:r>
        <w:rPr>
          <w:rFonts w:hint="eastAsia" w:ascii="宋体" w:hAnsi="宋体" w:eastAsia="宋体" w:cs="宋体"/>
          <w:iCs w:val="0"/>
          <w:kern w:val="2"/>
          <w:sz w:val="21"/>
          <w:szCs w:val="21"/>
          <w:highlight w:val="none"/>
          <w:u w:val="none"/>
        </w:rPr>
        <w:t>否</w:t>
      </w:r>
    </w:p>
    <w:p w14:paraId="736B1E04">
      <w:pPr>
        <w:numPr>
          <w:ilvl w:val="-1"/>
          <w:numId w:val="0"/>
        </w:numPr>
        <w:adjustRightInd w:val="0"/>
        <w:snapToGrid w:val="0"/>
        <w:spacing w:before="0" w:beforeLines="0" w:line="400" w:lineRule="exact"/>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（1</w:t>
      </w:r>
      <w:r>
        <w:rPr>
          <w:rFonts w:hint="eastAsia" w:ascii="宋体" w:hAnsi="宋体" w:eastAsia="宋体" w:cs="宋体"/>
          <w:sz w:val="21"/>
          <w:szCs w:val="21"/>
          <w:highlight w:val="none"/>
          <w:lang w:val="en" w:eastAsia="zh-CN"/>
        </w:rPr>
        <w:t>1</w:t>
      </w:r>
      <w:r>
        <w:rPr>
          <w:rFonts w:hint="eastAsia" w:ascii="宋体" w:hAnsi="宋体" w:eastAsia="宋体" w:cs="宋体"/>
          <w:sz w:val="21"/>
          <w:szCs w:val="21"/>
          <w:highlight w:val="none"/>
          <w:lang w:val="en-US" w:eastAsia="zh-CN"/>
        </w:rPr>
        <w:t>）涉及商品包装和快递包装的，是否参考</w:t>
      </w:r>
      <w:r>
        <w:rPr>
          <w:rFonts w:hint="eastAsia" w:ascii="宋体" w:hAnsi="宋体" w:eastAsia="宋体" w:cs="宋体"/>
          <w:sz w:val="21"/>
          <w:szCs w:val="21"/>
          <w:highlight w:val="none"/>
        </w:rPr>
        <w:t>《商品包装政府采购需求标准（试行）》、《快递包装政府采购需求标准（试行）》</w:t>
      </w:r>
      <w:r>
        <w:rPr>
          <w:rFonts w:hint="eastAsia" w:ascii="宋体" w:hAnsi="宋体" w:eastAsia="宋体" w:cs="宋体"/>
          <w:sz w:val="21"/>
          <w:szCs w:val="21"/>
          <w:highlight w:val="none"/>
          <w:lang w:eastAsia="zh-CN"/>
        </w:rPr>
        <w:t>明确产品及相关快递服务的具体包装要求：</w:t>
      </w:r>
    </w:p>
    <w:p w14:paraId="4623072E">
      <w:pPr>
        <w:numPr>
          <w:ilvl w:val="-1"/>
          <w:numId w:val="0"/>
        </w:numPr>
        <w:adjustRightInd w:val="0"/>
        <w:snapToGrid w:val="0"/>
        <w:spacing w:before="0" w:beforeLines="0" w:line="400" w:lineRule="exact"/>
        <w:ind w:firstLine="840" w:firstLineChars="400"/>
        <w:rPr>
          <w:rFonts w:hint="eastAsia" w:ascii="宋体" w:hAnsi="宋体" w:eastAsia="宋体" w:cs="宋体"/>
          <w:iCs w:val="0"/>
          <w:sz w:val="21"/>
          <w:szCs w:val="21"/>
          <w:highlight w:val="none"/>
          <w:lang w:val="en-US" w:eastAsia="zh-CN"/>
        </w:rPr>
      </w:pP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rPr>
        <w:t xml:space="preserve">是       </w:t>
      </w:r>
      <w:r>
        <w:rPr>
          <w:rFonts w:hint="eastAsia" w:ascii="宋体" w:hAnsi="宋体" w:eastAsia="宋体" w:cs="宋体"/>
          <w:iCs w:val="0"/>
          <w:sz w:val="21"/>
          <w:szCs w:val="21"/>
          <w:highlight w:val="none"/>
        </w:rPr>
        <w:sym w:font="Wingdings" w:char="00A8"/>
      </w:r>
      <w:r>
        <w:rPr>
          <w:rFonts w:hint="eastAsia" w:ascii="宋体" w:hAnsi="宋体" w:eastAsia="宋体" w:cs="宋体"/>
          <w:iCs w:val="0"/>
          <w:sz w:val="21"/>
          <w:szCs w:val="21"/>
          <w:highlight w:val="none"/>
        </w:rPr>
        <w:t>否</w:t>
      </w:r>
      <w:r>
        <w:rPr>
          <w:rFonts w:hint="eastAsia" w:ascii="宋体" w:hAnsi="宋体" w:eastAsia="宋体" w:cs="宋体"/>
          <w:iCs w:val="0"/>
          <w:sz w:val="21"/>
          <w:szCs w:val="21"/>
          <w:highlight w:val="none"/>
          <w:lang w:val="en-US" w:eastAsia="zh-CN"/>
        </w:rPr>
        <w:t xml:space="preserve">      </w:t>
      </w:r>
      <w:r>
        <w:rPr>
          <w:rFonts w:hint="eastAsia" w:ascii="宋体" w:hAnsi="宋体" w:eastAsia="宋体" w:cs="宋体"/>
          <w:iCs w:val="0"/>
          <w:sz w:val="21"/>
          <w:szCs w:val="21"/>
          <w:highlight w:val="none"/>
        </w:rPr>
        <w:sym w:font="Wingdings" w:char="00FE"/>
      </w:r>
      <w:r>
        <w:rPr>
          <w:rFonts w:hint="eastAsia" w:ascii="宋体" w:hAnsi="宋体" w:eastAsia="宋体" w:cs="宋体"/>
          <w:iCs w:val="0"/>
          <w:sz w:val="21"/>
          <w:szCs w:val="21"/>
          <w:highlight w:val="none"/>
          <w:lang w:eastAsia="zh-CN"/>
        </w:rPr>
        <w:t>不涉及</w:t>
      </w:r>
    </w:p>
    <w:p w14:paraId="5E3D32C3">
      <w:pPr>
        <w:numPr>
          <w:ilvl w:val="0"/>
          <w:numId w:val="5"/>
        </w:numPr>
        <w:adjustRightInd w:val="0"/>
        <w:snapToGrid w:val="0"/>
        <w:spacing w:before="0" w:beforeLines="0" w:line="400" w:lineRule="exact"/>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合同金额</w:t>
      </w:r>
    </w:p>
    <w:p w14:paraId="1B879547">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（1）合同金额小写：</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p>
    <w:p w14:paraId="1EE174F7">
      <w:pPr>
        <w:adjustRightInd w:val="0"/>
        <w:snapToGrid w:val="0"/>
        <w:spacing w:before="0" w:beforeLines="0" w:line="400" w:lineRule="exact"/>
        <w:ind w:left="0" w:firstLine="0" w:firstLineChars="0"/>
        <w:rPr>
          <w:rFonts w:hint="eastAsia" w:ascii="宋体" w:hAnsi="宋体" w:eastAsia="宋体" w:cs="宋体"/>
          <w:sz w:val="21"/>
          <w:szCs w:val="21"/>
          <w:highlight w:val="none"/>
          <w:u w:val="singl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大写：</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p>
    <w:p w14:paraId="51BA1AC8">
      <w:pPr>
        <w:adjustRightInd w:val="0"/>
        <w:snapToGrid w:val="0"/>
        <w:spacing w:before="0" w:beforeLines="0" w:line="400" w:lineRule="exact"/>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分包金额</w:t>
      </w:r>
      <w:r>
        <w:rPr>
          <w:rFonts w:hint="eastAsia" w:ascii="宋体" w:hAnsi="宋体" w:eastAsia="宋体" w:cs="宋体"/>
          <w:sz w:val="21"/>
          <w:szCs w:val="21"/>
          <w:highlight w:val="none"/>
          <w:lang w:eastAsia="zh-CN"/>
        </w:rPr>
        <w:t>（如有）</w:t>
      </w:r>
      <w:r>
        <w:rPr>
          <w:rFonts w:hint="eastAsia" w:ascii="宋体" w:hAnsi="宋体" w:eastAsia="宋体" w:cs="宋体"/>
          <w:sz w:val="21"/>
          <w:szCs w:val="21"/>
          <w:highlight w:val="none"/>
        </w:rPr>
        <w:t>小写：</w:t>
      </w:r>
      <w:r>
        <w:rPr>
          <w:rFonts w:hint="eastAsia" w:ascii="宋体" w:hAnsi="宋体" w:eastAsia="宋体" w:cs="宋体"/>
          <w:sz w:val="21"/>
          <w:szCs w:val="21"/>
          <w:highlight w:val="none"/>
          <w:u w:val="single"/>
        </w:rPr>
        <w:t xml:space="preserve">                   </w:t>
      </w:r>
    </w:p>
    <w:p w14:paraId="5C4FAC81">
      <w:pPr>
        <w:adjustRightInd w:val="0"/>
        <w:snapToGrid w:val="0"/>
        <w:spacing w:before="0" w:beforeLines="0" w:line="400" w:lineRule="exact"/>
        <w:ind w:firstLine="0" w:firstLineChars="0"/>
        <w:rPr>
          <w:rFonts w:hint="eastAsia" w:ascii="宋体" w:hAnsi="宋体" w:eastAsia="宋体" w:cs="宋体"/>
          <w:sz w:val="21"/>
          <w:szCs w:val="21"/>
          <w:highlight w:val="none"/>
          <w:u w:val="singl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大写：</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p>
    <w:p w14:paraId="6775DAC8">
      <w:pPr>
        <w:adjustRightInd w:val="0"/>
        <w:snapToGrid w:val="0"/>
        <w:spacing w:before="0" w:beforeLines="0" w:line="400" w:lineRule="exact"/>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（注：固定单价合同应填写单价和最高限价）</w:t>
      </w:r>
    </w:p>
    <w:p w14:paraId="0D1ABD5A">
      <w:pPr>
        <w:numPr>
          <w:ilvl w:val="-1"/>
          <w:numId w:val="0"/>
        </w:numPr>
        <w:adjustRightInd w:val="0"/>
        <w:snapToGrid w:val="0"/>
        <w:spacing w:before="0" w:beforeLines="0" w:line="400" w:lineRule="exact"/>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合同定价方式</w:t>
      </w:r>
      <w:r>
        <w:rPr>
          <w:rFonts w:hint="eastAsia" w:ascii="宋体" w:hAnsi="宋体" w:eastAsia="宋体" w:cs="宋体"/>
          <w:sz w:val="21"/>
          <w:szCs w:val="21"/>
          <w:highlight w:val="none"/>
          <w:lang w:eastAsia="zh-CN"/>
        </w:rPr>
        <w:t>（采用组合定价方式的，可以勾选多项）</w:t>
      </w:r>
      <w:r>
        <w:rPr>
          <w:rFonts w:hint="eastAsia" w:ascii="宋体" w:hAnsi="宋体" w:eastAsia="宋体" w:cs="宋体"/>
          <w:sz w:val="21"/>
          <w:szCs w:val="21"/>
          <w:highlight w:val="none"/>
        </w:rPr>
        <w:t>：</w:t>
      </w:r>
    </w:p>
    <w:p w14:paraId="32442E26">
      <w:pPr>
        <w:adjustRightInd w:val="0"/>
        <w:snapToGrid w:val="0"/>
        <w:spacing w:before="0" w:beforeLines="0" w:line="400" w:lineRule="exact"/>
        <w:ind w:firstLine="420" w:firstLineChars="200"/>
        <w:rPr>
          <w:rFonts w:hint="eastAsia" w:ascii="宋体" w:hAnsi="宋体" w:eastAsia="宋体" w:cs="宋体"/>
          <w:sz w:val="21"/>
          <w:szCs w:val="21"/>
          <w:highlight w:val="none"/>
          <w:lang w:eastAsia="zh-CN"/>
        </w:rPr>
      </w:pP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固定总价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固定单价</w:t>
      </w: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eastAsia="zh-CN"/>
        </w:rPr>
        <w:t>固定费率</w:t>
      </w:r>
      <w:r>
        <w:rPr>
          <w:rFonts w:hint="eastAsia" w:ascii="宋体" w:hAnsi="宋体" w:eastAsia="宋体" w:cs="宋体"/>
          <w:iCs/>
          <w:sz w:val="21"/>
          <w:szCs w:val="21"/>
          <w:highlight w:val="none"/>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成本补偿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绩效激励</w:t>
      </w:r>
      <w:r>
        <w:rPr>
          <w:rFonts w:hint="eastAsia" w:ascii="宋体" w:hAnsi="宋体" w:eastAsia="宋体" w:cs="宋体"/>
          <w:iCs/>
          <w:sz w:val="21"/>
          <w:szCs w:val="21"/>
          <w:highlight w:val="none"/>
          <w:lang w:val="en-US" w:eastAsia="zh-CN"/>
        </w:rPr>
        <w:t xml:space="preserve">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eastAsia="zh-CN"/>
        </w:rPr>
        <w:t>其他</w:t>
      </w:r>
      <w:r>
        <w:rPr>
          <w:rFonts w:hint="eastAsia" w:ascii="宋体" w:hAnsi="宋体" w:eastAsia="宋体" w:cs="宋体"/>
          <w:sz w:val="21"/>
          <w:szCs w:val="21"/>
          <w:highlight w:val="none"/>
          <w:u w:val="single"/>
        </w:rPr>
        <w:t xml:space="preserve">       </w:t>
      </w:r>
    </w:p>
    <w:p w14:paraId="2AB047D5">
      <w:pPr>
        <w:pStyle w:val="80"/>
        <w:spacing w:beforeLines="0"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）付款方式（按项目实际勾选填写）：</w:t>
      </w:r>
    </w:p>
    <w:p w14:paraId="27BA8EF4">
      <w:pPr>
        <w:adjustRightInd w:val="0"/>
        <w:snapToGrid w:val="0"/>
        <w:spacing w:before="0" w:beforeLines="0" w:line="400" w:lineRule="exact"/>
        <w:ind w:firstLine="630" w:firstLineChars="3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全额付款：</w:t>
      </w:r>
      <w:r>
        <w:rPr>
          <w:rFonts w:hint="eastAsia" w:ascii="宋体" w:hAnsi="宋体" w:eastAsia="宋体" w:cs="宋体"/>
          <w:sz w:val="21"/>
          <w:szCs w:val="21"/>
          <w:highlight w:val="none"/>
          <w:u w:val="single"/>
        </w:rPr>
        <w:t xml:space="preserve">     （应</w:t>
      </w:r>
      <w:r>
        <w:rPr>
          <w:rFonts w:hint="eastAsia" w:ascii="宋体" w:hAnsi="宋体" w:eastAsia="宋体" w:cs="宋体"/>
          <w:sz w:val="21"/>
          <w:szCs w:val="21"/>
          <w:highlight w:val="none"/>
          <w:u w:val="single"/>
          <w:lang w:eastAsia="zh-CN"/>
        </w:rPr>
        <w:t>明确</w:t>
      </w:r>
      <w:r>
        <w:rPr>
          <w:rFonts w:hint="eastAsia" w:ascii="宋体" w:hAnsi="宋体" w:eastAsia="宋体" w:cs="宋体"/>
          <w:sz w:val="21"/>
          <w:szCs w:val="21"/>
          <w:highlight w:val="none"/>
          <w:u w:val="single"/>
        </w:rPr>
        <w:t>一次性支付合同款项</w:t>
      </w:r>
      <w:r>
        <w:rPr>
          <w:rFonts w:hint="eastAsia" w:ascii="宋体" w:hAnsi="宋体" w:eastAsia="宋体" w:cs="宋体"/>
          <w:sz w:val="21"/>
          <w:szCs w:val="21"/>
          <w:highlight w:val="none"/>
          <w:u w:val="single"/>
          <w:lang w:eastAsia="zh-CN"/>
        </w:rPr>
        <w:t>的条件</w:t>
      </w:r>
      <w:r>
        <w:rPr>
          <w:rFonts w:hint="eastAsia" w:ascii="宋体" w:hAnsi="宋体" w:eastAsia="宋体" w:cs="宋体"/>
          <w:sz w:val="21"/>
          <w:szCs w:val="21"/>
          <w:highlight w:val="none"/>
          <w:u w:val="single"/>
        </w:rPr>
        <w:t xml:space="preserve">）                    </w:t>
      </w:r>
    </w:p>
    <w:p w14:paraId="573F3065">
      <w:pPr>
        <w:snapToGrid w:val="0"/>
        <w:spacing w:beforeLines="0" w:line="400" w:lineRule="exact"/>
        <w:ind w:firstLine="630" w:firstLineChars="30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分期付款：</w:t>
      </w:r>
      <w:r>
        <w:rPr>
          <w:rFonts w:hint="eastAsia" w:ascii="宋体" w:hAnsi="宋体" w:eastAsia="宋体" w:cs="宋体"/>
          <w:sz w:val="21"/>
          <w:szCs w:val="21"/>
          <w:highlight w:val="none"/>
          <w:u w:val="single"/>
        </w:rPr>
        <w:t xml:space="preserve">  （应明确分期支付合同款项的各期比例和支付条件</w:t>
      </w:r>
      <w:r>
        <w:rPr>
          <w:rFonts w:hint="eastAsia" w:ascii="宋体" w:hAnsi="宋体" w:eastAsia="宋体" w:cs="宋体"/>
          <w:sz w:val="21"/>
          <w:szCs w:val="21"/>
          <w:highlight w:val="none"/>
          <w:u w:val="single"/>
          <w:lang w:eastAsia="zh-CN"/>
        </w:rPr>
        <w:t>，各期支付条件应与分期履约验收情况挂钩</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none"/>
          <w:lang w:eastAsia="zh-CN"/>
        </w:rPr>
        <w:t>，</w:t>
      </w:r>
      <w:r>
        <w:rPr>
          <w:rFonts w:hint="eastAsia" w:ascii="宋体" w:hAnsi="宋体" w:eastAsia="宋体" w:cs="宋体"/>
          <w:sz w:val="21"/>
          <w:szCs w:val="21"/>
          <w:highlight w:val="none"/>
          <w:lang w:eastAsia="zh-CN"/>
        </w:rPr>
        <w:t>其中涉及预付款的</w:t>
      </w:r>
      <w:r>
        <w:rPr>
          <w:rFonts w:hint="eastAsia" w:ascii="宋体" w:hAnsi="宋体" w:eastAsia="宋体" w:cs="宋体"/>
          <w:sz w:val="21"/>
          <w:szCs w:val="21"/>
          <w:highlight w:val="none"/>
        </w:rPr>
        <w:t>：</w:t>
      </w:r>
      <w:r>
        <w:rPr>
          <w:rFonts w:hint="eastAsia" w:ascii="宋体" w:hAnsi="宋体" w:eastAsia="宋体" w:cs="宋体"/>
          <w:sz w:val="21"/>
          <w:szCs w:val="21"/>
          <w:highlight w:val="none"/>
          <w:u w:val="single"/>
        </w:rPr>
        <w:t xml:space="preserve"> （应明确预付款的支付比例和支付条件） </w:t>
      </w:r>
    </w:p>
    <w:p w14:paraId="2143E2E0">
      <w:pPr>
        <w:adjustRightInd w:val="0"/>
        <w:snapToGrid w:val="0"/>
        <w:spacing w:before="0" w:beforeLines="0" w:line="400" w:lineRule="exact"/>
        <w:ind w:firstLine="630" w:firstLineChars="3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成本补偿：</w:t>
      </w:r>
      <w:r>
        <w:rPr>
          <w:rFonts w:hint="eastAsia" w:ascii="宋体" w:hAnsi="宋体" w:eastAsia="宋体" w:cs="宋体"/>
          <w:sz w:val="21"/>
          <w:szCs w:val="21"/>
          <w:highlight w:val="none"/>
          <w:u w:val="single"/>
        </w:rPr>
        <w:t xml:space="preserve">      （应明确按照成本补偿方式的支付方式和支付条件）   </w:t>
      </w:r>
    </w:p>
    <w:p w14:paraId="6249AB9D">
      <w:pPr>
        <w:adjustRightInd w:val="0"/>
        <w:snapToGrid w:val="0"/>
        <w:spacing w:before="0" w:beforeLines="0" w:line="400" w:lineRule="exact"/>
        <w:ind w:firstLine="630" w:firstLineChars="300"/>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绩效激励：</w:t>
      </w:r>
      <w:r>
        <w:rPr>
          <w:rFonts w:hint="eastAsia" w:ascii="宋体" w:hAnsi="宋体" w:eastAsia="宋体" w:cs="宋体"/>
          <w:sz w:val="21"/>
          <w:szCs w:val="21"/>
          <w:highlight w:val="none"/>
          <w:u w:val="single"/>
        </w:rPr>
        <w:t xml:space="preserve">      （应明确按照绩效激励方式的支付方式和支付条件）   </w:t>
      </w:r>
    </w:p>
    <w:p w14:paraId="6C29A869">
      <w:pPr>
        <w:numPr>
          <w:ilvl w:val="0"/>
          <w:numId w:val="5"/>
        </w:numPr>
        <w:adjustRightInd w:val="0"/>
        <w:snapToGrid w:val="0"/>
        <w:spacing w:before="0" w:beforeLines="0" w:line="400" w:lineRule="exact"/>
        <w:ind w:firstLine="422" w:firstLineChars="200"/>
        <w:rPr>
          <w:rFonts w:hint="eastAsia" w:ascii="宋体" w:hAnsi="宋体" w:eastAsia="宋体" w:cs="宋体"/>
          <w:b/>
          <w:bCs w:val="0"/>
          <w:sz w:val="21"/>
          <w:szCs w:val="21"/>
          <w:highlight w:val="none"/>
          <w:u w:val="single"/>
        </w:rPr>
      </w:pPr>
      <w:r>
        <w:rPr>
          <w:rFonts w:hint="eastAsia" w:ascii="宋体" w:hAnsi="宋体" w:eastAsia="宋体" w:cs="宋体"/>
          <w:b/>
          <w:bCs w:val="0"/>
          <w:sz w:val="21"/>
          <w:szCs w:val="21"/>
          <w:highlight w:val="none"/>
        </w:rPr>
        <w:t>合同履行</w:t>
      </w:r>
    </w:p>
    <w:p w14:paraId="0728C0AD">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（1）起始日期：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日，完成日期：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14:paraId="78B400D8">
      <w:pPr>
        <w:adjustRightInd w:val="0"/>
        <w:snapToGrid w:val="0"/>
        <w:spacing w:before="0" w:beforeLines="0" w:line="400" w:lineRule="exact"/>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履约</w:t>
      </w:r>
      <w:r>
        <w:rPr>
          <w:rFonts w:hint="eastAsia" w:ascii="宋体" w:hAnsi="宋体" w:eastAsia="宋体" w:cs="宋体"/>
          <w:sz w:val="21"/>
          <w:szCs w:val="21"/>
          <w:highlight w:val="none"/>
        </w:rPr>
        <w:t>地点</w:t>
      </w:r>
      <w:r>
        <w:rPr>
          <w:rFonts w:hint="eastAsia" w:ascii="宋体" w:hAnsi="宋体" w:eastAsia="宋体" w:cs="宋体"/>
          <w:b w:val="0"/>
          <w:bCs/>
          <w:sz w:val="21"/>
          <w:szCs w:val="21"/>
          <w:highlight w:val="none"/>
        </w:rPr>
        <w:t>：</w:t>
      </w:r>
      <w:r>
        <w:rPr>
          <w:rFonts w:hint="eastAsia" w:ascii="宋体" w:hAnsi="宋体" w:eastAsia="宋体" w:cs="宋体"/>
          <w:sz w:val="21"/>
          <w:szCs w:val="21"/>
          <w:highlight w:val="none"/>
          <w:u w:val="single"/>
        </w:rPr>
        <w:t xml:space="preserve">                             </w:t>
      </w:r>
    </w:p>
    <w:p w14:paraId="2016AF6F">
      <w:pPr>
        <w:adjustRightInd w:val="0"/>
        <w:snapToGrid w:val="0"/>
        <w:spacing w:before="0" w:beforeLines="0" w:line="400" w:lineRule="exact"/>
        <w:ind w:firstLine="420" w:firstLineChars="200"/>
        <w:rPr>
          <w:rFonts w:hint="eastAsia" w:ascii="宋体" w:hAnsi="宋体" w:eastAsia="宋体" w:cs="宋体"/>
          <w:sz w:val="21"/>
          <w:szCs w:val="21"/>
          <w:highlight w:val="none"/>
          <w:lang w:eastAsia="zh-CN"/>
        </w:rPr>
      </w:pPr>
      <w:r>
        <w:rPr>
          <w:rFonts w:hint="eastAsia" w:ascii="宋体" w:hAnsi="宋体" w:eastAsia="宋体" w:cs="宋体"/>
          <w:bCs/>
          <w:sz w:val="21"/>
          <w:szCs w:val="21"/>
          <w:highlight w:val="none"/>
        </w:rPr>
        <w:t>（3）履约担保：</w:t>
      </w:r>
      <w:r>
        <w:rPr>
          <w:rFonts w:hint="eastAsia" w:ascii="宋体" w:hAnsi="宋体" w:eastAsia="宋体" w:cs="宋体"/>
          <w:sz w:val="21"/>
          <w:szCs w:val="21"/>
          <w:highlight w:val="none"/>
          <w:lang w:val="en-US" w:eastAsia="zh-CN"/>
        </w:rPr>
        <w:t>是否收取履约保证金：</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lang w:eastAsia="zh-CN"/>
        </w:rPr>
        <w:t>是</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lang w:eastAsia="zh-CN"/>
        </w:rPr>
        <w:t>否</w:t>
      </w:r>
    </w:p>
    <w:p w14:paraId="5BADA0BD">
      <w:pPr>
        <w:pStyle w:val="51"/>
        <w:spacing w:beforeLines="0"/>
        <w:rPr>
          <w:rFonts w:hint="eastAsia" w:ascii="宋体" w:hAnsi="宋体" w:eastAsia="宋体" w:cs="宋体"/>
          <w:sz w:val="21"/>
          <w:szCs w:val="21"/>
          <w:highlight w:val="none"/>
          <w:lang w:val="en-US" w:eastAsia="zh-CN"/>
        </w:rPr>
      </w:pPr>
      <w:r>
        <w:rPr>
          <w:rFonts w:hint="eastAsia" w:ascii="宋体" w:hAnsi="宋体" w:eastAsia="宋体" w:cs="宋体"/>
          <w:bCs/>
          <w:sz w:val="21"/>
          <w:szCs w:val="21"/>
          <w:highlight w:val="none"/>
          <w:u w:val="none"/>
          <w:lang w:val="en-US" w:eastAsia="zh-CN"/>
        </w:rPr>
        <w:t xml:space="preserve">  </w:t>
      </w:r>
      <w:r>
        <w:rPr>
          <w:rFonts w:hint="eastAsia" w:ascii="宋体" w:hAnsi="宋体" w:eastAsia="宋体" w:cs="宋体"/>
          <w:sz w:val="21"/>
          <w:szCs w:val="21"/>
          <w:highlight w:val="none"/>
          <w:lang w:val="en-US" w:eastAsia="zh-CN"/>
        </w:rPr>
        <w:t xml:space="preserve">  收取履约保证金形式：</w:t>
      </w:r>
      <w:r>
        <w:rPr>
          <w:rFonts w:hint="eastAsia" w:ascii="宋体" w:hAnsi="宋体" w:eastAsia="宋体" w:cs="宋体"/>
          <w:bCs/>
          <w:sz w:val="21"/>
          <w:szCs w:val="21"/>
          <w:highlight w:val="none"/>
          <w:u w:val="single"/>
        </w:rPr>
        <w:t xml:space="preserve">                            </w:t>
      </w:r>
    </w:p>
    <w:p w14:paraId="44E43C6D">
      <w:pPr>
        <w:pStyle w:val="51"/>
        <w:spacing w:beforeLine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收取履约保证金金额：</w:t>
      </w:r>
      <w:r>
        <w:rPr>
          <w:rFonts w:hint="eastAsia" w:ascii="宋体" w:hAnsi="宋体" w:eastAsia="宋体" w:cs="宋体"/>
          <w:bCs/>
          <w:sz w:val="21"/>
          <w:szCs w:val="21"/>
          <w:highlight w:val="none"/>
          <w:u w:val="single"/>
        </w:rPr>
        <w:t xml:space="preserve">                            </w:t>
      </w:r>
    </w:p>
    <w:p w14:paraId="37EAF936">
      <w:pPr>
        <w:snapToGrid w:val="0"/>
        <w:spacing w:beforeLines="0" w:line="400" w:lineRule="exact"/>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bCs/>
          <w:sz w:val="21"/>
          <w:szCs w:val="21"/>
          <w:highlight w:val="none"/>
          <w:u w:val="none"/>
          <w:lang w:val="en-US" w:eastAsia="zh-CN"/>
        </w:rPr>
        <w:t xml:space="preserve">    履约担保期限</w:t>
      </w:r>
      <w:r>
        <w:rPr>
          <w:rFonts w:hint="eastAsia" w:ascii="宋体" w:hAnsi="宋体" w:eastAsia="宋体" w:cs="宋体"/>
          <w:bCs/>
          <w:sz w:val="21"/>
          <w:szCs w:val="21"/>
          <w:highlight w:val="none"/>
          <w:u w:val="none"/>
          <w:lang w:eastAsia="zh-CN"/>
        </w:rPr>
        <w:t>：</w:t>
      </w:r>
      <w:r>
        <w:rPr>
          <w:rFonts w:hint="eastAsia" w:ascii="宋体" w:hAnsi="宋体" w:eastAsia="宋体" w:cs="宋体"/>
          <w:bCs/>
          <w:sz w:val="21"/>
          <w:szCs w:val="21"/>
          <w:highlight w:val="none"/>
          <w:u w:val="single"/>
        </w:rPr>
        <w:t xml:space="preserve">      </w:t>
      </w:r>
      <w:r>
        <w:rPr>
          <w:rFonts w:hint="eastAsia" w:ascii="宋体" w:hAnsi="宋体" w:eastAsia="宋体" w:cs="宋体"/>
          <w:bCs/>
          <w:sz w:val="21"/>
          <w:szCs w:val="21"/>
          <w:highlight w:val="none"/>
          <w:u w:val="single"/>
          <w:lang w:val="en-US" w:eastAsia="zh-CN"/>
        </w:rPr>
        <w:t xml:space="preserve">                     </w:t>
      </w:r>
      <w:r>
        <w:rPr>
          <w:rFonts w:hint="eastAsia" w:ascii="宋体" w:hAnsi="宋体" w:eastAsia="宋体" w:cs="宋体"/>
          <w:bCs/>
          <w:sz w:val="21"/>
          <w:szCs w:val="21"/>
          <w:highlight w:val="none"/>
          <w:u w:val="single"/>
        </w:rPr>
        <w:t xml:space="preserve">       </w:t>
      </w:r>
    </w:p>
    <w:p w14:paraId="678C42CD">
      <w:pPr>
        <w:adjustRightInd w:val="0"/>
        <w:snapToGrid w:val="0"/>
        <w:spacing w:before="0" w:beforeLines="0" w:line="40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（4）分期履行要求：</w:t>
      </w:r>
      <w:r>
        <w:rPr>
          <w:rFonts w:hint="eastAsia" w:ascii="宋体" w:hAnsi="宋体" w:eastAsia="宋体" w:cs="宋体"/>
          <w:bCs/>
          <w:sz w:val="21"/>
          <w:szCs w:val="21"/>
          <w:highlight w:val="none"/>
          <w:u w:val="single"/>
        </w:rPr>
        <w:t xml:space="preserve">                                                   </w:t>
      </w:r>
      <w:r>
        <w:rPr>
          <w:rFonts w:hint="eastAsia" w:ascii="宋体" w:hAnsi="宋体" w:eastAsia="宋体" w:cs="宋体"/>
          <w:bCs/>
          <w:sz w:val="21"/>
          <w:szCs w:val="21"/>
          <w:highlight w:val="none"/>
          <w:u w:val="single"/>
          <w:lang w:val="en-US" w:eastAsia="zh-CN"/>
        </w:rPr>
        <w:t xml:space="preserve">    </w:t>
      </w:r>
      <w:r>
        <w:rPr>
          <w:rFonts w:hint="eastAsia" w:ascii="宋体" w:hAnsi="宋体" w:eastAsia="宋体" w:cs="宋体"/>
          <w:bCs/>
          <w:sz w:val="21"/>
          <w:szCs w:val="21"/>
          <w:highlight w:val="none"/>
          <w:u w:val="single"/>
        </w:rPr>
        <w:t xml:space="preserve"> </w:t>
      </w:r>
    </w:p>
    <w:p w14:paraId="46845817">
      <w:pPr>
        <w:adjustRightInd w:val="0"/>
        <w:snapToGrid w:val="0"/>
        <w:spacing w:before="0" w:beforeLines="0" w:line="400" w:lineRule="exact"/>
        <w:ind w:firstLine="420" w:firstLineChars="200"/>
        <w:rPr>
          <w:rFonts w:hint="eastAsia" w:ascii="宋体" w:hAnsi="宋体" w:eastAsia="宋体" w:cs="宋体"/>
          <w:sz w:val="21"/>
          <w:szCs w:val="21"/>
          <w:highlight w:val="none"/>
          <w:u w:val="single"/>
        </w:rPr>
      </w:pPr>
      <w:r>
        <w:rPr>
          <w:rFonts w:hint="eastAsia" w:ascii="宋体" w:hAnsi="宋体" w:eastAsia="宋体" w:cs="宋体"/>
          <w:bCs/>
          <w:sz w:val="21"/>
          <w:szCs w:val="21"/>
          <w:highlight w:val="none"/>
        </w:rPr>
        <w:t>（5）</w:t>
      </w:r>
      <w:r>
        <w:rPr>
          <w:rFonts w:hint="eastAsia" w:ascii="宋体" w:hAnsi="宋体" w:eastAsia="宋体" w:cs="宋体"/>
          <w:bCs/>
          <w:sz w:val="21"/>
          <w:szCs w:val="21"/>
          <w:highlight w:val="none"/>
          <w:lang w:eastAsia="zh-CN"/>
        </w:rPr>
        <w:t>风险处置措施和替代方案</w:t>
      </w:r>
      <w:r>
        <w:rPr>
          <w:rFonts w:hint="eastAsia" w:ascii="宋体" w:hAnsi="宋体" w:eastAsia="宋体" w:cs="宋体"/>
          <w:bCs/>
          <w:sz w:val="21"/>
          <w:szCs w:val="21"/>
          <w:highlight w:val="none"/>
        </w:rPr>
        <w:t>：</w:t>
      </w:r>
      <w:r>
        <w:rPr>
          <w:rFonts w:hint="eastAsia" w:ascii="宋体" w:hAnsi="宋体" w:eastAsia="宋体" w:cs="宋体"/>
          <w:color w:val="0000FF"/>
          <w:sz w:val="21"/>
          <w:szCs w:val="21"/>
          <w:highlight w:val="none"/>
          <w:u w:val="single"/>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sz w:val="21"/>
          <w:szCs w:val="21"/>
          <w:highlight w:val="none"/>
          <w:u w:val="single"/>
        </w:rPr>
        <w:t xml:space="preserve">                                                </w:t>
      </w:r>
    </w:p>
    <w:p w14:paraId="51E5437A">
      <w:pPr>
        <w:numPr>
          <w:ilvl w:val="0"/>
          <w:numId w:val="5"/>
        </w:numPr>
        <w:adjustRightInd w:val="0"/>
        <w:snapToGrid w:val="0"/>
        <w:spacing w:before="0" w:beforeLines="0" w:line="400" w:lineRule="exact"/>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合同验收</w:t>
      </w:r>
    </w:p>
    <w:p w14:paraId="41C132B8">
      <w:pPr>
        <w:numPr>
          <w:ilvl w:val="0"/>
          <w:numId w:val="7"/>
        </w:numPr>
        <w:adjustRightInd w:val="0"/>
        <w:snapToGrid w:val="0"/>
        <w:spacing w:before="0" w:beforeLines="0" w:line="40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验收组织方式：</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 xml:space="preserve">自行组织 </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委托第三方组织</w:t>
      </w:r>
    </w:p>
    <w:p w14:paraId="42120FB8">
      <w:pPr>
        <w:numPr>
          <w:ilvl w:val="0"/>
          <w:numId w:val="0"/>
        </w:numPr>
        <w:adjustRightInd w:val="0"/>
        <w:snapToGrid w:val="0"/>
        <w:spacing w:before="0" w:beforeLines="0" w:line="400" w:lineRule="exact"/>
        <w:rPr>
          <w:rFonts w:hint="eastAsia" w:ascii="宋体" w:hAnsi="宋体" w:eastAsia="宋体" w:cs="宋体"/>
          <w:bCs/>
          <w:sz w:val="21"/>
          <w:szCs w:val="21"/>
          <w:highlight w:val="none"/>
        </w:rPr>
      </w:pPr>
      <w:r>
        <w:rPr>
          <w:rFonts w:hint="eastAsia" w:ascii="宋体" w:hAnsi="宋体" w:eastAsia="宋体" w:cs="宋体"/>
          <w:bCs/>
          <w:sz w:val="21"/>
          <w:szCs w:val="21"/>
          <w:highlight w:val="none"/>
          <w:lang w:val="en-US" w:eastAsia="zh-CN"/>
        </w:rPr>
        <w:t xml:space="preserve">         </w:t>
      </w:r>
      <w:r>
        <w:rPr>
          <w:rFonts w:hint="eastAsia" w:ascii="宋体" w:hAnsi="宋体" w:eastAsia="宋体" w:cs="宋体"/>
          <w:bCs/>
          <w:sz w:val="21"/>
          <w:szCs w:val="21"/>
          <w:highlight w:val="none"/>
        </w:rPr>
        <w:t>验收主体：</w:t>
      </w:r>
      <w:r>
        <w:rPr>
          <w:rFonts w:hint="eastAsia" w:ascii="宋体" w:hAnsi="宋体" w:eastAsia="宋体" w:cs="宋体"/>
          <w:bCs/>
          <w:sz w:val="21"/>
          <w:szCs w:val="21"/>
          <w:highlight w:val="none"/>
          <w:u w:val="single"/>
        </w:rPr>
        <w:t xml:space="preserve">                  </w:t>
      </w:r>
    </w:p>
    <w:p w14:paraId="02BE6A3F">
      <w:pPr>
        <w:adjustRightInd w:val="0"/>
        <w:snapToGrid w:val="0"/>
        <w:spacing w:before="0" w:beforeLines="0" w:line="400" w:lineRule="exact"/>
        <w:ind w:firstLine="0" w:firstLineChars="0"/>
        <w:rPr>
          <w:rFonts w:hint="eastAsia" w:ascii="宋体" w:hAnsi="宋体" w:eastAsia="宋体" w:cs="宋体"/>
          <w:bCs/>
          <w:sz w:val="21"/>
          <w:szCs w:val="21"/>
          <w:highlight w:val="none"/>
        </w:rPr>
      </w:pPr>
      <w:r>
        <w:rPr>
          <w:rFonts w:hint="eastAsia" w:ascii="宋体" w:hAnsi="宋体" w:eastAsia="宋体" w:cs="宋体"/>
          <w:bCs/>
          <w:sz w:val="21"/>
          <w:szCs w:val="21"/>
          <w:highlight w:val="none"/>
          <w:lang w:val="en-US" w:eastAsia="zh-CN"/>
        </w:rPr>
        <w:t xml:space="preserve">        </w:t>
      </w:r>
      <w:r>
        <w:rPr>
          <w:rFonts w:hint="eastAsia" w:ascii="宋体" w:hAnsi="宋体" w:eastAsia="宋体" w:cs="宋体"/>
          <w:bCs/>
          <w:sz w:val="21"/>
          <w:szCs w:val="21"/>
          <w:highlight w:val="none"/>
        </w:rPr>
        <w:t>是否邀请本项目的其他供应商</w:t>
      </w:r>
      <w:r>
        <w:rPr>
          <w:rFonts w:hint="eastAsia" w:ascii="宋体" w:hAnsi="宋体" w:eastAsia="宋体" w:cs="宋体"/>
          <w:bCs/>
          <w:sz w:val="21"/>
          <w:szCs w:val="21"/>
          <w:highlight w:val="none"/>
          <w:lang w:eastAsia="zh-CN"/>
        </w:rPr>
        <w:t>参加验收</w:t>
      </w:r>
      <w:r>
        <w:rPr>
          <w:rFonts w:hint="eastAsia" w:ascii="宋体" w:hAnsi="宋体" w:eastAsia="宋体" w:cs="宋体"/>
          <w:bCs/>
          <w:sz w:val="21"/>
          <w:szCs w:val="21"/>
          <w:highlight w:val="none"/>
        </w:rPr>
        <w:t>：</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否</w:t>
      </w:r>
    </w:p>
    <w:p w14:paraId="2737BCDD">
      <w:pPr>
        <w:adjustRightInd w:val="0"/>
        <w:snapToGrid w:val="0"/>
        <w:spacing w:before="0" w:beforeLines="0" w:line="400" w:lineRule="exact"/>
        <w:ind w:firstLine="840" w:firstLineChars="4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是否邀请专家</w:t>
      </w:r>
      <w:r>
        <w:rPr>
          <w:rFonts w:hint="eastAsia" w:ascii="宋体" w:hAnsi="宋体" w:eastAsia="宋体" w:cs="宋体"/>
          <w:bCs/>
          <w:sz w:val="21"/>
          <w:szCs w:val="21"/>
          <w:highlight w:val="none"/>
          <w:lang w:eastAsia="zh-CN"/>
        </w:rPr>
        <w:t>参加验收</w:t>
      </w:r>
      <w:r>
        <w:rPr>
          <w:rFonts w:hint="eastAsia" w:ascii="宋体" w:hAnsi="宋体" w:eastAsia="宋体" w:cs="宋体"/>
          <w:bCs/>
          <w:sz w:val="21"/>
          <w:szCs w:val="21"/>
          <w:highlight w:val="none"/>
        </w:rPr>
        <w:t>：</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否</w:t>
      </w:r>
    </w:p>
    <w:p w14:paraId="3F93BDDF">
      <w:pPr>
        <w:adjustRightInd w:val="0"/>
        <w:snapToGrid w:val="0"/>
        <w:spacing w:before="0" w:beforeLines="0" w:line="400" w:lineRule="exact"/>
        <w:ind w:firstLine="840" w:firstLineChars="4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是否邀请服务对象</w:t>
      </w:r>
      <w:r>
        <w:rPr>
          <w:rFonts w:hint="eastAsia" w:ascii="宋体" w:hAnsi="宋体" w:eastAsia="宋体" w:cs="宋体"/>
          <w:bCs/>
          <w:sz w:val="21"/>
          <w:szCs w:val="21"/>
          <w:highlight w:val="none"/>
          <w:lang w:eastAsia="zh-CN"/>
        </w:rPr>
        <w:t>参加验收</w:t>
      </w:r>
      <w:r>
        <w:rPr>
          <w:rFonts w:hint="eastAsia" w:ascii="宋体" w:hAnsi="宋体" w:eastAsia="宋体" w:cs="宋体"/>
          <w:bCs/>
          <w:sz w:val="21"/>
          <w:szCs w:val="21"/>
          <w:highlight w:val="none"/>
        </w:rPr>
        <w:t>：</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否</w:t>
      </w:r>
    </w:p>
    <w:p w14:paraId="5AA695EA">
      <w:pPr>
        <w:adjustRightInd w:val="0"/>
        <w:snapToGrid w:val="0"/>
        <w:spacing w:before="0" w:beforeLines="0" w:line="400" w:lineRule="exact"/>
        <w:ind w:firstLine="840" w:firstLineChars="4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是否邀请第三方检测机构</w:t>
      </w:r>
      <w:r>
        <w:rPr>
          <w:rFonts w:hint="eastAsia" w:ascii="宋体" w:hAnsi="宋体" w:eastAsia="宋体" w:cs="宋体"/>
          <w:bCs/>
          <w:sz w:val="21"/>
          <w:szCs w:val="21"/>
          <w:highlight w:val="none"/>
          <w:lang w:eastAsia="zh-CN"/>
        </w:rPr>
        <w:t>参加验收</w:t>
      </w:r>
      <w:r>
        <w:rPr>
          <w:rFonts w:hint="eastAsia" w:ascii="宋体" w:hAnsi="宋体" w:eastAsia="宋体" w:cs="宋体"/>
          <w:bCs/>
          <w:sz w:val="21"/>
          <w:szCs w:val="21"/>
          <w:highlight w:val="none"/>
        </w:rPr>
        <w:t>：</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否</w:t>
      </w:r>
    </w:p>
    <w:p w14:paraId="1E45CE45">
      <w:pPr>
        <w:adjustRightInd w:val="0"/>
        <w:snapToGrid w:val="0"/>
        <w:spacing w:before="0" w:beforeLines="0" w:line="400" w:lineRule="exact"/>
        <w:ind w:firstLine="840" w:firstLineChars="400"/>
        <w:rPr>
          <w:rFonts w:hint="eastAsia" w:ascii="宋体" w:hAnsi="宋体" w:eastAsia="宋体" w:cs="宋体"/>
          <w:bCs/>
          <w:sz w:val="21"/>
          <w:szCs w:val="21"/>
          <w:highlight w:val="none"/>
        </w:rPr>
      </w:pPr>
      <w:r>
        <w:rPr>
          <w:rFonts w:hint="eastAsia" w:ascii="宋体" w:hAnsi="宋体" w:eastAsia="宋体" w:cs="宋体"/>
          <w:bCs/>
          <w:sz w:val="21"/>
          <w:szCs w:val="21"/>
          <w:highlight w:val="none"/>
          <w:lang w:eastAsia="zh-CN"/>
        </w:rPr>
        <w:t>是否进行抽查检测：</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是</w:t>
      </w:r>
      <w:r>
        <w:rPr>
          <w:rFonts w:hint="eastAsia" w:ascii="宋体" w:hAnsi="宋体" w:eastAsia="宋体" w:cs="宋体"/>
          <w:bCs/>
          <w:sz w:val="21"/>
          <w:szCs w:val="21"/>
          <w:highlight w:val="none"/>
          <w:lang w:eastAsia="zh-CN"/>
        </w:rPr>
        <w:t>，抽查比例：</w:t>
      </w:r>
      <w:r>
        <w:rPr>
          <w:rFonts w:hint="eastAsia" w:ascii="宋体" w:hAnsi="宋体" w:eastAsia="宋体" w:cs="宋体"/>
          <w:bCs/>
          <w:sz w:val="21"/>
          <w:szCs w:val="21"/>
          <w:highlight w:val="none"/>
          <w:u w:val="single"/>
        </w:rPr>
        <w:t xml:space="preserve">   </w:t>
      </w:r>
      <w:r>
        <w:rPr>
          <w:rFonts w:hint="eastAsia" w:ascii="宋体" w:hAnsi="宋体" w:eastAsia="宋体" w:cs="宋体"/>
          <w:bCs/>
          <w:sz w:val="21"/>
          <w:szCs w:val="21"/>
          <w:highlight w:val="none"/>
          <w:u w:val="single"/>
          <w:lang w:val="en-US" w:eastAsia="zh-CN"/>
        </w:rPr>
        <w:t xml:space="preserve">     </w:t>
      </w:r>
      <w:r>
        <w:rPr>
          <w:rFonts w:hint="eastAsia" w:ascii="宋体" w:hAnsi="宋体" w:eastAsia="宋体" w:cs="宋体"/>
          <w:bCs/>
          <w:sz w:val="21"/>
          <w:szCs w:val="21"/>
          <w:highlight w:val="none"/>
        </w:rPr>
        <w:t xml:space="preserve"> </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否</w:t>
      </w:r>
    </w:p>
    <w:p w14:paraId="09D70BA2">
      <w:pPr>
        <w:adjustRightInd w:val="0"/>
        <w:snapToGrid w:val="0"/>
        <w:spacing w:before="0" w:beforeLines="0" w:line="400" w:lineRule="exact"/>
        <w:ind w:firstLine="840" w:firstLineChars="400"/>
        <w:rPr>
          <w:rFonts w:hint="eastAsia" w:ascii="宋体" w:hAnsi="宋体" w:eastAsia="宋体" w:cs="宋体"/>
          <w:bCs/>
          <w:sz w:val="21"/>
          <w:szCs w:val="21"/>
          <w:highlight w:val="none"/>
          <w:u w:val="single"/>
          <w:lang w:eastAsia="zh-CN"/>
        </w:rPr>
      </w:pPr>
      <w:r>
        <w:rPr>
          <w:rFonts w:hint="eastAsia" w:ascii="宋体" w:hAnsi="宋体" w:eastAsia="宋体" w:cs="宋体"/>
          <w:bCs/>
          <w:sz w:val="21"/>
          <w:szCs w:val="21"/>
          <w:highlight w:val="none"/>
          <w:lang w:val="en-US" w:eastAsia="zh-CN"/>
        </w:rPr>
        <w:t>是否存在破坏性检测：</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是</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u w:val="single"/>
          <w:lang w:eastAsia="zh-CN"/>
        </w:rPr>
        <w:t>（应明确对被破坏的检测产品的处理方式）</w:t>
      </w:r>
    </w:p>
    <w:p w14:paraId="0606CA6F">
      <w:pPr>
        <w:adjustRightInd w:val="0"/>
        <w:snapToGrid w:val="0"/>
        <w:spacing w:before="0" w:beforeLines="0" w:line="400" w:lineRule="exact"/>
        <w:ind w:firstLine="840" w:firstLineChars="400"/>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lang w:val="en-US" w:eastAsia="zh-CN"/>
        </w:rPr>
        <w:t xml:space="preserve">                    </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否</w:t>
      </w:r>
    </w:p>
    <w:p w14:paraId="46178B6B">
      <w:pPr>
        <w:adjustRightInd w:val="0"/>
        <w:snapToGrid w:val="0"/>
        <w:spacing w:before="0" w:beforeLines="0" w:line="400" w:lineRule="exact"/>
        <w:ind w:firstLine="840" w:firstLineChars="400"/>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验收组织的其他事项：</w:t>
      </w:r>
      <w:r>
        <w:rPr>
          <w:rFonts w:hint="eastAsia" w:ascii="宋体" w:hAnsi="宋体" w:eastAsia="宋体" w:cs="宋体"/>
          <w:bCs/>
          <w:sz w:val="21"/>
          <w:szCs w:val="21"/>
          <w:highlight w:val="none"/>
          <w:u w:val="single"/>
        </w:rPr>
        <w:t xml:space="preserve">                </w:t>
      </w:r>
    </w:p>
    <w:p w14:paraId="70D679AC">
      <w:pPr>
        <w:adjustRightInd w:val="0"/>
        <w:snapToGrid w:val="0"/>
        <w:spacing w:before="0" w:beforeLines="0" w:line="400" w:lineRule="exact"/>
        <w:ind w:firstLine="420" w:firstLineChars="200"/>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（2）履约验收时间：</w:t>
      </w:r>
      <w:r>
        <w:rPr>
          <w:rFonts w:hint="eastAsia" w:ascii="宋体" w:hAnsi="宋体" w:eastAsia="宋体" w:cs="宋体"/>
          <w:bCs/>
          <w:sz w:val="21"/>
          <w:szCs w:val="21"/>
          <w:highlight w:val="none"/>
          <w:u w:val="single"/>
        </w:rPr>
        <w:t>（计划于何时验收/供应商提出验收申请之日起   日内组织验收）</w:t>
      </w:r>
      <w:r>
        <w:rPr>
          <w:rFonts w:hint="eastAsia" w:ascii="宋体" w:hAnsi="宋体" w:eastAsia="宋体" w:cs="宋体"/>
          <w:bCs/>
          <w:sz w:val="21"/>
          <w:szCs w:val="21"/>
          <w:highlight w:val="none"/>
          <w:u w:val="single"/>
          <w:lang w:val="en-US" w:eastAsia="zh-CN"/>
        </w:rPr>
        <w:t xml:space="preserve"> </w:t>
      </w:r>
    </w:p>
    <w:p w14:paraId="2D92F020">
      <w:pPr>
        <w:adjustRightInd w:val="0"/>
        <w:snapToGrid w:val="0"/>
        <w:spacing w:before="0" w:beforeLines="0" w:line="40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（3）履约验收方式：</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 xml:space="preserve">一次性验收         </w:t>
      </w:r>
    </w:p>
    <w:p w14:paraId="0B5C4C88">
      <w:pPr>
        <w:adjustRightInd w:val="0"/>
        <w:snapToGrid w:val="0"/>
        <w:spacing w:before="0" w:beforeLines="0" w:line="400" w:lineRule="exact"/>
        <w:ind w:firstLine="0" w:firstLineChars="0"/>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 xml:space="preserve">                       </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分期/分项验收</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u w:val="single"/>
        </w:rPr>
        <w:t xml:space="preserve"> </w:t>
      </w:r>
      <w:r>
        <w:rPr>
          <w:rFonts w:hint="eastAsia" w:ascii="宋体" w:hAnsi="宋体" w:eastAsia="宋体" w:cs="宋体"/>
          <w:bCs/>
          <w:sz w:val="21"/>
          <w:szCs w:val="21"/>
          <w:highlight w:val="none"/>
          <w:u w:val="single"/>
          <w:lang w:eastAsia="zh-CN"/>
        </w:rPr>
        <w:t>（应明确分期</w:t>
      </w:r>
      <w:r>
        <w:rPr>
          <w:rFonts w:hint="eastAsia" w:ascii="宋体" w:hAnsi="宋体" w:eastAsia="宋体" w:cs="宋体"/>
          <w:bCs/>
          <w:sz w:val="21"/>
          <w:szCs w:val="21"/>
          <w:highlight w:val="none"/>
          <w:u w:val="single"/>
          <w:lang w:val="en" w:eastAsia="zh-CN"/>
        </w:rPr>
        <w:t>/分项验收的工作安排</w:t>
      </w:r>
      <w:r>
        <w:rPr>
          <w:rFonts w:hint="eastAsia" w:ascii="宋体" w:hAnsi="宋体" w:eastAsia="宋体" w:cs="宋体"/>
          <w:bCs/>
          <w:sz w:val="21"/>
          <w:szCs w:val="21"/>
          <w:highlight w:val="none"/>
          <w:u w:val="single"/>
          <w:lang w:eastAsia="zh-CN"/>
        </w:rPr>
        <w:t>）</w:t>
      </w:r>
      <w:r>
        <w:rPr>
          <w:rFonts w:hint="eastAsia" w:ascii="宋体" w:hAnsi="宋体" w:eastAsia="宋体" w:cs="宋体"/>
          <w:bCs/>
          <w:sz w:val="21"/>
          <w:szCs w:val="21"/>
          <w:highlight w:val="none"/>
          <w:u w:val="single"/>
        </w:rPr>
        <w:t xml:space="preserve"> </w:t>
      </w:r>
      <w:r>
        <w:rPr>
          <w:rFonts w:hint="eastAsia" w:ascii="宋体" w:hAnsi="宋体" w:eastAsia="宋体" w:cs="宋体"/>
          <w:bCs/>
          <w:sz w:val="21"/>
          <w:szCs w:val="21"/>
          <w:highlight w:val="none"/>
          <w:u w:val="single"/>
          <w:lang w:val="en-US" w:eastAsia="zh-CN"/>
        </w:rPr>
        <w:t xml:space="preserve"> </w:t>
      </w:r>
    </w:p>
    <w:p w14:paraId="69F8BB2B">
      <w:pPr>
        <w:adjustRightInd w:val="0"/>
        <w:snapToGrid w:val="0"/>
        <w:spacing w:before="0" w:beforeLines="0" w:line="40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（4）履约验收程序：</w:t>
      </w:r>
      <w:r>
        <w:rPr>
          <w:rFonts w:hint="eastAsia" w:ascii="宋体" w:hAnsi="宋体" w:eastAsia="宋体" w:cs="宋体"/>
          <w:bCs/>
          <w:sz w:val="21"/>
          <w:szCs w:val="21"/>
          <w:highlight w:val="none"/>
          <w:u w:val="single"/>
        </w:rPr>
        <w:t xml:space="preserve">                                         </w:t>
      </w:r>
    </w:p>
    <w:p w14:paraId="62B86B23">
      <w:pPr>
        <w:adjustRightInd w:val="0"/>
        <w:snapToGrid w:val="0"/>
        <w:spacing w:before="0" w:beforeLines="0" w:line="400" w:lineRule="exact"/>
        <w:ind w:firstLine="420" w:firstLineChars="200"/>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（5）履约验收的内容：</w:t>
      </w:r>
      <w:r>
        <w:rPr>
          <w:rFonts w:hint="eastAsia" w:ascii="宋体" w:hAnsi="宋体" w:eastAsia="宋体" w:cs="宋体"/>
          <w:bCs/>
          <w:sz w:val="21"/>
          <w:szCs w:val="21"/>
          <w:highlight w:val="none"/>
          <w:u w:val="single"/>
        </w:rPr>
        <w:t xml:space="preserve"> </w:t>
      </w:r>
      <w:r>
        <w:rPr>
          <w:rFonts w:hint="eastAsia" w:ascii="宋体" w:hAnsi="宋体" w:eastAsia="宋体" w:cs="宋体"/>
          <w:bCs/>
          <w:sz w:val="21"/>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sz w:val="21"/>
          <w:szCs w:val="21"/>
          <w:highlight w:val="none"/>
          <w:u w:val="single"/>
        </w:rPr>
        <w:t xml:space="preserve">                                      </w:t>
      </w:r>
    </w:p>
    <w:p w14:paraId="34FF526C">
      <w:pPr>
        <w:adjustRightInd w:val="0"/>
        <w:snapToGrid w:val="0"/>
        <w:spacing w:before="0" w:beforeLines="0" w:line="400" w:lineRule="exact"/>
        <w:ind w:firstLine="420" w:firstLineChars="200"/>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（6）履约验收标准：</w:t>
      </w:r>
      <w:r>
        <w:rPr>
          <w:rFonts w:hint="eastAsia" w:ascii="宋体" w:hAnsi="宋体" w:eastAsia="宋体" w:cs="宋体"/>
          <w:bCs/>
          <w:sz w:val="21"/>
          <w:szCs w:val="21"/>
          <w:highlight w:val="none"/>
          <w:u w:val="single"/>
        </w:rPr>
        <w:t xml:space="preserve">                                         </w:t>
      </w:r>
    </w:p>
    <w:p w14:paraId="69C584AC">
      <w:pPr>
        <w:pStyle w:val="51"/>
        <w:spacing w:beforeLines="0"/>
        <w:rPr>
          <w:rFonts w:hint="eastAsia" w:ascii="宋体" w:hAnsi="宋体" w:eastAsia="宋体" w:cs="宋体"/>
          <w:sz w:val="21"/>
          <w:szCs w:val="21"/>
          <w:highlight w:val="none"/>
          <w:lang w:eastAsia="zh-CN"/>
        </w:rPr>
      </w:pPr>
      <w:r>
        <w:rPr>
          <w:rFonts w:hint="eastAsia" w:ascii="宋体" w:hAnsi="宋体" w:eastAsia="宋体" w:cs="宋体"/>
          <w:bCs/>
          <w:sz w:val="21"/>
          <w:szCs w:val="21"/>
          <w:highlight w:val="none"/>
          <w:u w:val="none"/>
          <w:lang w:eastAsia="zh-CN"/>
        </w:rPr>
        <w:t>（</w:t>
      </w:r>
      <w:r>
        <w:rPr>
          <w:rFonts w:hint="eastAsia" w:ascii="宋体" w:hAnsi="宋体" w:eastAsia="宋体" w:cs="宋体"/>
          <w:bCs/>
          <w:sz w:val="21"/>
          <w:szCs w:val="21"/>
          <w:highlight w:val="none"/>
          <w:u w:val="none"/>
          <w:lang w:val="en-US" w:eastAsia="zh-CN"/>
        </w:rPr>
        <w:t>7</w:t>
      </w:r>
      <w:r>
        <w:rPr>
          <w:rFonts w:hint="eastAsia" w:ascii="宋体" w:hAnsi="宋体" w:eastAsia="宋体" w:cs="宋体"/>
          <w:bCs/>
          <w:sz w:val="21"/>
          <w:szCs w:val="21"/>
          <w:highlight w:val="none"/>
          <w:u w:val="none"/>
          <w:lang w:eastAsia="zh-CN"/>
        </w:rPr>
        <w:t>）是否以采购活动中供应商提供的样品作为参考：</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 xml:space="preserve">是  </w:t>
      </w:r>
      <w:r>
        <w:rPr>
          <w:rFonts w:hint="eastAsia" w:ascii="宋体" w:hAnsi="宋体" w:eastAsia="宋体" w:cs="宋体"/>
          <w:sz w:val="21"/>
          <w:szCs w:val="21"/>
          <w:highlight w:val="none"/>
        </w:rPr>
        <w:sym w:font="Wingdings" w:char="00A8"/>
      </w:r>
      <w:r>
        <w:rPr>
          <w:rFonts w:hint="eastAsia" w:ascii="宋体" w:hAnsi="宋体" w:eastAsia="宋体" w:cs="宋体"/>
          <w:bCs/>
          <w:sz w:val="21"/>
          <w:szCs w:val="21"/>
          <w:highlight w:val="none"/>
        </w:rPr>
        <w:t>否</w:t>
      </w:r>
    </w:p>
    <w:p w14:paraId="52A742FB">
      <w:pPr>
        <w:adjustRightInd w:val="0"/>
        <w:snapToGrid w:val="0"/>
        <w:spacing w:before="0" w:beforeLines="0" w:line="400" w:lineRule="exact"/>
        <w:ind w:firstLine="420" w:firstLineChars="200"/>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（8）履约验收其他事项：</w:t>
      </w:r>
      <w:r>
        <w:rPr>
          <w:rFonts w:hint="eastAsia" w:ascii="宋体" w:hAnsi="宋体" w:eastAsia="宋体" w:cs="宋体"/>
          <w:bCs/>
          <w:sz w:val="21"/>
          <w:szCs w:val="21"/>
          <w:highlight w:val="none"/>
          <w:u w:val="single"/>
        </w:rPr>
        <w:t xml:space="preserve">      </w:t>
      </w:r>
      <w:r>
        <w:rPr>
          <w:rFonts w:hint="eastAsia" w:ascii="宋体" w:hAnsi="宋体" w:eastAsia="宋体" w:cs="宋体"/>
          <w:bCs/>
          <w:i w:val="0"/>
          <w:iCs w:val="0"/>
          <w:sz w:val="21"/>
          <w:szCs w:val="21"/>
          <w:highlight w:val="none"/>
          <w:u w:val="single"/>
        </w:rPr>
        <w:t>（产权过户登记等）</w:t>
      </w:r>
      <w:r>
        <w:rPr>
          <w:rFonts w:hint="eastAsia" w:ascii="宋体" w:hAnsi="宋体" w:eastAsia="宋体" w:cs="宋体"/>
          <w:bCs/>
          <w:sz w:val="21"/>
          <w:szCs w:val="21"/>
          <w:highlight w:val="none"/>
          <w:u w:val="single"/>
        </w:rPr>
        <w:t xml:space="preserve">          </w:t>
      </w:r>
    </w:p>
    <w:p w14:paraId="18C4EF4C">
      <w:pPr>
        <w:numPr>
          <w:ilvl w:val="0"/>
          <w:numId w:val="5"/>
        </w:numPr>
        <w:adjustRightInd w:val="0"/>
        <w:snapToGrid w:val="0"/>
        <w:spacing w:before="0" w:beforeLines="0" w:line="400" w:lineRule="exact"/>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组成合同的文件</w:t>
      </w:r>
    </w:p>
    <w:p w14:paraId="7226646F">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本协议书与下列文件一起构成合同文件，如下述文件之间有任何抵触、矛盾或歧义，应按以下顺序解释：</w:t>
      </w:r>
    </w:p>
    <w:p w14:paraId="0903D3E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p>
    <w:p w14:paraId="5EBC6BDE">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）政府采购合同专用条款</w:t>
      </w:r>
    </w:p>
    <w:p w14:paraId="55E96271">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）政府采购合同通用条款</w:t>
      </w:r>
    </w:p>
    <w:p w14:paraId="275DC72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p>
    <w:p w14:paraId="49D045C2">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）投标（响应）文件</w:t>
      </w:r>
    </w:p>
    <w:p w14:paraId="360C0E86">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（6）采购文件</w:t>
      </w:r>
    </w:p>
    <w:p w14:paraId="02C4762B">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（7）有关技术文件，图纸</w:t>
      </w:r>
    </w:p>
    <w:p w14:paraId="4E11096B">
      <w:pPr>
        <w:pStyle w:val="51"/>
        <w:spacing w:beforeLines="0"/>
        <w:rPr>
          <w:rFonts w:hint="eastAsia" w:ascii="宋体" w:hAnsi="宋体" w:eastAsia="宋体" w:cs="宋体"/>
          <w:kern w:val="2"/>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62482B42">
      <w:pPr>
        <w:numPr>
          <w:ilvl w:val="0"/>
          <w:numId w:val="5"/>
        </w:numPr>
        <w:adjustRightInd w:val="0"/>
        <w:snapToGrid w:val="0"/>
        <w:spacing w:before="0" w:beforeLines="0" w:line="400" w:lineRule="exact"/>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合同生效</w:t>
      </w:r>
    </w:p>
    <w:p w14:paraId="263F27AF">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本合同自</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生效。</w:t>
      </w:r>
    </w:p>
    <w:p w14:paraId="2E5EA6EE">
      <w:pPr>
        <w:numPr>
          <w:ilvl w:val="0"/>
          <w:numId w:val="5"/>
        </w:numPr>
        <w:adjustRightInd w:val="0"/>
        <w:snapToGrid w:val="0"/>
        <w:spacing w:before="0" w:beforeLines="0" w:line="400" w:lineRule="exact"/>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合同份数</w:t>
      </w:r>
    </w:p>
    <w:p w14:paraId="0FE9C73C">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本合同一式</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份，</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执</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份，</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执</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份，均具有同等法律效力。</w:t>
      </w:r>
    </w:p>
    <w:p w14:paraId="388B791C">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合同订立时间：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14:paraId="095D687E">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合同订立地点：</w:t>
      </w:r>
      <w:r>
        <w:rPr>
          <w:rFonts w:hint="eastAsia" w:ascii="宋体" w:hAnsi="宋体" w:eastAsia="宋体" w:cs="宋体"/>
          <w:sz w:val="21"/>
          <w:szCs w:val="21"/>
          <w:highlight w:val="none"/>
          <w:u w:val="single"/>
        </w:rPr>
        <w:t xml:space="preserve">                           </w:t>
      </w:r>
    </w:p>
    <w:p w14:paraId="190BA3C7">
      <w:pPr>
        <w:adjustRightInd w:val="0"/>
        <w:snapToGrid w:val="0"/>
        <w:spacing w:before="0" w:beforeLines="0" w:line="4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附件：具体标</w:t>
      </w:r>
      <w:r>
        <w:rPr>
          <w:rFonts w:hint="eastAsia" w:ascii="宋体" w:hAnsi="宋体" w:eastAsia="宋体" w:cs="宋体"/>
          <w:sz w:val="21"/>
          <w:szCs w:val="21"/>
          <w:highlight w:val="none"/>
          <w:lang w:eastAsia="zh-CN"/>
        </w:rPr>
        <w:t>的及其</w:t>
      </w:r>
      <w:r>
        <w:rPr>
          <w:rFonts w:hint="eastAsia" w:ascii="宋体" w:hAnsi="宋体" w:eastAsia="宋体" w:cs="宋体"/>
          <w:sz w:val="21"/>
          <w:szCs w:val="21"/>
          <w:highlight w:val="none"/>
          <w:u w:val="none"/>
          <w:lang w:val="en-US" w:eastAsia="zh-CN"/>
        </w:rPr>
        <w:t>技术要求和商务要求</w:t>
      </w:r>
      <w:r>
        <w:rPr>
          <w:rFonts w:hint="eastAsia" w:ascii="宋体" w:hAnsi="宋体" w:eastAsia="宋体" w:cs="宋体"/>
          <w:sz w:val="21"/>
          <w:szCs w:val="21"/>
          <w:highlight w:val="none"/>
        </w:rPr>
        <w:t>、联合协议、分包</w:t>
      </w:r>
      <w:r>
        <w:rPr>
          <w:rFonts w:hint="eastAsia" w:ascii="宋体" w:hAnsi="宋体" w:eastAsia="宋体" w:cs="宋体"/>
          <w:sz w:val="21"/>
          <w:szCs w:val="21"/>
          <w:highlight w:val="none"/>
          <w:lang w:eastAsia="zh-CN"/>
        </w:rPr>
        <w:t>意向</w:t>
      </w:r>
      <w:r>
        <w:rPr>
          <w:rFonts w:hint="eastAsia" w:ascii="宋体" w:hAnsi="宋体" w:eastAsia="宋体" w:cs="宋体"/>
          <w:sz w:val="21"/>
          <w:szCs w:val="21"/>
          <w:highlight w:val="none"/>
        </w:rPr>
        <w:t>协议等。</w:t>
      </w:r>
    </w:p>
    <w:p w14:paraId="33B9E307">
      <w:pPr>
        <w:pStyle w:val="80"/>
        <w:spacing w:beforeLines="0" w:line="400" w:lineRule="exact"/>
        <w:rPr>
          <w:rFonts w:hint="eastAsia" w:ascii="宋体" w:hAnsi="宋体" w:eastAsia="宋体" w:cs="宋体"/>
          <w:sz w:val="21"/>
          <w:szCs w:val="21"/>
          <w:highlight w:val="none"/>
        </w:rPr>
      </w:pPr>
    </w:p>
    <w:p w14:paraId="63AF9DF4">
      <w:pPr>
        <w:pStyle w:val="3"/>
        <w:spacing w:beforeLines="0" w:line="400" w:lineRule="exact"/>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lang w:val="en"/>
        </w:rPr>
        <w:t xml:space="preserve">   </w:t>
      </w:r>
    </w:p>
    <w:p w14:paraId="3F84403A">
      <w:pPr>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p>
    <w:p w14:paraId="6FA2E92C">
      <w:pPr>
        <w:pStyle w:val="80"/>
        <w:rPr>
          <w:rFonts w:hint="eastAsia" w:ascii="宋体" w:hAnsi="宋体" w:eastAsia="宋体" w:cs="宋体"/>
          <w:sz w:val="21"/>
          <w:szCs w:val="21"/>
          <w:highlight w:val="none"/>
        </w:rPr>
      </w:pPr>
    </w:p>
    <w:tbl>
      <w:tblPr>
        <w:tblStyle w:val="4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972"/>
        <w:gridCol w:w="2516"/>
        <w:gridCol w:w="2064"/>
        <w:gridCol w:w="2208"/>
      </w:tblGrid>
      <w:tr w14:paraId="55F770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4CB1A2D">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甲方（采购人</w:t>
            </w:r>
            <w:r>
              <w:rPr>
                <w:rFonts w:hint="eastAsia" w:ascii="宋体" w:hAnsi="宋体" w:eastAsia="宋体" w:cs="宋体"/>
                <w:sz w:val="21"/>
                <w:szCs w:val="21"/>
                <w:highlight w:val="none"/>
                <w:lang w:eastAsia="zh-CN"/>
              </w:rPr>
              <w:t>、受采购人委托签订合同的单位</w:t>
            </w:r>
            <w:r>
              <w:rPr>
                <w:rFonts w:hint="eastAsia" w:ascii="宋体" w:hAnsi="宋体" w:eastAsia="宋体" w:cs="宋体"/>
                <w:sz w:val="21"/>
                <w:szCs w:val="21"/>
                <w:highlight w:val="none"/>
              </w:rPr>
              <w:t>或采购文件约定的合同甲方）</w:t>
            </w:r>
          </w:p>
        </w:tc>
        <w:tc>
          <w:tcPr>
            <w:tcW w:w="2437" w:type="pct"/>
            <w:gridSpan w:val="2"/>
            <w:tcBorders>
              <w:left w:val="single" w:color="auto" w:sz="2" w:space="0"/>
              <w:bottom w:val="single" w:color="auto" w:sz="2" w:space="0"/>
            </w:tcBorders>
            <w:vAlign w:val="center"/>
          </w:tcPr>
          <w:p w14:paraId="47130061">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乙方（供应商）</w:t>
            </w:r>
          </w:p>
        </w:tc>
      </w:tr>
      <w:tr w14:paraId="50EDCF3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15EBF67C">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单位名称（公章</w:t>
            </w:r>
            <w:r>
              <w:rPr>
                <w:rFonts w:hint="eastAsia" w:ascii="宋体" w:hAnsi="宋体" w:eastAsia="宋体" w:cs="宋体"/>
                <w:sz w:val="21"/>
                <w:szCs w:val="21"/>
                <w:highlight w:val="none"/>
                <w:lang w:eastAsia="zh-CN"/>
              </w:rPr>
              <w:t>或合同章</w:t>
            </w:r>
            <w:r>
              <w:rPr>
                <w:rFonts w:hint="eastAsia" w:ascii="宋体" w:hAnsi="宋体" w:eastAsia="宋体" w:cs="宋体"/>
                <w:sz w:val="21"/>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3013C576">
            <w:pPr>
              <w:adjustRightInd w:val="0"/>
              <w:snapToGrid w:val="0"/>
              <w:spacing w:line="300" w:lineRule="exact"/>
              <w:jc w:val="center"/>
              <w:rPr>
                <w:rFonts w:hint="eastAsia" w:ascii="宋体" w:hAnsi="宋体" w:eastAsia="宋体" w:cs="宋体"/>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0576ABD">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单位名称（公章</w:t>
            </w:r>
            <w:r>
              <w:rPr>
                <w:rFonts w:hint="eastAsia" w:ascii="宋体" w:hAnsi="宋体" w:eastAsia="宋体" w:cs="宋体"/>
                <w:sz w:val="21"/>
                <w:szCs w:val="21"/>
                <w:highlight w:val="none"/>
                <w:lang w:eastAsia="zh-CN"/>
              </w:rPr>
              <w:t>或合同章</w:t>
            </w:r>
            <w:r>
              <w:rPr>
                <w:rFonts w:hint="eastAsia" w:ascii="宋体" w:hAnsi="宋体" w:eastAsia="宋体" w:cs="宋体"/>
                <w:sz w:val="21"/>
                <w:szCs w:val="21"/>
                <w:highlight w:val="none"/>
              </w:rPr>
              <w:t>）</w:t>
            </w:r>
          </w:p>
        </w:tc>
        <w:tc>
          <w:tcPr>
            <w:tcW w:w="1259" w:type="pct"/>
            <w:tcBorders>
              <w:top w:val="single" w:color="auto" w:sz="2" w:space="0"/>
              <w:left w:val="single" w:color="auto" w:sz="2" w:space="0"/>
              <w:bottom w:val="single" w:color="auto" w:sz="2" w:space="0"/>
            </w:tcBorders>
            <w:vAlign w:val="center"/>
          </w:tcPr>
          <w:p w14:paraId="53B1D902">
            <w:pPr>
              <w:adjustRightInd w:val="0"/>
              <w:snapToGrid w:val="0"/>
              <w:spacing w:line="300" w:lineRule="exact"/>
              <w:jc w:val="center"/>
              <w:rPr>
                <w:rFonts w:hint="eastAsia" w:ascii="宋体" w:hAnsi="宋体" w:eastAsia="宋体" w:cs="宋体"/>
                <w:spacing w:val="20"/>
                <w:sz w:val="21"/>
                <w:szCs w:val="21"/>
                <w:highlight w:val="none"/>
              </w:rPr>
            </w:pPr>
          </w:p>
        </w:tc>
      </w:tr>
      <w:tr w14:paraId="2C4AD4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B845901">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p>
          <w:p w14:paraId="76BDB2DE">
            <w:pPr>
              <w:adjustRightInd w:val="0"/>
              <w:snapToGrid w:val="0"/>
              <w:spacing w:line="300" w:lineRule="exact"/>
              <w:ind w:firstLine="100" w:firstLineChars="4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46AE102">
            <w:pPr>
              <w:adjustRightInd w:val="0"/>
              <w:snapToGrid w:val="0"/>
              <w:spacing w:line="300" w:lineRule="exact"/>
              <w:jc w:val="center"/>
              <w:rPr>
                <w:rFonts w:hint="eastAsia" w:ascii="宋体" w:hAnsi="宋体" w:eastAsia="宋体" w:cs="宋体"/>
                <w:sz w:val="21"/>
                <w:szCs w:val="21"/>
                <w:highlight w:val="none"/>
              </w:rPr>
            </w:pPr>
          </w:p>
        </w:tc>
        <w:tc>
          <w:tcPr>
            <w:tcW w:w="1178" w:type="pct"/>
            <w:tcBorders>
              <w:top w:val="single" w:color="auto" w:sz="2" w:space="0"/>
              <w:left w:val="single" w:color="auto" w:sz="2" w:space="0"/>
              <w:right w:val="single" w:color="auto" w:sz="2" w:space="0"/>
            </w:tcBorders>
            <w:vAlign w:val="center"/>
          </w:tcPr>
          <w:p w14:paraId="53542402">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p>
          <w:p w14:paraId="44F60864">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1E92363E">
            <w:pPr>
              <w:adjustRightInd w:val="0"/>
              <w:snapToGrid w:val="0"/>
              <w:spacing w:line="300" w:lineRule="exact"/>
              <w:jc w:val="center"/>
              <w:rPr>
                <w:rFonts w:hint="eastAsia" w:ascii="宋体" w:hAnsi="宋体" w:eastAsia="宋体" w:cs="宋体"/>
                <w:sz w:val="21"/>
                <w:szCs w:val="21"/>
                <w:highlight w:val="none"/>
              </w:rPr>
            </w:pPr>
          </w:p>
        </w:tc>
      </w:tr>
      <w:tr w14:paraId="1A6D9B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E7E80B0">
            <w:pPr>
              <w:adjustRightInd w:val="0"/>
              <w:snapToGrid w:val="0"/>
              <w:spacing w:line="300" w:lineRule="exact"/>
              <w:jc w:val="center"/>
              <w:rPr>
                <w:rFonts w:hint="eastAsia" w:ascii="宋体" w:hAnsi="宋体" w:eastAsia="宋体" w:cs="宋体"/>
                <w:sz w:val="21"/>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485817FB">
            <w:pPr>
              <w:adjustRightInd w:val="0"/>
              <w:snapToGrid w:val="0"/>
              <w:spacing w:line="300" w:lineRule="exact"/>
              <w:jc w:val="center"/>
              <w:rPr>
                <w:rFonts w:hint="eastAsia" w:ascii="宋体" w:hAnsi="宋体" w:eastAsia="宋体" w:cs="宋体"/>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E1B4378">
            <w:pPr>
              <w:adjustRightInd w:val="0"/>
              <w:snapToGrid w:val="0"/>
              <w:spacing w:line="30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56D8B2C6">
            <w:pPr>
              <w:adjustRightInd w:val="0"/>
              <w:snapToGrid w:val="0"/>
              <w:spacing w:line="300" w:lineRule="exact"/>
              <w:jc w:val="center"/>
              <w:rPr>
                <w:rFonts w:hint="eastAsia" w:ascii="宋体" w:hAnsi="宋体" w:eastAsia="宋体" w:cs="宋体"/>
                <w:spacing w:val="20"/>
                <w:sz w:val="21"/>
                <w:szCs w:val="21"/>
                <w:highlight w:val="none"/>
              </w:rPr>
            </w:pPr>
          </w:p>
        </w:tc>
      </w:tr>
      <w:tr w14:paraId="256697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9C6B4CE">
            <w:pPr>
              <w:adjustRightInd w:val="0"/>
              <w:snapToGrid w:val="0"/>
              <w:spacing w:line="30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住</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7BC652C5">
            <w:pPr>
              <w:adjustRightInd w:val="0"/>
              <w:snapToGrid w:val="0"/>
              <w:spacing w:line="300" w:lineRule="exact"/>
              <w:jc w:val="center"/>
              <w:rPr>
                <w:rFonts w:hint="eastAsia" w:ascii="宋体" w:hAnsi="宋体" w:eastAsia="宋体" w:cs="宋体"/>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2CAEA78">
            <w:pPr>
              <w:adjustRightInd w:val="0"/>
              <w:snapToGrid w:val="0"/>
              <w:spacing w:line="30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住</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14:paraId="2EAA3B17">
            <w:pPr>
              <w:adjustRightInd w:val="0"/>
              <w:snapToGrid w:val="0"/>
              <w:spacing w:line="300" w:lineRule="exact"/>
              <w:jc w:val="center"/>
              <w:rPr>
                <w:rFonts w:hint="eastAsia" w:ascii="宋体" w:hAnsi="宋体" w:eastAsia="宋体" w:cs="宋体"/>
                <w:spacing w:val="20"/>
                <w:sz w:val="21"/>
                <w:szCs w:val="21"/>
                <w:highlight w:val="none"/>
              </w:rPr>
            </w:pPr>
          </w:p>
        </w:tc>
      </w:tr>
      <w:tr w14:paraId="1DEA3B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106EF9">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72E6F1D7">
            <w:pPr>
              <w:adjustRightInd w:val="0"/>
              <w:snapToGrid w:val="0"/>
              <w:spacing w:line="300" w:lineRule="exact"/>
              <w:jc w:val="center"/>
              <w:rPr>
                <w:rFonts w:hint="eastAsia" w:ascii="宋体" w:hAnsi="宋体" w:eastAsia="宋体" w:cs="宋体"/>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6855A21">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联 系 人</w:t>
            </w:r>
          </w:p>
        </w:tc>
        <w:tc>
          <w:tcPr>
            <w:tcW w:w="1259" w:type="pct"/>
            <w:tcBorders>
              <w:top w:val="single" w:color="auto" w:sz="2" w:space="0"/>
              <w:left w:val="single" w:color="auto" w:sz="2" w:space="0"/>
              <w:bottom w:val="single" w:color="auto" w:sz="2" w:space="0"/>
            </w:tcBorders>
            <w:vAlign w:val="center"/>
          </w:tcPr>
          <w:p w14:paraId="28C31FBF">
            <w:pPr>
              <w:adjustRightInd w:val="0"/>
              <w:snapToGrid w:val="0"/>
              <w:spacing w:line="300" w:lineRule="exact"/>
              <w:jc w:val="center"/>
              <w:rPr>
                <w:rFonts w:hint="eastAsia" w:ascii="宋体" w:hAnsi="宋体" w:eastAsia="宋体" w:cs="宋体"/>
                <w:spacing w:val="20"/>
                <w:sz w:val="21"/>
                <w:szCs w:val="21"/>
                <w:highlight w:val="none"/>
              </w:rPr>
            </w:pPr>
          </w:p>
        </w:tc>
      </w:tr>
      <w:tr w14:paraId="0ECF0C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A416BA">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282AE0C">
            <w:pPr>
              <w:adjustRightInd w:val="0"/>
              <w:snapToGrid w:val="0"/>
              <w:spacing w:line="300" w:lineRule="exact"/>
              <w:jc w:val="center"/>
              <w:rPr>
                <w:rFonts w:hint="eastAsia" w:ascii="宋体" w:hAnsi="宋体" w:eastAsia="宋体" w:cs="宋体"/>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A9AFF69">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64234F1B">
            <w:pPr>
              <w:adjustRightInd w:val="0"/>
              <w:snapToGrid w:val="0"/>
              <w:spacing w:line="300" w:lineRule="exact"/>
              <w:jc w:val="center"/>
              <w:rPr>
                <w:rFonts w:hint="eastAsia" w:ascii="宋体" w:hAnsi="宋体" w:eastAsia="宋体" w:cs="宋体"/>
                <w:spacing w:val="20"/>
                <w:sz w:val="21"/>
                <w:szCs w:val="21"/>
                <w:highlight w:val="none"/>
              </w:rPr>
            </w:pPr>
          </w:p>
        </w:tc>
      </w:tr>
      <w:tr w14:paraId="66B522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3C108DE">
            <w:pPr>
              <w:adjustRightInd w:val="0"/>
              <w:snapToGrid w:val="0"/>
              <w:spacing w:line="30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F260FE7">
            <w:pPr>
              <w:adjustRightInd w:val="0"/>
              <w:snapToGrid w:val="0"/>
              <w:spacing w:line="300" w:lineRule="exact"/>
              <w:jc w:val="center"/>
              <w:rPr>
                <w:rFonts w:hint="eastAsia" w:ascii="宋体" w:hAnsi="宋体" w:eastAsia="宋体" w:cs="宋体"/>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6E65AFC">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3DB0CEA6">
            <w:pPr>
              <w:adjustRightInd w:val="0"/>
              <w:snapToGrid w:val="0"/>
              <w:spacing w:line="300" w:lineRule="exact"/>
              <w:jc w:val="center"/>
              <w:rPr>
                <w:rFonts w:hint="eastAsia" w:ascii="宋体" w:hAnsi="宋体" w:eastAsia="宋体" w:cs="宋体"/>
                <w:spacing w:val="20"/>
                <w:sz w:val="21"/>
                <w:szCs w:val="21"/>
                <w:highlight w:val="none"/>
              </w:rPr>
            </w:pPr>
          </w:p>
        </w:tc>
      </w:tr>
      <w:tr w14:paraId="74A7F7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40FC00">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C34B512">
            <w:pPr>
              <w:adjustRightInd w:val="0"/>
              <w:snapToGrid w:val="0"/>
              <w:spacing w:line="300" w:lineRule="exact"/>
              <w:jc w:val="center"/>
              <w:rPr>
                <w:rFonts w:hint="eastAsia" w:ascii="宋体" w:hAnsi="宋体" w:eastAsia="宋体" w:cs="宋体"/>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0A45EE">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2F5876F7">
            <w:pPr>
              <w:adjustRightInd w:val="0"/>
              <w:snapToGrid w:val="0"/>
              <w:spacing w:line="300" w:lineRule="exact"/>
              <w:jc w:val="center"/>
              <w:rPr>
                <w:rFonts w:hint="eastAsia" w:ascii="宋体" w:hAnsi="宋体" w:eastAsia="宋体" w:cs="宋体"/>
                <w:spacing w:val="20"/>
                <w:sz w:val="21"/>
                <w:szCs w:val="21"/>
                <w:highlight w:val="none"/>
              </w:rPr>
            </w:pPr>
          </w:p>
        </w:tc>
      </w:tr>
      <w:tr w14:paraId="1F73F2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F06964">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50F5D78">
            <w:pPr>
              <w:adjustRightInd w:val="0"/>
              <w:snapToGrid w:val="0"/>
              <w:spacing w:line="300" w:lineRule="exact"/>
              <w:jc w:val="center"/>
              <w:rPr>
                <w:rFonts w:hint="eastAsia" w:ascii="宋体" w:hAnsi="宋体" w:eastAsia="宋体" w:cs="宋体"/>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E3E2D46">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26C8932E">
            <w:pPr>
              <w:adjustRightInd w:val="0"/>
              <w:snapToGrid w:val="0"/>
              <w:spacing w:line="300" w:lineRule="exact"/>
              <w:jc w:val="center"/>
              <w:rPr>
                <w:rFonts w:hint="eastAsia" w:ascii="宋体" w:hAnsi="宋体" w:eastAsia="宋体" w:cs="宋体"/>
                <w:spacing w:val="20"/>
                <w:sz w:val="21"/>
                <w:szCs w:val="21"/>
                <w:highlight w:val="none"/>
              </w:rPr>
            </w:pPr>
          </w:p>
        </w:tc>
      </w:tr>
      <w:tr w14:paraId="1645D0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E3A05C8">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836A416">
            <w:pPr>
              <w:adjustRightInd w:val="0"/>
              <w:snapToGrid w:val="0"/>
              <w:spacing w:line="300" w:lineRule="exact"/>
              <w:jc w:val="center"/>
              <w:rPr>
                <w:rFonts w:hint="eastAsia" w:ascii="宋体" w:hAnsi="宋体" w:eastAsia="宋体" w:cs="宋体"/>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B794A04">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0C6C5388">
            <w:pPr>
              <w:adjustRightInd w:val="0"/>
              <w:snapToGrid w:val="0"/>
              <w:spacing w:line="300" w:lineRule="exact"/>
              <w:jc w:val="center"/>
              <w:rPr>
                <w:rFonts w:hint="eastAsia" w:ascii="宋体" w:hAnsi="宋体" w:eastAsia="宋体" w:cs="宋体"/>
                <w:spacing w:val="20"/>
                <w:sz w:val="21"/>
                <w:szCs w:val="21"/>
                <w:highlight w:val="none"/>
              </w:rPr>
            </w:pPr>
          </w:p>
        </w:tc>
      </w:tr>
      <w:tr w14:paraId="527302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28F848">
            <w:pPr>
              <w:adjustRightInd w:val="0"/>
              <w:snapToGrid w:val="0"/>
              <w:spacing w:line="300" w:lineRule="exact"/>
              <w:jc w:val="center"/>
              <w:rPr>
                <w:rFonts w:hint="eastAsia" w:ascii="宋体" w:hAnsi="宋体" w:eastAsia="宋体" w:cs="宋体"/>
                <w:sz w:val="21"/>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69A06ED2">
            <w:pPr>
              <w:adjustRightInd w:val="0"/>
              <w:snapToGrid w:val="0"/>
              <w:spacing w:line="300" w:lineRule="exact"/>
              <w:jc w:val="center"/>
              <w:rPr>
                <w:rFonts w:hint="eastAsia" w:ascii="宋体" w:hAnsi="宋体" w:eastAsia="宋体" w:cs="宋体"/>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89EE34A">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65457505">
            <w:pPr>
              <w:adjustRightInd w:val="0"/>
              <w:snapToGrid w:val="0"/>
              <w:spacing w:line="300" w:lineRule="exact"/>
              <w:jc w:val="center"/>
              <w:rPr>
                <w:rFonts w:hint="eastAsia" w:ascii="宋体" w:hAnsi="宋体" w:eastAsia="宋体" w:cs="宋体"/>
                <w:spacing w:val="20"/>
                <w:sz w:val="21"/>
                <w:szCs w:val="21"/>
                <w:highlight w:val="none"/>
              </w:rPr>
            </w:pPr>
          </w:p>
        </w:tc>
      </w:tr>
      <w:tr w14:paraId="6BC008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3B44306">
            <w:pPr>
              <w:adjustRightInd w:val="0"/>
              <w:snapToGrid w:val="0"/>
              <w:spacing w:line="300" w:lineRule="exact"/>
              <w:jc w:val="center"/>
              <w:rPr>
                <w:rFonts w:hint="eastAsia" w:ascii="宋体" w:hAnsi="宋体" w:eastAsia="宋体" w:cs="宋体"/>
                <w:sz w:val="21"/>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63B15F86">
            <w:pPr>
              <w:adjustRightInd w:val="0"/>
              <w:snapToGrid w:val="0"/>
              <w:spacing w:line="300" w:lineRule="exact"/>
              <w:jc w:val="center"/>
              <w:rPr>
                <w:rFonts w:hint="eastAsia" w:ascii="宋体" w:hAnsi="宋体" w:eastAsia="宋体" w:cs="宋体"/>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6A0A588">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4DA35AA1">
            <w:pPr>
              <w:adjustRightInd w:val="0"/>
              <w:snapToGrid w:val="0"/>
              <w:spacing w:line="300" w:lineRule="exact"/>
              <w:jc w:val="center"/>
              <w:rPr>
                <w:rFonts w:hint="eastAsia" w:ascii="宋体" w:hAnsi="宋体" w:eastAsia="宋体" w:cs="宋体"/>
                <w:spacing w:val="20"/>
                <w:sz w:val="21"/>
                <w:szCs w:val="21"/>
                <w:highlight w:val="none"/>
              </w:rPr>
            </w:pPr>
          </w:p>
        </w:tc>
      </w:tr>
      <w:tr w14:paraId="5C5956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D992B5">
            <w:pPr>
              <w:adjustRightInd w:val="0"/>
              <w:snapToGrid w:val="0"/>
              <w:spacing w:line="300" w:lineRule="exact"/>
              <w:jc w:val="center"/>
              <w:rPr>
                <w:rFonts w:hint="eastAsia" w:ascii="宋体" w:hAnsi="宋体" w:eastAsia="宋体" w:cs="宋体"/>
                <w:sz w:val="21"/>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71B32AA3">
            <w:pPr>
              <w:adjustRightInd w:val="0"/>
              <w:snapToGrid w:val="0"/>
              <w:spacing w:line="300" w:lineRule="exact"/>
              <w:jc w:val="center"/>
              <w:rPr>
                <w:rFonts w:hint="eastAsia" w:ascii="宋体" w:hAnsi="宋体" w:eastAsia="宋体" w:cs="宋体"/>
                <w:sz w:val="21"/>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D70DCE2">
            <w:pPr>
              <w:adjustRightInd w:val="0"/>
              <w:snapToGrid w:val="0"/>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4C0597B6">
            <w:pPr>
              <w:adjustRightInd w:val="0"/>
              <w:snapToGrid w:val="0"/>
              <w:spacing w:line="300" w:lineRule="exact"/>
              <w:jc w:val="center"/>
              <w:rPr>
                <w:rFonts w:hint="eastAsia" w:ascii="宋体" w:hAnsi="宋体" w:eastAsia="宋体" w:cs="宋体"/>
                <w:spacing w:val="20"/>
                <w:sz w:val="21"/>
                <w:szCs w:val="21"/>
                <w:highlight w:val="none"/>
              </w:rPr>
            </w:pPr>
          </w:p>
        </w:tc>
      </w:tr>
      <w:tr w14:paraId="3A0F13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9336BD2">
            <w:pPr>
              <w:pStyle w:val="20"/>
              <w:adjustRightInd w:val="0"/>
              <w:snapToGrid w:val="0"/>
              <w:spacing w:before="156" w:beforeLines="50" w:after="0" w:line="360" w:lineRule="auto"/>
              <w:ind w:left="0" w:leftChars="0"/>
              <w:jc w:val="left"/>
              <w:rPr>
                <w:rFonts w:hint="eastAsia" w:ascii="宋体" w:hAnsi="宋体" w:eastAsia="宋体" w:cs="宋体"/>
                <w:spacing w:val="20"/>
                <w:sz w:val="21"/>
                <w:szCs w:val="21"/>
                <w:highlight w:val="none"/>
              </w:rPr>
            </w:pPr>
            <w:r>
              <w:rPr>
                <w:rFonts w:hint="eastAsia" w:ascii="宋体" w:hAnsi="宋体" w:eastAsia="宋体" w:cs="宋体"/>
                <w:sz w:val="21"/>
                <w:szCs w:val="21"/>
                <w:highlight w:val="none"/>
              </w:rPr>
              <w:t>注：涉及联合体或其他合同主体的信息应按上表格式加列。</w:t>
            </w:r>
          </w:p>
        </w:tc>
      </w:tr>
    </w:tbl>
    <w:p w14:paraId="590D506E">
      <w:pPr>
        <w:pStyle w:val="3"/>
        <w:adjustRightInd w:val="0"/>
        <w:snapToGrid w:val="0"/>
        <w:spacing w:before="156" w:beforeLines="50"/>
        <w:jc w:val="center"/>
        <w:rPr>
          <w:rFonts w:hint="eastAsia" w:ascii="宋体" w:hAnsi="宋体" w:eastAsia="宋体" w:cs="宋体"/>
          <w:b/>
          <w:bCs/>
          <w:sz w:val="21"/>
          <w:szCs w:val="21"/>
          <w:highlight w:val="none"/>
        </w:rPr>
      </w:pPr>
      <w:r>
        <w:rPr>
          <w:rFonts w:hint="eastAsia" w:ascii="宋体" w:hAnsi="宋体" w:eastAsia="宋体" w:cs="宋体"/>
          <w:sz w:val="21"/>
          <w:szCs w:val="21"/>
          <w:highlight w:val="none"/>
          <w:u w:val="single"/>
        </w:rPr>
        <w:br w:type="page"/>
      </w:r>
      <w:bookmarkStart w:id="125" w:name="_Toc7885"/>
      <w:bookmarkStart w:id="126" w:name="_Toc27624"/>
      <w:r>
        <w:rPr>
          <w:rFonts w:hint="eastAsia" w:ascii="宋体" w:hAnsi="宋体" w:eastAsia="宋体" w:cs="宋体"/>
          <w:b/>
          <w:bCs/>
          <w:sz w:val="21"/>
          <w:szCs w:val="21"/>
          <w:highlight w:val="none"/>
        </w:rPr>
        <w:t>第二节 政府采购合同通用条款</w:t>
      </w:r>
      <w:bookmarkEnd w:id="125"/>
      <w:bookmarkEnd w:id="126"/>
    </w:p>
    <w:p w14:paraId="41F20D5A">
      <w:pPr>
        <w:tabs>
          <w:tab w:val="left" w:pos="8820"/>
          <w:tab w:val="left" w:pos="9345"/>
          <w:tab w:val="left" w:pos="9765"/>
        </w:tabs>
        <w:adjustRightInd w:val="0"/>
        <w:snapToGrid w:val="0"/>
        <w:spacing w:before="0" w:line="400" w:lineRule="exact"/>
        <w:jc w:val="left"/>
        <w:rPr>
          <w:rFonts w:hint="eastAsia" w:ascii="宋体" w:hAnsi="宋体" w:eastAsia="宋体" w:cs="宋体"/>
          <w:b/>
          <w:bCs/>
          <w:sz w:val="21"/>
          <w:szCs w:val="21"/>
          <w:highlight w:val="none"/>
        </w:rPr>
      </w:pPr>
      <w:r>
        <w:rPr>
          <w:rFonts w:hint="eastAsia" w:ascii="宋体" w:hAnsi="宋体" w:eastAsia="宋体" w:cs="宋体"/>
          <w:b/>
          <w:sz w:val="21"/>
          <w:szCs w:val="21"/>
          <w:highlight w:val="none"/>
        </w:rPr>
        <w:t>1.</w:t>
      </w:r>
      <w:r>
        <w:rPr>
          <w:rFonts w:hint="eastAsia" w:ascii="宋体" w:hAnsi="宋体" w:eastAsia="宋体" w:cs="宋体"/>
          <w:b/>
          <w:sz w:val="21"/>
          <w:szCs w:val="21"/>
          <w:highlight w:val="none"/>
          <w:lang w:val="en-US" w:eastAsia="zh-CN"/>
        </w:rPr>
        <w:t xml:space="preserve"> </w:t>
      </w:r>
      <w:r>
        <w:rPr>
          <w:rFonts w:hint="eastAsia" w:ascii="宋体" w:hAnsi="宋体" w:eastAsia="宋体" w:cs="宋体"/>
          <w:b/>
          <w:bCs/>
          <w:sz w:val="21"/>
          <w:szCs w:val="21"/>
          <w:highlight w:val="none"/>
        </w:rPr>
        <w:t>定义</w:t>
      </w:r>
    </w:p>
    <w:p w14:paraId="4C4E31A2">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1.1合同当事人</w:t>
      </w:r>
    </w:p>
    <w:p w14:paraId="0017B94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（1）采购人（以下称甲方）是指使用财政性资金，通过政府采购方式向供应商购买货物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14:paraId="34C829F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方）是指参加政府采购活动并且中标（成交），向采购人提供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14:paraId="08690B9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（3）其他合同主体是指除采购人和供应商以外，</w:t>
      </w:r>
      <w:r>
        <w:rPr>
          <w:rFonts w:hint="eastAsia" w:ascii="宋体" w:hAnsi="宋体" w:eastAsia="宋体" w:cs="宋体"/>
          <w:bCs/>
          <w:color w:val="000000" w:themeColor="text1"/>
          <w:sz w:val="21"/>
          <w:szCs w:val="21"/>
          <w:highlight w:val="none"/>
          <w14:textFill>
            <w14:solidFill>
              <w14:schemeClr w14:val="tx1"/>
            </w14:solidFill>
          </w14:textFill>
        </w:rPr>
        <w:t>依法参与合同缔结或履行，享有权利、承担义务的合同当事人</w:t>
      </w:r>
      <w:r>
        <w:rPr>
          <w:rFonts w:hint="eastAsia" w:ascii="宋体" w:hAnsi="宋体" w:eastAsia="宋体" w:cs="宋体"/>
          <w:color w:val="auto"/>
          <w:sz w:val="21"/>
          <w:szCs w:val="21"/>
          <w:highlight w:val="none"/>
        </w:rPr>
        <w:t>。</w:t>
      </w:r>
    </w:p>
    <w:p w14:paraId="44D475F2">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14:paraId="1B9D9A67">
      <w:pPr>
        <w:adjustRightInd w:val="0"/>
        <w:snapToGrid w:val="0"/>
        <w:spacing w:before="0" w:beforeLines="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000000" w:themeColor="text1"/>
          <w:sz w:val="21"/>
          <w:szCs w:val="21"/>
          <w:highlight w:val="none"/>
          <w14:textFill>
            <w14:solidFill>
              <w14:schemeClr w14:val="tx1"/>
            </w14:solidFill>
          </w14:textFill>
        </w:rPr>
        <w:t>合同当事人意思表示达成一致的任何协议，包括签署的</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r>
        <w:rPr>
          <w:rFonts w:hint="eastAsia" w:ascii="宋体" w:hAnsi="宋体" w:eastAsia="宋体" w:cs="宋体"/>
          <w:sz w:val="21"/>
          <w:szCs w:val="21"/>
          <w:highlight w:val="none"/>
        </w:rPr>
        <w:t>政府采购合同专用条款</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政府采购合同通用条款</w:t>
      </w:r>
      <w:r>
        <w:rPr>
          <w:rFonts w:hint="eastAsia" w:ascii="宋体" w:hAnsi="宋体" w:eastAsia="宋体" w:cs="宋体"/>
          <w:sz w:val="21"/>
          <w:szCs w:val="21"/>
          <w:highlight w:val="none"/>
          <w:lang w:eastAsia="zh-CN"/>
        </w:rPr>
        <w:t>，</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highlight w:val="none"/>
        </w:rPr>
        <w:t>投标（响应）文件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采购文件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有关技术文件</w:t>
      </w:r>
      <w:r>
        <w:rPr>
          <w:rFonts w:hint="eastAsia" w:ascii="宋体" w:hAnsi="宋体" w:eastAsia="宋体" w:cs="宋体"/>
          <w:sz w:val="21"/>
          <w:szCs w:val="21"/>
          <w:highlight w:val="none"/>
          <w:lang w:eastAsia="zh-CN"/>
        </w:rPr>
        <w:t>和</w:t>
      </w:r>
      <w:r>
        <w:rPr>
          <w:rFonts w:hint="eastAsia" w:ascii="宋体" w:hAnsi="宋体" w:eastAsia="宋体" w:cs="宋体"/>
          <w:sz w:val="21"/>
          <w:szCs w:val="21"/>
          <w:highlight w:val="none"/>
        </w:rPr>
        <w:t>图纸</w:t>
      </w:r>
      <w:r>
        <w:rPr>
          <w:rFonts w:hint="eastAsia" w:ascii="宋体" w:hAnsi="宋体" w:eastAsia="宋体" w:cs="宋体"/>
          <w:sz w:val="21"/>
          <w:szCs w:val="21"/>
          <w:highlight w:val="none"/>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eastAsia="宋体" w:cs="宋体"/>
          <w:color w:val="auto"/>
          <w:sz w:val="21"/>
          <w:szCs w:val="21"/>
          <w:highlight w:val="none"/>
        </w:rPr>
        <w:t>。</w:t>
      </w:r>
    </w:p>
    <w:p w14:paraId="6B2E004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14:paraId="1CF1442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w:t>
      </w:r>
      <w:r>
        <w:rPr>
          <w:rFonts w:hint="eastAsia" w:ascii="宋体" w:hAnsi="宋体" w:eastAsia="宋体" w:cs="宋体"/>
          <w:color w:val="000000" w:themeColor="text1"/>
          <w:sz w:val="21"/>
          <w:szCs w:val="21"/>
          <w:highlight w:val="none"/>
          <w14:textFill>
            <w14:solidFill>
              <w14:schemeClr w14:val="tx1"/>
            </w14:solidFill>
          </w14:textFill>
        </w:rPr>
        <w:t>包括软件）及相关的其备品备件、工具、手册及</w:t>
      </w:r>
      <w:r>
        <w:rPr>
          <w:rFonts w:hint="eastAsia" w:ascii="宋体" w:hAnsi="宋体" w:eastAsia="宋体" w:cs="宋体"/>
          <w:color w:val="000000" w:themeColor="text1"/>
          <w:sz w:val="21"/>
          <w:szCs w:val="21"/>
          <w:highlight w:val="none"/>
          <w:lang w:val="en"/>
          <w14:textFill>
            <w14:solidFill>
              <w14:schemeClr w14:val="tx1"/>
            </w14:solidFill>
          </w14:textFill>
        </w:rPr>
        <w:t>其他</w:t>
      </w:r>
      <w:r>
        <w:rPr>
          <w:rFonts w:hint="eastAsia" w:ascii="宋体" w:hAnsi="宋体" w:eastAsia="宋体" w:cs="宋体"/>
          <w:color w:val="000000" w:themeColor="text1"/>
          <w:sz w:val="21"/>
          <w:szCs w:val="21"/>
          <w:highlight w:val="none"/>
          <w14:textFill>
            <w14:solidFill>
              <w14:schemeClr w14:val="tx1"/>
            </w14:solidFill>
          </w14:textFill>
        </w:rPr>
        <w:t>技术资料和材料</w:t>
      </w:r>
      <w:r>
        <w:rPr>
          <w:rFonts w:hint="eastAsia" w:ascii="宋体" w:hAnsi="宋体" w:eastAsia="宋体" w:cs="宋体"/>
          <w:color w:val="000000" w:themeColor="text1"/>
          <w:sz w:val="21"/>
          <w:szCs w:val="21"/>
          <w:highlight w:val="none"/>
          <w:lang w:eastAsia="zh-CN"/>
          <w14:textFill>
            <w14:solidFill>
              <w14:schemeClr w14:val="tx1"/>
            </w14:solidFill>
          </w14:textFill>
        </w:rPr>
        <w:t>等</w:t>
      </w:r>
      <w:r>
        <w:rPr>
          <w:rFonts w:hint="eastAsia" w:ascii="宋体" w:hAnsi="宋体" w:eastAsia="宋体" w:cs="宋体"/>
          <w:color w:val="000000" w:themeColor="text1"/>
          <w:sz w:val="21"/>
          <w:szCs w:val="21"/>
          <w:highlight w:val="none"/>
          <w14:textFill>
            <w14:solidFill>
              <w14:schemeClr w14:val="tx1"/>
            </w14:solidFill>
          </w14:textFill>
        </w:rPr>
        <w:t>。</w:t>
      </w:r>
    </w:p>
    <w:p w14:paraId="31930981">
      <w:pPr>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000000" w:themeColor="text1"/>
          <w:sz w:val="21"/>
          <w:szCs w:val="21"/>
          <w:highlight w:val="none"/>
          <w14:textFill>
            <w14:solidFill>
              <w14:schemeClr w14:val="tx1"/>
            </w14:solidFill>
          </w14:textFill>
        </w:rPr>
        <w:t>服务”系指根据合同规定，乙方应提供的</w:t>
      </w:r>
      <w:r>
        <w:rPr>
          <w:rFonts w:hint="eastAsia" w:ascii="宋体" w:hAnsi="宋体" w:eastAsia="宋体" w:cs="宋体"/>
          <w:color w:val="000000" w:themeColor="text1"/>
          <w:sz w:val="21"/>
          <w:szCs w:val="21"/>
          <w:highlight w:val="none"/>
          <w:lang w:val="en-US" w:eastAsia="zh-CN"/>
          <w14:textFill>
            <w14:solidFill>
              <w14:schemeClr w14:val="tx1"/>
            </w14:solidFill>
          </w14:textFill>
        </w:rPr>
        <w:t>与货物有关的</w:t>
      </w:r>
      <w:r>
        <w:rPr>
          <w:rFonts w:hint="eastAsia" w:ascii="宋体" w:hAnsi="宋体" w:eastAsia="宋体" w:cs="宋体"/>
          <w:color w:val="000000" w:themeColor="text1"/>
          <w:sz w:val="21"/>
          <w:szCs w:val="21"/>
          <w:highlight w:val="none"/>
          <w14:textFill>
            <w14:solidFill>
              <w14:schemeClr w14:val="tx1"/>
            </w14:solidFill>
          </w14:textFill>
        </w:rPr>
        <w:t>技术、管理和</w:t>
      </w:r>
      <w:r>
        <w:rPr>
          <w:rFonts w:hint="eastAsia" w:ascii="宋体" w:hAnsi="宋体" w:eastAsia="宋体" w:cs="宋体"/>
          <w:color w:val="000000" w:themeColor="text1"/>
          <w:sz w:val="21"/>
          <w:szCs w:val="21"/>
          <w:highlight w:val="none"/>
          <w:lang w:val="en"/>
          <w14:textFill>
            <w14:solidFill>
              <w14:schemeClr w14:val="tx1"/>
            </w14:solidFill>
          </w14:textFill>
        </w:rPr>
        <w:t>其他</w:t>
      </w:r>
      <w:r>
        <w:rPr>
          <w:rFonts w:hint="eastAsia" w:ascii="宋体" w:hAnsi="宋体" w:eastAsia="宋体" w:cs="宋体"/>
          <w:color w:val="000000" w:themeColor="text1"/>
          <w:sz w:val="2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eastAsia="宋体" w:cs="宋体"/>
          <w:color w:val="000000" w:themeColor="text1"/>
          <w:sz w:val="21"/>
          <w:szCs w:val="21"/>
          <w:highlight w:val="none"/>
          <w:lang w:eastAsia="zh-CN"/>
          <w14:textFill>
            <w14:solidFill>
              <w14:schemeClr w14:val="tx1"/>
            </w14:solidFill>
          </w14:textFill>
        </w:rPr>
        <w:t>废弃处置、</w:t>
      </w:r>
      <w:r>
        <w:rPr>
          <w:rFonts w:hint="eastAsia" w:ascii="宋体" w:hAnsi="宋体" w:eastAsia="宋体" w:cs="宋体"/>
          <w:color w:val="000000" w:themeColor="text1"/>
          <w:sz w:val="21"/>
          <w:szCs w:val="21"/>
          <w:highlight w:val="none"/>
          <w14:textFill>
            <w14:solidFill>
              <w14:schemeClr w14:val="tx1"/>
            </w14:solidFill>
          </w14:textFill>
        </w:rPr>
        <w:t>技术支持等以及合同中规定乙方应承担的</w:t>
      </w:r>
      <w:r>
        <w:rPr>
          <w:rFonts w:hint="eastAsia" w:ascii="宋体" w:hAnsi="宋体" w:eastAsia="宋体" w:cs="宋体"/>
          <w:color w:val="000000" w:themeColor="text1"/>
          <w:sz w:val="21"/>
          <w:szCs w:val="21"/>
          <w:highlight w:val="none"/>
          <w:lang w:val="en"/>
          <w14:textFill>
            <w14:solidFill>
              <w14:schemeClr w14:val="tx1"/>
            </w14:solidFill>
          </w14:textFill>
        </w:rPr>
        <w:t>其他</w:t>
      </w:r>
      <w:r>
        <w:rPr>
          <w:rFonts w:hint="eastAsia" w:ascii="宋体" w:hAnsi="宋体" w:eastAsia="宋体" w:cs="宋体"/>
          <w:color w:val="000000" w:themeColor="text1"/>
          <w:sz w:val="21"/>
          <w:szCs w:val="21"/>
          <w:highlight w:val="none"/>
          <w14:textFill>
            <w14:solidFill>
              <w14:schemeClr w14:val="tx1"/>
            </w14:solidFill>
          </w14:textFill>
        </w:rPr>
        <w:t>义务。</w:t>
      </w:r>
    </w:p>
    <w:p w14:paraId="4920EDC7">
      <w:pPr>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）“分包”系指中标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成交</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供应商按采购文件、投标（响应）文件的规定，根据分包意向协议，将中标</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成交</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项目中的部分履约内容，分给具有相应资质条件的供应商履行合同的行为。</w:t>
      </w:r>
    </w:p>
    <w:p w14:paraId="025AF26E">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sz w:val="21"/>
          <w:szCs w:val="21"/>
          <w:highlight w:val="none"/>
        </w:rPr>
        <w:t>“联合体”系指</w:t>
      </w:r>
      <w:r>
        <w:rPr>
          <w:rFonts w:hint="eastAsia" w:ascii="宋体" w:hAnsi="宋体" w:eastAsia="宋体" w:cs="宋体"/>
          <w:sz w:val="21"/>
          <w:szCs w:val="21"/>
          <w:highlight w:val="none"/>
          <w:lang w:eastAsia="zh-CN"/>
        </w:rPr>
        <w:t>由</w:t>
      </w:r>
      <w:r>
        <w:rPr>
          <w:rFonts w:hint="eastAsia" w:ascii="宋体" w:hAnsi="宋体" w:eastAsia="宋体" w:cs="宋体"/>
          <w:sz w:val="21"/>
          <w:szCs w:val="21"/>
          <w:highlight w:val="none"/>
        </w:rPr>
        <w:t>两个以上的自然人、法人或者</w:t>
      </w:r>
      <w:r>
        <w:rPr>
          <w:rFonts w:hint="eastAsia" w:ascii="宋体" w:hAnsi="宋体" w:eastAsia="宋体" w:cs="宋体"/>
          <w:sz w:val="21"/>
          <w:szCs w:val="21"/>
          <w:highlight w:val="none"/>
          <w:lang w:val="en-US" w:eastAsia="zh-CN"/>
        </w:rPr>
        <w:t>非法人</w:t>
      </w:r>
      <w:r>
        <w:rPr>
          <w:rFonts w:hint="eastAsia" w:ascii="宋体" w:hAnsi="宋体" w:eastAsia="宋体" w:cs="宋体"/>
          <w:sz w:val="21"/>
          <w:szCs w:val="21"/>
          <w:highlight w:val="none"/>
        </w:rPr>
        <w:t>组织组成，</w:t>
      </w:r>
      <w:r>
        <w:rPr>
          <w:rFonts w:hint="eastAsia" w:ascii="宋体" w:hAnsi="宋体" w:eastAsia="宋体" w:cs="宋体"/>
          <w:sz w:val="21"/>
          <w:szCs w:val="21"/>
          <w:highlight w:val="none"/>
          <w:lang w:eastAsia="zh-CN"/>
        </w:rPr>
        <w:t>以一个供应商的身份共同参加政府采购的主体</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000000" w:themeColor="text1"/>
          <w:sz w:val="21"/>
          <w:szCs w:val="21"/>
          <w:highlight w:val="none"/>
          <w:lang w:eastAsia="zh-CN"/>
          <w14:textFill>
            <w14:solidFill>
              <w14:schemeClr w14:val="tx1"/>
            </w14:solidFill>
          </w14:textFill>
        </w:rPr>
        <w:t>甲方</w:t>
      </w:r>
      <w:r>
        <w:rPr>
          <w:rFonts w:hint="eastAsia" w:ascii="宋体" w:hAnsi="宋体" w:eastAsia="宋体" w:cs="宋体"/>
          <w:color w:val="000000" w:themeColor="text1"/>
          <w:sz w:val="21"/>
          <w:szCs w:val="21"/>
          <w:highlight w:val="none"/>
          <w14:textFill>
            <w14:solidFill>
              <w14:schemeClr w14:val="tx1"/>
            </w14:solidFill>
          </w14:textFill>
        </w:rPr>
        <w:t>承担连带责任。联合体具体要求见【</w:t>
      </w:r>
      <w:r>
        <w:rPr>
          <w:rFonts w:hint="eastAsia" w:ascii="宋体" w:hAnsi="宋体" w:eastAsia="宋体" w:cs="宋体"/>
          <w:b/>
          <w:bCs/>
          <w:color w:val="000000" w:themeColor="text1"/>
          <w:sz w:val="21"/>
          <w:szCs w:val="21"/>
          <w:highlight w:val="none"/>
          <w14:textFill>
            <w14:solidFill>
              <w14:schemeClr w14:val="tx1"/>
            </w14:solidFill>
          </w14:textFill>
        </w:rPr>
        <w:t>政府采购合同专用条款</w:t>
      </w:r>
      <w:r>
        <w:rPr>
          <w:rFonts w:hint="eastAsia" w:ascii="宋体" w:hAnsi="宋体" w:eastAsia="宋体" w:cs="宋体"/>
          <w:color w:val="000000" w:themeColor="text1"/>
          <w:sz w:val="21"/>
          <w:szCs w:val="21"/>
          <w:highlight w:val="none"/>
          <w14:textFill>
            <w14:solidFill>
              <w14:schemeClr w14:val="tx1"/>
            </w14:solidFill>
          </w14:textFill>
        </w:rPr>
        <w:t>】。</w:t>
      </w:r>
    </w:p>
    <w:p w14:paraId="18717240">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）其他术语解释，见【</w:t>
      </w:r>
      <w:r>
        <w:rPr>
          <w:rFonts w:hint="eastAsia" w:ascii="宋体" w:hAnsi="宋体" w:eastAsia="宋体" w:cs="宋体"/>
          <w:b/>
          <w:bCs/>
          <w:color w:val="000000" w:themeColor="text1"/>
          <w:sz w:val="21"/>
          <w:szCs w:val="21"/>
          <w:highlight w:val="none"/>
          <w14:textFill>
            <w14:solidFill>
              <w14:schemeClr w14:val="tx1"/>
            </w14:solidFill>
          </w14:textFill>
        </w:rPr>
        <w:t>政府采购合同专用条款</w:t>
      </w:r>
      <w:r>
        <w:rPr>
          <w:rFonts w:hint="eastAsia" w:ascii="宋体" w:hAnsi="宋体" w:eastAsia="宋体" w:cs="宋体"/>
          <w:color w:val="000000" w:themeColor="text1"/>
          <w:sz w:val="21"/>
          <w:szCs w:val="21"/>
          <w:highlight w:val="none"/>
          <w14:textFill>
            <w14:solidFill>
              <w14:schemeClr w14:val="tx1"/>
            </w14:solidFill>
          </w14:textFill>
        </w:rPr>
        <w:t>】。</w:t>
      </w:r>
    </w:p>
    <w:p w14:paraId="1307D7FB">
      <w:pPr>
        <w:numPr>
          <w:ilvl w:val="0"/>
          <w:numId w:val="8"/>
        </w:numPr>
        <w:autoSpaceDE w:val="0"/>
        <w:autoSpaceDN w:val="0"/>
        <w:adjustRightInd w:val="0"/>
        <w:snapToGrid w:val="0"/>
        <w:spacing w:before="0" w:line="400" w:lineRule="exact"/>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合同标的及金额</w:t>
      </w:r>
    </w:p>
    <w:p w14:paraId="0A3280A8">
      <w:pPr>
        <w:autoSpaceDE w:val="0"/>
        <w:autoSpaceDN w:val="0"/>
        <w:adjustRightInd w:val="0"/>
        <w:snapToGrid w:val="0"/>
        <w:spacing w:before="0" w:line="400" w:lineRule="exact"/>
        <w:ind w:firstLine="420" w:firstLineChars="200"/>
        <w:jc w:val="left"/>
        <w:rPr>
          <w:rFonts w:hint="eastAsia" w:ascii="宋体" w:hAnsi="宋体" w:eastAsia="宋体" w:cs="宋体"/>
          <w:b/>
          <w:bCs/>
          <w:i/>
          <w:i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eastAsia="宋体" w:cs="宋体"/>
          <w:color w:val="000000" w:themeColor="text1"/>
          <w:sz w:val="21"/>
          <w:szCs w:val="21"/>
          <w:highlight w:val="none"/>
          <w:lang w:eastAsia="zh-CN"/>
          <w14:textFill>
            <w14:solidFill>
              <w14:schemeClr w14:val="tx1"/>
            </w14:solidFill>
          </w14:textFill>
        </w:rPr>
        <w:t>价款</w:t>
      </w:r>
      <w:r>
        <w:rPr>
          <w:rFonts w:hint="eastAsia" w:ascii="宋体" w:hAnsi="宋体" w:eastAsia="宋体" w:cs="宋体"/>
          <w:color w:val="000000" w:themeColor="text1"/>
          <w:sz w:val="21"/>
          <w:szCs w:val="21"/>
          <w:highlight w:val="none"/>
          <w14:textFill>
            <w14:solidFill>
              <w14:schemeClr w14:val="tx1"/>
            </w14:solidFill>
          </w14:textFill>
        </w:rPr>
        <w:t>中，甲方不再另行支付</w:t>
      </w:r>
      <w:r>
        <w:rPr>
          <w:rFonts w:hint="eastAsia" w:ascii="宋体" w:hAnsi="宋体" w:eastAsia="宋体" w:cs="宋体"/>
          <w:color w:val="000000" w:themeColor="text1"/>
          <w:sz w:val="21"/>
          <w:szCs w:val="21"/>
          <w:highlight w:val="none"/>
          <w:lang w:val="en"/>
          <w14:textFill>
            <w14:solidFill>
              <w14:schemeClr w14:val="tx1"/>
            </w14:solidFill>
          </w14:textFill>
        </w:rPr>
        <w:t>其他</w:t>
      </w:r>
      <w:r>
        <w:rPr>
          <w:rFonts w:hint="eastAsia" w:ascii="宋体" w:hAnsi="宋体" w:eastAsia="宋体" w:cs="宋体"/>
          <w:color w:val="000000" w:themeColor="text1"/>
          <w:sz w:val="21"/>
          <w:szCs w:val="21"/>
          <w:highlight w:val="none"/>
          <w14:textFill>
            <w14:solidFill>
              <w14:schemeClr w14:val="tx1"/>
            </w14:solidFill>
          </w14:textFill>
        </w:rPr>
        <w:t>任何费用。</w:t>
      </w:r>
    </w:p>
    <w:p w14:paraId="77BC6713">
      <w:pPr>
        <w:adjustRightInd w:val="0"/>
        <w:snapToGrid w:val="0"/>
        <w:spacing w:before="0" w:line="400" w:lineRule="exact"/>
        <w:jc w:val="lef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lang w:eastAsia="zh-CN"/>
          <w14:textFill>
            <w14:solidFill>
              <w14:schemeClr w14:val="tx1"/>
            </w14:solidFill>
          </w14:textFill>
        </w:rPr>
        <w:t>3</w:t>
      </w:r>
      <w:r>
        <w:rPr>
          <w:rFonts w:hint="eastAsia" w:ascii="宋体" w:hAnsi="宋体" w:eastAsia="宋体" w:cs="宋体"/>
          <w:b/>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21"/>
          <w:szCs w:val="21"/>
          <w:highlight w:val="none"/>
          <w14:textFill>
            <w14:solidFill>
              <w14:schemeClr w14:val="tx1"/>
            </w14:solidFill>
          </w14:textFill>
        </w:rPr>
        <w:t>履行合同的时间、地点和方式</w:t>
      </w:r>
    </w:p>
    <w:p w14:paraId="2C924CE9">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 xml:space="preserve">.1 </w:t>
      </w:r>
      <w:r>
        <w:rPr>
          <w:rFonts w:hint="eastAsia" w:ascii="宋体" w:hAnsi="宋体" w:eastAsia="宋体" w:cs="宋体"/>
          <w:sz w:val="21"/>
          <w:szCs w:val="21"/>
          <w:highlight w:val="none"/>
        </w:rPr>
        <w:t>乙方应当在约定的时间、地点</w:t>
      </w:r>
      <w:r>
        <w:rPr>
          <w:rFonts w:hint="eastAsia" w:ascii="宋体" w:hAnsi="宋体" w:eastAsia="宋体" w:cs="宋体"/>
          <w:sz w:val="21"/>
          <w:szCs w:val="21"/>
          <w:highlight w:val="none"/>
          <w:lang w:eastAsia="zh-CN"/>
        </w:rPr>
        <w:t>，按照约定</w:t>
      </w:r>
      <w:r>
        <w:rPr>
          <w:rFonts w:hint="eastAsia" w:ascii="宋体" w:hAnsi="宋体" w:eastAsia="宋体" w:cs="宋体"/>
          <w:sz w:val="21"/>
          <w:szCs w:val="21"/>
          <w:highlight w:val="none"/>
        </w:rPr>
        <w:t>方式履行合同。</w:t>
      </w:r>
    </w:p>
    <w:p w14:paraId="5EE7D0BC">
      <w:pPr>
        <w:autoSpaceDE w:val="0"/>
        <w:autoSpaceDN w:val="0"/>
        <w:adjustRightInd w:val="0"/>
        <w:snapToGrid w:val="0"/>
        <w:spacing w:before="0" w:line="400" w:lineRule="exact"/>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4</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highlight w:val="none"/>
          <w14:textFill>
            <w14:solidFill>
              <w14:schemeClr w14:val="tx1"/>
            </w14:solidFill>
          </w14:textFill>
        </w:rPr>
        <w:t>甲方的权利和义务</w:t>
      </w:r>
    </w:p>
    <w:p w14:paraId="3DC66FDB">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.1 签署合同后，甲方</w:t>
      </w:r>
      <w:r>
        <w:rPr>
          <w:rFonts w:hint="eastAsia" w:ascii="宋体" w:hAnsi="宋体" w:eastAsia="宋体" w:cs="宋体"/>
          <w:color w:val="000000" w:themeColor="text1"/>
          <w:sz w:val="21"/>
          <w:szCs w:val="21"/>
          <w:highlight w:val="none"/>
          <w:lang w:eastAsia="zh-CN"/>
          <w14:textFill>
            <w14:solidFill>
              <w14:schemeClr w14:val="tx1"/>
            </w14:solidFill>
          </w14:textFill>
        </w:rPr>
        <w:t>应</w:t>
      </w:r>
      <w:r>
        <w:rPr>
          <w:rFonts w:hint="eastAsia" w:ascii="宋体" w:hAnsi="宋体" w:eastAsia="宋体" w:cs="宋体"/>
          <w:color w:val="000000" w:themeColor="text1"/>
          <w:sz w:val="21"/>
          <w:szCs w:val="21"/>
          <w:highlight w:val="none"/>
          <w14:textFill>
            <w14:solidFill>
              <w14:schemeClr w14:val="tx1"/>
            </w14:solidFill>
          </w14:textFill>
        </w:rPr>
        <w:t>确定</w:t>
      </w:r>
      <w:r>
        <w:rPr>
          <w:rFonts w:hint="eastAsia" w:ascii="宋体" w:hAnsi="宋体" w:eastAsia="宋体" w:cs="宋体"/>
          <w:color w:val="000000" w:themeColor="text1"/>
          <w:sz w:val="21"/>
          <w:szCs w:val="21"/>
          <w:highlight w:val="none"/>
          <w:lang w:val="en-US" w:eastAsia="zh-CN"/>
          <w14:textFill>
            <w14:solidFill>
              <w14:schemeClr w14:val="tx1"/>
            </w14:solidFill>
          </w14:textFill>
        </w:rPr>
        <w:t>项目负责人（或项目联系人）</w:t>
      </w:r>
      <w:r>
        <w:rPr>
          <w:rFonts w:hint="eastAsia" w:ascii="宋体" w:hAnsi="宋体" w:eastAsia="宋体" w:cs="宋体"/>
          <w:color w:val="000000" w:themeColor="text1"/>
          <w:sz w:val="21"/>
          <w:szCs w:val="21"/>
          <w:highlight w:val="none"/>
          <w14:textFill>
            <w14:solidFill>
              <w14:schemeClr w14:val="tx1"/>
            </w14:solidFill>
          </w14:textFill>
        </w:rPr>
        <w:t>，负责与本合同有关的事务。甲方有权对乙方的履约行为进行检查，并及时确认乙方提交的事项。甲方应当配合乙方完成相关项目实施工作。</w:t>
      </w:r>
    </w:p>
    <w:p w14:paraId="4DA27B10">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.2 甲方有权要求乙方按时提交各阶段有关安排计划，并有权定期核对乙方提供货物数量、规格、质量等内容。甲方有权督促乙方工作并要求乙方更换不符合要求的货物。</w:t>
      </w:r>
    </w:p>
    <w:p w14:paraId="6F8D591F">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.3 甲方有权要求乙方对缺陷部分予以修复，并按合同约定享有货物保修及其他合同约定的权利。</w:t>
      </w:r>
    </w:p>
    <w:p w14:paraId="0562849D">
      <w:pPr>
        <w:snapToGrid w:val="0"/>
        <w:spacing w:line="400" w:lineRule="exact"/>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4.4 甲方应当按照合同约定及时对交付的货物进行验收，</w:t>
      </w:r>
      <w:r>
        <w:rPr>
          <w:rFonts w:hint="eastAsia" w:ascii="宋体" w:hAnsi="宋体" w:eastAsia="宋体" w:cs="宋体"/>
          <w:b w:val="0"/>
          <w:bCs w:val="0"/>
          <w:sz w:val="21"/>
          <w:szCs w:val="21"/>
          <w:highlight w:val="none"/>
          <w:lang w:eastAsia="zh-CN"/>
        </w:rPr>
        <w:t>未</w:t>
      </w:r>
      <w:r>
        <w:rPr>
          <w:rFonts w:hint="eastAsia" w:ascii="宋体" w:hAnsi="宋体" w:eastAsia="宋体" w:cs="宋体"/>
          <w:color w:val="000000" w:themeColor="text1"/>
          <w:sz w:val="21"/>
          <w:szCs w:val="21"/>
          <w:highlight w:val="none"/>
          <w:lang w:val="en-US" w:eastAsia="zh-CN"/>
          <w14:textFill>
            <w14:solidFill>
              <w14:schemeClr w14:val="tx1"/>
            </w14:solidFill>
          </w14:textFill>
        </w:rPr>
        <w:t>在</w:t>
      </w:r>
      <w:r>
        <w:rPr>
          <w:rFonts w:hint="eastAsia" w:ascii="宋体" w:hAnsi="宋体" w:eastAsia="宋体" w:cs="宋体"/>
          <w:b/>
          <w:bCs/>
          <w:sz w:val="21"/>
          <w:szCs w:val="21"/>
          <w:highlight w:val="none"/>
        </w:rPr>
        <w:t>【政府采购合同专用条款】</w:t>
      </w:r>
      <w:r>
        <w:rPr>
          <w:rFonts w:hint="eastAsia" w:ascii="宋体" w:hAnsi="宋体" w:eastAsia="宋体" w:cs="宋体"/>
          <w:b w:val="0"/>
          <w:bCs w:val="0"/>
          <w:sz w:val="21"/>
          <w:szCs w:val="21"/>
          <w:highlight w:val="none"/>
          <w:lang w:eastAsia="zh-CN"/>
        </w:rPr>
        <w:t>约定的期限内对乙方履约提出任何异议或者向乙方作出任何说明的，</w:t>
      </w:r>
      <w:r>
        <w:rPr>
          <w:rFonts w:hint="eastAsia" w:ascii="宋体" w:hAnsi="宋体" w:eastAsia="宋体" w:cs="宋体"/>
          <w:color w:val="000000" w:themeColor="text1"/>
          <w:sz w:val="21"/>
          <w:szCs w:val="21"/>
          <w:highlight w:val="none"/>
          <w:lang w:val="en-US" w:eastAsia="zh-CN"/>
          <w14:textFill>
            <w14:solidFill>
              <w14:schemeClr w14:val="tx1"/>
            </w14:solidFill>
          </w14:textFill>
        </w:rPr>
        <w:t>视为验收通过。</w:t>
      </w:r>
    </w:p>
    <w:p w14:paraId="4C9303A4">
      <w:pPr>
        <w:autoSpaceDE w:val="0"/>
        <w:autoSpaceDN w:val="0"/>
        <w:adjustRightInd w:val="0"/>
        <w:snapToGrid w:val="0"/>
        <w:spacing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 xml:space="preserve"> 甲方应当根据合同约定</w:t>
      </w:r>
      <w:r>
        <w:rPr>
          <w:rFonts w:hint="eastAsia" w:ascii="宋体" w:hAnsi="宋体" w:eastAsia="宋体" w:cs="宋体"/>
          <w:color w:val="000000" w:themeColor="text1"/>
          <w:sz w:val="21"/>
          <w:szCs w:val="21"/>
          <w:highlight w:val="none"/>
          <w:lang w:eastAsia="zh-CN"/>
          <w14:textFill>
            <w14:solidFill>
              <w14:schemeClr w14:val="tx1"/>
            </w14:solidFill>
          </w14:textFill>
        </w:rPr>
        <w:t>及</w:t>
      </w:r>
      <w:r>
        <w:rPr>
          <w:rFonts w:hint="eastAsia" w:ascii="宋体" w:hAnsi="宋体" w:eastAsia="宋体" w:cs="宋体"/>
          <w:color w:val="000000" w:themeColor="text1"/>
          <w:sz w:val="21"/>
          <w:szCs w:val="21"/>
          <w:highlight w:val="none"/>
          <w14:textFill>
            <w14:solidFill>
              <w14:schemeClr w14:val="tx1"/>
            </w14:solidFill>
          </w14:textFill>
        </w:rPr>
        <w:t>时向乙方支付</w:t>
      </w:r>
      <w:r>
        <w:rPr>
          <w:rFonts w:hint="eastAsia" w:ascii="宋体" w:hAnsi="宋体" w:eastAsia="宋体" w:cs="宋体"/>
          <w:color w:val="000000" w:themeColor="text1"/>
          <w:sz w:val="21"/>
          <w:szCs w:val="21"/>
          <w:highlight w:val="none"/>
          <w:lang w:eastAsia="zh-CN"/>
          <w14:textFill>
            <w14:solidFill>
              <w14:schemeClr w14:val="tx1"/>
            </w14:solidFill>
          </w14:textFill>
        </w:rPr>
        <w:t>合同价款，不得以内部人员变更、履行内部付款流程等为由，拒绝或迟延支付。</w:t>
      </w:r>
    </w:p>
    <w:p w14:paraId="47A04B7C">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 xml:space="preserve"> 国家法律法规规定</w:t>
      </w:r>
      <w:r>
        <w:rPr>
          <w:rFonts w:hint="eastAsia" w:ascii="宋体" w:hAnsi="宋体" w:eastAsia="宋体" w:cs="宋体"/>
          <w:color w:val="000000" w:themeColor="text1"/>
          <w:sz w:val="21"/>
          <w:szCs w:val="21"/>
          <w:highlight w:val="none"/>
          <w:lang w:eastAsia="zh-CN"/>
          <w14:textFill>
            <w14:solidFill>
              <w14:schemeClr w14:val="tx1"/>
            </w14:solidFill>
          </w14:textFill>
        </w:rPr>
        <w:t>及</w:t>
      </w:r>
      <w:r>
        <w:rPr>
          <w:rFonts w:hint="eastAsia" w:ascii="宋体" w:hAnsi="宋体" w:eastAsia="宋体" w:cs="宋体"/>
          <w:b/>
          <w:bCs/>
          <w:sz w:val="21"/>
          <w:szCs w:val="21"/>
          <w:highlight w:val="none"/>
        </w:rPr>
        <w:t>【政府采购合同专用条款】</w:t>
      </w:r>
      <w:r>
        <w:rPr>
          <w:rFonts w:hint="eastAsia" w:ascii="宋体" w:hAnsi="宋体" w:eastAsia="宋体" w:cs="宋体"/>
          <w:color w:val="000000" w:themeColor="text1"/>
          <w:sz w:val="21"/>
          <w:szCs w:val="21"/>
          <w:highlight w:val="none"/>
          <w:lang w:eastAsia="zh-CN"/>
          <w14:textFill>
            <w14:solidFill>
              <w14:schemeClr w14:val="tx1"/>
            </w14:solidFill>
          </w14:textFill>
        </w:rPr>
        <w:t>约定应</w:t>
      </w:r>
      <w:r>
        <w:rPr>
          <w:rFonts w:hint="eastAsia" w:ascii="宋体" w:hAnsi="宋体" w:eastAsia="宋体" w:cs="宋体"/>
          <w:color w:val="000000" w:themeColor="text1"/>
          <w:sz w:val="21"/>
          <w:szCs w:val="21"/>
          <w:highlight w:val="none"/>
          <w14:textFill>
            <w14:solidFill>
              <w14:schemeClr w14:val="tx1"/>
            </w14:solidFill>
          </w14:textFill>
        </w:rPr>
        <w:t>由甲方承担的其他义务和责任。</w:t>
      </w:r>
    </w:p>
    <w:p w14:paraId="5854EBE2">
      <w:pPr>
        <w:autoSpaceDE w:val="0"/>
        <w:autoSpaceDN w:val="0"/>
        <w:adjustRightInd w:val="0"/>
        <w:snapToGrid w:val="0"/>
        <w:spacing w:before="0" w:line="400" w:lineRule="exact"/>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5</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highlight w:val="none"/>
          <w14:textFill>
            <w14:solidFill>
              <w14:schemeClr w14:val="tx1"/>
            </w14:solidFill>
          </w14:textFill>
        </w:rPr>
        <w:t>乙方的权利和义务</w:t>
      </w:r>
    </w:p>
    <w:p w14:paraId="1D291AF2">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.1 签署合同后，乙方</w:t>
      </w:r>
      <w:r>
        <w:rPr>
          <w:rFonts w:hint="eastAsia" w:ascii="宋体" w:hAnsi="宋体" w:eastAsia="宋体" w:cs="宋体"/>
          <w:color w:val="000000" w:themeColor="text1"/>
          <w:sz w:val="21"/>
          <w:szCs w:val="21"/>
          <w:highlight w:val="none"/>
          <w:lang w:eastAsia="zh-CN"/>
          <w14:textFill>
            <w14:solidFill>
              <w14:schemeClr w14:val="tx1"/>
            </w14:solidFill>
          </w14:textFill>
        </w:rPr>
        <w:t>应</w:t>
      </w:r>
      <w:r>
        <w:rPr>
          <w:rFonts w:hint="eastAsia" w:ascii="宋体" w:hAnsi="宋体" w:eastAsia="宋体" w:cs="宋体"/>
          <w:color w:val="000000" w:themeColor="text1"/>
          <w:sz w:val="21"/>
          <w:szCs w:val="21"/>
          <w:highlight w:val="none"/>
          <w14:textFill>
            <w14:solidFill>
              <w14:schemeClr w14:val="tx1"/>
            </w14:solidFill>
          </w14:textFill>
        </w:rPr>
        <w:t>确定</w:t>
      </w:r>
      <w:r>
        <w:rPr>
          <w:rFonts w:hint="eastAsia" w:ascii="宋体" w:hAnsi="宋体" w:eastAsia="宋体" w:cs="宋体"/>
          <w:color w:val="000000" w:themeColor="text1"/>
          <w:sz w:val="21"/>
          <w:szCs w:val="21"/>
          <w:highlight w:val="none"/>
          <w:lang w:val="en-US" w:eastAsia="zh-CN"/>
          <w14:textFill>
            <w14:solidFill>
              <w14:schemeClr w14:val="tx1"/>
            </w14:solidFill>
          </w14:textFill>
        </w:rPr>
        <w:t>项目负责人（或项目联系人）</w:t>
      </w:r>
      <w:r>
        <w:rPr>
          <w:rFonts w:hint="eastAsia" w:ascii="宋体" w:hAnsi="宋体" w:eastAsia="宋体" w:cs="宋体"/>
          <w:color w:val="000000" w:themeColor="text1"/>
          <w:sz w:val="21"/>
          <w:szCs w:val="21"/>
          <w:highlight w:val="none"/>
          <w14:textFill>
            <w14:solidFill>
              <w14:schemeClr w14:val="tx1"/>
            </w14:solidFill>
          </w14:textFill>
        </w:rPr>
        <w:t>，负责与本合同有关的事务。</w:t>
      </w:r>
    </w:p>
    <w:p w14:paraId="07AA8CDB">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 乙方应按照合同要求履约，充分合理安排，确保提供的货物</w:t>
      </w:r>
      <w:r>
        <w:rPr>
          <w:rFonts w:hint="eastAsia" w:ascii="宋体" w:hAnsi="宋体" w:eastAsia="宋体" w:cs="宋体"/>
          <w:color w:val="000000" w:themeColor="text1"/>
          <w:sz w:val="21"/>
          <w:szCs w:val="21"/>
          <w:highlight w:val="none"/>
          <w:lang w:eastAsia="zh-CN"/>
          <w14:textFill>
            <w14:solidFill>
              <w14:schemeClr w14:val="tx1"/>
            </w14:solidFill>
          </w14:textFill>
        </w:rPr>
        <w:t>及相关</w:t>
      </w:r>
      <w:r>
        <w:rPr>
          <w:rFonts w:hint="eastAsia" w:ascii="宋体" w:hAnsi="宋体" w:eastAsia="宋体" w:cs="宋体"/>
          <w:color w:val="000000" w:themeColor="text1"/>
          <w:sz w:val="21"/>
          <w:szCs w:val="21"/>
          <w:highlight w:val="none"/>
          <w14:textFill>
            <w14:solidFill>
              <w14:schemeClr w14:val="tx1"/>
            </w14:solidFill>
          </w14:textFill>
        </w:rPr>
        <w:t>服务符合合同</w:t>
      </w:r>
      <w:r>
        <w:rPr>
          <w:rFonts w:hint="eastAsia" w:ascii="宋体" w:hAnsi="宋体" w:eastAsia="宋体" w:cs="宋体"/>
          <w:color w:val="000000" w:themeColor="text1"/>
          <w:sz w:val="21"/>
          <w:szCs w:val="21"/>
          <w:highlight w:val="none"/>
          <w:lang w:eastAsia="zh-CN"/>
          <w14:textFill>
            <w14:solidFill>
              <w14:schemeClr w14:val="tx1"/>
            </w14:solidFill>
          </w14:textFill>
        </w:rPr>
        <w:t>有关</w:t>
      </w:r>
      <w:r>
        <w:rPr>
          <w:rFonts w:hint="eastAsia" w:ascii="宋体" w:hAnsi="宋体" w:eastAsia="宋体" w:cs="宋体"/>
          <w:color w:val="000000" w:themeColor="text1"/>
          <w:sz w:val="21"/>
          <w:szCs w:val="21"/>
          <w:highlight w:val="none"/>
          <w14:textFill>
            <w14:solidFill>
              <w14:schemeClr w14:val="tx1"/>
            </w14:solidFill>
          </w14:textFill>
        </w:rPr>
        <w:t>要求。接受项目行业管理部门及政府有关部门的指导，配合甲方的履约检查</w:t>
      </w:r>
      <w:r>
        <w:rPr>
          <w:rFonts w:hint="eastAsia" w:ascii="宋体" w:hAnsi="宋体" w:eastAsia="宋体" w:cs="宋体"/>
          <w:color w:val="000000" w:themeColor="text1"/>
          <w:sz w:val="21"/>
          <w:szCs w:val="21"/>
          <w:highlight w:val="none"/>
          <w:lang w:eastAsia="zh-CN"/>
          <w14:textFill>
            <w14:solidFill>
              <w14:schemeClr w14:val="tx1"/>
            </w14:solidFill>
          </w14:textFill>
        </w:rPr>
        <w:t>及验收</w:t>
      </w:r>
      <w:r>
        <w:rPr>
          <w:rFonts w:hint="eastAsia" w:ascii="宋体" w:hAnsi="宋体" w:eastAsia="宋体" w:cs="宋体"/>
          <w:color w:val="000000" w:themeColor="text1"/>
          <w:sz w:val="21"/>
          <w:szCs w:val="21"/>
          <w:highlight w:val="none"/>
          <w14:textFill>
            <w14:solidFill>
              <w14:schemeClr w14:val="tx1"/>
            </w14:solidFill>
          </w14:textFill>
        </w:rPr>
        <w:t>，并负责项目实施过程中的所有协调工作。</w:t>
      </w:r>
    </w:p>
    <w:p w14:paraId="7AB3A385">
      <w:pPr>
        <w:pStyle w:val="17"/>
        <w:spacing w:after="0" w:line="400" w:lineRule="exact"/>
        <w:ind w:firstLine="369" w:firstLineChars="17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.3乙方有权根据合同约定向甲方收取</w:t>
      </w:r>
      <w:r>
        <w:rPr>
          <w:rFonts w:hint="eastAsia" w:ascii="宋体" w:hAnsi="宋体" w:eastAsia="宋体" w:cs="宋体"/>
          <w:color w:val="000000" w:themeColor="text1"/>
          <w:sz w:val="21"/>
          <w:szCs w:val="21"/>
          <w:highlight w:val="none"/>
          <w:lang w:eastAsia="zh-CN"/>
          <w14:textFill>
            <w14:solidFill>
              <w14:schemeClr w14:val="tx1"/>
            </w14:solidFill>
          </w14:textFill>
        </w:rPr>
        <w:t>合同价款</w:t>
      </w:r>
      <w:r>
        <w:rPr>
          <w:rFonts w:hint="eastAsia" w:ascii="宋体" w:hAnsi="宋体" w:eastAsia="宋体" w:cs="宋体"/>
          <w:color w:val="000000" w:themeColor="text1"/>
          <w:sz w:val="21"/>
          <w:szCs w:val="21"/>
          <w:highlight w:val="none"/>
          <w14:textFill>
            <w14:solidFill>
              <w14:schemeClr w14:val="tx1"/>
            </w14:solidFill>
          </w14:textFill>
        </w:rPr>
        <w:t>。</w:t>
      </w:r>
    </w:p>
    <w:p w14:paraId="6A4E0D37">
      <w:pPr>
        <w:pStyle w:val="17"/>
        <w:spacing w:after="0" w:line="400" w:lineRule="exact"/>
        <w:ind w:firstLine="369" w:firstLineChars="176"/>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.4国家法律法规规定</w:t>
      </w:r>
      <w:r>
        <w:rPr>
          <w:rFonts w:hint="eastAsia" w:ascii="宋体" w:hAnsi="宋体" w:eastAsia="宋体" w:cs="宋体"/>
          <w:color w:val="000000" w:themeColor="text1"/>
          <w:sz w:val="21"/>
          <w:szCs w:val="21"/>
          <w:highlight w:val="none"/>
          <w:lang w:eastAsia="zh-CN"/>
          <w14:textFill>
            <w14:solidFill>
              <w14:schemeClr w14:val="tx1"/>
            </w14:solidFill>
          </w14:textFill>
        </w:rPr>
        <w:t>及</w:t>
      </w:r>
      <w:r>
        <w:rPr>
          <w:rFonts w:hint="eastAsia" w:ascii="宋体" w:hAnsi="宋体" w:eastAsia="宋体" w:cs="宋体"/>
          <w:b/>
          <w:bCs/>
          <w:sz w:val="21"/>
          <w:szCs w:val="21"/>
          <w:highlight w:val="none"/>
        </w:rPr>
        <w:t>【政府采购合同专用条款】</w:t>
      </w:r>
      <w:r>
        <w:rPr>
          <w:rFonts w:hint="eastAsia" w:ascii="宋体" w:hAnsi="宋体" w:eastAsia="宋体" w:cs="宋体"/>
          <w:b w:val="0"/>
          <w:bCs w:val="0"/>
          <w:sz w:val="21"/>
          <w:szCs w:val="21"/>
          <w:highlight w:val="none"/>
          <w:lang w:eastAsia="zh-CN"/>
        </w:rPr>
        <w:t>约定应</w:t>
      </w:r>
      <w:r>
        <w:rPr>
          <w:rFonts w:hint="eastAsia" w:ascii="宋体" w:hAnsi="宋体" w:eastAsia="宋体" w:cs="宋体"/>
          <w:color w:val="000000" w:themeColor="text1"/>
          <w:sz w:val="21"/>
          <w:szCs w:val="21"/>
          <w:highlight w:val="none"/>
          <w14:textFill>
            <w14:solidFill>
              <w14:schemeClr w14:val="tx1"/>
            </w14:solidFill>
          </w14:textFill>
        </w:rPr>
        <w:t>由乙方承担的其他义务和责任。</w:t>
      </w:r>
    </w:p>
    <w:p w14:paraId="21239BAD">
      <w:pPr>
        <w:numPr>
          <w:ilvl w:val="0"/>
          <w:numId w:val="9"/>
        </w:numPr>
        <w:autoSpaceDE w:val="0"/>
        <w:autoSpaceDN w:val="0"/>
        <w:adjustRightInd w:val="0"/>
        <w:snapToGrid w:val="0"/>
        <w:spacing w:before="0" w:line="400" w:lineRule="exact"/>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合同履</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行</w:t>
      </w:r>
    </w:p>
    <w:p w14:paraId="4FD0D51F">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.1 甲乙双方应当按照</w:t>
      </w:r>
      <w:r>
        <w:rPr>
          <w:rFonts w:hint="eastAsia" w:ascii="宋体" w:hAnsi="宋体" w:eastAsia="宋体" w:cs="宋体"/>
          <w:b/>
          <w:bCs/>
          <w:sz w:val="21"/>
          <w:szCs w:val="21"/>
          <w:highlight w:val="none"/>
        </w:rPr>
        <w:t>【政府采购合同专用条款】</w:t>
      </w:r>
      <w:r>
        <w:rPr>
          <w:rFonts w:hint="eastAsia" w:ascii="宋体" w:hAnsi="宋体" w:eastAsia="宋体" w:cs="宋体"/>
          <w:color w:val="000000" w:themeColor="text1"/>
          <w:sz w:val="21"/>
          <w:szCs w:val="21"/>
          <w:highlight w:val="none"/>
          <w14:textFill>
            <w14:solidFill>
              <w14:schemeClr w14:val="tx1"/>
            </w14:solidFill>
          </w14:textFill>
        </w:rPr>
        <w:t>约定顺序履行合同义务；如果没有先后顺序的，应当同时履行。</w:t>
      </w:r>
    </w:p>
    <w:p w14:paraId="4278E526">
      <w:pPr>
        <w:autoSpaceDE w:val="0"/>
        <w:autoSpaceDN w:val="0"/>
        <w:adjustRightInd w:val="0"/>
        <w:snapToGrid w:val="0"/>
        <w:spacing w:before="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color w:val="000000" w:themeColor="text1"/>
          <w:sz w:val="21"/>
          <w:szCs w:val="21"/>
          <w:highlight w:val="none"/>
          <w:lang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712F2612">
      <w:pPr>
        <w:adjustRightInd w:val="0"/>
        <w:snapToGrid w:val="0"/>
        <w:spacing w:before="0" w:line="400" w:lineRule="exact"/>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7</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highlight w:val="none"/>
          <w14:textFill>
            <w14:solidFill>
              <w14:schemeClr w14:val="tx1"/>
            </w14:solidFill>
          </w14:textFill>
        </w:rPr>
        <w:t>货物包装、运输</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14:textFill>
            <w14:solidFill>
              <w14:schemeClr w14:val="tx1"/>
            </w14:solidFill>
          </w14:textFill>
        </w:rPr>
        <w:t>保险</w:t>
      </w:r>
      <w:r>
        <w:rPr>
          <w:rFonts w:hint="eastAsia" w:ascii="宋体" w:hAnsi="宋体" w:eastAsia="宋体" w:cs="宋体"/>
          <w:b/>
          <w:bCs/>
          <w:color w:val="000000" w:themeColor="text1"/>
          <w:sz w:val="21"/>
          <w:szCs w:val="21"/>
          <w:highlight w:val="none"/>
          <w:lang w:eastAsia="zh-CN"/>
          <w14:textFill>
            <w14:solidFill>
              <w14:schemeClr w14:val="tx1"/>
            </w14:solidFill>
          </w14:textFill>
        </w:rPr>
        <w:t>和交付</w:t>
      </w:r>
      <w:r>
        <w:rPr>
          <w:rFonts w:hint="eastAsia" w:ascii="宋体" w:hAnsi="宋体" w:eastAsia="宋体" w:cs="宋体"/>
          <w:b/>
          <w:bCs/>
          <w:color w:val="000000" w:themeColor="text1"/>
          <w:sz w:val="21"/>
          <w:szCs w:val="21"/>
          <w:highlight w:val="none"/>
          <w14:textFill>
            <w14:solidFill>
              <w14:schemeClr w14:val="tx1"/>
            </w14:solidFill>
          </w14:textFill>
        </w:rPr>
        <w:t>要求</w:t>
      </w:r>
    </w:p>
    <w:p w14:paraId="08A88DE9">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.1 本合同</w:t>
      </w:r>
      <w:r>
        <w:rPr>
          <w:rFonts w:hint="eastAsia" w:ascii="宋体" w:hAnsi="宋体" w:eastAsia="宋体" w:cs="宋体"/>
          <w:bCs/>
          <w:color w:val="000000" w:themeColor="text1"/>
          <w:sz w:val="21"/>
          <w:szCs w:val="21"/>
          <w:highlight w:val="none"/>
          <w14:textFill>
            <w14:solidFill>
              <w14:schemeClr w14:val="tx1"/>
            </w14:solidFill>
          </w14:textFill>
        </w:rPr>
        <w:t>涉及商品包装</w:t>
      </w:r>
      <w:r>
        <w:rPr>
          <w:rFonts w:hint="eastAsia" w:ascii="宋体" w:hAnsi="宋体" w:eastAsia="宋体" w:cs="宋体"/>
          <w:bCs/>
          <w:color w:val="000000" w:themeColor="text1"/>
          <w:sz w:val="21"/>
          <w:szCs w:val="21"/>
          <w:highlight w:val="none"/>
          <w:lang w:eastAsia="zh-CN"/>
          <w14:textFill>
            <w14:solidFill>
              <w14:schemeClr w14:val="tx1"/>
            </w14:solidFill>
          </w14:textFill>
        </w:rPr>
        <w:t>、</w:t>
      </w:r>
      <w:r>
        <w:rPr>
          <w:rFonts w:hint="eastAsia" w:ascii="宋体" w:hAnsi="宋体" w:eastAsia="宋体" w:cs="宋体"/>
          <w:bCs/>
          <w:color w:val="000000" w:themeColor="text1"/>
          <w:sz w:val="21"/>
          <w:szCs w:val="21"/>
          <w:highlight w:val="none"/>
          <w14:textFill>
            <w14:solidFill>
              <w14:schemeClr w14:val="tx1"/>
            </w14:solidFill>
          </w14:textFill>
        </w:rPr>
        <w:t>快递包装的，</w:t>
      </w:r>
      <w:r>
        <w:rPr>
          <w:rFonts w:hint="eastAsia" w:ascii="宋体" w:hAnsi="宋体" w:eastAsia="宋体" w:cs="宋体"/>
          <w:color w:val="000000" w:themeColor="text1"/>
          <w:sz w:val="21"/>
          <w:szCs w:val="21"/>
          <w:highlight w:val="none"/>
          <w14:textFill>
            <w14:solidFill>
              <w14:schemeClr w14:val="tx1"/>
            </w14:solidFill>
          </w14:textFill>
        </w:rPr>
        <w:t>除</w:t>
      </w:r>
      <w:r>
        <w:rPr>
          <w:rFonts w:hint="eastAsia" w:ascii="宋体" w:hAnsi="宋体" w:eastAsia="宋体" w:cs="宋体"/>
          <w:b/>
          <w:color w:val="000000" w:themeColor="text1"/>
          <w:sz w:val="21"/>
          <w:szCs w:val="21"/>
          <w:highlight w:val="none"/>
          <w14:textFill>
            <w14:solidFill>
              <w14:schemeClr w14:val="tx1"/>
            </w14:solidFill>
          </w14:textFill>
        </w:rPr>
        <w:t>【政府采购合同专用条款】</w:t>
      </w:r>
      <w:r>
        <w:rPr>
          <w:rFonts w:hint="eastAsia" w:ascii="宋体" w:hAnsi="宋体" w:eastAsia="宋体" w:cs="宋体"/>
          <w:bCs/>
          <w:color w:val="000000" w:themeColor="text1"/>
          <w:sz w:val="21"/>
          <w:szCs w:val="21"/>
          <w:highlight w:val="none"/>
          <w14:textFill>
            <w14:solidFill>
              <w14:schemeClr w14:val="tx1"/>
            </w14:solidFill>
          </w14:textFill>
        </w:rPr>
        <w:t>另有</w:t>
      </w:r>
      <w:r>
        <w:rPr>
          <w:rFonts w:hint="eastAsia" w:ascii="宋体" w:hAnsi="宋体" w:eastAsia="宋体" w:cs="宋体"/>
          <w:bCs/>
          <w:color w:val="000000" w:themeColor="text1"/>
          <w:sz w:val="21"/>
          <w:szCs w:val="21"/>
          <w:highlight w:val="none"/>
          <w:lang w:eastAsia="zh-CN"/>
          <w14:textFill>
            <w14:solidFill>
              <w14:schemeClr w14:val="tx1"/>
            </w14:solidFill>
          </w14:textFill>
        </w:rPr>
        <w:t>约</w:t>
      </w:r>
      <w:r>
        <w:rPr>
          <w:rFonts w:hint="eastAsia" w:ascii="宋体" w:hAnsi="宋体" w:eastAsia="宋体" w:cs="宋体"/>
          <w:bCs/>
          <w:color w:val="000000" w:themeColor="text1"/>
          <w:sz w:val="21"/>
          <w:szCs w:val="21"/>
          <w:highlight w:val="none"/>
          <w14:textFill>
            <w14:solidFill>
              <w14:schemeClr w14:val="tx1"/>
            </w14:solidFill>
          </w14:textFill>
        </w:rPr>
        <w:t>定</w:t>
      </w:r>
      <w:r>
        <w:rPr>
          <w:rFonts w:hint="eastAsia" w:ascii="宋体" w:hAnsi="宋体" w:eastAsia="宋体" w:cs="宋体"/>
          <w:bCs/>
          <w:color w:val="000000" w:themeColor="text1"/>
          <w:sz w:val="21"/>
          <w:szCs w:val="21"/>
          <w:highlight w:val="none"/>
          <w:lang w:eastAsia="zh-CN"/>
          <w14:textFill>
            <w14:solidFill>
              <w14:schemeClr w14:val="tx1"/>
            </w14:solidFill>
          </w14:textFill>
        </w:rPr>
        <w:t>外</w:t>
      </w:r>
      <w:r>
        <w:rPr>
          <w:rFonts w:hint="eastAsia" w:ascii="宋体" w:hAnsi="宋体" w:eastAsia="宋体" w:cs="宋体"/>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eastAsia="宋体" w:cs="宋体"/>
          <w:b/>
          <w:color w:val="000000" w:themeColor="text1"/>
          <w:sz w:val="21"/>
          <w:szCs w:val="21"/>
          <w:highlight w:val="none"/>
          <w14:textFill>
            <w14:solidFill>
              <w14:schemeClr w14:val="tx1"/>
            </w14:solidFill>
          </w14:textFill>
        </w:rPr>
        <w:t>【政府采购合同专用条款】</w:t>
      </w:r>
      <w:r>
        <w:rPr>
          <w:rFonts w:hint="eastAsia" w:ascii="宋体" w:hAnsi="宋体" w:eastAsia="宋体" w:cs="宋体"/>
          <w:b w:val="0"/>
          <w:bCs/>
          <w:color w:val="000000" w:themeColor="text1"/>
          <w:sz w:val="21"/>
          <w:szCs w:val="21"/>
          <w:highlight w:val="none"/>
          <w:lang w:eastAsia="zh-CN"/>
          <w14:textFill>
            <w14:solidFill>
              <w14:schemeClr w14:val="tx1"/>
            </w14:solidFill>
          </w14:textFill>
        </w:rPr>
        <w:t>约定的</w:t>
      </w:r>
      <w:r>
        <w:rPr>
          <w:rFonts w:hint="eastAsia" w:ascii="宋体" w:hAnsi="宋体" w:eastAsia="宋体" w:cs="宋体"/>
          <w:color w:val="000000" w:themeColor="text1"/>
          <w:sz w:val="21"/>
          <w:szCs w:val="21"/>
          <w:highlight w:val="none"/>
          <w14:textFill>
            <w14:solidFill>
              <w14:schemeClr w14:val="tx1"/>
            </w14:solidFill>
          </w14:textFill>
        </w:rPr>
        <w:t>指定现场。</w:t>
      </w:r>
    </w:p>
    <w:p w14:paraId="0AC87F3E">
      <w:pPr>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.2 除</w:t>
      </w:r>
      <w:r>
        <w:rPr>
          <w:rFonts w:hint="eastAsia" w:ascii="宋体" w:hAnsi="宋体" w:eastAsia="宋体" w:cs="宋体"/>
          <w:b/>
          <w:color w:val="000000" w:themeColor="text1"/>
          <w:sz w:val="21"/>
          <w:szCs w:val="21"/>
          <w:highlight w:val="none"/>
          <w14:textFill>
            <w14:solidFill>
              <w14:schemeClr w14:val="tx1"/>
            </w14:solidFill>
          </w14:textFill>
        </w:rPr>
        <w:t>【政府采购合同专用条款】</w:t>
      </w:r>
      <w:r>
        <w:rPr>
          <w:rFonts w:hint="eastAsia" w:ascii="宋体" w:hAnsi="宋体" w:eastAsia="宋体" w:cs="宋体"/>
          <w:bCs/>
          <w:color w:val="000000" w:themeColor="text1"/>
          <w:sz w:val="21"/>
          <w:szCs w:val="21"/>
          <w:highlight w:val="none"/>
          <w14:textFill>
            <w14:solidFill>
              <w14:schemeClr w14:val="tx1"/>
            </w14:solidFill>
          </w14:textFill>
        </w:rPr>
        <w:t>另有</w:t>
      </w:r>
      <w:r>
        <w:rPr>
          <w:rFonts w:hint="eastAsia" w:ascii="宋体" w:hAnsi="宋体" w:eastAsia="宋体" w:cs="宋体"/>
          <w:bCs/>
          <w:color w:val="000000" w:themeColor="text1"/>
          <w:sz w:val="21"/>
          <w:szCs w:val="21"/>
          <w:highlight w:val="none"/>
          <w:lang w:eastAsia="zh-CN"/>
          <w14:textFill>
            <w14:solidFill>
              <w14:schemeClr w14:val="tx1"/>
            </w14:solidFill>
          </w14:textFill>
        </w:rPr>
        <w:t>约</w:t>
      </w:r>
      <w:r>
        <w:rPr>
          <w:rFonts w:hint="eastAsia" w:ascii="宋体" w:hAnsi="宋体" w:eastAsia="宋体" w:cs="宋体"/>
          <w:bCs/>
          <w:color w:val="000000" w:themeColor="text1"/>
          <w:sz w:val="21"/>
          <w:szCs w:val="21"/>
          <w:highlight w:val="none"/>
          <w14:textFill>
            <w14:solidFill>
              <w14:schemeClr w14:val="tx1"/>
            </w14:solidFill>
          </w14:textFill>
        </w:rPr>
        <w:t>定</w:t>
      </w:r>
      <w:r>
        <w:rPr>
          <w:rFonts w:hint="eastAsia" w:ascii="宋体" w:hAnsi="宋体" w:eastAsia="宋体" w:cs="宋体"/>
          <w:bCs/>
          <w:color w:val="000000" w:themeColor="text1"/>
          <w:sz w:val="21"/>
          <w:szCs w:val="21"/>
          <w:highlight w:val="none"/>
          <w:lang w:eastAsia="zh-CN"/>
          <w14:textFill>
            <w14:solidFill>
              <w14:schemeClr w14:val="tx1"/>
            </w14:solidFill>
          </w14:textFill>
        </w:rPr>
        <w:t>外</w:t>
      </w:r>
      <w:r>
        <w:rPr>
          <w:rFonts w:hint="eastAsia" w:ascii="宋体" w:hAnsi="宋体" w:eastAsia="宋体" w:cs="宋体"/>
          <w:bCs/>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乙方负责办理将货物运抵本合同规定的交货地点</w:t>
      </w:r>
      <w:r>
        <w:rPr>
          <w:rFonts w:hint="eastAsia" w:ascii="宋体" w:hAnsi="宋体" w:eastAsia="宋体" w:cs="宋体"/>
          <w:color w:val="000000" w:themeColor="text1"/>
          <w:sz w:val="21"/>
          <w:szCs w:val="21"/>
          <w:highlight w:val="none"/>
          <w:lang w:eastAsia="zh-CN"/>
          <w14:textFill>
            <w14:solidFill>
              <w14:schemeClr w14:val="tx1"/>
            </w14:solidFill>
          </w14:textFill>
        </w:rPr>
        <w:t>，并装卸、交付至甲方</w:t>
      </w:r>
      <w:r>
        <w:rPr>
          <w:rFonts w:hint="eastAsia" w:ascii="宋体" w:hAnsi="宋体" w:eastAsia="宋体" w:cs="宋体"/>
          <w:color w:val="000000" w:themeColor="text1"/>
          <w:sz w:val="21"/>
          <w:szCs w:val="21"/>
          <w:highlight w:val="none"/>
          <w14:textFill>
            <w14:solidFill>
              <w14:schemeClr w14:val="tx1"/>
            </w14:solidFill>
          </w14:textFill>
        </w:rPr>
        <w:t>的一切运输事项，相关费用应</w:t>
      </w:r>
      <w:r>
        <w:rPr>
          <w:rFonts w:hint="eastAsia" w:ascii="宋体" w:hAnsi="宋体" w:eastAsia="宋体" w:cs="宋体"/>
          <w:color w:val="000000" w:themeColor="text1"/>
          <w:sz w:val="21"/>
          <w:szCs w:val="21"/>
          <w:highlight w:val="none"/>
          <w:lang w:eastAsia="zh-CN"/>
          <w14:textFill>
            <w14:solidFill>
              <w14:schemeClr w14:val="tx1"/>
            </w14:solidFill>
          </w14:textFill>
        </w:rPr>
        <w:t>包含</w:t>
      </w:r>
      <w:r>
        <w:rPr>
          <w:rFonts w:hint="eastAsia" w:ascii="宋体" w:hAnsi="宋体" w:eastAsia="宋体" w:cs="宋体"/>
          <w:color w:val="000000" w:themeColor="text1"/>
          <w:sz w:val="21"/>
          <w:szCs w:val="21"/>
          <w:highlight w:val="none"/>
          <w14:textFill>
            <w14:solidFill>
              <w14:schemeClr w14:val="tx1"/>
            </w14:solidFill>
          </w14:textFill>
        </w:rPr>
        <w:t>在合同</w:t>
      </w:r>
      <w:r>
        <w:rPr>
          <w:rFonts w:hint="eastAsia" w:ascii="宋体" w:hAnsi="宋体" w:eastAsia="宋体" w:cs="宋体"/>
          <w:color w:val="000000" w:themeColor="text1"/>
          <w:sz w:val="21"/>
          <w:szCs w:val="21"/>
          <w:highlight w:val="none"/>
          <w:lang w:eastAsia="zh-CN"/>
          <w14:textFill>
            <w14:solidFill>
              <w14:schemeClr w14:val="tx1"/>
            </w14:solidFill>
          </w14:textFill>
        </w:rPr>
        <w:t>价款</w:t>
      </w:r>
      <w:r>
        <w:rPr>
          <w:rFonts w:hint="eastAsia" w:ascii="宋体" w:hAnsi="宋体" w:eastAsia="宋体" w:cs="宋体"/>
          <w:color w:val="000000" w:themeColor="text1"/>
          <w:sz w:val="21"/>
          <w:szCs w:val="21"/>
          <w:highlight w:val="none"/>
          <w14:textFill>
            <w14:solidFill>
              <w14:schemeClr w14:val="tx1"/>
            </w14:solidFill>
          </w14:textFill>
        </w:rPr>
        <w:t>中。</w:t>
      </w:r>
    </w:p>
    <w:p w14:paraId="60A71001">
      <w:pPr>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.3 货物保险要求按</w:t>
      </w:r>
      <w:r>
        <w:rPr>
          <w:rFonts w:hint="eastAsia" w:ascii="宋体" w:hAnsi="宋体" w:eastAsia="宋体" w:cs="宋体"/>
          <w:b/>
          <w:color w:val="000000" w:themeColor="text1"/>
          <w:sz w:val="21"/>
          <w:szCs w:val="21"/>
          <w:highlight w:val="none"/>
          <w14:textFill>
            <w14:solidFill>
              <w14:schemeClr w14:val="tx1"/>
            </w14:solidFill>
          </w14:textFill>
        </w:rPr>
        <w:t>【政府采购合同专用条款】</w:t>
      </w:r>
      <w:r>
        <w:rPr>
          <w:rFonts w:hint="eastAsia" w:ascii="宋体" w:hAnsi="宋体" w:eastAsia="宋体" w:cs="宋体"/>
          <w:bCs/>
          <w:color w:val="000000" w:themeColor="text1"/>
          <w:sz w:val="21"/>
          <w:szCs w:val="21"/>
          <w:highlight w:val="none"/>
          <w14:textFill>
            <w14:solidFill>
              <w14:schemeClr w14:val="tx1"/>
            </w14:solidFill>
          </w14:textFill>
        </w:rPr>
        <w:t>规定执行</w:t>
      </w:r>
      <w:r>
        <w:rPr>
          <w:rFonts w:hint="eastAsia" w:ascii="宋体" w:hAnsi="宋体" w:eastAsia="宋体" w:cs="宋体"/>
          <w:color w:val="000000" w:themeColor="text1"/>
          <w:sz w:val="21"/>
          <w:szCs w:val="21"/>
          <w:highlight w:val="none"/>
          <w14:textFill>
            <w14:solidFill>
              <w14:schemeClr w14:val="tx1"/>
            </w14:solidFill>
          </w14:textFill>
        </w:rPr>
        <w:t>。</w:t>
      </w:r>
    </w:p>
    <w:p w14:paraId="46F36BAA">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 xml:space="preserve">.4 </w:t>
      </w:r>
      <w:r>
        <w:rPr>
          <w:rFonts w:hint="eastAsia" w:ascii="宋体" w:hAnsi="宋体" w:eastAsia="宋体" w:cs="宋体"/>
          <w:color w:val="000000" w:themeColor="text1"/>
          <w:sz w:val="21"/>
          <w:szCs w:val="21"/>
          <w:highlight w:val="none"/>
          <w:lang w:val="en-US" w:eastAsia="zh-CN"/>
          <w14:textFill>
            <w14:solidFill>
              <w14:schemeClr w14:val="tx1"/>
            </w14:solidFill>
          </w14:textFill>
        </w:rPr>
        <w:t>除采购活动</w:t>
      </w:r>
      <w:r>
        <w:rPr>
          <w:rFonts w:hint="eastAsia" w:ascii="宋体" w:hAnsi="宋体" w:eastAsia="宋体" w:cs="宋体"/>
          <w:color w:val="000000" w:themeColor="text1"/>
          <w:sz w:val="21"/>
          <w:szCs w:val="21"/>
          <w:highlight w:val="none"/>
          <w14:textFill>
            <w14:solidFill>
              <w14:schemeClr w14:val="tx1"/>
            </w14:solidFill>
          </w14:textFill>
        </w:rPr>
        <w:t>对商品包装</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快递包装</w:t>
      </w:r>
      <w:r>
        <w:rPr>
          <w:rFonts w:hint="eastAsia" w:ascii="宋体" w:hAnsi="宋体" w:eastAsia="宋体" w:cs="宋体"/>
          <w:color w:val="000000" w:themeColor="text1"/>
          <w:sz w:val="21"/>
          <w:szCs w:val="21"/>
          <w:highlight w:val="none"/>
          <w:lang w:val="en-US" w:eastAsia="zh-CN"/>
          <w14:textFill>
            <w14:solidFill>
              <w14:schemeClr w14:val="tx1"/>
            </w14:solidFill>
          </w14:textFill>
        </w:rPr>
        <w:t>达成具体约定外</w:t>
      </w:r>
      <w:r>
        <w:rPr>
          <w:rFonts w:hint="eastAsia" w:ascii="宋体" w:hAnsi="宋体" w:eastAsia="宋体" w:cs="宋体"/>
          <w:color w:val="000000" w:themeColor="text1"/>
          <w:sz w:val="21"/>
          <w:szCs w:val="21"/>
          <w:highlight w:val="none"/>
          <w14:textFill>
            <w14:solidFill>
              <w14:schemeClr w14:val="tx1"/>
            </w14:solidFill>
          </w14:textFill>
        </w:rPr>
        <w:t>，乙方提供产品及相关快递服务</w:t>
      </w:r>
      <w:r>
        <w:rPr>
          <w:rFonts w:hint="eastAsia" w:ascii="宋体" w:hAnsi="宋体" w:eastAsia="宋体" w:cs="宋体"/>
          <w:color w:val="000000" w:themeColor="text1"/>
          <w:sz w:val="21"/>
          <w:szCs w:val="21"/>
          <w:highlight w:val="none"/>
          <w:lang w:val="en-US" w:eastAsia="zh-CN"/>
          <w14:textFill>
            <w14:solidFill>
              <w14:schemeClr w14:val="tx1"/>
            </w14:solidFill>
          </w14:textFill>
        </w:rPr>
        <w:t>涉及到</w:t>
      </w:r>
      <w:r>
        <w:rPr>
          <w:rFonts w:hint="eastAsia" w:ascii="宋体" w:hAnsi="宋体" w:eastAsia="宋体" w:cs="宋体"/>
          <w:color w:val="000000" w:themeColor="text1"/>
          <w:sz w:val="21"/>
          <w:szCs w:val="21"/>
          <w:highlight w:val="none"/>
          <w14:textFill>
            <w14:solidFill>
              <w14:schemeClr w14:val="tx1"/>
            </w14:solidFill>
          </w14:textFill>
        </w:rPr>
        <w:t>具体包装要求</w:t>
      </w:r>
      <w:r>
        <w:rPr>
          <w:rFonts w:hint="eastAsia" w:ascii="宋体" w:hAnsi="宋体" w:eastAsia="宋体" w:cs="宋体"/>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color w:val="000000" w:themeColor="text1"/>
          <w:sz w:val="21"/>
          <w:szCs w:val="21"/>
          <w:highlight w:val="none"/>
          <w14:textFill>
            <w14:solidFill>
              <w14:schemeClr w14:val="tx1"/>
            </w14:solidFill>
          </w14:textFill>
        </w:rPr>
        <w:t>应</w:t>
      </w:r>
      <w:r>
        <w:rPr>
          <w:rFonts w:hint="eastAsia" w:ascii="宋体" w:hAnsi="宋体" w:eastAsia="宋体" w:cs="宋体"/>
          <w:color w:val="000000" w:themeColor="text1"/>
          <w:sz w:val="21"/>
          <w:szCs w:val="21"/>
          <w:highlight w:val="none"/>
          <w:lang w:val="en-US" w:eastAsia="zh-CN"/>
          <w14:textFill>
            <w14:solidFill>
              <w14:schemeClr w14:val="tx1"/>
            </w14:solidFill>
          </w14:textFill>
        </w:rPr>
        <w:t>不低于</w:t>
      </w:r>
      <w:r>
        <w:rPr>
          <w:rFonts w:hint="eastAsia" w:ascii="宋体" w:hAnsi="宋体" w:eastAsia="宋体" w:cs="宋体"/>
          <w:color w:val="000000" w:themeColor="text1"/>
          <w:sz w:val="21"/>
          <w:szCs w:val="21"/>
          <w:highlight w:val="none"/>
          <w14:textFill>
            <w14:solidFill>
              <w14:schemeClr w14:val="tx1"/>
            </w14:solidFill>
          </w14:textFill>
        </w:rPr>
        <w:t>《商品包装政府采购需求标准（试行）</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快递包装政府采购需求标准（试行）》</w:t>
      </w:r>
      <w:r>
        <w:rPr>
          <w:rFonts w:hint="eastAsia" w:ascii="宋体" w:hAnsi="宋体" w:eastAsia="宋体" w:cs="宋体"/>
          <w:color w:val="000000" w:themeColor="text1"/>
          <w:sz w:val="21"/>
          <w:szCs w:val="21"/>
          <w:highlight w:val="none"/>
          <w:lang w:val="en-US" w:eastAsia="zh-CN"/>
          <w14:textFill>
            <w14:solidFill>
              <w14:schemeClr w14:val="tx1"/>
            </w14:solidFill>
          </w14:textFill>
        </w:rPr>
        <w:t>标准</w:t>
      </w:r>
      <w:r>
        <w:rPr>
          <w:rFonts w:hint="eastAsia" w:ascii="宋体" w:hAnsi="宋体" w:eastAsia="宋体" w:cs="宋体"/>
          <w:color w:val="000000" w:themeColor="text1"/>
          <w:sz w:val="21"/>
          <w:szCs w:val="21"/>
          <w:highlight w:val="none"/>
          <w14:textFill>
            <w14:solidFill>
              <w14:schemeClr w14:val="tx1"/>
            </w14:solidFill>
          </w14:textFill>
        </w:rPr>
        <w:t>，并作为履约验收的内容，必要时甲方可以要求乙方在履约验收环节出具检测报告。</w:t>
      </w:r>
    </w:p>
    <w:p w14:paraId="195EE92E">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7.5 </w:t>
      </w:r>
      <w:r>
        <w:rPr>
          <w:rFonts w:hint="eastAsia" w:ascii="宋体" w:hAnsi="宋体" w:eastAsia="宋体" w:cs="宋体"/>
          <w:color w:val="000000"/>
          <w:sz w:val="21"/>
          <w:szCs w:val="21"/>
          <w:highlight w:val="none"/>
        </w:rPr>
        <w:t>乙方在运输到达之前</w:t>
      </w:r>
      <w:r>
        <w:rPr>
          <w:rFonts w:hint="eastAsia" w:ascii="宋体" w:hAnsi="宋体" w:eastAsia="宋体" w:cs="宋体"/>
          <w:color w:val="000000"/>
          <w:sz w:val="21"/>
          <w:szCs w:val="21"/>
          <w:highlight w:val="none"/>
          <w:lang w:eastAsia="zh-CN"/>
        </w:rPr>
        <w:t>应</w:t>
      </w:r>
      <w:r>
        <w:rPr>
          <w:rFonts w:hint="eastAsia" w:ascii="宋体" w:hAnsi="宋体" w:eastAsia="宋体" w:cs="宋体"/>
          <w:color w:val="000000"/>
          <w:sz w:val="21"/>
          <w:szCs w:val="21"/>
          <w:highlight w:val="none"/>
        </w:rPr>
        <w:t>提前通知</w:t>
      </w:r>
      <w:r>
        <w:rPr>
          <w:rFonts w:hint="eastAsia" w:ascii="宋体" w:hAnsi="宋体" w:eastAsia="宋体" w:cs="宋体"/>
          <w:color w:val="000000"/>
          <w:sz w:val="21"/>
          <w:szCs w:val="21"/>
          <w:highlight w:val="none"/>
          <w:lang w:eastAsia="zh-CN"/>
        </w:rPr>
        <w:t>甲方</w:t>
      </w:r>
      <w:r>
        <w:rPr>
          <w:rFonts w:hint="eastAsia" w:ascii="宋体" w:hAnsi="宋体" w:eastAsia="宋体" w:cs="宋体"/>
          <w:color w:val="000000"/>
          <w:sz w:val="21"/>
          <w:szCs w:val="21"/>
          <w:highlight w:val="none"/>
        </w:rPr>
        <w:t>，并提示货物运输装卸的注意事项</w:t>
      </w:r>
      <w:r>
        <w:rPr>
          <w:rFonts w:hint="eastAsia" w:ascii="宋体" w:hAnsi="宋体" w:eastAsia="宋体" w:cs="宋体"/>
          <w:color w:val="000000"/>
          <w:sz w:val="21"/>
          <w:szCs w:val="21"/>
          <w:highlight w:val="none"/>
          <w:lang w:eastAsia="zh-CN"/>
        </w:rPr>
        <w:t>，甲方配合乙方做好货物的接收工作。</w:t>
      </w:r>
    </w:p>
    <w:p w14:paraId="19A53217">
      <w:pPr>
        <w:pStyle w:val="51"/>
        <w:rPr>
          <w:rFonts w:hint="eastAsia" w:ascii="宋体" w:hAnsi="宋体" w:eastAsia="宋体" w:cs="宋体"/>
          <w:sz w:val="21"/>
          <w:szCs w:val="21"/>
          <w:highlight w:val="none"/>
          <w:lang w:val="en-US" w:eastAsia="zh-CN"/>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宋体"/>
          <w:color w:val="000000"/>
          <w:kern w:val="2"/>
          <w:sz w:val="21"/>
          <w:szCs w:val="21"/>
          <w:highlight w:val="none"/>
        </w:rPr>
        <w:t>如因包装</w:t>
      </w:r>
      <w:r>
        <w:rPr>
          <w:rFonts w:hint="eastAsia" w:ascii="宋体" w:hAnsi="宋体" w:eastAsia="宋体" w:cs="宋体"/>
          <w:color w:val="000000"/>
          <w:kern w:val="2"/>
          <w:sz w:val="21"/>
          <w:szCs w:val="21"/>
          <w:highlight w:val="none"/>
          <w:lang w:eastAsia="zh-CN"/>
        </w:rPr>
        <w:t>、运输</w:t>
      </w:r>
      <w:r>
        <w:rPr>
          <w:rFonts w:hint="eastAsia" w:ascii="宋体" w:hAnsi="宋体" w:eastAsia="宋体" w:cs="宋体"/>
          <w:color w:val="000000"/>
          <w:kern w:val="2"/>
          <w:sz w:val="21"/>
          <w:szCs w:val="21"/>
          <w:highlight w:val="none"/>
        </w:rPr>
        <w:t>问题导致货物</w:t>
      </w:r>
      <w:r>
        <w:rPr>
          <w:rFonts w:hint="eastAsia" w:ascii="宋体" w:hAnsi="宋体" w:eastAsia="宋体" w:cs="宋体"/>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宋体"/>
          <w:color w:val="000000"/>
          <w:kern w:val="2"/>
          <w:sz w:val="21"/>
          <w:szCs w:val="21"/>
          <w:highlight w:val="none"/>
        </w:rPr>
        <w:t>或者品质下降，</w:t>
      </w:r>
      <w:r>
        <w:rPr>
          <w:rFonts w:hint="eastAsia" w:ascii="宋体" w:hAnsi="宋体" w:eastAsia="宋体" w:cs="宋体"/>
          <w:color w:val="000000"/>
          <w:kern w:val="2"/>
          <w:sz w:val="21"/>
          <w:szCs w:val="21"/>
          <w:highlight w:val="none"/>
          <w:lang w:eastAsia="zh-CN"/>
        </w:rPr>
        <w:t>甲方</w:t>
      </w:r>
      <w:r>
        <w:rPr>
          <w:rFonts w:hint="eastAsia" w:ascii="宋体" w:hAnsi="宋体" w:eastAsia="宋体" w:cs="宋体"/>
          <w:color w:val="000000"/>
          <w:kern w:val="2"/>
          <w:sz w:val="21"/>
          <w:szCs w:val="21"/>
          <w:highlight w:val="none"/>
        </w:rPr>
        <w:t>有权要求降价、换货、拒收部分或整批货物，由此</w:t>
      </w:r>
      <w:r>
        <w:rPr>
          <w:rFonts w:hint="eastAsia" w:ascii="宋体" w:hAnsi="宋体" w:eastAsia="宋体" w:cs="宋体"/>
          <w:color w:val="000000"/>
          <w:kern w:val="2"/>
          <w:sz w:val="21"/>
          <w:szCs w:val="21"/>
          <w:highlight w:val="none"/>
          <w:lang w:eastAsia="zh-CN"/>
        </w:rPr>
        <w:t>产生</w:t>
      </w:r>
      <w:r>
        <w:rPr>
          <w:rFonts w:hint="eastAsia" w:ascii="宋体" w:hAnsi="宋体" w:eastAsia="宋体" w:cs="宋体"/>
          <w:color w:val="000000"/>
          <w:kern w:val="2"/>
          <w:sz w:val="21"/>
          <w:szCs w:val="21"/>
          <w:highlight w:val="none"/>
        </w:rPr>
        <w:t>的费用和损失，均由</w:t>
      </w:r>
      <w:r>
        <w:rPr>
          <w:rFonts w:hint="eastAsia" w:ascii="宋体" w:hAnsi="宋体" w:eastAsia="宋体" w:cs="宋体"/>
          <w:color w:val="000000"/>
          <w:kern w:val="2"/>
          <w:sz w:val="21"/>
          <w:szCs w:val="21"/>
          <w:highlight w:val="none"/>
          <w:lang w:eastAsia="zh-CN"/>
        </w:rPr>
        <w:t>乙方</w:t>
      </w:r>
      <w:r>
        <w:rPr>
          <w:rFonts w:hint="eastAsia" w:ascii="宋体" w:hAnsi="宋体" w:eastAsia="宋体" w:cs="宋体"/>
          <w:color w:val="000000"/>
          <w:kern w:val="2"/>
          <w:sz w:val="21"/>
          <w:szCs w:val="21"/>
          <w:highlight w:val="none"/>
        </w:rPr>
        <w:t>承担。</w:t>
      </w:r>
    </w:p>
    <w:p w14:paraId="4EF9BFB9">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000000" w:themeColor="text1"/>
          <w:sz w:val="21"/>
          <w:szCs w:val="21"/>
          <w:highlight w:val="none"/>
          <w:lang w:eastAsia="zh-CN"/>
          <w14:textFill>
            <w14:solidFill>
              <w14:schemeClr w14:val="tx1"/>
            </w14:solidFill>
          </w14:textFill>
        </w:rPr>
        <w:t>8</w:t>
      </w:r>
      <w:r>
        <w:rPr>
          <w:rFonts w:hint="eastAsia" w:ascii="宋体" w:hAnsi="宋体" w:eastAsia="宋体" w:cs="宋体"/>
          <w:b/>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color w:val="auto"/>
          <w:sz w:val="21"/>
          <w:szCs w:val="21"/>
          <w:highlight w:val="none"/>
        </w:rPr>
        <w:t>质量标准和保证</w:t>
      </w:r>
    </w:p>
    <w:p w14:paraId="7E3DAFEC">
      <w:pPr>
        <w:pStyle w:val="25"/>
        <w:adjustRightInd w:val="0"/>
        <w:snapToGrid w:val="0"/>
        <w:spacing w:before="0" w:line="400" w:lineRule="exact"/>
        <w:ind w:firstLine="420" w:firstLineChars="200"/>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.1 质量标准</w:t>
      </w:r>
    </w:p>
    <w:p w14:paraId="2A973F4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w:t>
      </w:r>
      <w:r>
        <w:rPr>
          <w:rFonts w:hint="eastAsia" w:ascii="宋体" w:hAnsi="宋体" w:eastAsia="宋体" w:cs="宋体"/>
          <w:color w:val="000000"/>
          <w:sz w:val="21"/>
          <w:szCs w:val="21"/>
          <w:highlight w:val="none"/>
          <w:lang w:eastAsia="zh-CN"/>
        </w:rPr>
        <w:t>约</w:t>
      </w:r>
      <w:r>
        <w:rPr>
          <w:rFonts w:hint="eastAsia" w:ascii="宋体" w:hAnsi="宋体" w:eastAsia="宋体" w:cs="宋体"/>
          <w:color w:val="000000"/>
          <w:sz w:val="21"/>
          <w:szCs w:val="21"/>
          <w:highlight w:val="none"/>
        </w:rPr>
        <w:t>定的</w:t>
      </w:r>
      <w:r>
        <w:rPr>
          <w:rFonts w:hint="eastAsia" w:ascii="宋体" w:hAnsi="宋体" w:eastAsia="宋体" w:cs="宋体"/>
          <w:sz w:val="21"/>
          <w:szCs w:val="21"/>
          <w:highlight w:val="none"/>
        </w:rPr>
        <w:t>品牌、规格型号、技术性能、配置、质量、数量等要求。</w:t>
      </w:r>
      <w:r>
        <w:rPr>
          <w:rFonts w:hint="eastAsia" w:ascii="宋体" w:hAnsi="宋体" w:eastAsia="宋体" w:cs="宋体"/>
          <w:color w:val="auto"/>
          <w:sz w:val="21"/>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14:paraId="443E6BDE">
      <w:pPr>
        <w:pStyle w:val="2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（2）采用中华人民共和国法定计量单位。</w:t>
      </w:r>
    </w:p>
    <w:p w14:paraId="3590177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14:paraId="5046364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14:paraId="2854F4A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14:paraId="02A32C0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w:t>
      </w:r>
      <w:r>
        <w:rPr>
          <w:rFonts w:hint="eastAsia" w:ascii="宋体" w:hAnsi="宋体" w:eastAsia="宋体" w:cs="宋体"/>
          <w:sz w:val="21"/>
          <w:szCs w:val="21"/>
          <w:highlight w:val="none"/>
        </w:rPr>
        <w:t>在其使用寿命期内具</w:t>
      </w:r>
      <w:r>
        <w:rPr>
          <w:rFonts w:hint="eastAsia" w:ascii="宋体" w:hAnsi="宋体" w:eastAsia="宋体" w:cs="宋体"/>
          <w:sz w:val="21"/>
          <w:szCs w:val="21"/>
          <w:highlight w:val="none"/>
          <w:lang w:eastAsia="zh-CN"/>
        </w:rPr>
        <w:t>备合同约定</w:t>
      </w:r>
      <w:r>
        <w:rPr>
          <w:rFonts w:hint="eastAsia" w:ascii="宋体" w:hAnsi="宋体" w:eastAsia="宋体" w:cs="宋体"/>
          <w:sz w:val="21"/>
          <w:szCs w:val="21"/>
          <w:highlight w:val="none"/>
        </w:rPr>
        <w:t>的性能</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14:paraId="490395C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14:paraId="51A0B40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14:paraId="428B134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000000" w:themeColor="text1"/>
          <w:sz w:val="21"/>
          <w:szCs w:val="21"/>
          <w:highlight w:val="none"/>
          <w:lang w:eastAsia="zh-CN"/>
          <w14:textFill>
            <w14:solidFill>
              <w14:schemeClr w14:val="tx1"/>
            </w14:solidFill>
          </w14:textFill>
        </w:rPr>
        <w:t>追究</w:t>
      </w:r>
      <w:r>
        <w:rPr>
          <w:rFonts w:hint="eastAsia" w:ascii="宋体" w:hAnsi="宋体" w:eastAsia="宋体" w:cs="宋体"/>
          <w:color w:val="auto"/>
          <w:sz w:val="21"/>
          <w:szCs w:val="21"/>
          <w:highlight w:val="none"/>
        </w:rPr>
        <w:t>乙方</w:t>
      </w:r>
      <w:r>
        <w:rPr>
          <w:rFonts w:hint="eastAsia" w:ascii="宋体" w:hAnsi="宋体" w:eastAsia="宋体" w:cs="宋体"/>
          <w:color w:val="000000" w:themeColor="text1"/>
          <w:sz w:val="21"/>
          <w:szCs w:val="21"/>
          <w:highlight w:val="none"/>
          <w:lang w:eastAsia="zh-CN"/>
          <w14:textFill>
            <w14:solidFill>
              <w14:schemeClr w14:val="tx1"/>
            </w14:solidFill>
          </w14:textFill>
        </w:rPr>
        <w:t>的违约责任</w:t>
      </w:r>
      <w:r>
        <w:rPr>
          <w:rFonts w:hint="eastAsia" w:ascii="宋体" w:hAnsi="宋体" w:eastAsia="宋体" w:cs="宋体"/>
          <w:color w:val="auto"/>
          <w:sz w:val="21"/>
          <w:szCs w:val="21"/>
          <w:highlight w:val="none"/>
        </w:rPr>
        <w:t>。</w:t>
      </w:r>
    </w:p>
    <w:p w14:paraId="6E547925">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14:paraId="55A71774">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000000" w:themeColor="text1"/>
          <w:sz w:val="21"/>
          <w:szCs w:val="21"/>
          <w:highlight w:val="none"/>
          <w:lang w:eastAsia="zh-CN"/>
          <w14:textFill>
            <w14:solidFill>
              <w14:schemeClr w14:val="tx1"/>
            </w14:solidFill>
          </w14:textFill>
        </w:rPr>
        <w:t>9</w:t>
      </w:r>
      <w:r>
        <w:rPr>
          <w:rFonts w:hint="eastAsia" w:ascii="宋体" w:hAnsi="宋体" w:eastAsia="宋体" w:cs="宋体"/>
          <w:b/>
          <w:bCs/>
          <w:color w:val="auto"/>
          <w:sz w:val="21"/>
          <w:szCs w:val="21"/>
          <w:highlight w:val="none"/>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bCs/>
          <w:color w:val="auto"/>
          <w:sz w:val="21"/>
          <w:szCs w:val="21"/>
          <w:highlight w:val="none"/>
        </w:rPr>
        <w:t>权利瑕疵担保</w:t>
      </w:r>
    </w:p>
    <w:p w14:paraId="70174298">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t>.1 乙方保证对其出售的货物享有合法的权利。</w:t>
      </w:r>
    </w:p>
    <w:p w14:paraId="2D728270">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t xml:space="preserve">.2 </w:t>
      </w:r>
      <w:r>
        <w:rPr>
          <w:rFonts w:hint="eastAsia" w:ascii="宋体" w:hAnsi="宋体" w:eastAsia="宋体" w:cs="宋体"/>
          <w:sz w:val="21"/>
          <w:szCs w:val="21"/>
          <w:highlight w:val="none"/>
        </w:rPr>
        <w:t>乙方保证在交付的货物上不存在抵押权等担保物权。</w:t>
      </w:r>
    </w:p>
    <w:p w14:paraId="13DD68D9">
      <w:pPr>
        <w:autoSpaceDE w:val="0"/>
        <w:autoSpaceDN w:val="0"/>
        <w:adjustRightInd w:val="0"/>
        <w:snapToGrid w:val="0"/>
        <w:spacing w:before="0" w:line="40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t>.3 如甲方使用</w:t>
      </w:r>
      <w:r>
        <w:rPr>
          <w:rFonts w:hint="eastAsia" w:ascii="宋体" w:hAnsi="宋体" w:eastAsia="宋体" w:cs="宋体"/>
          <w:color w:val="000000" w:themeColor="text1"/>
          <w:sz w:val="21"/>
          <w:szCs w:val="21"/>
          <w:highlight w:val="none"/>
          <w:lang w:val="en-US" w:eastAsia="zh-CN"/>
          <w14:textFill>
            <w14:solidFill>
              <w14:schemeClr w14:val="tx1"/>
            </w14:solidFill>
          </w14:textFill>
        </w:rPr>
        <w:t>上述</w:t>
      </w:r>
      <w:r>
        <w:rPr>
          <w:rFonts w:hint="eastAsia" w:ascii="宋体" w:hAnsi="宋体" w:eastAsia="宋体" w:cs="宋体"/>
          <w:color w:val="000000" w:themeColor="text1"/>
          <w:sz w:val="21"/>
          <w:szCs w:val="21"/>
          <w:highlight w:val="none"/>
          <w14:textFill>
            <w14:solidFill>
              <w14:schemeClr w14:val="tx1"/>
            </w14:solidFill>
          </w14:textFill>
        </w:rPr>
        <w:t>货物构成</w:t>
      </w:r>
      <w:r>
        <w:rPr>
          <w:rFonts w:hint="eastAsia" w:ascii="宋体" w:hAnsi="宋体" w:eastAsia="宋体" w:cs="宋体"/>
          <w:color w:val="000000" w:themeColor="text1"/>
          <w:sz w:val="21"/>
          <w:szCs w:val="21"/>
          <w:highlight w:val="none"/>
          <w:lang w:val="en-US" w:eastAsia="zh-CN"/>
          <w14:textFill>
            <w14:solidFill>
              <w14:schemeClr w14:val="tx1"/>
            </w14:solidFill>
          </w14:textFill>
        </w:rPr>
        <w:t>对第三人</w:t>
      </w:r>
      <w:r>
        <w:rPr>
          <w:rFonts w:hint="eastAsia" w:ascii="宋体" w:hAnsi="宋体" w:eastAsia="宋体" w:cs="宋体"/>
          <w:color w:val="000000" w:themeColor="text1"/>
          <w:sz w:val="21"/>
          <w:szCs w:val="21"/>
          <w:highlight w:val="none"/>
          <w14:textFill>
            <w14:solidFill>
              <w14:schemeClr w14:val="tx1"/>
            </w14:solidFill>
          </w14:textFill>
        </w:rPr>
        <w:t>侵权的，则由乙方承担全部责任。</w:t>
      </w:r>
    </w:p>
    <w:p w14:paraId="5344951D">
      <w:pPr>
        <w:autoSpaceDE w:val="0"/>
        <w:autoSpaceDN w:val="0"/>
        <w:adjustRightInd w:val="0"/>
        <w:snapToGrid w:val="0"/>
        <w:spacing w:before="0" w:line="400" w:lineRule="exact"/>
        <w:jc w:val="left"/>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1</w:t>
      </w:r>
      <w:r>
        <w:rPr>
          <w:rFonts w:hint="eastAsia" w:ascii="宋体" w:hAnsi="宋体" w:eastAsia="宋体" w:cs="宋体"/>
          <w:b/>
          <w:bCs/>
          <w:color w:val="000000" w:themeColor="text1"/>
          <w:sz w:val="21"/>
          <w:szCs w:val="21"/>
          <w:highlight w:val="none"/>
          <w:lang w:eastAsia="zh-CN"/>
          <w14:textFill>
            <w14:solidFill>
              <w14:schemeClr w14:val="tx1"/>
            </w14:solidFill>
          </w14:textFill>
        </w:rPr>
        <w:t>0</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highlight w:val="none"/>
          <w14:textFill>
            <w14:solidFill>
              <w14:schemeClr w14:val="tx1"/>
            </w14:solidFill>
          </w14:textFill>
        </w:rPr>
        <w:t>知识产权保护</w:t>
      </w:r>
    </w:p>
    <w:p w14:paraId="6078695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0</w:t>
      </w:r>
      <w:r>
        <w:rPr>
          <w:rFonts w:hint="eastAsia" w:ascii="宋体" w:hAnsi="宋体" w:eastAsia="宋体" w:cs="宋体"/>
          <w:color w:val="000000" w:themeColor="text1"/>
          <w:sz w:val="2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eastAsia="宋体" w:cs="宋体"/>
          <w:color w:val="auto"/>
          <w:sz w:val="21"/>
          <w:szCs w:val="21"/>
          <w:highlight w:val="none"/>
        </w:rPr>
        <w:t>何第三人的知识产权等权利。</w:t>
      </w:r>
      <w:bookmarkStart w:id="127" w:name="_Hlk163047038"/>
      <w:r>
        <w:rPr>
          <w:rFonts w:hint="eastAsia" w:ascii="宋体" w:hAnsi="宋体" w:eastAsia="宋体" w:cs="宋体"/>
          <w:sz w:val="21"/>
          <w:szCs w:val="21"/>
          <w:highlight w:val="none"/>
        </w:rPr>
        <w:t>因违反前述约定对第三人构成侵权的，应当由乙方向第三人承担法律责任；甲方依法向第三人赔偿后，有权向乙方追偿。甲方有其他损失的，乙方应当赔偿</w:t>
      </w:r>
      <w:bookmarkEnd w:id="127"/>
      <w:r>
        <w:rPr>
          <w:rFonts w:hint="eastAsia" w:ascii="宋体" w:hAnsi="宋体" w:eastAsia="宋体" w:cs="宋体"/>
          <w:color w:val="auto"/>
          <w:sz w:val="21"/>
          <w:szCs w:val="21"/>
          <w:highlight w:val="none"/>
        </w:rPr>
        <w:t>。</w:t>
      </w:r>
    </w:p>
    <w:p w14:paraId="6E429550">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14:paraId="6107F407">
      <w:pPr>
        <w:autoSpaceDE w:val="0"/>
        <w:autoSpaceDN w:val="0"/>
        <w:adjustRightInd w:val="0"/>
        <w:snapToGrid w:val="0"/>
        <w:spacing w:before="0"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11.1 </w:t>
      </w:r>
      <w:r>
        <w:rPr>
          <w:rFonts w:hint="eastAsia" w:ascii="宋体" w:hAnsi="宋体" w:eastAsia="宋体" w:cs="宋体"/>
          <w:sz w:val="21"/>
          <w:szCs w:val="21"/>
          <w:highlight w:val="none"/>
        </w:rPr>
        <w:t>甲、乙双方</w:t>
      </w:r>
      <w:r>
        <w:rPr>
          <w:rFonts w:hint="eastAsia" w:ascii="宋体" w:hAnsi="宋体" w:eastAsia="宋体" w:cs="宋体"/>
          <w:sz w:val="21"/>
          <w:szCs w:val="21"/>
          <w:highlight w:val="none"/>
          <w:lang w:eastAsia="zh-CN"/>
        </w:rPr>
        <w:t>对</w:t>
      </w:r>
      <w:r>
        <w:rPr>
          <w:rFonts w:hint="eastAsia" w:ascii="宋体" w:hAnsi="宋体" w:eastAsia="宋体" w:cs="宋体"/>
          <w:sz w:val="21"/>
          <w:szCs w:val="21"/>
          <w:highlight w:val="none"/>
        </w:rPr>
        <w:t>采购和合同履行过程中所获悉的</w:t>
      </w:r>
      <w:r>
        <w:rPr>
          <w:rFonts w:hint="eastAsia" w:ascii="宋体" w:hAnsi="宋体" w:eastAsia="宋体" w:cs="宋体"/>
          <w:sz w:val="21"/>
          <w:szCs w:val="21"/>
          <w:highlight w:val="none"/>
          <w:lang w:eastAsia="zh-CN"/>
        </w:rPr>
        <w:t>国家秘密、工作秘密、</w:t>
      </w:r>
      <w:r>
        <w:rPr>
          <w:rFonts w:hint="eastAsia" w:ascii="宋体" w:hAnsi="宋体" w:eastAsia="宋体" w:cs="宋体"/>
          <w:sz w:val="21"/>
          <w:szCs w:val="21"/>
          <w:highlight w:val="none"/>
        </w:rPr>
        <w:t>商业秘密或者其他应当保密的信息，均有保密义务</w:t>
      </w:r>
      <w:r>
        <w:rPr>
          <w:rFonts w:hint="eastAsia" w:ascii="宋体" w:hAnsi="宋体" w:eastAsia="宋体" w:cs="宋体"/>
          <w:sz w:val="21"/>
          <w:szCs w:val="21"/>
          <w:highlight w:val="none"/>
          <w:lang w:eastAsia="zh-CN"/>
        </w:rPr>
        <w:t>且不受合同有效期所限，直至该信息成为公开信息</w:t>
      </w:r>
      <w:r>
        <w:rPr>
          <w:rFonts w:hint="eastAsia" w:ascii="宋体" w:hAnsi="宋体" w:eastAsia="宋体" w:cs="宋体"/>
          <w:sz w:val="21"/>
          <w:szCs w:val="21"/>
          <w:highlight w:val="none"/>
        </w:rPr>
        <w:t>。泄露、不正当地使用</w:t>
      </w:r>
      <w:r>
        <w:rPr>
          <w:rFonts w:hint="eastAsia" w:ascii="宋体" w:hAnsi="宋体" w:eastAsia="宋体" w:cs="宋体"/>
          <w:sz w:val="21"/>
          <w:szCs w:val="21"/>
          <w:highlight w:val="none"/>
          <w:lang w:eastAsia="zh-CN"/>
        </w:rPr>
        <w:t>国家秘密、工作秘密、</w:t>
      </w:r>
      <w:r>
        <w:rPr>
          <w:rFonts w:hint="eastAsia" w:ascii="宋体" w:hAnsi="宋体" w:eastAsia="宋体" w:cs="宋体"/>
          <w:sz w:val="21"/>
          <w:szCs w:val="21"/>
          <w:highlight w:val="none"/>
        </w:rPr>
        <w:t>商业秘密或者</w:t>
      </w:r>
      <w:r>
        <w:rPr>
          <w:rFonts w:hint="eastAsia" w:ascii="宋体" w:hAnsi="宋体" w:eastAsia="宋体" w:cs="宋体"/>
          <w:sz w:val="21"/>
          <w:szCs w:val="21"/>
          <w:highlight w:val="none"/>
          <w:lang w:eastAsia="zh-CN"/>
        </w:rPr>
        <w:t>其他应当保密的</w:t>
      </w:r>
      <w:r>
        <w:rPr>
          <w:rFonts w:hint="eastAsia" w:ascii="宋体" w:hAnsi="宋体" w:eastAsia="宋体" w:cs="宋体"/>
          <w:sz w:val="21"/>
          <w:szCs w:val="21"/>
          <w:highlight w:val="none"/>
        </w:rPr>
        <w:t>信息，应当承担</w:t>
      </w:r>
      <w:r>
        <w:rPr>
          <w:rFonts w:hint="eastAsia" w:ascii="宋体" w:hAnsi="宋体" w:eastAsia="宋体" w:cs="宋体"/>
          <w:sz w:val="21"/>
          <w:szCs w:val="21"/>
          <w:highlight w:val="none"/>
          <w:lang w:eastAsia="zh-CN"/>
        </w:rPr>
        <w:t>相应</w:t>
      </w:r>
      <w:r>
        <w:rPr>
          <w:rFonts w:hint="eastAsia" w:ascii="宋体" w:hAnsi="宋体" w:eastAsia="宋体" w:cs="宋体"/>
          <w:sz w:val="21"/>
          <w:szCs w:val="21"/>
          <w:highlight w:val="none"/>
        </w:rPr>
        <w:t>责任。其他应当保密的信息由双方在</w:t>
      </w:r>
      <w:r>
        <w:rPr>
          <w:rFonts w:hint="eastAsia" w:ascii="宋体" w:hAnsi="宋体" w:eastAsia="宋体" w:cs="宋体"/>
          <w:b/>
          <w:bCs/>
          <w:sz w:val="21"/>
          <w:szCs w:val="21"/>
          <w:highlight w:val="none"/>
        </w:rPr>
        <w:t>【政府采购合同专用条款】</w:t>
      </w:r>
      <w:r>
        <w:rPr>
          <w:rFonts w:hint="eastAsia" w:ascii="宋体" w:hAnsi="宋体" w:eastAsia="宋体" w:cs="宋体"/>
          <w:sz w:val="21"/>
          <w:szCs w:val="21"/>
          <w:highlight w:val="none"/>
        </w:rPr>
        <w:t>中约定。</w:t>
      </w:r>
    </w:p>
    <w:p w14:paraId="6139E8C1">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14:paraId="74414770">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合同价款支付</w:t>
      </w:r>
      <w:r>
        <w:rPr>
          <w:rFonts w:hint="eastAsia" w:ascii="宋体" w:hAnsi="宋体" w:eastAsia="宋体" w:cs="宋体"/>
          <w:color w:val="auto"/>
          <w:sz w:val="21"/>
          <w:szCs w:val="21"/>
          <w:highlight w:val="none"/>
        </w:rPr>
        <w:t>按照国库集中支付</w:t>
      </w:r>
      <w:r>
        <w:rPr>
          <w:rFonts w:hint="eastAsia" w:ascii="宋体" w:hAnsi="宋体" w:eastAsia="宋体" w:cs="宋体"/>
          <w:color w:val="auto"/>
          <w:sz w:val="21"/>
          <w:szCs w:val="21"/>
          <w:highlight w:val="none"/>
          <w:lang w:eastAsia="zh-CN"/>
        </w:rPr>
        <w:t>制度及财政管理相关</w:t>
      </w:r>
      <w:r>
        <w:rPr>
          <w:rFonts w:hint="eastAsia" w:ascii="宋体" w:hAnsi="宋体" w:eastAsia="宋体" w:cs="宋体"/>
          <w:color w:val="auto"/>
          <w:sz w:val="21"/>
          <w:szCs w:val="21"/>
          <w:highlight w:val="none"/>
        </w:rPr>
        <w:t>规定执行。</w:t>
      </w:r>
    </w:p>
    <w:p w14:paraId="75C1BCC3">
      <w:pPr>
        <w:pStyle w:val="3"/>
        <w:spacing w:line="400" w:lineRule="exact"/>
        <w:ind w:firstLine="420" w:firstLineChars="200"/>
        <w:rPr>
          <w:rFonts w:hint="eastAsia" w:ascii="宋体" w:hAnsi="宋体" w:eastAsia="宋体" w:cs="宋体"/>
          <w:color w:val="auto"/>
          <w:sz w:val="21"/>
          <w:szCs w:val="21"/>
          <w:highlight w:val="none"/>
          <w:lang w:eastAsia="zh-CN"/>
        </w:rPr>
      </w:pPr>
      <w:bookmarkStart w:id="128" w:name="_Toc4616"/>
      <w:r>
        <w:rPr>
          <w:rFonts w:hint="eastAsia" w:ascii="宋体" w:hAnsi="宋体" w:eastAsia="宋体" w:cs="宋体"/>
          <w:b w:val="0"/>
          <w:bCs w:val="0"/>
          <w:color w:val="auto"/>
          <w:sz w:val="21"/>
          <w:szCs w:val="21"/>
          <w:highlight w:val="none"/>
          <w:lang w:val="en-US" w:eastAsia="zh-CN"/>
        </w:rPr>
        <w:t xml:space="preserve">12.2 </w:t>
      </w:r>
      <w:r>
        <w:rPr>
          <w:rFonts w:hint="eastAsia" w:ascii="宋体" w:hAnsi="宋体" w:eastAsia="宋体" w:cs="宋体"/>
          <w:b w:val="0"/>
          <w:bCs w:val="0"/>
          <w:color w:val="auto"/>
          <w:kern w:val="2"/>
          <w:sz w:val="21"/>
          <w:szCs w:val="21"/>
          <w:highlight w:val="none"/>
        </w:rPr>
        <w:t>对于满足合同约定支付条件的，</w:t>
      </w:r>
      <w:r>
        <w:rPr>
          <w:rFonts w:hint="eastAsia" w:ascii="宋体" w:hAnsi="宋体" w:eastAsia="宋体" w:cs="宋体"/>
          <w:b w:val="0"/>
          <w:bCs w:val="0"/>
          <w:color w:val="auto"/>
          <w:kern w:val="2"/>
          <w:sz w:val="21"/>
          <w:szCs w:val="21"/>
          <w:highlight w:val="none"/>
          <w:lang w:val="en-US" w:eastAsia="zh-CN"/>
        </w:rPr>
        <w:t>甲方</w:t>
      </w:r>
      <w:r>
        <w:rPr>
          <w:rFonts w:hint="eastAsia" w:ascii="宋体" w:hAnsi="宋体" w:eastAsia="宋体" w:cs="宋体"/>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宋体"/>
          <w:b w:val="0"/>
          <w:bCs w:val="0"/>
          <w:color w:val="auto"/>
          <w:kern w:val="2"/>
          <w:sz w:val="21"/>
          <w:szCs w:val="21"/>
          <w:highlight w:val="none"/>
        </w:rPr>
        <w:t>将资金支付到合同约定的</w:t>
      </w:r>
      <w:r>
        <w:rPr>
          <w:rFonts w:hint="eastAsia" w:ascii="宋体" w:hAnsi="宋体" w:eastAsia="宋体" w:cs="宋体"/>
          <w:b w:val="0"/>
          <w:bCs w:val="0"/>
          <w:color w:val="auto"/>
          <w:kern w:val="2"/>
          <w:sz w:val="21"/>
          <w:szCs w:val="21"/>
          <w:highlight w:val="none"/>
          <w:lang w:eastAsia="zh-CN"/>
        </w:rPr>
        <w:t>乙方</w:t>
      </w:r>
      <w:r>
        <w:rPr>
          <w:rFonts w:hint="eastAsia" w:ascii="宋体" w:hAnsi="宋体" w:eastAsia="宋体" w:cs="宋体"/>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1"/>
          <w:szCs w:val="21"/>
          <w:highlight w:val="none"/>
          <w:lang w:val="en-US" w:eastAsia="zh-CN"/>
        </w:rPr>
        <w:t>乙方</w:t>
      </w:r>
      <w:r>
        <w:rPr>
          <w:rFonts w:hint="eastAsia" w:ascii="宋体" w:hAnsi="宋体" w:eastAsia="宋体" w:cs="宋体"/>
          <w:b w:val="0"/>
          <w:bCs w:val="0"/>
          <w:color w:val="auto"/>
          <w:kern w:val="2"/>
          <w:sz w:val="21"/>
          <w:szCs w:val="21"/>
          <w:highlight w:val="none"/>
        </w:rPr>
        <w:t>付款的条件。具体合同价款支付时间在【</w:t>
      </w:r>
      <w:r>
        <w:rPr>
          <w:rFonts w:hint="eastAsia" w:ascii="宋体" w:hAnsi="宋体" w:eastAsia="宋体" w:cs="宋体"/>
          <w:b/>
          <w:bCs/>
          <w:color w:val="auto"/>
          <w:kern w:val="2"/>
          <w:sz w:val="21"/>
          <w:szCs w:val="21"/>
          <w:highlight w:val="none"/>
        </w:rPr>
        <w:t>政府采购合同专用条款</w:t>
      </w:r>
      <w:r>
        <w:rPr>
          <w:rFonts w:hint="eastAsia" w:ascii="宋体" w:hAnsi="宋体" w:eastAsia="宋体" w:cs="宋体"/>
          <w:b w:val="0"/>
          <w:bCs w:val="0"/>
          <w:color w:val="auto"/>
          <w:kern w:val="2"/>
          <w:sz w:val="21"/>
          <w:szCs w:val="21"/>
          <w:highlight w:val="none"/>
        </w:rPr>
        <w:t>】中</w:t>
      </w:r>
      <w:r>
        <w:rPr>
          <w:rFonts w:hint="eastAsia" w:ascii="宋体" w:hAnsi="宋体" w:eastAsia="宋体" w:cs="宋体"/>
          <w:b w:val="0"/>
          <w:bCs w:val="0"/>
          <w:color w:val="auto"/>
          <w:kern w:val="2"/>
          <w:sz w:val="21"/>
          <w:szCs w:val="21"/>
          <w:highlight w:val="none"/>
          <w:lang w:eastAsia="zh-CN"/>
        </w:rPr>
        <w:t>约</w:t>
      </w:r>
      <w:r>
        <w:rPr>
          <w:rFonts w:hint="eastAsia" w:ascii="宋体" w:hAnsi="宋体" w:eastAsia="宋体" w:cs="宋体"/>
          <w:b w:val="0"/>
          <w:bCs w:val="0"/>
          <w:color w:val="auto"/>
          <w:kern w:val="2"/>
          <w:sz w:val="21"/>
          <w:szCs w:val="21"/>
          <w:highlight w:val="none"/>
        </w:rPr>
        <w:t>定。</w:t>
      </w:r>
      <w:bookmarkEnd w:id="128"/>
    </w:p>
    <w:p w14:paraId="151347A2">
      <w:pPr>
        <w:pStyle w:val="17"/>
        <w:spacing w:after="0"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履约保证金</w:t>
      </w:r>
    </w:p>
    <w:p w14:paraId="06F5CAE1">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 xml:space="preserve">.1 </w:t>
      </w:r>
      <w:r>
        <w:rPr>
          <w:rFonts w:hint="eastAsia" w:ascii="宋体" w:hAnsi="宋体" w:eastAsia="宋体" w:cs="宋体"/>
          <w:sz w:val="21"/>
          <w:szCs w:val="21"/>
          <w:highlight w:val="none"/>
        </w:rPr>
        <w:t>乙方应当以支票、汇票、本票或者金融机构、担保机构出具的保函等非现金形式提交。</w:t>
      </w:r>
    </w:p>
    <w:p w14:paraId="5DCFE31D">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.2 如果乙方</w:t>
      </w:r>
      <w:r>
        <w:rPr>
          <w:rFonts w:hint="eastAsia" w:ascii="宋体" w:hAnsi="宋体" w:eastAsia="宋体" w:cs="宋体"/>
          <w:color w:val="auto"/>
          <w:sz w:val="21"/>
          <w:szCs w:val="21"/>
          <w:highlight w:val="none"/>
          <w:lang w:eastAsia="zh-CN"/>
        </w:rPr>
        <w:t>出现</w:t>
      </w:r>
      <w:r>
        <w:rPr>
          <w:rFonts w:hint="eastAsia" w:ascii="宋体" w:hAnsi="宋体" w:eastAsia="宋体" w:cs="宋体"/>
          <w:b/>
          <w:bCs/>
          <w:sz w:val="21"/>
          <w:szCs w:val="21"/>
          <w:highlight w:val="none"/>
        </w:rPr>
        <w:t>【政府采购合同专用条款】</w:t>
      </w:r>
      <w:r>
        <w:rPr>
          <w:rFonts w:hint="eastAsia" w:ascii="宋体" w:hAnsi="宋体" w:eastAsia="宋体" w:cs="宋体"/>
          <w:b w:val="0"/>
          <w:bCs w:val="0"/>
          <w:sz w:val="21"/>
          <w:szCs w:val="21"/>
          <w:highlight w:val="none"/>
          <w:lang w:eastAsia="zh-CN"/>
        </w:rPr>
        <w:t>约定情形的</w:t>
      </w:r>
      <w:r>
        <w:rPr>
          <w:rFonts w:hint="eastAsia" w:ascii="宋体" w:hAnsi="宋体" w:eastAsia="宋体" w:cs="宋体"/>
          <w:color w:val="auto"/>
          <w:sz w:val="21"/>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不影响甲方要求乙方承担合同约定的超过履约保证金的违约责任的权利。</w:t>
      </w:r>
    </w:p>
    <w:p w14:paraId="7CBB70A1">
      <w:pPr>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14:paraId="1B79424F">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14:paraId="44E7565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14:paraId="167FC3A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14:paraId="1E657BB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14:paraId="14AEEA3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14:paraId="444A274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sz w:val="21"/>
          <w:szCs w:val="21"/>
          <w:highlight w:val="none"/>
          <w:lang w:eastAsia="zh-CN"/>
        </w:rPr>
        <w:t>；</w:t>
      </w:r>
    </w:p>
    <w:p w14:paraId="2C1B8937">
      <w:pPr>
        <w:pStyle w:val="51"/>
        <w:rPr>
          <w:rFonts w:hint="eastAsia" w:ascii="宋体" w:hAnsi="宋体" w:eastAsia="宋体" w:cs="宋体"/>
          <w:sz w:val="21"/>
          <w:szCs w:val="21"/>
          <w:highlight w:val="none"/>
        </w:rPr>
      </w:pPr>
      <w:r>
        <w:rPr>
          <w:rFonts w:hint="eastAsia" w:ascii="宋体" w:hAnsi="宋体" w:eastAsia="宋体" w:cs="宋体"/>
          <w:sz w:val="21"/>
          <w:szCs w:val="21"/>
          <w:highlight w:val="none"/>
        </w:rPr>
        <w:t>（5）依照法律、行政法规的规定或者按照</w:t>
      </w:r>
      <w:r>
        <w:rPr>
          <w:rFonts w:hint="eastAsia" w:ascii="宋体" w:hAnsi="宋体" w:eastAsia="宋体" w:cs="宋体"/>
          <w:b/>
          <w:bCs/>
          <w:sz w:val="21"/>
          <w:szCs w:val="21"/>
          <w:highlight w:val="none"/>
        </w:rPr>
        <w:t>【政府采购合同专用条款】</w:t>
      </w:r>
      <w:r>
        <w:rPr>
          <w:rFonts w:hint="eastAsia" w:ascii="宋体" w:hAnsi="宋体" w:eastAsia="宋体" w:cs="宋体"/>
          <w:sz w:val="21"/>
          <w:szCs w:val="21"/>
          <w:highlight w:val="none"/>
        </w:rPr>
        <w:t>约定，货物在有效使用年限届满后应予回收的，乙方负有自行或者委托第三人对货物予以回收的义务；</w:t>
      </w:r>
    </w:p>
    <w:p w14:paraId="48D51D1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14:paraId="4D786C3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14:paraId="4E07F730">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319C8583">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14:paraId="1AD278F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的产品不符合</w:t>
      </w:r>
      <w:r>
        <w:rPr>
          <w:rFonts w:hint="eastAsia" w:ascii="宋体" w:hAnsi="宋体" w:eastAsia="宋体" w:cs="宋体"/>
          <w:color w:val="auto"/>
          <w:sz w:val="21"/>
          <w:szCs w:val="21"/>
          <w:highlight w:val="none"/>
          <w:lang w:eastAsia="zh-CN"/>
        </w:rPr>
        <w:t>合同约定的</w:t>
      </w:r>
      <w:r>
        <w:rPr>
          <w:rFonts w:hint="eastAsia" w:ascii="宋体" w:hAnsi="宋体" w:eastAsia="宋体" w:cs="宋体"/>
          <w:color w:val="auto"/>
          <w:sz w:val="21"/>
          <w:szCs w:val="21"/>
          <w:highlight w:val="none"/>
        </w:rPr>
        <w:t>质量标准或存在产品质量缺陷，</w:t>
      </w:r>
      <w:r>
        <w:rPr>
          <w:rFonts w:hint="eastAsia" w:ascii="宋体" w:hAnsi="宋体" w:eastAsia="宋体" w:cs="宋体"/>
          <w:color w:val="auto"/>
          <w:sz w:val="21"/>
          <w:szCs w:val="21"/>
          <w:highlight w:val="none"/>
          <w:lang w:eastAsia="zh-CN"/>
        </w:rPr>
        <w:t>甲方有权要求乙方根据</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要求</w:t>
      </w:r>
      <w:r>
        <w:rPr>
          <w:rFonts w:hint="eastAsia" w:ascii="宋体" w:hAnsi="宋体" w:eastAsia="宋体" w:cs="宋体"/>
          <w:color w:val="auto"/>
          <w:sz w:val="21"/>
          <w:szCs w:val="21"/>
          <w:highlight w:val="none"/>
          <w:lang w:eastAsia="zh-CN"/>
        </w:rPr>
        <w:t>及时修理、重作、更换，并承担由此给甲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eastAsia="zh-CN"/>
        </w:rPr>
        <w:t>造成的损失</w:t>
      </w:r>
      <w:r>
        <w:rPr>
          <w:rFonts w:hint="eastAsia" w:ascii="宋体" w:hAnsi="宋体" w:eastAsia="宋体" w:cs="宋体"/>
          <w:color w:val="auto"/>
          <w:sz w:val="21"/>
          <w:szCs w:val="21"/>
          <w:highlight w:val="none"/>
        </w:rPr>
        <w:t>。</w:t>
      </w:r>
    </w:p>
    <w:p w14:paraId="0A2D9966">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14:paraId="62BD015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14:paraId="6FCFEC0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（2）如果乙方没有按照合同规定的时间交货和提供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服务，甲方有权从货款中扣除误期赔偿费而不影响合同项下的其他补救方法，赔偿费按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规定执行。如果涉及公共利益，且赔偿金额无法弥补公共利益损失，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可要求继续履行或者</w:t>
      </w:r>
      <w:r>
        <w:rPr>
          <w:rFonts w:hint="eastAsia" w:ascii="宋体" w:hAnsi="宋体" w:eastAsia="宋体" w:cs="宋体"/>
          <w:color w:val="auto"/>
          <w:sz w:val="21"/>
          <w:szCs w:val="21"/>
          <w:highlight w:val="none"/>
          <w:lang w:eastAsia="zh-CN"/>
        </w:rPr>
        <w:t>采取其他补救措施</w:t>
      </w:r>
      <w:r>
        <w:rPr>
          <w:rFonts w:hint="eastAsia" w:ascii="宋体" w:hAnsi="宋体" w:eastAsia="宋体" w:cs="宋体"/>
          <w:color w:val="auto"/>
          <w:sz w:val="21"/>
          <w:szCs w:val="21"/>
          <w:highlight w:val="none"/>
        </w:rPr>
        <w:t>。</w:t>
      </w:r>
    </w:p>
    <w:p w14:paraId="37BC2C0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14:paraId="27569A4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14:paraId="239FCF6D">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p>
    <w:p w14:paraId="3B404ED4">
      <w:pPr>
        <w:numPr>
          <w:ilvl w:val="0"/>
          <w:numId w:val="1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14:paraId="2CE5D59D">
      <w:pPr>
        <w:autoSpaceDE/>
        <w:autoSpaceDN/>
        <w:adjustRightInd w:val="0"/>
        <w:snapToGrid w:val="0"/>
        <w:spacing w:before="0"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14:paraId="74A63D1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p>
    <w:p w14:paraId="0874021D">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14:paraId="304ED27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（1）合同履行过程中因供应商就采购文件、采购过程或结果提起投诉的，甲方认为有必要的，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14:paraId="4B2203A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14:paraId="366F6982">
      <w:pPr>
        <w:pStyle w:val="51"/>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（3）乙方分立、合并或者变更住所的，应当及时以书面形式告知甲方。乙方没有</w:t>
      </w:r>
      <w:r>
        <w:rPr>
          <w:rFonts w:hint="eastAsia" w:ascii="宋体" w:hAnsi="宋体" w:eastAsia="宋体" w:cs="宋体"/>
          <w:sz w:val="21"/>
          <w:szCs w:val="21"/>
          <w:highlight w:val="none"/>
          <w:lang w:eastAsia="zh-CN"/>
        </w:rPr>
        <w:t>及时告知</w:t>
      </w:r>
      <w:r>
        <w:rPr>
          <w:rFonts w:hint="eastAsia" w:ascii="宋体" w:hAnsi="宋体" w:eastAsia="宋体" w:cs="宋体"/>
          <w:sz w:val="21"/>
          <w:szCs w:val="21"/>
          <w:highlight w:val="none"/>
        </w:rPr>
        <w:t>甲方，致使</w:t>
      </w:r>
      <w:r>
        <w:rPr>
          <w:rFonts w:hint="eastAsia" w:ascii="宋体" w:hAnsi="宋体" w:eastAsia="宋体" w:cs="宋体"/>
          <w:sz w:val="21"/>
          <w:szCs w:val="21"/>
          <w:highlight w:val="none"/>
          <w:lang w:eastAsia="zh-CN"/>
        </w:rPr>
        <w:t>合同</w:t>
      </w:r>
      <w:r>
        <w:rPr>
          <w:rFonts w:hint="eastAsia" w:ascii="宋体" w:hAnsi="宋体" w:eastAsia="宋体" w:cs="宋体"/>
          <w:sz w:val="21"/>
          <w:szCs w:val="21"/>
          <w:highlight w:val="none"/>
        </w:rPr>
        <w:t>履行发生困难的，甲方可以中止合同履行并要求乙方承担由此给甲方造成的损失。</w:t>
      </w:r>
    </w:p>
    <w:p w14:paraId="7D2D2704">
      <w:pPr>
        <w:snapToGrid w:val="0"/>
        <w:spacing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14:paraId="5F3AF565">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14:paraId="77C6DB0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14:paraId="12A53DB0">
      <w:pPr>
        <w:snapToGrid w:val="0"/>
        <w:spacing w:line="400" w:lineRule="exact"/>
        <w:ind w:firstLine="420" w:firstLineChars="200"/>
        <w:rPr>
          <w:rFonts w:hint="eastAsia" w:ascii="宋体" w:hAnsi="宋体" w:eastAsia="宋体" w:cs="宋体"/>
          <w:sz w:val="21"/>
          <w:szCs w:val="21"/>
          <w:highlight w:val="none"/>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highlight w:val="none"/>
        </w:rPr>
        <w:t>并追究乙方的违约责</w:t>
      </w:r>
      <w:r>
        <w:rPr>
          <w:rFonts w:hint="eastAsia" w:ascii="宋体" w:hAnsi="宋体" w:eastAsia="宋体" w:cs="宋体"/>
          <w:sz w:val="21"/>
          <w:szCs w:val="21"/>
          <w:highlight w:val="none"/>
          <w:lang w:val="en-US" w:eastAsia="zh-CN"/>
        </w:rPr>
        <w:t>任</w:t>
      </w:r>
      <w:r>
        <w:rPr>
          <w:rFonts w:hint="eastAsia" w:ascii="宋体" w:hAnsi="宋体" w:eastAsia="宋体" w:cs="宋体"/>
          <w:color w:val="auto"/>
          <w:sz w:val="21"/>
          <w:szCs w:val="21"/>
          <w:highlight w:val="none"/>
        </w:rPr>
        <w:t>。</w:t>
      </w:r>
    </w:p>
    <w:p w14:paraId="68CC672C">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16.4 </w:t>
      </w:r>
      <w:r>
        <w:rPr>
          <w:rFonts w:hint="eastAsia" w:ascii="宋体" w:hAnsi="宋体" w:eastAsia="宋体" w:cs="宋体"/>
          <w:color w:val="auto"/>
          <w:kern w:val="2"/>
          <w:sz w:val="21"/>
          <w:szCs w:val="21"/>
          <w:highlight w:val="none"/>
          <w:lang w:val="en-US" w:eastAsia="zh-CN"/>
        </w:rPr>
        <w:t>涉及国家利益、社会公共利益的情形</w:t>
      </w:r>
    </w:p>
    <w:p w14:paraId="45FD74D6">
      <w:pPr>
        <w:pStyle w:val="51"/>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政府采购合同继续履行将损害国家利益和社会公共利益的，双方当事人</w:t>
      </w:r>
      <w:r>
        <w:rPr>
          <w:rFonts w:hint="eastAsia" w:ascii="宋体" w:hAnsi="宋体" w:eastAsia="宋体" w:cs="宋体"/>
          <w:sz w:val="21"/>
          <w:szCs w:val="21"/>
          <w:highlight w:val="none"/>
          <w:lang w:val="en-US" w:eastAsia="zh-CN"/>
        </w:rPr>
        <w:t>应当变更、</w:t>
      </w:r>
      <w:r>
        <w:rPr>
          <w:rFonts w:hint="eastAsia" w:ascii="宋体" w:hAnsi="宋体" w:eastAsia="宋体" w:cs="宋体"/>
          <w:sz w:val="21"/>
          <w:szCs w:val="21"/>
          <w:highlight w:val="none"/>
        </w:rPr>
        <w:t>中止</w:t>
      </w:r>
      <w:r>
        <w:rPr>
          <w:rFonts w:hint="eastAsia" w:ascii="宋体" w:hAnsi="宋体" w:eastAsia="宋体" w:cs="宋体"/>
          <w:sz w:val="21"/>
          <w:szCs w:val="21"/>
          <w:highlight w:val="none"/>
          <w:lang w:eastAsia="zh-CN"/>
        </w:rPr>
        <w:t>或者终止</w:t>
      </w:r>
      <w:r>
        <w:rPr>
          <w:rFonts w:hint="eastAsia" w:ascii="宋体" w:hAnsi="宋体" w:eastAsia="宋体" w:cs="宋体"/>
          <w:sz w:val="21"/>
          <w:szCs w:val="21"/>
          <w:highlight w:val="none"/>
        </w:rPr>
        <w:t>合同。有过错的一方应当承担赔偿责任，双方都有过错的，各自承担相应的责任。</w:t>
      </w:r>
    </w:p>
    <w:p w14:paraId="30C7251C">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14:paraId="22CC23C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将合同转包给其他供应商。涉及合同分包的，乙方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根据采购文件和投标（响应）文件规定进行</w:t>
      </w:r>
      <w:r>
        <w:rPr>
          <w:rFonts w:hint="eastAsia" w:ascii="宋体" w:hAnsi="宋体" w:eastAsia="宋体" w:cs="宋体"/>
          <w:color w:val="auto"/>
          <w:sz w:val="21"/>
          <w:szCs w:val="21"/>
          <w:highlight w:val="none"/>
        </w:rPr>
        <w:t>合同分包。</w:t>
      </w:r>
    </w:p>
    <w:p w14:paraId="2BEE9B7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乙方应当按采购文件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协议属于本合同组成部分。</w:t>
      </w:r>
    </w:p>
    <w:p w14:paraId="06D46D4A">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14:paraId="33C6BE3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14:paraId="38147F1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14:paraId="152B597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14:paraId="798538C7">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14:paraId="5317F197">
      <w:pPr>
        <w:pStyle w:val="51"/>
        <w:jc w:val="both"/>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19</w:t>
      </w:r>
      <w:r>
        <w:rPr>
          <w:rFonts w:hint="eastAsia" w:ascii="宋体" w:hAnsi="宋体" w:eastAsia="宋体" w:cs="宋体"/>
          <w:sz w:val="21"/>
          <w:szCs w:val="21"/>
          <w:highlight w:val="none"/>
        </w:rPr>
        <w:t>.1 因本合同及合同有关事项发生的争议，由</w:t>
      </w:r>
      <w:r>
        <w:rPr>
          <w:rFonts w:hint="eastAsia" w:ascii="宋体" w:hAnsi="宋体" w:eastAsia="宋体" w:cs="宋体"/>
          <w:sz w:val="21"/>
          <w:szCs w:val="21"/>
          <w:highlight w:val="none"/>
          <w:lang w:eastAsia="zh-CN"/>
        </w:rPr>
        <w:t>甲乙双</w:t>
      </w:r>
      <w:r>
        <w:rPr>
          <w:rFonts w:hint="eastAsia" w:ascii="宋体" w:hAnsi="宋体" w:eastAsia="宋体" w:cs="宋体"/>
          <w:sz w:val="21"/>
          <w:szCs w:val="21"/>
          <w:highlight w:val="none"/>
        </w:rPr>
        <w:t>方友好协商解决。协商不成时，可以</w:t>
      </w:r>
      <w:r>
        <w:rPr>
          <w:rFonts w:hint="eastAsia" w:ascii="宋体" w:hAnsi="宋体" w:eastAsia="宋体" w:cs="宋体"/>
          <w:sz w:val="21"/>
          <w:szCs w:val="21"/>
          <w:highlight w:val="none"/>
          <w:lang w:eastAsia="zh-CN"/>
        </w:rPr>
        <w:t>向有关组织申请</w:t>
      </w:r>
      <w:r>
        <w:rPr>
          <w:rFonts w:hint="eastAsia" w:ascii="宋体" w:hAnsi="宋体" w:eastAsia="宋体" w:cs="宋体"/>
          <w:sz w:val="21"/>
          <w:szCs w:val="21"/>
          <w:highlight w:val="none"/>
        </w:rPr>
        <w:t>调解。合同一方或</w:t>
      </w:r>
      <w:r>
        <w:rPr>
          <w:rFonts w:hint="eastAsia" w:ascii="宋体" w:hAnsi="宋体" w:eastAsia="宋体" w:cs="宋体"/>
          <w:sz w:val="21"/>
          <w:szCs w:val="21"/>
          <w:highlight w:val="none"/>
          <w:lang w:eastAsia="zh-CN"/>
        </w:rPr>
        <w:t>双</w:t>
      </w:r>
      <w:r>
        <w:rPr>
          <w:rFonts w:hint="eastAsia" w:ascii="宋体" w:hAnsi="宋体" w:eastAsia="宋体" w:cs="宋体"/>
          <w:sz w:val="21"/>
          <w:szCs w:val="21"/>
          <w:highlight w:val="none"/>
        </w:rPr>
        <w:t>方不愿调解或调解不成的，可以通过仲裁或诉讼的方式解决争议。</w:t>
      </w:r>
    </w:p>
    <w:p w14:paraId="4A90FECD">
      <w:pPr>
        <w:pStyle w:val="51"/>
        <w:jc w:val="both"/>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19</w:t>
      </w:r>
      <w:r>
        <w:rPr>
          <w:rFonts w:hint="eastAsia" w:ascii="宋体" w:hAnsi="宋体" w:eastAsia="宋体" w:cs="宋体"/>
          <w:sz w:val="21"/>
          <w:szCs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szCs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szCs w:val="21"/>
          <w:highlight w:val="none"/>
        </w:rPr>
        <w:t>中进一步约定选择与争议有实际联系的地点的人民法院管辖，但管辖法院的约定不得违反级别管辖和专属管辖的规定。</w:t>
      </w:r>
    </w:p>
    <w:p w14:paraId="26C77F2C">
      <w:pPr>
        <w:pStyle w:val="51"/>
        <w:jc w:val="both"/>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19</w:t>
      </w:r>
      <w:r>
        <w:rPr>
          <w:rFonts w:hint="eastAsia" w:ascii="宋体" w:hAnsi="宋体" w:eastAsia="宋体" w:cs="宋体"/>
          <w:sz w:val="21"/>
          <w:szCs w:val="21"/>
          <w:highlight w:val="none"/>
        </w:rPr>
        <w:t>.3 如</w:t>
      </w:r>
      <w:r>
        <w:rPr>
          <w:rFonts w:hint="eastAsia" w:ascii="宋体" w:hAnsi="宋体" w:eastAsia="宋体" w:cs="宋体"/>
          <w:sz w:val="21"/>
          <w:szCs w:val="21"/>
          <w:highlight w:val="none"/>
          <w:lang w:eastAsia="zh-CN"/>
        </w:rPr>
        <w:t>甲乙双方</w:t>
      </w:r>
      <w:r>
        <w:rPr>
          <w:rFonts w:hint="eastAsia" w:ascii="宋体" w:hAnsi="宋体" w:eastAsia="宋体" w:cs="宋体"/>
          <w:sz w:val="21"/>
          <w:szCs w:val="21"/>
          <w:highlight w:val="none"/>
        </w:rPr>
        <w:t>有争议的事项不影响合同其他部分的履行，在争议解决期间，合同其他部分应</w:t>
      </w:r>
      <w:r>
        <w:rPr>
          <w:rFonts w:hint="eastAsia" w:ascii="宋体" w:hAnsi="宋体" w:eastAsia="宋体" w:cs="宋体"/>
          <w:sz w:val="21"/>
          <w:szCs w:val="21"/>
          <w:highlight w:val="none"/>
          <w:lang w:eastAsia="zh-CN"/>
        </w:rPr>
        <w:t>当</w:t>
      </w:r>
      <w:r>
        <w:rPr>
          <w:rFonts w:hint="eastAsia" w:ascii="宋体" w:hAnsi="宋体" w:eastAsia="宋体" w:cs="宋体"/>
          <w:sz w:val="21"/>
          <w:szCs w:val="21"/>
          <w:highlight w:val="none"/>
        </w:rPr>
        <w:t>继续履行。</w:t>
      </w:r>
    </w:p>
    <w:p w14:paraId="2EB97C4F">
      <w:pPr>
        <w:autoSpaceDE w:val="0"/>
        <w:autoSpaceDN w:val="0"/>
        <w:adjustRightInd w:val="0"/>
        <w:snapToGrid w:val="0"/>
        <w:spacing w:before="0" w:line="40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14:paraId="24D9868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sz w:val="21"/>
          <w:szCs w:val="21"/>
          <w:highlight w:val="none"/>
          <w:lang w:val="en-GB"/>
        </w:rPr>
        <w:t>本合同应当按照规定执行政府采购政策。</w:t>
      </w:r>
    </w:p>
    <w:p w14:paraId="2D55408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sz w:val="21"/>
          <w:szCs w:val="21"/>
          <w:highlight w:val="none"/>
          <w:lang w:eastAsia="zh-CN"/>
        </w:rPr>
        <w:t>甲乙双方</w:t>
      </w:r>
      <w:r>
        <w:rPr>
          <w:rFonts w:hint="eastAsia" w:ascii="宋体" w:hAnsi="宋体" w:eastAsia="宋体" w:cs="宋体"/>
          <w:sz w:val="21"/>
          <w:szCs w:val="21"/>
          <w:highlight w:val="none"/>
          <w:lang w:val="en-GB"/>
        </w:rPr>
        <w:t>未按规定要求执行政府采购政策造成损失的</w:t>
      </w:r>
      <w:r>
        <w:rPr>
          <w:rFonts w:hint="eastAsia" w:ascii="宋体" w:hAnsi="宋体" w:eastAsia="宋体" w:cs="宋体"/>
          <w:color w:val="auto"/>
          <w:sz w:val="21"/>
          <w:szCs w:val="21"/>
          <w:highlight w:val="none"/>
        </w:rPr>
        <w:t>，有过错的一方应当承担赔偿责任，双方都有过错的，各自承担相应的责任。</w:t>
      </w:r>
    </w:p>
    <w:p w14:paraId="31EFBFDF">
      <w:pPr>
        <w:pStyle w:val="17"/>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 对于</w:t>
      </w:r>
      <w:r>
        <w:rPr>
          <w:rFonts w:hint="eastAsia" w:ascii="宋体" w:hAnsi="宋体" w:eastAsia="宋体" w:cs="宋体"/>
          <w:color w:val="auto"/>
          <w:sz w:val="21"/>
          <w:szCs w:val="21"/>
          <w:highlight w:val="none"/>
          <w:lang w:eastAsia="zh-CN"/>
        </w:rPr>
        <w:t>为落实中小企业支持政策，</w:t>
      </w:r>
      <w:r>
        <w:rPr>
          <w:rFonts w:hint="eastAsia" w:ascii="宋体" w:hAnsi="宋体" w:eastAsia="宋体" w:cs="宋体"/>
          <w:color w:val="auto"/>
          <w:sz w:val="21"/>
          <w:szCs w:val="21"/>
          <w:highlight w:val="none"/>
        </w:rPr>
        <w:t>通过采购项目</w:t>
      </w:r>
      <w:r>
        <w:rPr>
          <w:rFonts w:hint="eastAsia" w:ascii="宋体" w:hAnsi="宋体" w:eastAsia="宋体" w:cs="宋体"/>
          <w:color w:val="auto"/>
          <w:sz w:val="21"/>
          <w:szCs w:val="21"/>
          <w:highlight w:val="none"/>
          <w:lang w:eastAsia="zh-CN"/>
        </w:rPr>
        <w:t>整体</w:t>
      </w:r>
      <w:r>
        <w:rPr>
          <w:rFonts w:hint="eastAsia" w:ascii="宋体" w:hAnsi="宋体" w:eastAsia="宋体" w:cs="宋体"/>
          <w:color w:val="auto"/>
          <w:sz w:val="21"/>
          <w:szCs w:val="21"/>
          <w:highlight w:val="none"/>
        </w:rPr>
        <w:t>预留、</w:t>
      </w:r>
      <w:r>
        <w:rPr>
          <w:rFonts w:hint="eastAsia" w:ascii="宋体" w:hAnsi="宋体" w:eastAsia="宋体" w:cs="宋体"/>
          <w:color w:val="auto"/>
          <w:sz w:val="21"/>
          <w:szCs w:val="21"/>
          <w:highlight w:val="none"/>
          <w:lang w:eastAsia="zh-CN"/>
        </w:rPr>
        <w:t>设置</w:t>
      </w:r>
      <w:r>
        <w:rPr>
          <w:rFonts w:hint="eastAsia" w:ascii="宋体" w:hAnsi="宋体" w:eastAsia="宋体" w:cs="宋体"/>
          <w:color w:val="auto"/>
          <w:sz w:val="21"/>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54CDE93">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14:paraId="418C927B">
      <w:pPr>
        <w:pStyle w:val="51"/>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.1 本合同的订立、生效、解释、履行及与本合同有关的争议解决，均适用法律、行政法规。</w:t>
      </w:r>
    </w:p>
    <w:p w14:paraId="4CA92336">
      <w:pPr>
        <w:pStyle w:val="51"/>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.2 本合同条款与法律、行政法规的强制性规定不一致的，双方当事人应按照法律、行政法规的强制性规定修改本合同的相关条款。</w:t>
      </w:r>
    </w:p>
    <w:p w14:paraId="3B16DF95">
      <w:pPr>
        <w:numPr>
          <w:ilvl w:val="-1"/>
          <w:numId w:val="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14:paraId="624EF982">
      <w:pPr>
        <w:pStyle w:val="51"/>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本合同任何一方向对方发出的通知、信件、数据电文等，应当发送至本合同第一部分《政府采购合同协议书》所约定的通讯地址、联系人、联系电话或电子邮箱。</w:t>
      </w:r>
    </w:p>
    <w:p w14:paraId="0CD6B5B2">
      <w:pPr>
        <w:pStyle w:val="51"/>
        <w:ind w:firstLine="0" w:firstLineChars="0"/>
        <w:jc w:val="both"/>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一方当事人变更名称、</w:t>
      </w:r>
      <w:r>
        <w:rPr>
          <w:rFonts w:hint="eastAsia" w:ascii="宋体" w:hAnsi="宋体" w:eastAsia="宋体" w:cs="宋体"/>
          <w:sz w:val="21"/>
          <w:szCs w:val="21"/>
          <w:highlight w:val="none"/>
          <w:lang w:eastAsia="zh-CN"/>
        </w:rPr>
        <w:t>住所</w:t>
      </w:r>
      <w:r>
        <w:rPr>
          <w:rFonts w:hint="eastAsia" w:ascii="宋体" w:hAnsi="宋体" w:eastAsia="宋体" w:cs="宋体"/>
          <w:sz w:val="21"/>
          <w:szCs w:val="21"/>
          <w:highlight w:val="none"/>
        </w:rPr>
        <w:t>、联系人、联系电话或电子邮箱</w:t>
      </w:r>
      <w:r>
        <w:rPr>
          <w:rFonts w:hint="eastAsia" w:ascii="宋体" w:hAnsi="宋体" w:eastAsia="宋体" w:cs="宋体"/>
          <w:sz w:val="21"/>
          <w:szCs w:val="21"/>
          <w:highlight w:val="none"/>
          <w:lang w:eastAsia="zh-CN"/>
        </w:rPr>
        <w:t>等信息</w:t>
      </w:r>
      <w:r>
        <w:rPr>
          <w:rFonts w:hint="eastAsia" w:ascii="宋体" w:hAnsi="宋体" w:eastAsia="宋体" w:cs="宋体"/>
          <w:sz w:val="21"/>
          <w:szCs w:val="21"/>
          <w:highlight w:val="none"/>
        </w:rPr>
        <w:t>的，应当在变更后3日内及时书面通知对方，对方实际收到变更通知前的送达仍为有效送达。</w:t>
      </w:r>
    </w:p>
    <w:p w14:paraId="70CCE044">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本合同一方给另一方的通知均应采用书面形式，传真或快递送到本合同中规定的对方的地址和办理签收手续。</w:t>
      </w:r>
    </w:p>
    <w:p w14:paraId="7D33B29F">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14:paraId="5634059C">
      <w:pPr>
        <w:numPr>
          <w:ilvl w:val="0"/>
          <w:numId w:val="11"/>
        </w:num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14:paraId="1A9040A2">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14:paraId="561DCC66">
      <w:pPr>
        <w:adjustRightInd w:val="0"/>
        <w:snapToGrid w:val="0"/>
        <w:spacing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 xml:space="preserve">    23.2 合同附件与合同正文具有同等的法律效力。</w:t>
      </w:r>
      <w:bookmarkStart w:id="129" w:name="_Toc20313"/>
    </w:p>
    <w:p w14:paraId="00CF20F1">
      <w:pPr>
        <w:adjustRightInd w:val="0"/>
        <w:snapToGrid w:val="0"/>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br w:type="page"/>
      </w:r>
    </w:p>
    <w:p w14:paraId="325EFFBB">
      <w:pPr>
        <w:pStyle w:val="3"/>
        <w:adjustRightInd w:val="0"/>
        <w:snapToGrid w:val="0"/>
        <w:jc w:val="center"/>
        <w:rPr>
          <w:rFonts w:hint="eastAsia" w:ascii="宋体" w:hAnsi="宋体" w:eastAsia="宋体" w:cs="宋体"/>
          <w:b w:val="0"/>
          <w:bCs w:val="0"/>
          <w:sz w:val="21"/>
          <w:szCs w:val="21"/>
          <w:highlight w:val="none"/>
        </w:rPr>
      </w:pPr>
      <w:bookmarkStart w:id="130" w:name="_Toc8467"/>
      <w:r>
        <w:rPr>
          <w:rFonts w:hint="eastAsia" w:ascii="宋体" w:hAnsi="宋体" w:eastAsia="宋体" w:cs="宋体"/>
          <w:b w:val="0"/>
          <w:bCs w:val="0"/>
          <w:sz w:val="21"/>
          <w:szCs w:val="21"/>
          <w:highlight w:val="none"/>
        </w:rPr>
        <w:t>第三节 政府采购合同专用条款</w:t>
      </w:r>
      <w:bookmarkEnd w:id="129"/>
      <w:bookmarkEnd w:id="130"/>
    </w:p>
    <w:tbl>
      <w:tblPr>
        <w:tblStyle w:val="42"/>
        <w:tblW w:w="8678"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37"/>
        <w:gridCol w:w="1774"/>
        <w:gridCol w:w="5267"/>
      </w:tblGrid>
      <w:tr w14:paraId="58D28C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1" w:hRule="atLeast"/>
        </w:trPr>
        <w:tc>
          <w:tcPr>
            <w:tcW w:w="1637" w:type="dxa"/>
            <w:vAlign w:val="center"/>
          </w:tcPr>
          <w:p w14:paraId="1B5339E5">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第二节</w:t>
            </w:r>
          </w:p>
          <w:p w14:paraId="4C44C8F3">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第1.2（</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）项</w:t>
            </w:r>
          </w:p>
        </w:tc>
        <w:tc>
          <w:tcPr>
            <w:tcW w:w="1774" w:type="dxa"/>
            <w:vAlign w:val="center"/>
          </w:tcPr>
          <w:p w14:paraId="0148D639">
            <w:pPr>
              <w:adjustRightInd w:val="0"/>
              <w:snapToGrid w:val="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联合体具体要求</w:t>
            </w:r>
          </w:p>
        </w:tc>
        <w:tc>
          <w:tcPr>
            <w:tcW w:w="5267" w:type="dxa"/>
            <w:vAlign w:val="center"/>
          </w:tcPr>
          <w:p w14:paraId="5D4460AE">
            <w:pPr>
              <w:adjustRightInd w:val="0"/>
              <w:snapToGrid w:val="0"/>
              <w:jc w:val="left"/>
              <w:rPr>
                <w:rFonts w:hint="eastAsia" w:ascii="宋体" w:hAnsi="宋体" w:eastAsia="宋体" w:cs="宋体"/>
                <w:sz w:val="21"/>
                <w:szCs w:val="21"/>
                <w:highlight w:val="none"/>
              </w:rPr>
            </w:pPr>
          </w:p>
        </w:tc>
      </w:tr>
      <w:tr w14:paraId="72F7C5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1637" w:type="dxa"/>
            <w:vAlign w:val="center"/>
          </w:tcPr>
          <w:p w14:paraId="1E407AC5">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第二节</w:t>
            </w:r>
          </w:p>
          <w:p w14:paraId="78403297">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第1.2（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）项</w:t>
            </w:r>
          </w:p>
        </w:tc>
        <w:tc>
          <w:tcPr>
            <w:tcW w:w="1774" w:type="dxa"/>
            <w:vAlign w:val="center"/>
          </w:tcPr>
          <w:p w14:paraId="58418A28">
            <w:pPr>
              <w:adjustRightInd w:val="0"/>
              <w:snapToGrid w:val="0"/>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其他术语解释</w:t>
            </w:r>
          </w:p>
        </w:tc>
        <w:tc>
          <w:tcPr>
            <w:tcW w:w="5267" w:type="dxa"/>
            <w:vAlign w:val="center"/>
          </w:tcPr>
          <w:p w14:paraId="38CC5ED9">
            <w:pPr>
              <w:adjustRightInd w:val="0"/>
              <w:snapToGrid w:val="0"/>
              <w:jc w:val="left"/>
              <w:rPr>
                <w:rFonts w:hint="eastAsia" w:ascii="宋体" w:hAnsi="宋体" w:eastAsia="宋体" w:cs="宋体"/>
                <w:kern w:val="2"/>
                <w:sz w:val="21"/>
                <w:szCs w:val="21"/>
                <w:highlight w:val="none"/>
                <w:lang w:val="en-US" w:eastAsia="zh-CN" w:bidi="ar-SA"/>
              </w:rPr>
            </w:pPr>
          </w:p>
        </w:tc>
      </w:tr>
      <w:tr w14:paraId="06D3EC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1637" w:type="dxa"/>
            <w:vAlign w:val="center"/>
          </w:tcPr>
          <w:p w14:paraId="5B4C97B0">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第二节</w:t>
            </w:r>
          </w:p>
          <w:p w14:paraId="296AD01D">
            <w:pPr>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第</w:t>
            </w:r>
            <w:r>
              <w:rPr>
                <w:rFonts w:hint="eastAsia" w:ascii="宋体" w:hAnsi="宋体" w:eastAsia="宋体" w:cs="宋体"/>
                <w:sz w:val="21"/>
                <w:szCs w:val="21"/>
                <w:highlight w:val="none"/>
                <w:lang w:val="en-US" w:eastAsia="zh-CN"/>
              </w:rPr>
              <w:t>4.4款</w:t>
            </w:r>
          </w:p>
        </w:tc>
        <w:tc>
          <w:tcPr>
            <w:tcW w:w="1774" w:type="dxa"/>
            <w:vAlign w:val="center"/>
          </w:tcPr>
          <w:p w14:paraId="383210EE">
            <w:pPr>
              <w:adjustRightInd w:val="0"/>
              <w:snapToGrid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履约验收中甲方提出异议或作出说明的期限</w:t>
            </w:r>
          </w:p>
        </w:tc>
        <w:tc>
          <w:tcPr>
            <w:tcW w:w="5267" w:type="dxa"/>
            <w:vAlign w:val="center"/>
          </w:tcPr>
          <w:p w14:paraId="1CD39330">
            <w:pPr>
              <w:adjustRightInd w:val="0"/>
              <w:snapToGrid w:val="0"/>
              <w:jc w:val="left"/>
              <w:rPr>
                <w:rFonts w:hint="eastAsia" w:ascii="宋体" w:hAnsi="宋体" w:eastAsia="宋体" w:cs="宋体"/>
                <w:kern w:val="2"/>
                <w:sz w:val="21"/>
                <w:szCs w:val="21"/>
                <w:highlight w:val="none"/>
                <w:lang w:val="en-US" w:eastAsia="zh-CN" w:bidi="ar-SA"/>
              </w:rPr>
            </w:pPr>
          </w:p>
        </w:tc>
      </w:tr>
      <w:tr w14:paraId="28BE28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1637" w:type="dxa"/>
            <w:vAlign w:val="center"/>
          </w:tcPr>
          <w:p w14:paraId="50BE4226">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第二节</w:t>
            </w:r>
          </w:p>
          <w:p w14:paraId="2598C065">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第</w:t>
            </w:r>
            <w:r>
              <w:rPr>
                <w:rFonts w:hint="eastAsia" w:ascii="宋体" w:hAnsi="宋体" w:eastAsia="宋体" w:cs="宋体"/>
                <w:sz w:val="21"/>
                <w:szCs w:val="21"/>
                <w:highlight w:val="none"/>
                <w:lang w:val="en-US" w:eastAsia="zh-CN"/>
              </w:rPr>
              <w:t>4.6款</w:t>
            </w:r>
          </w:p>
        </w:tc>
        <w:tc>
          <w:tcPr>
            <w:tcW w:w="1774" w:type="dxa"/>
            <w:vAlign w:val="center"/>
          </w:tcPr>
          <w:p w14:paraId="2E854E78">
            <w:pPr>
              <w:adjustRightInd w:val="0"/>
              <w:snapToGrid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约定甲方承担的其他义务和责任</w:t>
            </w:r>
          </w:p>
        </w:tc>
        <w:tc>
          <w:tcPr>
            <w:tcW w:w="5267" w:type="dxa"/>
            <w:vAlign w:val="center"/>
          </w:tcPr>
          <w:p w14:paraId="7709362C">
            <w:pPr>
              <w:adjustRightInd w:val="0"/>
              <w:snapToGrid w:val="0"/>
              <w:jc w:val="left"/>
              <w:rPr>
                <w:rFonts w:hint="eastAsia" w:ascii="宋体" w:hAnsi="宋体" w:eastAsia="宋体" w:cs="宋体"/>
                <w:kern w:val="2"/>
                <w:sz w:val="21"/>
                <w:szCs w:val="21"/>
                <w:highlight w:val="none"/>
                <w:lang w:val="en-US" w:eastAsia="zh-CN" w:bidi="ar-SA"/>
              </w:rPr>
            </w:pPr>
          </w:p>
        </w:tc>
      </w:tr>
      <w:tr w14:paraId="44B889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1637" w:type="dxa"/>
            <w:vAlign w:val="center"/>
          </w:tcPr>
          <w:p w14:paraId="515057AE">
            <w:pPr>
              <w:adjustRightInd w:val="0"/>
              <w:snapToGrid w:val="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第二节</w:t>
            </w:r>
          </w:p>
          <w:p w14:paraId="71E1C72C">
            <w:pPr>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第</w:t>
            </w:r>
            <w:r>
              <w:rPr>
                <w:rFonts w:hint="eastAsia" w:ascii="宋体" w:hAnsi="宋体" w:eastAsia="宋体" w:cs="宋体"/>
                <w:sz w:val="21"/>
                <w:szCs w:val="21"/>
                <w:highlight w:val="none"/>
                <w:lang w:val="en-US" w:eastAsia="zh-CN"/>
              </w:rPr>
              <w:t>5.4款</w:t>
            </w:r>
          </w:p>
        </w:tc>
        <w:tc>
          <w:tcPr>
            <w:tcW w:w="1774" w:type="dxa"/>
            <w:vAlign w:val="center"/>
          </w:tcPr>
          <w:p w14:paraId="6E7DF8DD">
            <w:pPr>
              <w:adjustRightInd w:val="0"/>
              <w:snapToGrid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约定乙方承担的其他义务和责任</w:t>
            </w:r>
          </w:p>
        </w:tc>
        <w:tc>
          <w:tcPr>
            <w:tcW w:w="5267" w:type="dxa"/>
            <w:vAlign w:val="center"/>
          </w:tcPr>
          <w:p w14:paraId="14B6DA2E">
            <w:pPr>
              <w:adjustRightInd w:val="0"/>
              <w:snapToGrid w:val="0"/>
              <w:jc w:val="left"/>
              <w:rPr>
                <w:rFonts w:hint="eastAsia" w:ascii="宋体" w:hAnsi="宋体" w:eastAsia="宋体" w:cs="宋体"/>
                <w:kern w:val="2"/>
                <w:sz w:val="21"/>
                <w:szCs w:val="21"/>
                <w:highlight w:val="none"/>
                <w:lang w:val="en-US" w:eastAsia="zh-CN" w:bidi="ar-SA"/>
              </w:rPr>
            </w:pPr>
          </w:p>
        </w:tc>
      </w:tr>
      <w:tr w14:paraId="33CCA4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1637" w:type="dxa"/>
            <w:vAlign w:val="center"/>
          </w:tcPr>
          <w:p w14:paraId="03985F18">
            <w:pPr>
              <w:adjustRightInd w:val="0"/>
              <w:snapToGrid w:val="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第二节</w:t>
            </w:r>
          </w:p>
          <w:p w14:paraId="15C027F1">
            <w:pPr>
              <w:snapToGrid w:val="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第</w:t>
            </w:r>
            <w:r>
              <w:rPr>
                <w:rFonts w:hint="eastAsia" w:ascii="宋体" w:hAnsi="宋体" w:eastAsia="宋体" w:cs="宋体"/>
                <w:sz w:val="21"/>
                <w:szCs w:val="21"/>
                <w:highlight w:val="none"/>
                <w:lang w:val="en-US" w:eastAsia="zh-CN"/>
              </w:rPr>
              <w:t>6.1款</w:t>
            </w:r>
          </w:p>
        </w:tc>
        <w:tc>
          <w:tcPr>
            <w:tcW w:w="1774" w:type="dxa"/>
            <w:vAlign w:val="center"/>
          </w:tcPr>
          <w:p w14:paraId="07595FD9">
            <w:pPr>
              <w:adjustRightInd w:val="0"/>
              <w:snapToGrid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履行合同义务的顺序</w:t>
            </w:r>
          </w:p>
        </w:tc>
        <w:tc>
          <w:tcPr>
            <w:tcW w:w="5267" w:type="dxa"/>
            <w:vAlign w:val="center"/>
          </w:tcPr>
          <w:p w14:paraId="4B5190A2">
            <w:pPr>
              <w:adjustRightInd w:val="0"/>
              <w:snapToGrid w:val="0"/>
              <w:jc w:val="left"/>
              <w:rPr>
                <w:rFonts w:hint="eastAsia" w:ascii="宋体" w:hAnsi="宋体" w:eastAsia="宋体" w:cs="宋体"/>
                <w:kern w:val="2"/>
                <w:sz w:val="21"/>
                <w:szCs w:val="21"/>
                <w:highlight w:val="none"/>
                <w:lang w:val="en-US" w:eastAsia="zh-CN" w:bidi="ar-SA"/>
              </w:rPr>
            </w:pPr>
          </w:p>
        </w:tc>
      </w:tr>
      <w:tr w14:paraId="7E5057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1637" w:type="dxa"/>
            <w:vMerge w:val="restart"/>
            <w:vAlign w:val="center"/>
          </w:tcPr>
          <w:p w14:paraId="39241066">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第二节</w:t>
            </w:r>
          </w:p>
          <w:p w14:paraId="637D987E">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款</w:t>
            </w:r>
          </w:p>
        </w:tc>
        <w:tc>
          <w:tcPr>
            <w:tcW w:w="1774" w:type="dxa"/>
            <w:vAlign w:val="center"/>
          </w:tcPr>
          <w:p w14:paraId="538887E6">
            <w:pPr>
              <w:adjustRightInd w:val="0"/>
              <w:snapToGrid w:val="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包装</w:t>
            </w:r>
            <w:r>
              <w:rPr>
                <w:rFonts w:hint="eastAsia" w:ascii="宋体" w:hAnsi="宋体" w:eastAsia="宋体" w:cs="宋体"/>
                <w:sz w:val="21"/>
                <w:szCs w:val="21"/>
                <w:highlight w:val="none"/>
                <w:lang w:eastAsia="zh-CN"/>
              </w:rPr>
              <w:t>特殊要求</w:t>
            </w:r>
          </w:p>
        </w:tc>
        <w:tc>
          <w:tcPr>
            <w:tcW w:w="5267" w:type="dxa"/>
            <w:vAlign w:val="center"/>
          </w:tcPr>
          <w:p w14:paraId="493B42D1">
            <w:pPr>
              <w:rPr>
                <w:rFonts w:hint="eastAsia" w:ascii="宋体" w:hAnsi="宋体" w:eastAsia="宋体" w:cs="宋体"/>
                <w:sz w:val="21"/>
                <w:szCs w:val="21"/>
                <w:highlight w:val="none"/>
              </w:rPr>
            </w:pPr>
          </w:p>
        </w:tc>
      </w:tr>
      <w:tr w14:paraId="492DFA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5" w:hRule="atLeast"/>
        </w:trPr>
        <w:tc>
          <w:tcPr>
            <w:tcW w:w="1637" w:type="dxa"/>
            <w:vMerge w:val="continue"/>
            <w:vAlign w:val="center"/>
          </w:tcPr>
          <w:p w14:paraId="42CA27E1">
            <w:pPr>
              <w:adjustRightInd w:val="0"/>
              <w:snapToGrid w:val="0"/>
              <w:jc w:val="center"/>
              <w:rPr>
                <w:rFonts w:hint="eastAsia" w:ascii="宋体" w:hAnsi="宋体" w:eastAsia="宋体" w:cs="宋体"/>
                <w:sz w:val="21"/>
                <w:szCs w:val="21"/>
                <w:highlight w:val="none"/>
              </w:rPr>
            </w:pPr>
          </w:p>
        </w:tc>
        <w:tc>
          <w:tcPr>
            <w:tcW w:w="1774" w:type="dxa"/>
            <w:vAlign w:val="center"/>
          </w:tcPr>
          <w:p w14:paraId="71C209E9">
            <w:pPr>
              <w:adjustRightInd w:val="0"/>
              <w:snapToGrid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指定现场</w:t>
            </w:r>
          </w:p>
        </w:tc>
        <w:tc>
          <w:tcPr>
            <w:tcW w:w="5267" w:type="dxa"/>
            <w:vAlign w:val="center"/>
          </w:tcPr>
          <w:p w14:paraId="4B3234EA">
            <w:pPr>
              <w:rPr>
                <w:rFonts w:hint="eastAsia" w:ascii="宋体" w:hAnsi="宋体" w:eastAsia="宋体" w:cs="宋体"/>
                <w:sz w:val="21"/>
                <w:szCs w:val="21"/>
                <w:highlight w:val="none"/>
              </w:rPr>
            </w:pPr>
          </w:p>
        </w:tc>
      </w:tr>
      <w:tr w14:paraId="6BD0B5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7" w:type="dxa"/>
            <w:vAlign w:val="center"/>
          </w:tcPr>
          <w:p w14:paraId="7FEA7038">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第二节</w:t>
            </w:r>
          </w:p>
          <w:p w14:paraId="58B28901">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款</w:t>
            </w:r>
          </w:p>
        </w:tc>
        <w:tc>
          <w:tcPr>
            <w:tcW w:w="1774" w:type="dxa"/>
            <w:vAlign w:val="center"/>
          </w:tcPr>
          <w:p w14:paraId="2C47FD63">
            <w:pPr>
              <w:adjustRightInd w:val="0"/>
              <w:snapToGrid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运输特殊要求</w:t>
            </w:r>
          </w:p>
        </w:tc>
        <w:tc>
          <w:tcPr>
            <w:tcW w:w="5267" w:type="dxa"/>
            <w:vAlign w:val="center"/>
          </w:tcPr>
          <w:p w14:paraId="154E07A0">
            <w:pPr>
              <w:rPr>
                <w:rFonts w:hint="eastAsia" w:ascii="宋体" w:hAnsi="宋体" w:eastAsia="宋体" w:cs="宋体"/>
                <w:sz w:val="21"/>
                <w:szCs w:val="21"/>
                <w:highlight w:val="none"/>
              </w:rPr>
            </w:pPr>
          </w:p>
        </w:tc>
      </w:tr>
      <w:tr w14:paraId="3C2CDB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1637" w:type="dxa"/>
            <w:vAlign w:val="center"/>
          </w:tcPr>
          <w:p w14:paraId="6F72289B">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第二节</w:t>
            </w:r>
          </w:p>
          <w:p w14:paraId="7F7C5A81">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款</w:t>
            </w:r>
          </w:p>
        </w:tc>
        <w:tc>
          <w:tcPr>
            <w:tcW w:w="1774" w:type="dxa"/>
            <w:vAlign w:val="center"/>
          </w:tcPr>
          <w:p w14:paraId="3E0923C4">
            <w:pPr>
              <w:adjustRightInd w:val="0"/>
              <w:snapToGrid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保险要求</w:t>
            </w:r>
          </w:p>
        </w:tc>
        <w:tc>
          <w:tcPr>
            <w:tcW w:w="5267" w:type="dxa"/>
            <w:vAlign w:val="center"/>
          </w:tcPr>
          <w:p w14:paraId="1E0F640A">
            <w:pPr>
              <w:rPr>
                <w:rFonts w:hint="eastAsia" w:ascii="宋体" w:hAnsi="宋体" w:eastAsia="宋体" w:cs="宋体"/>
                <w:sz w:val="21"/>
                <w:szCs w:val="21"/>
                <w:highlight w:val="none"/>
              </w:rPr>
            </w:pPr>
          </w:p>
        </w:tc>
      </w:tr>
      <w:tr w14:paraId="3DD001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1637" w:type="dxa"/>
            <w:vAlign w:val="center"/>
          </w:tcPr>
          <w:p w14:paraId="19094ED8">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第二节</w:t>
            </w:r>
          </w:p>
          <w:p w14:paraId="3F28F3A1">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.2（1）项</w:t>
            </w:r>
          </w:p>
        </w:tc>
        <w:tc>
          <w:tcPr>
            <w:tcW w:w="1774" w:type="dxa"/>
            <w:vAlign w:val="center"/>
          </w:tcPr>
          <w:p w14:paraId="28B926C9">
            <w:pPr>
              <w:adjustRightInd w:val="0"/>
              <w:snapToGrid w:val="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质量保证期</w:t>
            </w:r>
          </w:p>
        </w:tc>
        <w:tc>
          <w:tcPr>
            <w:tcW w:w="5267" w:type="dxa"/>
            <w:vAlign w:val="center"/>
          </w:tcPr>
          <w:p w14:paraId="243257FF">
            <w:pPr>
              <w:autoSpaceDE w:val="0"/>
              <w:autoSpaceDN w:val="0"/>
              <w:adjustRightInd w:val="0"/>
              <w:snapToGrid w:val="0"/>
              <w:ind w:firstLine="420" w:firstLineChars="200"/>
              <w:jc w:val="left"/>
              <w:rPr>
                <w:rFonts w:hint="eastAsia" w:ascii="宋体" w:hAnsi="宋体" w:eastAsia="宋体" w:cs="宋体"/>
                <w:sz w:val="21"/>
                <w:szCs w:val="21"/>
                <w:highlight w:val="none"/>
              </w:rPr>
            </w:pPr>
          </w:p>
        </w:tc>
      </w:tr>
      <w:tr w14:paraId="1C6FB6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1637" w:type="dxa"/>
            <w:vAlign w:val="center"/>
          </w:tcPr>
          <w:p w14:paraId="002A4FC3">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第二节</w:t>
            </w:r>
          </w:p>
          <w:p w14:paraId="3AC03033">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.2（3）项</w:t>
            </w:r>
          </w:p>
        </w:tc>
        <w:tc>
          <w:tcPr>
            <w:tcW w:w="1774" w:type="dxa"/>
            <w:vAlign w:val="center"/>
          </w:tcPr>
          <w:p w14:paraId="57C8E929">
            <w:pPr>
              <w:adjustRightInd w:val="0"/>
              <w:snapToGrid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货物质量缺陷</w:t>
            </w:r>
          </w:p>
          <w:p w14:paraId="66DA0984">
            <w:pPr>
              <w:adjustRightInd w:val="0"/>
              <w:snapToGrid w:val="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响应时间</w:t>
            </w:r>
          </w:p>
        </w:tc>
        <w:tc>
          <w:tcPr>
            <w:tcW w:w="5267" w:type="dxa"/>
            <w:vAlign w:val="center"/>
          </w:tcPr>
          <w:p w14:paraId="0090E2C0">
            <w:pPr>
              <w:adjustRightInd w:val="0"/>
              <w:snapToGrid w:val="0"/>
              <w:jc w:val="left"/>
              <w:rPr>
                <w:rFonts w:hint="eastAsia" w:ascii="宋体" w:hAnsi="宋体" w:eastAsia="宋体" w:cs="宋体"/>
                <w:sz w:val="21"/>
                <w:szCs w:val="21"/>
                <w:highlight w:val="none"/>
              </w:rPr>
            </w:pPr>
          </w:p>
        </w:tc>
      </w:tr>
      <w:tr w14:paraId="3D2315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1637" w:type="dxa"/>
            <w:vAlign w:val="center"/>
          </w:tcPr>
          <w:p w14:paraId="1935F377">
            <w:pPr>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第二节</w:t>
            </w:r>
          </w:p>
          <w:p w14:paraId="396E7EC0">
            <w:pPr>
              <w:pStyle w:val="51"/>
              <w:ind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第11.1款</w:t>
            </w:r>
          </w:p>
        </w:tc>
        <w:tc>
          <w:tcPr>
            <w:tcW w:w="1774" w:type="dxa"/>
            <w:vAlign w:val="center"/>
          </w:tcPr>
          <w:p w14:paraId="5A233B55">
            <w:pPr>
              <w:adjustRightInd w:val="0"/>
              <w:snapToGrid w:val="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其他应当保密的信息</w:t>
            </w:r>
          </w:p>
        </w:tc>
        <w:tc>
          <w:tcPr>
            <w:tcW w:w="5267" w:type="dxa"/>
            <w:vAlign w:val="center"/>
          </w:tcPr>
          <w:p w14:paraId="5D4B7B24">
            <w:pPr>
              <w:adjustRightInd w:val="0"/>
              <w:snapToGrid w:val="0"/>
              <w:jc w:val="left"/>
              <w:rPr>
                <w:rFonts w:hint="eastAsia" w:ascii="宋体" w:hAnsi="宋体" w:eastAsia="宋体" w:cs="宋体"/>
                <w:sz w:val="21"/>
                <w:szCs w:val="21"/>
                <w:highlight w:val="none"/>
              </w:rPr>
            </w:pPr>
          </w:p>
        </w:tc>
      </w:tr>
      <w:tr w14:paraId="19BD36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1637" w:type="dxa"/>
            <w:vAlign w:val="center"/>
          </w:tcPr>
          <w:p w14:paraId="64C51831">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第二节</w:t>
            </w:r>
          </w:p>
          <w:p w14:paraId="745D0B12">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第1</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.2款</w:t>
            </w:r>
          </w:p>
        </w:tc>
        <w:tc>
          <w:tcPr>
            <w:tcW w:w="1774" w:type="dxa"/>
            <w:vAlign w:val="center"/>
          </w:tcPr>
          <w:p w14:paraId="32345FF0">
            <w:pPr>
              <w:adjustRightInd w:val="0"/>
              <w:snapToGrid w:val="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合同价款支付</w:t>
            </w:r>
            <w:r>
              <w:rPr>
                <w:rFonts w:hint="eastAsia" w:ascii="宋体" w:hAnsi="宋体" w:eastAsia="宋体" w:cs="宋体"/>
                <w:sz w:val="21"/>
                <w:szCs w:val="21"/>
                <w:highlight w:val="none"/>
                <w:lang w:eastAsia="zh-CN"/>
              </w:rPr>
              <w:t>时间</w:t>
            </w:r>
          </w:p>
        </w:tc>
        <w:tc>
          <w:tcPr>
            <w:tcW w:w="5267" w:type="dxa"/>
            <w:vAlign w:val="center"/>
          </w:tcPr>
          <w:p w14:paraId="6B81647C">
            <w:pPr>
              <w:adjustRightInd w:val="0"/>
              <w:snapToGrid w:val="0"/>
              <w:jc w:val="left"/>
              <w:rPr>
                <w:rFonts w:hint="eastAsia" w:ascii="宋体" w:hAnsi="宋体" w:eastAsia="宋体" w:cs="宋体"/>
                <w:sz w:val="21"/>
                <w:szCs w:val="21"/>
                <w:highlight w:val="none"/>
              </w:rPr>
            </w:pPr>
          </w:p>
        </w:tc>
      </w:tr>
      <w:tr w14:paraId="4B9342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1637" w:type="dxa"/>
            <w:vAlign w:val="center"/>
          </w:tcPr>
          <w:p w14:paraId="763A5D19">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第二节</w:t>
            </w:r>
          </w:p>
          <w:p w14:paraId="5DE2B3D1">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w:t>
            </w:r>
            <w:r>
              <w:rPr>
                <w:rFonts w:hint="eastAsia" w:ascii="宋体" w:hAnsi="宋体" w:eastAsia="宋体" w:cs="宋体"/>
                <w:sz w:val="21"/>
                <w:szCs w:val="21"/>
                <w:highlight w:val="none"/>
                <w:lang w:val="en-US" w:eastAsia="zh-CN"/>
              </w:rPr>
              <w:t>13.2</w:t>
            </w:r>
            <w:r>
              <w:rPr>
                <w:rFonts w:hint="eastAsia" w:ascii="宋体" w:hAnsi="宋体" w:eastAsia="宋体" w:cs="宋体"/>
                <w:sz w:val="21"/>
                <w:szCs w:val="21"/>
                <w:highlight w:val="none"/>
              </w:rPr>
              <w:t>款</w:t>
            </w:r>
          </w:p>
        </w:tc>
        <w:tc>
          <w:tcPr>
            <w:tcW w:w="1774" w:type="dxa"/>
            <w:vAlign w:val="center"/>
          </w:tcPr>
          <w:p w14:paraId="28CEAC62">
            <w:pPr>
              <w:adjustRightInd w:val="0"/>
              <w:snapToGrid w:val="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履约保证金不予退还的情形</w:t>
            </w:r>
          </w:p>
        </w:tc>
        <w:tc>
          <w:tcPr>
            <w:tcW w:w="5267" w:type="dxa"/>
            <w:vAlign w:val="center"/>
          </w:tcPr>
          <w:p w14:paraId="12B92307">
            <w:pPr>
              <w:adjustRightInd w:val="0"/>
              <w:snapToGrid w:val="0"/>
              <w:jc w:val="left"/>
              <w:rPr>
                <w:rFonts w:hint="eastAsia" w:ascii="宋体" w:hAnsi="宋体" w:eastAsia="宋体" w:cs="宋体"/>
                <w:sz w:val="21"/>
                <w:szCs w:val="21"/>
                <w:highlight w:val="none"/>
              </w:rPr>
            </w:pPr>
          </w:p>
        </w:tc>
      </w:tr>
      <w:tr w14:paraId="048968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1637" w:type="dxa"/>
            <w:vAlign w:val="center"/>
          </w:tcPr>
          <w:p w14:paraId="2F3819E5">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第二节</w:t>
            </w:r>
          </w:p>
          <w:p w14:paraId="3D2FAB7A">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w:t>
            </w:r>
            <w:r>
              <w:rPr>
                <w:rFonts w:hint="eastAsia" w:ascii="宋体" w:hAnsi="宋体" w:eastAsia="宋体" w:cs="宋体"/>
                <w:sz w:val="21"/>
                <w:szCs w:val="21"/>
                <w:highlight w:val="none"/>
                <w:lang w:val="en-US" w:eastAsia="zh-CN"/>
              </w:rPr>
              <w:t>13.3</w:t>
            </w:r>
            <w:r>
              <w:rPr>
                <w:rFonts w:hint="eastAsia" w:ascii="宋体" w:hAnsi="宋体" w:eastAsia="宋体" w:cs="宋体"/>
                <w:sz w:val="21"/>
                <w:szCs w:val="21"/>
                <w:highlight w:val="none"/>
              </w:rPr>
              <w:t>款</w:t>
            </w:r>
          </w:p>
        </w:tc>
        <w:tc>
          <w:tcPr>
            <w:tcW w:w="1774" w:type="dxa"/>
            <w:vAlign w:val="center"/>
          </w:tcPr>
          <w:p w14:paraId="13C79492">
            <w:pPr>
              <w:adjustRightInd w:val="0"/>
              <w:snapToGrid w:val="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履约保证金退还时间及</w:t>
            </w:r>
            <w:r>
              <w:rPr>
                <w:rFonts w:hint="eastAsia" w:ascii="宋体" w:hAnsi="宋体" w:eastAsia="宋体" w:cs="宋体"/>
                <w:sz w:val="21"/>
                <w:szCs w:val="21"/>
                <w:highlight w:val="none"/>
                <w:lang w:eastAsia="zh-CN"/>
              </w:rPr>
              <w:t>逾期退还的</w:t>
            </w:r>
            <w:r>
              <w:rPr>
                <w:rFonts w:hint="eastAsia" w:ascii="宋体" w:hAnsi="宋体" w:eastAsia="宋体" w:cs="宋体"/>
                <w:sz w:val="21"/>
                <w:szCs w:val="21"/>
                <w:highlight w:val="none"/>
              </w:rPr>
              <w:t>违约金</w:t>
            </w:r>
          </w:p>
        </w:tc>
        <w:tc>
          <w:tcPr>
            <w:tcW w:w="5267" w:type="dxa"/>
            <w:vAlign w:val="center"/>
          </w:tcPr>
          <w:p w14:paraId="5389E45E">
            <w:pPr>
              <w:adjustRightInd w:val="0"/>
              <w:snapToGrid w:val="0"/>
              <w:jc w:val="left"/>
              <w:rPr>
                <w:rFonts w:hint="eastAsia" w:ascii="宋体" w:hAnsi="宋体" w:eastAsia="宋体" w:cs="宋体"/>
                <w:sz w:val="21"/>
                <w:szCs w:val="21"/>
                <w:highlight w:val="none"/>
              </w:rPr>
            </w:pPr>
          </w:p>
        </w:tc>
      </w:tr>
      <w:tr w14:paraId="2581D4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637" w:type="dxa"/>
            <w:vAlign w:val="center"/>
          </w:tcPr>
          <w:p w14:paraId="3FC7BCCF">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第二节</w:t>
            </w:r>
          </w:p>
          <w:p w14:paraId="40C25734">
            <w:pPr>
              <w:adjustRightInd w:val="0"/>
              <w:snapToGrid w:val="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第1</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）项</w:t>
            </w:r>
          </w:p>
        </w:tc>
        <w:tc>
          <w:tcPr>
            <w:tcW w:w="1774" w:type="dxa"/>
            <w:vAlign w:val="center"/>
          </w:tcPr>
          <w:p w14:paraId="15993C44">
            <w:pPr>
              <w:adjustRightInd w:val="0"/>
              <w:snapToGrid w:val="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运行监督、维修期限</w:t>
            </w:r>
          </w:p>
        </w:tc>
        <w:tc>
          <w:tcPr>
            <w:tcW w:w="5267" w:type="dxa"/>
            <w:vAlign w:val="center"/>
          </w:tcPr>
          <w:p w14:paraId="108CE5B2">
            <w:pPr>
              <w:adjustRightInd w:val="0"/>
              <w:snapToGrid w:val="0"/>
              <w:jc w:val="left"/>
              <w:rPr>
                <w:rFonts w:hint="eastAsia" w:ascii="宋体" w:hAnsi="宋体" w:eastAsia="宋体" w:cs="宋体"/>
                <w:sz w:val="21"/>
                <w:szCs w:val="21"/>
                <w:highlight w:val="none"/>
              </w:rPr>
            </w:pPr>
          </w:p>
        </w:tc>
      </w:tr>
    </w:tbl>
    <w:p w14:paraId="206B0BCD">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 xml:space="preserve"> </w:t>
      </w:r>
    </w:p>
    <w:p w14:paraId="1A18B243">
      <w:pPr>
        <w:pStyle w:val="2"/>
        <w:spacing w:before="0" w:after="0" w:line="360" w:lineRule="auto"/>
        <w:jc w:val="center"/>
        <w:rPr>
          <w:rFonts w:ascii="宋体"/>
          <w:color w:val="auto"/>
          <w:sz w:val="21"/>
          <w:szCs w:val="21"/>
          <w:highlight w:val="none"/>
        </w:rPr>
        <w:sectPr>
          <w:headerReference r:id="rId10" w:type="default"/>
          <w:footerReference r:id="rId11" w:type="default"/>
          <w:pgSz w:w="11906" w:h="16838"/>
          <w:pgMar w:top="1417" w:right="1644" w:bottom="1417" w:left="1588" w:header="851" w:footer="850" w:gutter="0"/>
          <w:pgBorders>
            <w:top w:val="none" w:sz="0" w:space="0"/>
            <w:left w:val="none" w:sz="0" w:space="0"/>
            <w:bottom w:val="none" w:sz="0" w:space="0"/>
            <w:right w:val="none" w:sz="0" w:space="0"/>
          </w:pgBorders>
          <w:pgNumType w:start="1"/>
          <w:cols w:space="0" w:num="1"/>
          <w:rtlGutter w:val="0"/>
          <w:docGrid w:linePitch="312" w:charSpace="0"/>
        </w:sectPr>
      </w:pPr>
    </w:p>
    <w:bookmarkEnd w:id="122"/>
    <w:p w14:paraId="2B2AC26E">
      <w:pPr>
        <w:pStyle w:val="3"/>
        <w:jc w:val="center"/>
        <w:rPr>
          <w:rFonts w:hint="eastAsia" w:ascii="宋体" w:hAnsi="宋体"/>
          <w:b/>
          <w:color w:val="auto"/>
          <w:sz w:val="21"/>
          <w:szCs w:val="21"/>
          <w:highlight w:val="none"/>
        </w:rPr>
      </w:pPr>
      <w:bookmarkStart w:id="131" w:name="_Toc8213"/>
      <w:bookmarkStart w:id="132" w:name="_Toc241827249"/>
      <w:r>
        <w:rPr>
          <w:rFonts w:hint="eastAsia"/>
          <w:color w:val="auto"/>
          <w:highlight w:val="none"/>
        </w:rPr>
        <w:t xml:space="preserve">第四章  </w:t>
      </w:r>
      <w:r>
        <w:rPr>
          <w:rFonts w:hint="eastAsia"/>
          <w:color w:val="auto"/>
          <w:highlight w:val="none"/>
          <w:lang w:val="en-US" w:eastAsia="zh-CN"/>
        </w:rPr>
        <w:t>招标内容及</w:t>
      </w:r>
      <w:bookmarkEnd w:id="131"/>
      <w:r>
        <w:rPr>
          <w:rFonts w:hint="eastAsia"/>
          <w:color w:val="auto"/>
          <w:highlight w:val="none"/>
          <w:lang w:val="en-US" w:eastAsia="zh-CN"/>
        </w:rPr>
        <w:t>技术需求</w:t>
      </w:r>
    </w:p>
    <w:p w14:paraId="1982678E">
      <w:pPr>
        <w:pStyle w:val="3"/>
        <w:jc w:val="both"/>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一、</w:t>
      </w:r>
      <w:r>
        <w:rPr>
          <w:rFonts w:hint="eastAsia" w:ascii="宋体" w:hAnsi="宋体" w:eastAsia="宋体" w:cs="宋体"/>
          <w:b/>
          <w:color w:val="auto"/>
          <w:sz w:val="24"/>
          <w:szCs w:val="24"/>
          <w:highlight w:val="none"/>
          <w:lang w:val="en-US" w:eastAsia="zh-CN"/>
        </w:rPr>
        <w:t>招标货物清单：</w:t>
      </w:r>
    </w:p>
    <w:tbl>
      <w:tblPr>
        <w:tblStyle w:val="42"/>
        <w:tblW w:w="486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6"/>
        <w:gridCol w:w="4355"/>
        <w:gridCol w:w="1140"/>
        <w:gridCol w:w="1198"/>
        <w:gridCol w:w="1095"/>
      </w:tblGrid>
      <w:tr w14:paraId="24A0A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6735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2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7E7E3">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实验室科目名称</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AFDC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27B78">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36C9D">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240B1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941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17DC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物理实验室</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DEC7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间</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F1D4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23CD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50座</w:t>
            </w:r>
          </w:p>
        </w:tc>
      </w:tr>
      <w:tr w14:paraId="7A86C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15F2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53FE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上通风化学实验室</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D1CD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间</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11D3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2923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50座</w:t>
            </w:r>
          </w:p>
        </w:tc>
      </w:tr>
      <w:tr w14:paraId="18CF6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6304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D68C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生物实验室</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D6C3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间</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4AB2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B95B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50座</w:t>
            </w:r>
          </w:p>
        </w:tc>
      </w:tr>
      <w:tr w14:paraId="07F56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5B3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2C982">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cs="宋体"/>
                <w:i w:val="0"/>
                <w:iCs w:val="0"/>
                <w:color w:val="000000"/>
                <w:sz w:val="24"/>
                <w:szCs w:val="24"/>
                <w:highlight w:val="none"/>
                <w:u w:val="none"/>
                <w:lang w:val="en-US" w:eastAsia="zh-CN"/>
              </w:rPr>
              <w:t>室内装饰要求</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F79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cs="宋体"/>
                <w:i w:val="0"/>
                <w:iCs w:val="0"/>
                <w:color w:val="000000"/>
                <w:sz w:val="24"/>
                <w:szCs w:val="24"/>
                <w:highlight w:val="none"/>
                <w:u w:val="none"/>
                <w:lang w:val="en-US" w:eastAsia="zh-CN"/>
              </w:rPr>
              <w:t>项</w:t>
            </w:r>
          </w:p>
        </w:tc>
        <w:tc>
          <w:tcPr>
            <w:tcW w:w="6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72CD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cs="宋体"/>
                <w:i w:val="0"/>
                <w:iCs w:val="0"/>
                <w:color w:val="000000"/>
                <w:sz w:val="24"/>
                <w:szCs w:val="24"/>
                <w:highlight w:val="none"/>
                <w:u w:val="none"/>
                <w:lang w:val="en-US" w:eastAsia="zh-CN"/>
              </w:rPr>
              <w:t>1</w:t>
            </w:r>
          </w:p>
        </w:tc>
        <w:tc>
          <w:tcPr>
            <w:tcW w:w="6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64A7">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cs="宋体"/>
                <w:i w:val="0"/>
                <w:iCs w:val="0"/>
                <w:color w:val="000000"/>
                <w:sz w:val="24"/>
                <w:szCs w:val="24"/>
                <w:highlight w:val="none"/>
                <w:u w:val="none"/>
                <w:lang w:val="en-US" w:eastAsia="zh-CN"/>
              </w:rPr>
              <w:t>3间</w:t>
            </w:r>
          </w:p>
        </w:tc>
      </w:tr>
    </w:tbl>
    <w:p w14:paraId="79E83676">
      <w:pPr>
        <w:rPr>
          <w:rFonts w:hint="default" w:ascii="宋体" w:hAnsi="宋体" w:eastAsia="宋体"/>
          <w:b/>
          <w:color w:val="auto"/>
          <w:sz w:val="21"/>
          <w:szCs w:val="21"/>
          <w:highlight w:val="none"/>
          <w:lang w:val="en-US" w:eastAsia="zh-CN"/>
        </w:rPr>
      </w:pPr>
    </w:p>
    <w:p w14:paraId="2D892930">
      <w:pPr>
        <w:rPr>
          <w:rFonts w:hint="eastAsia" w:ascii="宋体" w:hAnsi="宋体" w:eastAsia="宋体" w:cs="宋体"/>
          <w:b/>
          <w:color w:val="auto"/>
          <w:sz w:val="24"/>
          <w:szCs w:val="24"/>
          <w:highlight w:val="none"/>
          <w:lang w:val="en-US" w:eastAsia="zh-CN"/>
        </w:rPr>
        <w:sectPr>
          <w:headerReference r:id="rId12" w:type="default"/>
          <w:footerReference r:id="rId13" w:type="default"/>
          <w:pgSz w:w="11906" w:h="16838"/>
          <w:pgMar w:top="1417" w:right="1587" w:bottom="1417" w:left="1587" w:header="851" w:footer="850" w:gutter="0"/>
          <w:pgBorders>
            <w:top w:val="none" w:sz="0" w:space="0"/>
            <w:left w:val="none" w:sz="0" w:space="0"/>
            <w:bottom w:val="none" w:sz="0" w:space="0"/>
            <w:right w:val="none" w:sz="0" w:space="0"/>
          </w:pgBorders>
          <w:cols w:space="0" w:num="1"/>
          <w:rtlGutter w:val="0"/>
          <w:docGrid w:linePitch="312" w:charSpace="0"/>
        </w:sectPr>
      </w:pPr>
      <w:r>
        <w:rPr>
          <w:rFonts w:hint="eastAsia" w:ascii="宋体" w:hAnsi="宋体" w:eastAsia="宋体" w:cs="宋体"/>
          <w:b/>
          <w:color w:val="auto"/>
          <w:sz w:val="24"/>
          <w:szCs w:val="24"/>
          <w:highlight w:val="none"/>
          <w:lang w:val="en-US" w:eastAsia="zh-CN"/>
        </w:rPr>
        <w:br w:type="page"/>
      </w:r>
    </w:p>
    <w:p w14:paraId="239BF788">
      <w:pPr>
        <w:pStyle w:val="3"/>
        <w:keepNext/>
        <w:keepLines/>
        <w:pageBreakBefore w:val="0"/>
        <w:widowControl w:val="0"/>
        <w:kinsoku/>
        <w:wordWrap/>
        <w:overflowPunct/>
        <w:topLinePunct w:val="0"/>
        <w:autoSpaceDE/>
        <w:autoSpaceDN/>
        <w:bidi w:val="0"/>
        <w:adjustRightInd w:val="0"/>
        <w:snapToGrid/>
        <w:spacing w:before="0" w:after="0"/>
        <w:jc w:val="both"/>
        <w:textAlignment w:val="baseline"/>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二、招标货物清单及技术要求表</w:t>
      </w:r>
    </w:p>
    <w:p w14:paraId="7D8765F5">
      <w:pPr>
        <w:pStyle w:val="3"/>
        <w:keepNext/>
        <w:keepLines/>
        <w:pageBreakBefore w:val="0"/>
        <w:widowControl w:val="0"/>
        <w:kinsoku/>
        <w:wordWrap/>
        <w:overflowPunct/>
        <w:topLinePunct w:val="0"/>
        <w:autoSpaceDE/>
        <w:autoSpaceDN/>
        <w:bidi w:val="0"/>
        <w:adjustRightInd w:val="0"/>
        <w:snapToGrid/>
        <w:spacing w:before="0" w:after="0"/>
        <w:jc w:val="both"/>
        <w:textAlignment w:val="baseline"/>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（一）</w:t>
      </w:r>
      <w:r>
        <w:rPr>
          <w:rFonts w:hint="eastAsia" w:ascii="宋体" w:hAnsi="宋体" w:eastAsia="宋体" w:cs="宋体"/>
          <w:i w:val="0"/>
          <w:iCs w:val="0"/>
          <w:color w:val="000000"/>
          <w:sz w:val="24"/>
          <w:szCs w:val="24"/>
          <w:highlight w:val="none"/>
          <w:u w:val="none"/>
          <w:lang w:val="en-US" w:eastAsia="zh-CN"/>
        </w:rPr>
        <w:t>物理实验室</w:t>
      </w:r>
    </w:p>
    <w:tbl>
      <w:tblPr>
        <w:tblStyle w:val="42"/>
        <w:tblW w:w="5046" w:type="pct"/>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1"/>
        <w:gridCol w:w="1407"/>
        <w:gridCol w:w="6323"/>
        <w:gridCol w:w="749"/>
        <w:gridCol w:w="758"/>
        <w:gridCol w:w="2593"/>
        <w:gridCol w:w="1800"/>
      </w:tblGrid>
      <w:tr w14:paraId="2E9E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8" w:hRule="atLeast"/>
          <w:tblHeader/>
        </w:trPr>
        <w:tc>
          <w:tcPr>
            <w:tcW w:w="251" w:type="pct"/>
            <w:shd w:val="clear" w:color="auto" w:fill="auto"/>
            <w:vAlign w:val="center"/>
          </w:tcPr>
          <w:p w14:paraId="27C98BC0">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490" w:type="pct"/>
            <w:shd w:val="clear" w:color="auto" w:fill="auto"/>
            <w:vAlign w:val="center"/>
          </w:tcPr>
          <w:p w14:paraId="01BC71FE">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名称</w:t>
            </w:r>
          </w:p>
        </w:tc>
        <w:tc>
          <w:tcPr>
            <w:tcW w:w="2202" w:type="pct"/>
            <w:shd w:val="clear" w:color="auto" w:fill="auto"/>
            <w:vAlign w:val="center"/>
          </w:tcPr>
          <w:p w14:paraId="546E3225">
            <w:pPr>
              <w:keepNext w:val="0"/>
              <w:keepLines w:val="0"/>
              <w:widowControl/>
              <w:suppressLineNumbers w:val="0"/>
              <w:jc w:val="center"/>
              <w:textAlignment w:val="center"/>
              <w:rPr>
                <w:rFonts w:hint="default" w:ascii="宋体" w:hAnsi="宋体" w:eastAsia="宋体" w:cs="宋体"/>
                <w:b/>
                <w:bCs/>
                <w:i w:val="0"/>
                <w:iCs w:val="0"/>
                <w:color w:val="000000"/>
                <w:sz w:val="21"/>
                <w:szCs w:val="21"/>
                <w:highlight w:val="none"/>
                <w:u w:val="none"/>
                <w:lang w:val="en-US"/>
              </w:rPr>
            </w:pPr>
            <w:r>
              <w:rPr>
                <w:rFonts w:hint="eastAsia" w:ascii="宋体" w:hAnsi="宋体" w:eastAsia="宋体" w:cs="宋体"/>
                <w:b/>
                <w:bCs/>
                <w:i w:val="0"/>
                <w:iCs w:val="0"/>
                <w:color w:val="000000"/>
                <w:kern w:val="0"/>
                <w:sz w:val="21"/>
                <w:szCs w:val="21"/>
                <w:highlight w:val="none"/>
                <w:u w:val="none"/>
                <w:lang w:val="en-US" w:eastAsia="zh-CN" w:bidi="ar"/>
              </w:rPr>
              <w:t>招标技术规格要求</w:t>
            </w:r>
          </w:p>
        </w:tc>
        <w:tc>
          <w:tcPr>
            <w:tcW w:w="261" w:type="pct"/>
            <w:shd w:val="clear" w:color="auto" w:fill="auto"/>
            <w:vAlign w:val="center"/>
          </w:tcPr>
          <w:p w14:paraId="7C7A6240">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数量</w:t>
            </w:r>
          </w:p>
        </w:tc>
        <w:tc>
          <w:tcPr>
            <w:tcW w:w="264" w:type="pct"/>
            <w:shd w:val="clear" w:color="auto" w:fill="auto"/>
            <w:vAlign w:val="center"/>
          </w:tcPr>
          <w:p w14:paraId="7230A5E7">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单位</w:t>
            </w:r>
          </w:p>
        </w:tc>
        <w:tc>
          <w:tcPr>
            <w:tcW w:w="903" w:type="pct"/>
            <w:shd w:val="clear" w:color="auto" w:fill="auto"/>
            <w:vAlign w:val="center"/>
          </w:tcPr>
          <w:p w14:paraId="278E0A35">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参考图片</w:t>
            </w:r>
          </w:p>
        </w:tc>
        <w:tc>
          <w:tcPr>
            <w:tcW w:w="627" w:type="pct"/>
            <w:shd w:val="clear" w:color="auto" w:fill="auto"/>
            <w:vAlign w:val="center"/>
          </w:tcPr>
          <w:p w14:paraId="607C8932">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投标响应</w:t>
            </w:r>
          </w:p>
        </w:tc>
      </w:tr>
      <w:tr w14:paraId="4A95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17" w:hRule="atLeast"/>
        </w:trPr>
        <w:tc>
          <w:tcPr>
            <w:tcW w:w="251" w:type="pct"/>
            <w:shd w:val="clear" w:color="auto" w:fill="auto"/>
            <w:vAlign w:val="center"/>
          </w:tcPr>
          <w:p w14:paraId="7CA48BC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90" w:type="pct"/>
            <w:shd w:val="clear" w:color="auto" w:fill="auto"/>
            <w:vAlign w:val="center"/>
          </w:tcPr>
          <w:p w14:paraId="4FD56E0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教师演示台</w:t>
            </w:r>
          </w:p>
        </w:tc>
        <w:tc>
          <w:tcPr>
            <w:tcW w:w="2202" w:type="pct"/>
            <w:shd w:val="clear" w:color="auto" w:fill="auto"/>
            <w:vAlign w:val="center"/>
          </w:tcPr>
          <w:p w14:paraId="59B4202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 xml:space="preserve">规格：2400*700*850mm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台面</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采用新型、环保、基材整体25mm厚（不得加边）的高强度金属树脂理化板。</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 xml:space="preserve">桌身：整体采用1.0mm厚优质冷轧钢板，全部钢制件纳米陶瓷镀膜防锈处理。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CN" w:bidi="ar"/>
              </w:rPr>
              <w:t>结构：演示台设有储物柜，中间为演示台,设置电源主控系统、多媒体设备（主机、显示器、中控、功放、交换机）的位置预留。</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5.</w:t>
            </w:r>
            <w:r>
              <w:rPr>
                <w:rFonts w:hint="eastAsia" w:ascii="宋体" w:hAnsi="宋体" w:eastAsia="宋体" w:cs="宋体"/>
                <w:i w:val="0"/>
                <w:iCs w:val="0"/>
                <w:color w:val="000000"/>
                <w:kern w:val="0"/>
                <w:sz w:val="21"/>
                <w:szCs w:val="21"/>
                <w:highlight w:val="none"/>
                <w:u w:val="none"/>
                <w:lang w:val="en-US" w:eastAsia="zh-CN" w:bidi="ar"/>
              </w:rPr>
              <w:t>滑道：抽屉全部采用优质三节承重式滚珠滑道开合十万次不变形。</w:t>
            </w:r>
          </w:p>
          <w:p w14:paraId="4FA779C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为保证产品质量及从环保角度保障实验室人员健康，产品符合以下技术参数及要求：</w:t>
            </w:r>
          </w:p>
          <w:p w14:paraId="6EE7D8D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1台面表面耐污染性能要求：至少通过45项化学试剂测试，检验结果均为无明显变化，分级结果为“5级”。检测：1、盐酸（37%）；</w:t>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硝酸（65%）；3、氢氧化钠（40%）；4、硫酸（98%）；5、氢氟酸（40%）；6、氨水（28%）；7、甲醛（37%）；8、双氧水（3%）；9、苯酚；10、四氯化碳等45种及以上试剂。</w:t>
            </w:r>
          </w:p>
          <w:p w14:paraId="4D9967D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6.2</w:t>
            </w:r>
            <w:r>
              <w:rPr>
                <w:rFonts w:hint="eastAsia" w:ascii="宋体" w:hAnsi="宋体" w:eastAsia="宋体" w:cs="宋体"/>
                <w:i w:val="0"/>
                <w:iCs w:val="0"/>
                <w:color w:val="000000"/>
                <w:kern w:val="0"/>
                <w:sz w:val="21"/>
                <w:szCs w:val="21"/>
                <w:highlight w:val="none"/>
                <w:u w:val="none"/>
                <w:lang w:val="en-US" w:eastAsia="zh-CN" w:bidi="ar"/>
              </w:rPr>
              <w:t>台面依据GB/T17657-2022《人造板及饰面人造板理化性能试验方法》检测标准：顺纹抗压强度不小于88MPa，表面胶合强度不小于3.90MPa，防潮性能＞4.0MPa。</w:t>
            </w:r>
          </w:p>
          <w:p w14:paraId="2FB3F03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6.3</w:t>
            </w:r>
            <w:r>
              <w:rPr>
                <w:rFonts w:hint="eastAsia" w:ascii="宋体" w:hAnsi="宋体" w:eastAsia="宋体" w:cs="宋体"/>
                <w:i w:val="0"/>
                <w:iCs w:val="0"/>
                <w:color w:val="000000"/>
                <w:kern w:val="0"/>
                <w:sz w:val="21"/>
                <w:szCs w:val="21"/>
                <w:highlight w:val="none"/>
                <w:u w:val="none"/>
                <w:lang w:val="en-US" w:eastAsia="zh-CN" w:bidi="ar"/>
              </w:rPr>
              <w:t>教师演示台整体通过垂直静载荷试验(主桌面）测试，要求零、部件应无断裂或豁裂，应无永久性松动，应无严重影响使用功能的磨损或变形，活动部件的开关应灵便，测试结果为：合格。</w:t>
            </w:r>
          </w:p>
          <w:p w14:paraId="7CCBD59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4冷轧钢板符合GB/T230.1-2018《金属材料洛氏硬度试验 第1部分:试验方法》标准,洛氏硬度(HRA)检测结果不小于34。</w:t>
            </w:r>
          </w:p>
          <w:p w14:paraId="049A03A9">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cs="宋体"/>
                <w:b/>
                <w:bCs/>
                <w:i w:val="0"/>
                <w:iCs w:val="0"/>
                <w:color w:val="000000"/>
                <w:kern w:val="0"/>
                <w:sz w:val="21"/>
                <w:szCs w:val="21"/>
                <w:highlight w:val="none"/>
                <w:u w:val="none"/>
                <w:lang w:val="en-US" w:eastAsia="zh-CN" w:bidi="ar"/>
              </w:rPr>
              <w:t>投标文件中</w:t>
            </w:r>
            <w:r>
              <w:rPr>
                <w:rFonts w:hint="eastAsia" w:ascii="宋体" w:hAnsi="宋体" w:eastAsia="宋体" w:cs="宋体"/>
                <w:b/>
                <w:bCs/>
                <w:i w:val="0"/>
                <w:iCs w:val="0"/>
                <w:color w:val="000000"/>
                <w:kern w:val="0"/>
                <w:sz w:val="21"/>
                <w:szCs w:val="21"/>
                <w:highlight w:val="none"/>
                <w:u w:val="none"/>
                <w:lang w:val="en-US" w:eastAsia="zh-CN" w:bidi="ar"/>
              </w:rPr>
              <w:t>提供具有CMA认证资质的第三方检测机构出具的检测报告，且报告中须反</w:t>
            </w:r>
            <w:r>
              <w:rPr>
                <w:rFonts w:hint="eastAsia" w:ascii="宋体" w:hAnsi="宋体" w:cs="宋体"/>
                <w:b/>
                <w:bCs/>
                <w:i w:val="0"/>
                <w:iCs w:val="0"/>
                <w:color w:val="000000"/>
                <w:kern w:val="0"/>
                <w:sz w:val="21"/>
                <w:szCs w:val="21"/>
                <w:highlight w:val="none"/>
                <w:u w:val="none"/>
                <w:lang w:val="en-US" w:eastAsia="zh-CN" w:bidi="ar"/>
              </w:rPr>
              <w:t>映</w:t>
            </w:r>
            <w:r>
              <w:rPr>
                <w:rFonts w:hint="eastAsia" w:ascii="宋体" w:hAnsi="宋体" w:eastAsia="宋体" w:cs="宋体"/>
                <w:b/>
                <w:bCs/>
                <w:i w:val="0"/>
                <w:iCs w:val="0"/>
                <w:color w:val="000000"/>
                <w:kern w:val="0"/>
                <w:sz w:val="21"/>
                <w:szCs w:val="21"/>
                <w:highlight w:val="none"/>
                <w:u w:val="none"/>
                <w:lang w:val="en-US" w:eastAsia="zh-CN" w:bidi="ar"/>
              </w:rPr>
              <w:t xml:space="preserve">以上 </w:t>
            </w:r>
            <w:r>
              <w:rPr>
                <w:rFonts w:hint="eastAsia" w:ascii="宋体" w:hAnsi="宋体" w:cs="宋体"/>
                <w:b/>
                <w:bCs/>
                <w:i w:val="0"/>
                <w:iCs w:val="0"/>
                <w:color w:val="000000"/>
                <w:kern w:val="0"/>
                <w:sz w:val="21"/>
                <w:szCs w:val="21"/>
                <w:highlight w:val="none"/>
                <w:u w:val="none"/>
                <w:lang w:val="en-US" w:eastAsia="zh-CN" w:bidi="ar"/>
              </w:rPr>
              <w:t>6.</w:t>
            </w:r>
            <w:r>
              <w:rPr>
                <w:rFonts w:hint="eastAsia" w:ascii="宋体" w:hAnsi="宋体" w:eastAsia="宋体" w:cs="宋体"/>
                <w:b/>
                <w:bCs/>
                <w:i w:val="0"/>
                <w:iCs w:val="0"/>
                <w:color w:val="000000"/>
                <w:kern w:val="0"/>
                <w:sz w:val="21"/>
                <w:szCs w:val="21"/>
                <w:highlight w:val="none"/>
                <w:u w:val="none"/>
                <w:lang w:val="en-US" w:eastAsia="zh-CN" w:bidi="ar"/>
              </w:rPr>
              <w:t>1～</w:t>
            </w:r>
            <w:r>
              <w:rPr>
                <w:rFonts w:hint="eastAsia" w:ascii="宋体" w:hAnsi="宋体" w:cs="宋体"/>
                <w:b/>
                <w:bCs/>
                <w:i w:val="0"/>
                <w:iCs w:val="0"/>
                <w:color w:val="000000"/>
                <w:kern w:val="0"/>
                <w:sz w:val="21"/>
                <w:szCs w:val="21"/>
                <w:highlight w:val="none"/>
                <w:u w:val="none"/>
                <w:lang w:val="en-US" w:eastAsia="zh-CN" w:bidi="ar"/>
              </w:rPr>
              <w:t>6.</w:t>
            </w:r>
            <w:r>
              <w:rPr>
                <w:rFonts w:hint="eastAsia" w:ascii="宋体" w:hAnsi="宋体" w:eastAsia="宋体" w:cs="宋体"/>
                <w:b/>
                <w:bCs/>
                <w:i w:val="0"/>
                <w:iCs w:val="0"/>
                <w:color w:val="000000"/>
                <w:kern w:val="0"/>
                <w:sz w:val="21"/>
                <w:szCs w:val="21"/>
                <w:highlight w:val="none"/>
                <w:u w:val="none"/>
                <w:lang w:val="en-US" w:eastAsia="zh-CN" w:bidi="ar"/>
              </w:rPr>
              <w:t>4项技术指标。</w:t>
            </w:r>
          </w:p>
        </w:tc>
        <w:tc>
          <w:tcPr>
            <w:tcW w:w="261" w:type="pct"/>
            <w:shd w:val="clear" w:color="auto" w:fill="auto"/>
            <w:vAlign w:val="center"/>
          </w:tcPr>
          <w:p w14:paraId="63EA1F6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64" w:type="pct"/>
            <w:shd w:val="clear" w:color="auto" w:fill="auto"/>
            <w:noWrap/>
            <w:vAlign w:val="center"/>
          </w:tcPr>
          <w:p w14:paraId="4638B69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903" w:type="pct"/>
            <w:shd w:val="clear" w:color="auto" w:fill="auto"/>
            <w:noWrap/>
            <w:vAlign w:val="center"/>
          </w:tcPr>
          <w:p w14:paraId="7C4142C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13970</wp:posOffset>
                  </wp:positionV>
                  <wp:extent cx="1515745" cy="1096010"/>
                  <wp:effectExtent l="0" t="0" r="8255" b="8890"/>
                  <wp:wrapNone/>
                  <wp:docPr id="46" name="图片_5"/>
                  <wp:cNvGraphicFramePr/>
                  <a:graphic xmlns:a="http://schemas.openxmlformats.org/drawingml/2006/main">
                    <a:graphicData uri="http://schemas.openxmlformats.org/drawingml/2006/picture">
                      <pic:pic xmlns:pic="http://schemas.openxmlformats.org/drawingml/2006/picture">
                        <pic:nvPicPr>
                          <pic:cNvPr id="46" name="图片_5"/>
                          <pic:cNvPicPr/>
                        </pic:nvPicPr>
                        <pic:blipFill>
                          <a:blip r:embed="rId21"/>
                          <a:stretch>
                            <a:fillRect/>
                          </a:stretch>
                        </pic:blipFill>
                        <pic:spPr>
                          <a:xfrm>
                            <a:off x="0" y="0"/>
                            <a:ext cx="1515745" cy="1096010"/>
                          </a:xfrm>
                          <a:prstGeom prst="rect">
                            <a:avLst/>
                          </a:prstGeom>
                          <a:noFill/>
                          <a:ln>
                            <a:noFill/>
                          </a:ln>
                        </pic:spPr>
                      </pic:pic>
                    </a:graphicData>
                  </a:graphic>
                </wp:anchor>
              </w:drawing>
            </w:r>
          </w:p>
        </w:tc>
        <w:tc>
          <w:tcPr>
            <w:tcW w:w="627" w:type="pct"/>
            <w:shd w:val="clear" w:color="auto" w:fill="auto"/>
            <w:noWrap/>
            <w:vAlign w:val="center"/>
          </w:tcPr>
          <w:p w14:paraId="5D6BA8F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40F8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51" w:type="pct"/>
            <w:shd w:val="clear" w:color="auto" w:fill="auto"/>
            <w:vAlign w:val="center"/>
          </w:tcPr>
          <w:p w14:paraId="59F8C0B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490" w:type="pct"/>
            <w:shd w:val="clear" w:color="auto" w:fill="auto"/>
            <w:vAlign w:val="center"/>
          </w:tcPr>
          <w:p w14:paraId="4999A31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实验桌</w:t>
            </w:r>
          </w:p>
        </w:tc>
        <w:tc>
          <w:tcPr>
            <w:tcW w:w="2202" w:type="pct"/>
            <w:shd w:val="clear" w:color="auto" w:fill="auto"/>
            <w:vAlign w:val="center"/>
          </w:tcPr>
          <w:p w14:paraId="2D86C1B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 xml:space="preserve">规格：1200*600*780mm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台面：采用16mm厚一体实芯黑色胚体实验室工业陶瓷台面。台面表面为耐腐蚀专业釉面。釉面和黑色胚体（非后期染色处理）经高温烧结而成，釉面与胚体结合后不脱落、不脱层。</w:t>
            </w:r>
          </w:p>
          <w:p w14:paraId="66767C5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台身结构：新型塑铝结构，整体1200*600*780。</w:t>
            </w:r>
          </w:p>
          <w:p w14:paraId="7BDB3CC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CN" w:bidi="ar"/>
              </w:rPr>
              <w:t>桌腿：采用工字型压铸铝一次成型，材料表面经高压静电喷涂环氧树脂防护层，耐酸碱，耐腐蚀处理。上腿规格：长585mm宽56mm高90mm，壁厚3.0mm。下腿规格：长540mm宽51mm高80mm，壁厚3.0mm。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5.</w:t>
            </w:r>
            <w:r>
              <w:rPr>
                <w:rFonts w:hint="eastAsia" w:ascii="宋体" w:hAnsi="宋体" w:eastAsia="宋体" w:cs="宋体"/>
                <w:i w:val="0"/>
                <w:iCs w:val="0"/>
                <w:color w:val="000000"/>
                <w:kern w:val="0"/>
                <w:sz w:val="21"/>
                <w:szCs w:val="21"/>
                <w:highlight w:val="none"/>
                <w:u w:val="none"/>
                <w:lang w:val="en-US" w:eastAsia="zh-CN" w:bidi="ar"/>
              </w:rPr>
              <w:t>立柱：采用41×95mm，壁厚1.8mm。前横梁采用36×25mm，壁厚1.3mm。中横梁采用34×25mm，壁厚1.3mm。后横梁：采用43×61mm，壁厚1.3mm。加强横支撑件：采用30×60mm椭圆管，壁厚1.5mm。材料表面经高压静电喷涂环氧树脂防护层，耐酸碱，耐腐蚀处理。</w:t>
            </w:r>
          </w:p>
          <w:p w14:paraId="384E687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候老化性至少10h，检测结果达到10级。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 xml:space="preserve">书包斗:尺寸为480*290*152mm,壁厚3.5mm；采用环保型ABS工程塑料一次性注塑成型。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7.</w:t>
            </w:r>
            <w:r>
              <w:rPr>
                <w:rFonts w:hint="eastAsia" w:ascii="宋体" w:hAnsi="宋体" w:eastAsia="宋体" w:cs="宋体"/>
                <w:i w:val="0"/>
                <w:iCs w:val="0"/>
                <w:color w:val="000000"/>
                <w:kern w:val="0"/>
                <w:sz w:val="21"/>
                <w:szCs w:val="21"/>
                <w:highlight w:val="none"/>
                <w:u w:val="none"/>
                <w:lang w:val="en-US" w:eastAsia="zh-CN" w:bidi="ar"/>
              </w:rPr>
              <w:t xml:space="preserve">整体结构：台面陶瓷板一体成型，桌身由桌腿、立柱、前横梁、中横梁、后横梁及加强横支撑件组成。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8.</w:t>
            </w:r>
            <w:r>
              <w:rPr>
                <w:rFonts w:hint="eastAsia" w:ascii="宋体" w:hAnsi="宋体" w:eastAsia="宋体" w:cs="宋体"/>
                <w:i w:val="0"/>
                <w:iCs w:val="0"/>
                <w:color w:val="000000"/>
                <w:kern w:val="0"/>
                <w:sz w:val="21"/>
                <w:szCs w:val="21"/>
                <w:highlight w:val="none"/>
                <w:u w:val="none"/>
                <w:lang w:val="en-US" w:eastAsia="zh-CN" w:bidi="ar"/>
              </w:rPr>
              <w:t>可调脚：高强度可调脚，下部采用环保型PP加耐磨纤维质塑料。</w:t>
            </w:r>
          </w:p>
          <w:p w14:paraId="51CFACB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9.</w:t>
            </w:r>
            <w:r>
              <w:rPr>
                <w:rFonts w:hint="eastAsia" w:ascii="宋体" w:hAnsi="宋体" w:eastAsia="宋体" w:cs="宋体"/>
                <w:i w:val="0"/>
                <w:iCs w:val="0"/>
                <w:color w:val="000000"/>
                <w:kern w:val="0"/>
                <w:sz w:val="21"/>
                <w:szCs w:val="21"/>
                <w:highlight w:val="none"/>
                <w:u w:val="none"/>
                <w:lang w:val="en-US" w:eastAsia="zh-CN" w:bidi="ar"/>
              </w:rPr>
              <w:t>为保证产品质量以及从环保角度保障实验室人员健康，产品必须符合以下技术参数及要求：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9.</w:t>
            </w:r>
            <w:r>
              <w:rPr>
                <w:rFonts w:hint="eastAsia" w:ascii="宋体" w:hAnsi="宋体" w:eastAsia="宋体" w:cs="宋体"/>
                <w:i w:val="0"/>
                <w:iCs w:val="0"/>
                <w:color w:val="000000"/>
                <w:kern w:val="0"/>
                <w:sz w:val="21"/>
                <w:szCs w:val="21"/>
                <w:highlight w:val="none"/>
                <w:u w:val="none"/>
                <w:lang w:val="en-US" w:eastAsia="zh-CN" w:bidi="ar"/>
              </w:rPr>
              <w:t>1台面吸水率检测：检测结果平均值≤0.08%，重金属检测：满足第三方检测机构性能测试，铅溶出量＜0.5mg/L或者＜0.02mg/dm2；镉溶出量＜0.05mg/L或者＜0.002mg/dm2。</w:t>
            </w:r>
          </w:p>
          <w:p w14:paraId="00EE34C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9.</w:t>
            </w:r>
            <w:r>
              <w:rPr>
                <w:rFonts w:hint="eastAsia" w:ascii="宋体" w:hAnsi="宋体" w:eastAsia="宋体" w:cs="宋体"/>
                <w:i w:val="0"/>
                <w:iCs w:val="0"/>
                <w:color w:val="000000"/>
                <w:kern w:val="0"/>
                <w:sz w:val="21"/>
                <w:szCs w:val="21"/>
                <w:highlight w:val="none"/>
                <w:u w:val="none"/>
                <w:lang w:val="en-US" w:eastAsia="zh-CN" w:bidi="ar"/>
              </w:rPr>
              <w:t xml:space="preserve">2实验桌通过耐磨性测试，耐磨性测试结果为：合格。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9.3</w:t>
            </w:r>
            <w:r>
              <w:rPr>
                <w:rFonts w:hint="eastAsia" w:ascii="宋体" w:hAnsi="宋体" w:eastAsia="宋体" w:cs="宋体"/>
                <w:i w:val="0"/>
                <w:iCs w:val="0"/>
                <w:color w:val="000000"/>
                <w:kern w:val="0"/>
                <w:sz w:val="21"/>
                <w:szCs w:val="21"/>
                <w:highlight w:val="none"/>
                <w:u w:val="none"/>
                <w:lang w:val="en-US" w:eastAsia="zh-CN" w:bidi="ar"/>
              </w:rPr>
              <w:t>实验桌符合GB/T1732-2020《漆膜耐冲击测定法》检测标准，冲击强度检测结果为：冲击高度400mm，无剥落、裂纹、皱纹，单项结论：符合。</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9.</w:t>
            </w:r>
            <w:r>
              <w:rPr>
                <w:rFonts w:hint="eastAsia" w:ascii="宋体" w:hAnsi="宋体" w:eastAsia="宋体" w:cs="宋体"/>
                <w:i w:val="0"/>
                <w:iCs w:val="0"/>
                <w:color w:val="000000"/>
                <w:kern w:val="0"/>
                <w:sz w:val="21"/>
                <w:szCs w:val="21"/>
                <w:highlight w:val="none"/>
                <w:u w:val="none"/>
                <w:lang w:val="en-US" w:eastAsia="zh-CN" w:bidi="ar"/>
              </w:rPr>
              <w:t>4实验桌符合GB/T10125-2021《人造气氛腐蚀试验 盐雾试验》和GB/T6461-2002《金属基体上金属和其他无机覆盖层 经腐蚀试验后的试样和试件的评级》标准，检测项目包含中性盐雾试验至少10h，检测结果达到10级。</w:t>
            </w:r>
          </w:p>
          <w:p w14:paraId="6B64EA2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shd w:val="clear"/>
                <w:lang w:val="en-US" w:eastAsia="zh-CN" w:bidi="ar"/>
              </w:rPr>
              <w:t>投标文件中</w:t>
            </w:r>
            <w:r>
              <w:rPr>
                <w:rFonts w:hint="eastAsia" w:ascii="宋体" w:hAnsi="宋体" w:eastAsia="宋体" w:cs="宋体"/>
                <w:b/>
                <w:bCs/>
                <w:i w:val="0"/>
                <w:iCs w:val="0"/>
                <w:color w:val="auto"/>
                <w:kern w:val="0"/>
                <w:sz w:val="21"/>
                <w:szCs w:val="21"/>
                <w:highlight w:val="none"/>
                <w:u w:val="none"/>
                <w:shd w:val="clear"/>
                <w:lang w:val="en-US" w:eastAsia="zh-CN" w:bidi="ar"/>
              </w:rPr>
              <w:t>提供具有CMA认证资质的第三方检测机构出具的检测报告，</w:t>
            </w:r>
            <w:r>
              <w:rPr>
                <w:rFonts w:hint="eastAsia" w:ascii="宋体" w:hAnsi="宋体" w:eastAsia="宋体" w:cs="宋体"/>
                <w:b/>
                <w:bCs/>
                <w:i w:val="0"/>
                <w:iCs w:val="0"/>
                <w:color w:val="000000"/>
                <w:kern w:val="0"/>
                <w:sz w:val="21"/>
                <w:szCs w:val="21"/>
                <w:highlight w:val="none"/>
                <w:u w:val="none"/>
                <w:lang w:val="en-US" w:eastAsia="zh-CN" w:bidi="ar"/>
              </w:rPr>
              <w:t>且报告中须反</w:t>
            </w:r>
            <w:r>
              <w:rPr>
                <w:rFonts w:hint="eastAsia" w:ascii="宋体" w:hAnsi="宋体" w:cs="宋体"/>
                <w:b/>
                <w:bCs/>
                <w:i w:val="0"/>
                <w:iCs w:val="0"/>
                <w:color w:val="000000"/>
                <w:kern w:val="0"/>
                <w:sz w:val="21"/>
                <w:szCs w:val="21"/>
                <w:highlight w:val="none"/>
                <w:u w:val="none"/>
                <w:lang w:val="en-US" w:eastAsia="zh-CN" w:bidi="ar"/>
              </w:rPr>
              <w:t>映</w:t>
            </w:r>
            <w:r>
              <w:rPr>
                <w:rFonts w:hint="eastAsia" w:ascii="宋体" w:hAnsi="宋体" w:eastAsia="宋体" w:cs="宋体"/>
                <w:b/>
                <w:bCs/>
                <w:i w:val="0"/>
                <w:iCs w:val="0"/>
                <w:color w:val="000000"/>
                <w:kern w:val="0"/>
                <w:sz w:val="21"/>
                <w:szCs w:val="21"/>
                <w:highlight w:val="none"/>
                <w:u w:val="none"/>
                <w:lang w:val="en-US" w:eastAsia="zh-CN" w:bidi="ar"/>
              </w:rPr>
              <w:t xml:space="preserve">以上 </w:t>
            </w:r>
            <w:r>
              <w:rPr>
                <w:rFonts w:hint="eastAsia" w:ascii="宋体" w:hAnsi="宋体" w:cs="宋体"/>
                <w:b/>
                <w:bCs/>
                <w:i w:val="0"/>
                <w:iCs w:val="0"/>
                <w:color w:val="000000"/>
                <w:kern w:val="0"/>
                <w:sz w:val="21"/>
                <w:szCs w:val="21"/>
                <w:highlight w:val="none"/>
                <w:u w:val="none"/>
                <w:lang w:val="en-US" w:eastAsia="zh-CN" w:bidi="ar"/>
              </w:rPr>
              <w:t>9.1</w:t>
            </w:r>
            <w:r>
              <w:rPr>
                <w:rFonts w:hint="eastAsia" w:ascii="宋体" w:hAnsi="宋体" w:eastAsia="宋体" w:cs="宋体"/>
                <w:b/>
                <w:bCs/>
                <w:i w:val="0"/>
                <w:iCs w:val="0"/>
                <w:color w:val="000000"/>
                <w:kern w:val="0"/>
                <w:sz w:val="21"/>
                <w:szCs w:val="21"/>
                <w:highlight w:val="none"/>
                <w:u w:val="none"/>
                <w:lang w:val="en-US" w:eastAsia="zh-CN" w:bidi="ar"/>
              </w:rPr>
              <w:t>～</w:t>
            </w:r>
            <w:r>
              <w:rPr>
                <w:rFonts w:hint="eastAsia" w:ascii="宋体" w:hAnsi="宋体" w:cs="宋体"/>
                <w:b/>
                <w:bCs/>
                <w:i w:val="0"/>
                <w:iCs w:val="0"/>
                <w:color w:val="000000"/>
                <w:kern w:val="0"/>
                <w:sz w:val="21"/>
                <w:szCs w:val="21"/>
                <w:highlight w:val="none"/>
                <w:u w:val="none"/>
                <w:lang w:val="en-US" w:eastAsia="zh-CN" w:bidi="ar"/>
              </w:rPr>
              <w:t>9.</w:t>
            </w:r>
            <w:r>
              <w:rPr>
                <w:rFonts w:hint="eastAsia" w:ascii="宋体" w:hAnsi="宋体" w:eastAsia="宋体" w:cs="宋体"/>
                <w:b/>
                <w:bCs/>
                <w:i w:val="0"/>
                <w:iCs w:val="0"/>
                <w:color w:val="000000"/>
                <w:kern w:val="0"/>
                <w:sz w:val="21"/>
                <w:szCs w:val="21"/>
                <w:highlight w:val="none"/>
                <w:u w:val="none"/>
                <w:lang w:val="en-US" w:eastAsia="zh-CN" w:bidi="ar"/>
              </w:rPr>
              <w:t>4项技术指标。</w:t>
            </w:r>
          </w:p>
        </w:tc>
        <w:tc>
          <w:tcPr>
            <w:tcW w:w="261" w:type="pct"/>
            <w:shd w:val="clear" w:color="auto" w:fill="auto"/>
            <w:vAlign w:val="center"/>
          </w:tcPr>
          <w:p w14:paraId="0FC20DB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264" w:type="pct"/>
            <w:shd w:val="clear" w:color="auto" w:fill="auto"/>
            <w:noWrap/>
            <w:vAlign w:val="center"/>
          </w:tcPr>
          <w:p w14:paraId="169356F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903" w:type="pct"/>
            <w:shd w:val="clear" w:color="auto" w:fill="auto"/>
            <w:noWrap/>
            <w:vAlign w:val="center"/>
          </w:tcPr>
          <w:p w14:paraId="67A302D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140970</wp:posOffset>
                  </wp:positionV>
                  <wp:extent cx="1168400" cy="978535"/>
                  <wp:effectExtent l="0" t="0" r="12700" b="12065"/>
                  <wp:wrapNone/>
                  <wp:docPr id="47" name="Picture_1"/>
                  <wp:cNvGraphicFramePr/>
                  <a:graphic xmlns:a="http://schemas.openxmlformats.org/drawingml/2006/main">
                    <a:graphicData uri="http://schemas.openxmlformats.org/drawingml/2006/picture">
                      <pic:pic xmlns:pic="http://schemas.openxmlformats.org/drawingml/2006/picture">
                        <pic:nvPicPr>
                          <pic:cNvPr id="47" name="Picture_1"/>
                          <pic:cNvPicPr/>
                        </pic:nvPicPr>
                        <pic:blipFill>
                          <a:blip r:embed="rId22"/>
                          <a:stretch>
                            <a:fillRect/>
                          </a:stretch>
                        </pic:blipFill>
                        <pic:spPr>
                          <a:xfrm>
                            <a:off x="0" y="0"/>
                            <a:ext cx="1168400" cy="978535"/>
                          </a:xfrm>
                          <a:prstGeom prst="rect">
                            <a:avLst/>
                          </a:prstGeom>
                          <a:noFill/>
                          <a:ln>
                            <a:noFill/>
                          </a:ln>
                        </pic:spPr>
                      </pic:pic>
                    </a:graphicData>
                  </a:graphic>
                </wp:anchor>
              </w:drawing>
            </w:r>
          </w:p>
        </w:tc>
        <w:tc>
          <w:tcPr>
            <w:tcW w:w="627" w:type="pct"/>
            <w:shd w:val="clear" w:color="auto" w:fill="auto"/>
            <w:noWrap/>
            <w:vAlign w:val="center"/>
          </w:tcPr>
          <w:p w14:paraId="2FB7549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0A3A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1" w:hRule="atLeast"/>
        </w:trPr>
        <w:tc>
          <w:tcPr>
            <w:tcW w:w="251" w:type="pct"/>
            <w:shd w:val="clear" w:color="auto" w:fill="auto"/>
            <w:vAlign w:val="center"/>
          </w:tcPr>
          <w:p w14:paraId="5F9CFB3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490" w:type="pct"/>
            <w:shd w:val="clear" w:color="auto" w:fill="auto"/>
            <w:noWrap/>
            <w:vAlign w:val="center"/>
          </w:tcPr>
          <w:p w14:paraId="328E96D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功能柱</w:t>
            </w:r>
          </w:p>
        </w:tc>
        <w:tc>
          <w:tcPr>
            <w:tcW w:w="2202" w:type="pct"/>
            <w:shd w:val="clear" w:color="auto" w:fill="auto"/>
            <w:vAlign w:val="top"/>
          </w:tcPr>
          <w:p w14:paraId="134D702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规格：宽≥320mm；深≥190mm；高≥730mm，壁厚3.0mm，采用PP材质一次注塑成型。 主要功能是保护通风管道及电线电缆作用，配套于学生桌，美观大方。</w:t>
            </w:r>
          </w:p>
        </w:tc>
        <w:tc>
          <w:tcPr>
            <w:tcW w:w="261" w:type="pct"/>
            <w:shd w:val="clear" w:color="auto" w:fill="auto"/>
            <w:noWrap/>
            <w:vAlign w:val="center"/>
          </w:tcPr>
          <w:p w14:paraId="2A450EE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264" w:type="pct"/>
            <w:shd w:val="clear" w:color="auto" w:fill="auto"/>
            <w:noWrap/>
            <w:vAlign w:val="center"/>
          </w:tcPr>
          <w:p w14:paraId="7C6839C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903" w:type="pct"/>
            <w:shd w:val="clear" w:color="auto" w:fill="auto"/>
            <w:noWrap/>
            <w:vAlign w:val="center"/>
          </w:tcPr>
          <w:p w14:paraId="73BDD07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565150</wp:posOffset>
                  </wp:positionH>
                  <wp:positionV relativeFrom="paragraph">
                    <wp:posOffset>57150</wp:posOffset>
                  </wp:positionV>
                  <wp:extent cx="434975" cy="622935"/>
                  <wp:effectExtent l="0" t="0" r="3175" b="5715"/>
                  <wp:wrapNone/>
                  <wp:docPr id="48" name="图片_1"/>
                  <wp:cNvGraphicFramePr/>
                  <a:graphic xmlns:a="http://schemas.openxmlformats.org/drawingml/2006/main">
                    <a:graphicData uri="http://schemas.openxmlformats.org/drawingml/2006/picture">
                      <pic:pic xmlns:pic="http://schemas.openxmlformats.org/drawingml/2006/picture">
                        <pic:nvPicPr>
                          <pic:cNvPr id="48" name="图片_1"/>
                          <pic:cNvPicPr/>
                        </pic:nvPicPr>
                        <pic:blipFill>
                          <a:blip r:embed="rId23"/>
                          <a:stretch>
                            <a:fillRect/>
                          </a:stretch>
                        </pic:blipFill>
                        <pic:spPr>
                          <a:xfrm>
                            <a:off x="0" y="0"/>
                            <a:ext cx="434975" cy="622935"/>
                          </a:xfrm>
                          <a:prstGeom prst="rect">
                            <a:avLst/>
                          </a:prstGeom>
                          <a:noFill/>
                          <a:ln>
                            <a:noFill/>
                          </a:ln>
                        </pic:spPr>
                      </pic:pic>
                    </a:graphicData>
                  </a:graphic>
                </wp:anchor>
              </w:drawing>
            </w:r>
          </w:p>
        </w:tc>
        <w:tc>
          <w:tcPr>
            <w:tcW w:w="627" w:type="pct"/>
            <w:shd w:val="clear" w:color="auto" w:fill="auto"/>
            <w:noWrap/>
            <w:vAlign w:val="center"/>
          </w:tcPr>
          <w:p w14:paraId="7879E7F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1DA7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65" w:hRule="atLeast"/>
        </w:trPr>
        <w:tc>
          <w:tcPr>
            <w:tcW w:w="251" w:type="pct"/>
            <w:shd w:val="clear" w:color="auto" w:fill="auto"/>
            <w:vAlign w:val="center"/>
          </w:tcPr>
          <w:p w14:paraId="6E9B9B1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490" w:type="pct"/>
            <w:shd w:val="clear" w:color="auto" w:fill="auto"/>
            <w:vAlign w:val="center"/>
          </w:tcPr>
          <w:p w14:paraId="539EC89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学生安全电源</w:t>
            </w:r>
          </w:p>
        </w:tc>
        <w:tc>
          <w:tcPr>
            <w:tcW w:w="2202" w:type="pct"/>
            <w:shd w:val="clear" w:color="auto" w:fill="auto"/>
            <w:vAlign w:val="top"/>
          </w:tcPr>
          <w:p w14:paraId="4403708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1.学生电源采用集中供电的嵌入式受控电源。</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2.学生电源显示交直流电压。既能独立操作，也能被教师控制。</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3.学生低压交流电源电压为0V-24V/2A分辨率为1V。具备自动过载保护功能。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4.学生低压直流电源电压为0V-24V/2A，分辨率为0.1V。</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   要测试1.2V到0V的电压应0.1V可调。</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5.学生电源被教师控制及锁定后，学生端不能操作。</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6.液晶显示屏采用≥1.7寸LCD屏，数字显示交流、直流电流。</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7.配置2组220V国标5孔插座。保险过载保护。</w:t>
            </w:r>
          </w:p>
        </w:tc>
        <w:tc>
          <w:tcPr>
            <w:tcW w:w="261" w:type="pct"/>
            <w:shd w:val="clear" w:color="auto" w:fill="auto"/>
            <w:vAlign w:val="center"/>
          </w:tcPr>
          <w:p w14:paraId="5FDA821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264" w:type="pct"/>
            <w:shd w:val="clear" w:color="auto" w:fill="auto"/>
            <w:noWrap/>
            <w:vAlign w:val="center"/>
          </w:tcPr>
          <w:p w14:paraId="48C30A7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903" w:type="pct"/>
            <w:shd w:val="clear" w:color="auto" w:fill="auto"/>
            <w:noWrap/>
            <w:vAlign w:val="center"/>
          </w:tcPr>
          <w:p w14:paraId="6FDA733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124460</wp:posOffset>
                  </wp:positionH>
                  <wp:positionV relativeFrom="paragraph">
                    <wp:posOffset>66675</wp:posOffset>
                  </wp:positionV>
                  <wp:extent cx="1216025" cy="776605"/>
                  <wp:effectExtent l="0" t="0" r="3175" b="4445"/>
                  <wp:wrapNone/>
                  <wp:docPr id="42" name="图片_3"/>
                  <wp:cNvGraphicFramePr/>
                  <a:graphic xmlns:a="http://schemas.openxmlformats.org/drawingml/2006/main">
                    <a:graphicData uri="http://schemas.openxmlformats.org/drawingml/2006/picture">
                      <pic:pic xmlns:pic="http://schemas.openxmlformats.org/drawingml/2006/picture">
                        <pic:nvPicPr>
                          <pic:cNvPr id="42" name="图片_3"/>
                          <pic:cNvPicPr/>
                        </pic:nvPicPr>
                        <pic:blipFill>
                          <a:blip r:embed="rId24"/>
                          <a:stretch>
                            <a:fillRect/>
                          </a:stretch>
                        </pic:blipFill>
                        <pic:spPr>
                          <a:xfrm>
                            <a:off x="0" y="0"/>
                            <a:ext cx="1216025" cy="776605"/>
                          </a:xfrm>
                          <a:prstGeom prst="rect">
                            <a:avLst/>
                          </a:prstGeom>
                          <a:noFill/>
                          <a:ln>
                            <a:noFill/>
                          </a:ln>
                        </pic:spPr>
                      </pic:pic>
                    </a:graphicData>
                  </a:graphic>
                </wp:anchor>
              </w:drawing>
            </w:r>
          </w:p>
        </w:tc>
        <w:tc>
          <w:tcPr>
            <w:tcW w:w="627" w:type="pct"/>
            <w:shd w:val="clear" w:color="auto" w:fill="auto"/>
            <w:noWrap/>
            <w:vAlign w:val="center"/>
          </w:tcPr>
          <w:p w14:paraId="49E276A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0F53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trPr>
        <w:tc>
          <w:tcPr>
            <w:tcW w:w="251" w:type="pct"/>
            <w:shd w:val="clear" w:color="auto" w:fill="auto"/>
            <w:vAlign w:val="center"/>
          </w:tcPr>
          <w:p w14:paraId="3BF3092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490" w:type="pct"/>
            <w:shd w:val="clear" w:color="auto" w:fill="auto"/>
            <w:vAlign w:val="center"/>
          </w:tcPr>
          <w:p w14:paraId="50A64F1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教师总控电源</w:t>
            </w:r>
          </w:p>
        </w:tc>
        <w:tc>
          <w:tcPr>
            <w:tcW w:w="6321" w:type="dxa"/>
            <w:shd w:val="clear" w:color="auto" w:fill="auto"/>
            <w:vAlign w:val="top"/>
          </w:tcPr>
          <w:p w14:paraId="3551A06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教师控制台控制区采用7寸触摸屏操作方式。</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1.采用火线、零线双组开管的漏电保护器，电流63A。</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2.具有年月日、时分秒、定时自动关机功能。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3.定时关机时间，可以教师根据任务要求按需设定。</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4.采用≥7寸触摸屏控制，显示教师和学生交直流电压、电流。</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5.分4组向学生实验桌输出安全的220V交流电源，每组16A空开控制。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6.配置2组国标5孔220V输出插座，2组USB输出孔，5V/2.1A。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7.教师集中供电控制学生低压，根据学生需求按相应的数值确定。教师监控分四组控制，且有电流监控功能，当电流超过60A过载保护，功率箱指示灯闪烁。</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8.教师自用低压交流电源电压为0V-18V/3A、19V-30V2A，分辨率为1V。具备自动过载保护功能。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9.教师自用低压直流电源电压为0V-18.0V/2A、18.1V-30.0V/1.5A，分辨率为0.1V。具备自动过载保护功能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10.大电流短时输出。8秒自动关断。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11.直流高压：输出240V或300V的高压，输出电流为100mA,具备过载保护功能.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12.电源的性能符合《 JY/T 0374-2004 教学实验室设备电源系统 》中的相关要求。</w:t>
            </w:r>
          </w:p>
        </w:tc>
        <w:tc>
          <w:tcPr>
            <w:tcW w:w="261" w:type="pct"/>
            <w:shd w:val="clear" w:color="auto" w:fill="auto"/>
            <w:vAlign w:val="center"/>
          </w:tcPr>
          <w:p w14:paraId="6E84CC8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64" w:type="pct"/>
            <w:shd w:val="clear" w:color="auto" w:fill="auto"/>
            <w:noWrap/>
            <w:vAlign w:val="center"/>
          </w:tcPr>
          <w:p w14:paraId="61A5C25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903" w:type="pct"/>
            <w:shd w:val="clear" w:color="auto" w:fill="auto"/>
            <w:noWrap/>
            <w:vAlign w:val="center"/>
          </w:tcPr>
          <w:p w14:paraId="3DC4C78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-16510</wp:posOffset>
                  </wp:positionV>
                  <wp:extent cx="1585595" cy="825500"/>
                  <wp:effectExtent l="0" t="0" r="14605" b="12700"/>
                  <wp:wrapNone/>
                  <wp:docPr id="43" name="图片_4"/>
                  <wp:cNvGraphicFramePr/>
                  <a:graphic xmlns:a="http://schemas.openxmlformats.org/drawingml/2006/main">
                    <a:graphicData uri="http://schemas.openxmlformats.org/drawingml/2006/picture">
                      <pic:pic xmlns:pic="http://schemas.openxmlformats.org/drawingml/2006/picture">
                        <pic:nvPicPr>
                          <pic:cNvPr id="43" name="图片_4"/>
                          <pic:cNvPicPr/>
                        </pic:nvPicPr>
                        <pic:blipFill>
                          <a:blip r:embed="rId25"/>
                          <a:stretch>
                            <a:fillRect/>
                          </a:stretch>
                        </pic:blipFill>
                        <pic:spPr>
                          <a:xfrm>
                            <a:off x="0" y="0"/>
                            <a:ext cx="1585595" cy="825500"/>
                          </a:xfrm>
                          <a:prstGeom prst="rect">
                            <a:avLst/>
                          </a:prstGeom>
                          <a:noFill/>
                          <a:ln>
                            <a:noFill/>
                          </a:ln>
                        </pic:spPr>
                      </pic:pic>
                    </a:graphicData>
                  </a:graphic>
                </wp:anchor>
              </w:drawing>
            </w:r>
          </w:p>
        </w:tc>
        <w:tc>
          <w:tcPr>
            <w:tcW w:w="627" w:type="pct"/>
            <w:shd w:val="clear" w:color="auto" w:fill="auto"/>
            <w:noWrap/>
            <w:vAlign w:val="center"/>
          </w:tcPr>
          <w:p w14:paraId="7BB506B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1B9C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51" w:type="pct"/>
            <w:shd w:val="clear" w:color="auto" w:fill="auto"/>
            <w:vAlign w:val="center"/>
          </w:tcPr>
          <w:p w14:paraId="779B98C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490" w:type="pct"/>
            <w:shd w:val="clear" w:color="auto" w:fill="auto"/>
            <w:vAlign w:val="center"/>
          </w:tcPr>
          <w:p w14:paraId="1A8616C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实验凳</w:t>
            </w:r>
          </w:p>
        </w:tc>
        <w:tc>
          <w:tcPr>
            <w:tcW w:w="6321" w:type="dxa"/>
            <w:shd w:val="clear" w:color="auto" w:fill="auto"/>
            <w:vAlign w:val="top"/>
          </w:tcPr>
          <w:p w14:paraId="693728F2">
            <w:pPr>
              <w:keepNext w:val="0"/>
              <w:keepLines w:val="0"/>
              <w:widowControl/>
              <w:suppressLineNumbers w:val="0"/>
              <w:shd w:val="clear"/>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规格：Φ300*450-500mm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 xml:space="preserve">凳面1、材质：采用环保型ABS改性塑料一次性注塑成型 2、尺寸：30cm×3cm 3、表面细纹咬花，防滑不发光                                                                                                                                                                                                                                                                   </w:t>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脚钢架1、材质及形状：椭圆形无缝钢管  2、尺寸:16×36×1.45mm 3、全圆满焊接完成，结构牢固，经高温粉体烤漆处理，长时间使用也不会产生表面烤漆剥落现象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CN" w:bidi="ar"/>
              </w:rPr>
              <w:t xml:space="preserve">脚垫1、材质：采用PP加耐磨纤维质塑料，实心倒勾式一体射出成型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5.</w:t>
            </w:r>
            <w:r>
              <w:rPr>
                <w:rFonts w:hint="eastAsia" w:ascii="宋体" w:hAnsi="宋体" w:eastAsia="宋体" w:cs="宋体"/>
                <w:i w:val="0"/>
                <w:iCs w:val="0"/>
                <w:color w:val="000000"/>
                <w:kern w:val="0"/>
                <w:sz w:val="21"/>
                <w:szCs w:val="21"/>
                <w:highlight w:val="none"/>
                <w:u w:val="none"/>
                <w:lang w:val="en-US" w:eastAsia="zh-CN" w:bidi="ar"/>
              </w:rPr>
              <w:t>凳面可通过旋转螺杆来升降凳子高度,可调高度5cm。</w:t>
            </w:r>
          </w:p>
          <w:p w14:paraId="32FD322A">
            <w:pPr>
              <w:keepNext w:val="0"/>
              <w:keepLines w:val="0"/>
              <w:widowControl/>
              <w:suppressLineNumbers w:val="0"/>
              <w:shd w:val="clear"/>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为保证产品质量以及从环保角度保障实验室人员健康，产品</w:t>
            </w:r>
            <w:r>
              <w:rPr>
                <w:rFonts w:hint="eastAsia" w:ascii="宋体" w:hAnsi="宋体" w:cs="宋体"/>
                <w:i w:val="0"/>
                <w:iCs w:val="0"/>
                <w:color w:val="000000"/>
                <w:kern w:val="0"/>
                <w:sz w:val="21"/>
                <w:szCs w:val="21"/>
                <w:highlight w:val="none"/>
                <w:u w:val="none"/>
                <w:lang w:val="en-US" w:eastAsia="zh-CN" w:bidi="ar"/>
              </w:rPr>
              <w:t>需要</w:t>
            </w:r>
            <w:r>
              <w:rPr>
                <w:rFonts w:hint="eastAsia" w:ascii="宋体" w:hAnsi="宋体" w:eastAsia="宋体" w:cs="宋体"/>
                <w:i w:val="0"/>
                <w:iCs w:val="0"/>
                <w:color w:val="000000"/>
                <w:kern w:val="0"/>
                <w:sz w:val="21"/>
                <w:szCs w:val="21"/>
                <w:highlight w:val="none"/>
                <w:u w:val="none"/>
                <w:lang w:val="en-US" w:eastAsia="zh-CN" w:bidi="ar"/>
              </w:rPr>
              <w:t>符合以下技术参数及要求：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1提供实验凳符合GB/T16422.2-2022《塑料 实验室光源暴露试验方法 第2部分：氙弧灯》标准，检测项目包含老化测试至少10h，检测结果：外观无明显变化。</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2提供钢管符合GB/T4893.2-2020《家具表面漆膜理化性能试验第2部分：</w:t>
            </w:r>
            <w:r>
              <w:rPr>
                <w:rFonts w:hint="eastAsia" w:ascii="宋体" w:hAnsi="宋体" w:eastAsia="宋体" w:cs="宋体"/>
                <w:i w:val="0"/>
                <w:iCs w:val="0"/>
                <w:color w:val="auto"/>
                <w:kern w:val="0"/>
                <w:sz w:val="21"/>
                <w:szCs w:val="21"/>
                <w:highlight w:val="none"/>
                <w:u w:val="none"/>
                <w:lang w:val="en-US" w:eastAsia="zh-CN" w:bidi="ar"/>
              </w:rPr>
              <w:t>耐湿热测定法》，检测项目包含耐湿热性至少10h，检测结果达到1级：无变化。</w:t>
            </w:r>
          </w:p>
          <w:p w14:paraId="6E9FCBBE">
            <w:pPr>
              <w:keepNext w:val="0"/>
              <w:keepLines w:val="0"/>
              <w:widowControl/>
              <w:suppressLineNumbers w:val="0"/>
              <w:shd w:val="clear"/>
              <w:jc w:val="left"/>
              <w:textAlignment w:val="top"/>
              <w:rPr>
                <w:rFonts w:hint="eastAsia" w:ascii="宋体" w:hAnsi="宋体" w:eastAsia="宋体" w:cs="宋体"/>
                <w:i w:val="0"/>
                <w:iCs w:val="0"/>
                <w:color w:val="000000"/>
                <w:sz w:val="21"/>
                <w:szCs w:val="21"/>
                <w:highlight w:val="none"/>
                <w:u w:val="none"/>
              </w:rPr>
            </w:pPr>
            <w:r>
              <w:rPr>
                <w:rFonts w:hint="eastAsia" w:ascii="宋体" w:hAnsi="宋体" w:cs="宋体"/>
                <w:b/>
                <w:bCs/>
                <w:i w:val="0"/>
                <w:iCs w:val="0"/>
                <w:color w:val="auto"/>
                <w:kern w:val="0"/>
                <w:sz w:val="21"/>
                <w:szCs w:val="21"/>
                <w:highlight w:val="none"/>
                <w:u w:val="none"/>
                <w:shd w:val="clear"/>
                <w:lang w:val="en-US" w:eastAsia="zh-CN" w:bidi="ar"/>
              </w:rPr>
              <w:t>投标文件中</w:t>
            </w:r>
            <w:r>
              <w:rPr>
                <w:rFonts w:hint="eastAsia" w:ascii="宋体" w:hAnsi="宋体" w:eastAsia="宋体" w:cs="宋体"/>
                <w:b/>
                <w:bCs/>
                <w:i w:val="0"/>
                <w:iCs w:val="0"/>
                <w:color w:val="auto"/>
                <w:kern w:val="0"/>
                <w:sz w:val="21"/>
                <w:szCs w:val="21"/>
                <w:highlight w:val="none"/>
                <w:u w:val="none"/>
                <w:shd w:val="clear"/>
                <w:lang w:val="en-US" w:eastAsia="zh-CN" w:bidi="ar"/>
              </w:rPr>
              <w:t>提供具有CMA认证资质的第三方检测机构出具的检测报告，</w:t>
            </w:r>
            <w:r>
              <w:rPr>
                <w:rFonts w:hint="eastAsia" w:ascii="宋体" w:hAnsi="宋体" w:eastAsia="宋体" w:cs="宋体"/>
                <w:b/>
                <w:bCs/>
                <w:i w:val="0"/>
                <w:iCs w:val="0"/>
                <w:color w:val="000000"/>
                <w:kern w:val="0"/>
                <w:sz w:val="21"/>
                <w:szCs w:val="21"/>
                <w:highlight w:val="none"/>
                <w:u w:val="none"/>
                <w:lang w:val="en-US" w:eastAsia="zh-CN" w:bidi="ar"/>
              </w:rPr>
              <w:t>且报告中须反</w:t>
            </w:r>
            <w:r>
              <w:rPr>
                <w:rFonts w:hint="eastAsia" w:ascii="宋体" w:hAnsi="宋体" w:cs="宋体"/>
                <w:b/>
                <w:bCs/>
                <w:i w:val="0"/>
                <w:iCs w:val="0"/>
                <w:color w:val="000000"/>
                <w:kern w:val="0"/>
                <w:sz w:val="21"/>
                <w:szCs w:val="21"/>
                <w:highlight w:val="none"/>
                <w:u w:val="none"/>
                <w:lang w:val="en-US" w:eastAsia="zh-CN" w:bidi="ar"/>
              </w:rPr>
              <w:t>映</w:t>
            </w:r>
            <w:r>
              <w:rPr>
                <w:rFonts w:hint="eastAsia" w:ascii="宋体" w:hAnsi="宋体" w:eastAsia="宋体" w:cs="宋体"/>
                <w:b/>
                <w:bCs/>
                <w:i w:val="0"/>
                <w:iCs w:val="0"/>
                <w:color w:val="000000"/>
                <w:kern w:val="0"/>
                <w:sz w:val="21"/>
                <w:szCs w:val="21"/>
                <w:highlight w:val="none"/>
                <w:u w:val="none"/>
                <w:lang w:val="en-US" w:eastAsia="zh-CN" w:bidi="ar"/>
              </w:rPr>
              <w:t xml:space="preserve">以上 </w:t>
            </w:r>
            <w:r>
              <w:rPr>
                <w:rFonts w:hint="eastAsia" w:ascii="宋体" w:hAnsi="宋体" w:cs="宋体"/>
                <w:b/>
                <w:bCs/>
                <w:i w:val="0"/>
                <w:iCs w:val="0"/>
                <w:color w:val="000000"/>
                <w:kern w:val="0"/>
                <w:sz w:val="21"/>
                <w:szCs w:val="21"/>
                <w:highlight w:val="none"/>
                <w:u w:val="none"/>
                <w:lang w:val="en-US" w:eastAsia="zh-CN" w:bidi="ar"/>
              </w:rPr>
              <w:t>6.</w:t>
            </w:r>
            <w:r>
              <w:rPr>
                <w:rFonts w:hint="eastAsia" w:ascii="宋体" w:hAnsi="宋体" w:eastAsia="宋体" w:cs="宋体"/>
                <w:b/>
                <w:bCs/>
                <w:i w:val="0"/>
                <w:iCs w:val="0"/>
                <w:color w:val="000000"/>
                <w:kern w:val="0"/>
                <w:sz w:val="21"/>
                <w:szCs w:val="21"/>
                <w:highlight w:val="none"/>
                <w:u w:val="none"/>
                <w:lang w:val="en-US" w:eastAsia="zh-CN" w:bidi="ar"/>
              </w:rPr>
              <w:t>1</w:t>
            </w:r>
            <w:r>
              <w:rPr>
                <w:rFonts w:hint="eastAsia" w:ascii="宋体" w:hAnsi="宋体" w:cs="宋体"/>
                <w:b/>
                <w:bCs/>
                <w:i w:val="0"/>
                <w:iCs w:val="0"/>
                <w:color w:val="000000"/>
                <w:kern w:val="0"/>
                <w:sz w:val="21"/>
                <w:szCs w:val="21"/>
                <w:highlight w:val="none"/>
                <w:u w:val="none"/>
                <w:lang w:val="en-US" w:eastAsia="zh-CN" w:bidi="ar"/>
              </w:rPr>
              <w:t>、6.</w:t>
            </w:r>
            <w:r>
              <w:rPr>
                <w:rFonts w:hint="eastAsia" w:ascii="宋体" w:hAnsi="宋体" w:eastAsia="宋体" w:cs="宋体"/>
                <w:b/>
                <w:bCs/>
                <w:i w:val="0"/>
                <w:iCs w:val="0"/>
                <w:color w:val="000000"/>
                <w:kern w:val="0"/>
                <w:sz w:val="21"/>
                <w:szCs w:val="21"/>
                <w:highlight w:val="none"/>
                <w:u w:val="none"/>
                <w:lang w:val="en-US" w:eastAsia="zh-CN" w:bidi="ar"/>
              </w:rPr>
              <w:t>2项技术指标。</w:t>
            </w:r>
          </w:p>
        </w:tc>
        <w:tc>
          <w:tcPr>
            <w:tcW w:w="261" w:type="pct"/>
            <w:shd w:val="clear" w:color="auto" w:fill="auto"/>
            <w:vAlign w:val="center"/>
          </w:tcPr>
          <w:p w14:paraId="080BA9B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50</w:t>
            </w:r>
          </w:p>
        </w:tc>
        <w:tc>
          <w:tcPr>
            <w:tcW w:w="264" w:type="pct"/>
            <w:shd w:val="clear" w:color="auto" w:fill="auto"/>
            <w:noWrap/>
            <w:vAlign w:val="center"/>
          </w:tcPr>
          <w:p w14:paraId="0733197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903" w:type="pct"/>
            <w:shd w:val="clear" w:color="auto" w:fill="auto"/>
            <w:noWrap/>
            <w:vAlign w:val="center"/>
          </w:tcPr>
          <w:p w14:paraId="344613A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152400</wp:posOffset>
                  </wp:positionV>
                  <wp:extent cx="937260" cy="922020"/>
                  <wp:effectExtent l="0" t="0" r="15240" b="11430"/>
                  <wp:wrapNone/>
                  <wp:docPr id="44" name="Picture_1_SpCnt_1"/>
                  <wp:cNvGraphicFramePr/>
                  <a:graphic xmlns:a="http://schemas.openxmlformats.org/drawingml/2006/main">
                    <a:graphicData uri="http://schemas.openxmlformats.org/drawingml/2006/picture">
                      <pic:pic xmlns:pic="http://schemas.openxmlformats.org/drawingml/2006/picture">
                        <pic:nvPicPr>
                          <pic:cNvPr id="44" name="Picture_1_SpCnt_1"/>
                          <pic:cNvPicPr/>
                        </pic:nvPicPr>
                        <pic:blipFill>
                          <a:blip r:embed="rId26"/>
                          <a:stretch>
                            <a:fillRect/>
                          </a:stretch>
                        </pic:blipFill>
                        <pic:spPr>
                          <a:xfrm>
                            <a:off x="0" y="0"/>
                            <a:ext cx="937260" cy="922020"/>
                          </a:xfrm>
                          <a:prstGeom prst="rect">
                            <a:avLst/>
                          </a:prstGeom>
                          <a:noFill/>
                          <a:ln>
                            <a:noFill/>
                          </a:ln>
                        </pic:spPr>
                      </pic:pic>
                    </a:graphicData>
                  </a:graphic>
                </wp:anchor>
              </w:drawing>
            </w:r>
          </w:p>
        </w:tc>
        <w:tc>
          <w:tcPr>
            <w:tcW w:w="627" w:type="pct"/>
            <w:shd w:val="clear" w:color="auto" w:fill="auto"/>
            <w:noWrap/>
            <w:vAlign w:val="center"/>
          </w:tcPr>
          <w:p w14:paraId="3BED2E0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25B9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251" w:type="pct"/>
            <w:shd w:val="clear" w:color="auto" w:fill="auto"/>
            <w:vAlign w:val="center"/>
          </w:tcPr>
          <w:p w14:paraId="487C66D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490" w:type="pct"/>
            <w:shd w:val="clear" w:color="auto" w:fill="auto"/>
            <w:vAlign w:val="center"/>
          </w:tcPr>
          <w:p w14:paraId="369AA39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教师椅</w:t>
            </w:r>
          </w:p>
        </w:tc>
        <w:tc>
          <w:tcPr>
            <w:tcW w:w="2202" w:type="pct"/>
            <w:shd w:val="clear" w:color="auto" w:fill="auto"/>
            <w:vAlign w:val="top"/>
          </w:tcPr>
          <w:p w14:paraId="7BAAB7F7">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规格：500*500*800mm靠背及下座采用高密度网布格，阻燃、舒适、回弹性好。面料为优质网布格。依照人体工程学设计，线条流畅，美观大方，骨架钢管电镀，气动升降。</w:t>
            </w:r>
          </w:p>
        </w:tc>
        <w:tc>
          <w:tcPr>
            <w:tcW w:w="261" w:type="pct"/>
            <w:shd w:val="clear" w:color="auto" w:fill="auto"/>
            <w:vAlign w:val="center"/>
          </w:tcPr>
          <w:p w14:paraId="3979D9F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64" w:type="pct"/>
            <w:shd w:val="clear" w:color="auto" w:fill="auto"/>
            <w:noWrap/>
            <w:vAlign w:val="center"/>
          </w:tcPr>
          <w:p w14:paraId="48BCBED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903" w:type="pct"/>
            <w:shd w:val="clear" w:color="auto" w:fill="auto"/>
            <w:noWrap/>
            <w:vAlign w:val="center"/>
          </w:tcPr>
          <w:p w14:paraId="552A73C9">
            <w:pPr>
              <w:rPr>
                <w:rFonts w:hint="eastAsia" w:ascii="宋体" w:hAnsi="宋体" w:eastAsia="宋体" w:cs="宋体"/>
                <w:i w:val="0"/>
                <w:iCs w:val="0"/>
                <w:color w:val="000000"/>
                <w:sz w:val="21"/>
                <w:szCs w:val="21"/>
                <w:highlight w:val="none"/>
                <w:u w:val="none"/>
              </w:rPr>
            </w:pPr>
          </w:p>
        </w:tc>
        <w:tc>
          <w:tcPr>
            <w:tcW w:w="627" w:type="pct"/>
            <w:shd w:val="clear" w:color="auto" w:fill="auto"/>
            <w:noWrap/>
            <w:vAlign w:val="center"/>
          </w:tcPr>
          <w:p w14:paraId="1D4FA652">
            <w:pPr>
              <w:rPr>
                <w:rFonts w:hint="eastAsia" w:ascii="宋体" w:hAnsi="宋体" w:eastAsia="宋体" w:cs="宋体"/>
                <w:i w:val="0"/>
                <w:iCs w:val="0"/>
                <w:color w:val="000000"/>
                <w:sz w:val="21"/>
                <w:szCs w:val="21"/>
                <w:highlight w:val="none"/>
                <w:u w:val="none"/>
              </w:rPr>
            </w:pPr>
          </w:p>
        </w:tc>
      </w:tr>
      <w:tr w14:paraId="0EEE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251" w:type="pct"/>
            <w:shd w:val="clear" w:color="auto" w:fill="auto"/>
            <w:vAlign w:val="center"/>
          </w:tcPr>
          <w:p w14:paraId="2D2C7F5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490" w:type="pct"/>
            <w:shd w:val="clear" w:color="auto" w:fill="FFFFFF" w:themeFill="background1"/>
            <w:vAlign w:val="center"/>
          </w:tcPr>
          <w:p w14:paraId="0782159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仪器柜</w:t>
            </w:r>
          </w:p>
        </w:tc>
        <w:tc>
          <w:tcPr>
            <w:tcW w:w="6323" w:type="dxa"/>
            <w:shd w:val="clear" w:color="auto" w:fill="FFFFFF" w:themeFill="background1"/>
            <w:vAlign w:val="center"/>
          </w:tcPr>
          <w:p w14:paraId="5653C7A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规格：1080*540*2050mm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2.材质：PP材质</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3.柜体：侧板，顶板及底板采用增强型PP材质，一次注塑成型。表面做磨砂处理，结构紧密，耐腐蚀性强。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4.上柜门：采用增强型PP材质一次注塑成型，外嵌5mm钢化烤漆玻璃,中间玻璃做镂空处理，透明可视。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5.下柜门：采用增强型PP材质一次注塑成型，外嵌5mm钢化烤漆玻璃。</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6.层板：配两块活动层板，层板为增强型PP材质一次注塑成型，承重不低于20公斤。美观耐用。层板可以抽取，自由组合各层空间。</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7.门把手：采用增强型PP材质一次注塑成型，美观耐用。</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8.门铰链：用增强型PP材质一次注塑成型，内嵌隐藏安装方便，耐腐蚀。</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9.仪器柜内部无可视金属材料，确保了仪器柜的耐腐蚀性及耐候性。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10.柜体预留通风系统，可以与通风管路连接。</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▲11.为保证柜子质量及从环保角度保障师生健康，需提供仪器柜的甲醛含量第三方检测报告，甲醛检测结果：≤0.1mg/l。</w:t>
            </w:r>
          </w:p>
          <w:p w14:paraId="0B5DAFD8">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▲12.仪器柜依据GB/T 2406.2-2009《塑料用氧指数法测定燃烧行为 第2部分:室温试验》检测标准，氧指数%不小于18。</w:t>
            </w:r>
          </w:p>
          <w:p w14:paraId="1E29117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▲13.PP原材料依据GB/T1034-2008 吸水性检测判定基准：≥0.05，结论：符合。</w:t>
            </w:r>
          </w:p>
          <w:p w14:paraId="023CB7C4">
            <w:pPr>
              <w:keepNext w:val="0"/>
              <w:keepLines w:val="0"/>
              <w:widowControl/>
              <w:suppressLineNumbers w:val="0"/>
              <w:jc w:val="left"/>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b/>
                <w:bCs/>
                <w:i w:val="0"/>
                <w:iCs w:val="0"/>
                <w:color w:val="auto"/>
                <w:kern w:val="0"/>
                <w:sz w:val="21"/>
                <w:szCs w:val="21"/>
                <w:highlight w:val="none"/>
                <w:u w:val="none"/>
                <w:shd w:val="clear"/>
                <w:lang w:val="en-US" w:eastAsia="zh-CN" w:bidi="ar"/>
              </w:rPr>
              <w:t>投标文件中</w:t>
            </w:r>
            <w:r>
              <w:rPr>
                <w:rFonts w:hint="eastAsia" w:ascii="宋体" w:hAnsi="宋体" w:eastAsia="宋体" w:cs="宋体"/>
                <w:b/>
                <w:bCs/>
                <w:i w:val="0"/>
                <w:iCs w:val="0"/>
                <w:color w:val="auto"/>
                <w:kern w:val="0"/>
                <w:sz w:val="21"/>
                <w:szCs w:val="21"/>
                <w:highlight w:val="none"/>
                <w:u w:val="none"/>
                <w:shd w:val="clear"/>
                <w:lang w:val="en-US" w:eastAsia="zh-CN" w:bidi="ar"/>
              </w:rPr>
              <w:t>提供具有CMA认证资质的第三方检测机构出具的检测报告，</w:t>
            </w:r>
            <w:r>
              <w:rPr>
                <w:rFonts w:hint="eastAsia" w:ascii="宋体" w:hAnsi="宋体" w:eastAsia="宋体" w:cs="宋体"/>
                <w:b/>
                <w:bCs/>
                <w:i w:val="0"/>
                <w:iCs w:val="0"/>
                <w:color w:val="000000"/>
                <w:kern w:val="0"/>
                <w:sz w:val="21"/>
                <w:szCs w:val="21"/>
                <w:highlight w:val="none"/>
                <w:u w:val="none"/>
                <w:lang w:val="en-US" w:eastAsia="zh-CN" w:bidi="ar"/>
              </w:rPr>
              <w:t>且报告中须反</w:t>
            </w:r>
            <w:r>
              <w:rPr>
                <w:rFonts w:hint="eastAsia" w:ascii="宋体" w:hAnsi="宋体" w:cs="宋体"/>
                <w:b/>
                <w:bCs/>
                <w:i w:val="0"/>
                <w:iCs w:val="0"/>
                <w:color w:val="000000"/>
                <w:kern w:val="0"/>
                <w:sz w:val="21"/>
                <w:szCs w:val="21"/>
                <w:highlight w:val="none"/>
                <w:u w:val="none"/>
                <w:lang w:val="en-US" w:eastAsia="zh-CN" w:bidi="ar"/>
              </w:rPr>
              <w:t>映</w:t>
            </w:r>
            <w:r>
              <w:rPr>
                <w:rFonts w:hint="eastAsia" w:ascii="宋体" w:hAnsi="宋体" w:eastAsia="宋体" w:cs="宋体"/>
                <w:b/>
                <w:bCs/>
                <w:i w:val="0"/>
                <w:iCs w:val="0"/>
                <w:color w:val="000000"/>
                <w:kern w:val="0"/>
                <w:sz w:val="21"/>
                <w:szCs w:val="21"/>
                <w:highlight w:val="none"/>
                <w:u w:val="none"/>
                <w:lang w:val="en-US" w:eastAsia="zh-CN" w:bidi="ar"/>
              </w:rPr>
              <w:t>以上 11～13项技术指标</w:t>
            </w:r>
            <w:r>
              <w:rPr>
                <w:rFonts w:hint="eastAsia" w:ascii="宋体" w:hAnsi="宋体" w:cs="宋体"/>
                <w:b/>
                <w:bCs/>
                <w:i w:val="0"/>
                <w:iCs w:val="0"/>
                <w:color w:val="000000"/>
                <w:kern w:val="0"/>
                <w:sz w:val="21"/>
                <w:szCs w:val="21"/>
                <w:highlight w:val="none"/>
                <w:u w:val="none"/>
                <w:lang w:val="en-US" w:eastAsia="zh-CN" w:bidi="ar"/>
              </w:rPr>
              <w:t>。</w:t>
            </w:r>
          </w:p>
        </w:tc>
        <w:tc>
          <w:tcPr>
            <w:tcW w:w="261" w:type="pct"/>
            <w:shd w:val="clear" w:color="auto" w:fill="auto"/>
            <w:vAlign w:val="center"/>
          </w:tcPr>
          <w:p w14:paraId="54E6A76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264" w:type="pct"/>
            <w:shd w:val="clear" w:color="auto" w:fill="auto"/>
            <w:noWrap/>
            <w:vAlign w:val="center"/>
          </w:tcPr>
          <w:p w14:paraId="5C566CB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903" w:type="pct"/>
            <w:shd w:val="clear" w:color="auto" w:fill="auto"/>
            <w:noWrap/>
            <w:vAlign w:val="center"/>
          </w:tcPr>
          <w:p w14:paraId="576CDD6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sz w:val="21"/>
                <w:szCs w:val="21"/>
                <w:highlight w:val="none"/>
              </w:rPr>
              <w:drawing>
                <wp:inline distT="0" distB="0" distL="114300" distR="114300">
                  <wp:extent cx="1063625" cy="1729740"/>
                  <wp:effectExtent l="0" t="0" r="3175"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7" cstate="print"/>
                          <a:srcRect l="34293" t="6296" r="32592" b="8982"/>
                          <a:stretch>
                            <a:fillRect/>
                          </a:stretch>
                        </pic:blipFill>
                        <pic:spPr>
                          <a:xfrm>
                            <a:off x="0" y="0"/>
                            <a:ext cx="1063625" cy="1729740"/>
                          </a:xfrm>
                          <a:prstGeom prst="rect">
                            <a:avLst/>
                          </a:prstGeom>
                          <a:noFill/>
                          <a:ln w="1">
                            <a:noFill/>
                            <a:miter lim="800000"/>
                            <a:headEnd/>
                            <a:tailEnd type="none" w="med" len="med"/>
                          </a:ln>
                          <a:effectLst/>
                        </pic:spPr>
                      </pic:pic>
                    </a:graphicData>
                  </a:graphic>
                </wp:inline>
              </w:drawing>
            </w:r>
          </w:p>
        </w:tc>
        <w:tc>
          <w:tcPr>
            <w:tcW w:w="627" w:type="pct"/>
            <w:shd w:val="clear" w:color="auto" w:fill="auto"/>
            <w:noWrap/>
            <w:vAlign w:val="center"/>
          </w:tcPr>
          <w:p w14:paraId="5DE00976">
            <w:pPr>
              <w:keepNext w:val="0"/>
              <w:keepLines w:val="0"/>
              <w:widowControl/>
              <w:suppressLineNumbers w:val="0"/>
              <w:jc w:val="left"/>
              <w:textAlignment w:val="center"/>
              <w:rPr>
                <w:rFonts w:hint="eastAsia" w:ascii="宋体" w:hAnsi="宋体" w:eastAsia="宋体" w:cs="宋体"/>
                <w:sz w:val="21"/>
                <w:szCs w:val="21"/>
                <w:highlight w:val="none"/>
              </w:rPr>
            </w:pPr>
          </w:p>
        </w:tc>
      </w:tr>
      <w:tr w14:paraId="19E0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251" w:type="pct"/>
            <w:shd w:val="clear" w:color="auto" w:fill="auto"/>
            <w:vAlign w:val="center"/>
          </w:tcPr>
          <w:p w14:paraId="2B979D2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490" w:type="pct"/>
            <w:shd w:val="clear" w:color="auto" w:fill="auto"/>
            <w:vAlign w:val="center"/>
          </w:tcPr>
          <w:p w14:paraId="11F833E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电气布线（地面以上部分）</w:t>
            </w:r>
          </w:p>
        </w:tc>
        <w:tc>
          <w:tcPr>
            <w:tcW w:w="2202" w:type="pct"/>
            <w:shd w:val="clear" w:color="auto" w:fill="auto"/>
            <w:vAlign w:val="center"/>
          </w:tcPr>
          <w:p w14:paraId="4FE3FAF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DN25mm阻燃线管；4、2.5平方国标线材，符合国家标准。</w:t>
            </w:r>
          </w:p>
        </w:tc>
        <w:tc>
          <w:tcPr>
            <w:tcW w:w="261" w:type="pct"/>
            <w:shd w:val="clear" w:color="auto" w:fill="auto"/>
            <w:vAlign w:val="center"/>
          </w:tcPr>
          <w:p w14:paraId="1A046B1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64" w:type="pct"/>
            <w:shd w:val="clear" w:color="auto" w:fill="auto"/>
            <w:noWrap/>
            <w:vAlign w:val="center"/>
          </w:tcPr>
          <w:p w14:paraId="738F0F0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903" w:type="pct"/>
            <w:shd w:val="clear" w:color="auto" w:fill="auto"/>
            <w:noWrap/>
            <w:vAlign w:val="center"/>
          </w:tcPr>
          <w:p w14:paraId="599C9984">
            <w:pPr>
              <w:rPr>
                <w:rFonts w:hint="eastAsia" w:ascii="宋体" w:hAnsi="宋体" w:eastAsia="宋体" w:cs="宋体"/>
                <w:i w:val="0"/>
                <w:iCs w:val="0"/>
                <w:color w:val="000000"/>
                <w:sz w:val="21"/>
                <w:szCs w:val="21"/>
                <w:highlight w:val="none"/>
                <w:u w:val="none"/>
              </w:rPr>
            </w:pPr>
          </w:p>
        </w:tc>
        <w:tc>
          <w:tcPr>
            <w:tcW w:w="627" w:type="pct"/>
            <w:shd w:val="clear" w:color="auto" w:fill="auto"/>
            <w:noWrap/>
            <w:vAlign w:val="center"/>
          </w:tcPr>
          <w:p w14:paraId="78C9F54A">
            <w:pPr>
              <w:rPr>
                <w:rFonts w:hint="eastAsia" w:ascii="宋体" w:hAnsi="宋体" w:eastAsia="宋体" w:cs="宋体"/>
                <w:i w:val="0"/>
                <w:iCs w:val="0"/>
                <w:color w:val="000000"/>
                <w:sz w:val="21"/>
                <w:szCs w:val="21"/>
                <w:highlight w:val="none"/>
                <w:u w:val="none"/>
              </w:rPr>
            </w:pPr>
          </w:p>
        </w:tc>
      </w:tr>
      <w:tr w14:paraId="2DEC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2943" w:type="pct"/>
            <w:gridSpan w:val="3"/>
            <w:shd w:val="clear" w:color="auto" w:fill="auto"/>
            <w:noWrap/>
            <w:vAlign w:val="center"/>
          </w:tcPr>
          <w:p w14:paraId="6902E4C3">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小计总价（元）</w:t>
            </w:r>
          </w:p>
        </w:tc>
        <w:tc>
          <w:tcPr>
            <w:tcW w:w="261" w:type="pct"/>
            <w:shd w:val="clear" w:color="auto" w:fill="auto"/>
            <w:noWrap/>
            <w:vAlign w:val="center"/>
          </w:tcPr>
          <w:p w14:paraId="0ED2B3CD">
            <w:pPr>
              <w:rPr>
                <w:rFonts w:hint="eastAsia" w:ascii="宋体" w:hAnsi="宋体" w:eastAsia="宋体" w:cs="宋体"/>
                <w:b/>
                <w:bCs/>
                <w:i w:val="0"/>
                <w:iCs w:val="0"/>
                <w:color w:val="000000"/>
                <w:sz w:val="21"/>
                <w:szCs w:val="21"/>
                <w:highlight w:val="none"/>
                <w:u w:val="none"/>
              </w:rPr>
            </w:pPr>
          </w:p>
        </w:tc>
        <w:tc>
          <w:tcPr>
            <w:tcW w:w="264" w:type="pct"/>
            <w:shd w:val="clear" w:color="auto" w:fill="auto"/>
            <w:noWrap/>
            <w:vAlign w:val="center"/>
          </w:tcPr>
          <w:p w14:paraId="4BB8D20A">
            <w:pPr>
              <w:rPr>
                <w:rFonts w:hint="eastAsia" w:ascii="宋体" w:hAnsi="宋体" w:eastAsia="宋体" w:cs="宋体"/>
                <w:b/>
                <w:bCs/>
                <w:i w:val="0"/>
                <w:iCs w:val="0"/>
                <w:color w:val="000000"/>
                <w:sz w:val="21"/>
                <w:szCs w:val="21"/>
                <w:highlight w:val="none"/>
                <w:u w:val="none"/>
              </w:rPr>
            </w:pPr>
          </w:p>
        </w:tc>
        <w:tc>
          <w:tcPr>
            <w:tcW w:w="903" w:type="pct"/>
            <w:shd w:val="clear" w:color="auto" w:fill="auto"/>
            <w:vAlign w:val="center"/>
          </w:tcPr>
          <w:p w14:paraId="4FF6D28F">
            <w:pPr>
              <w:jc w:val="center"/>
              <w:rPr>
                <w:rFonts w:hint="eastAsia" w:ascii="宋体" w:hAnsi="宋体" w:eastAsia="宋体" w:cs="宋体"/>
                <w:b/>
                <w:bCs/>
                <w:i w:val="0"/>
                <w:iCs w:val="0"/>
                <w:color w:val="000000"/>
                <w:sz w:val="21"/>
                <w:szCs w:val="21"/>
                <w:highlight w:val="none"/>
                <w:u w:val="none"/>
              </w:rPr>
            </w:pPr>
          </w:p>
        </w:tc>
        <w:tc>
          <w:tcPr>
            <w:tcW w:w="627" w:type="pct"/>
            <w:shd w:val="clear" w:color="auto" w:fill="auto"/>
            <w:vAlign w:val="center"/>
          </w:tcPr>
          <w:p w14:paraId="7A1F5576">
            <w:pPr>
              <w:jc w:val="center"/>
              <w:rPr>
                <w:rFonts w:hint="eastAsia" w:ascii="宋体" w:hAnsi="宋体" w:eastAsia="宋体" w:cs="宋体"/>
                <w:b/>
                <w:bCs/>
                <w:i w:val="0"/>
                <w:iCs w:val="0"/>
                <w:color w:val="000000"/>
                <w:sz w:val="21"/>
                <w:szCs w:val="21"/>
                <w:highlight w:val="none"/>
                <w:u w:val="none"/>
              </w:rPr>
            </w:pPr>
          </w:p>
        </w:tc>
      </w:tr>
    </w:tbl>
    <w:p w14:paraId="27CAFF44">
      <w:pPr>
        <w:numPr>
          <w:ilvl w:val="0"/>
          <w:numId w:val="0"/>
        </w:numPr>
        <w:ind w:leftChars="0"/>
        <w:rPr>
          <w:highlight w:val="none"/>
        </w:rPr>
      </w:pPr>
    </w:p>
    <w:p w14:paraId="32198594">
      <w:pPr>
        <w:numPr>
          <w:ilvl w:val="0"/>
          <w:numId w:val="0"/>
        </w:numPr>
        <w:ind w:leftChars="0"/>
        <w:rPr>
          <w:highlight w:val="none"/>
        </w:rPr>
      </w:pPr>
    </w:p>
    <w:p w14:paraId="54F576AB">
      <w:pPr>
        <w:numPr>
          <w:ilvl w:val="0"/>
          <w:numId w:val="0"/>
        </w:numPr>
        <w:ind w:leftChars="0"/>
        <w:rPr>
          <w:highlight w:val="none"/>
        </w:rPr>
      </w:pPr>
    </w:p>
    <w:p w14:paraId="0DE91153">
      <w:pPr>
        <w:rPr>
          <w:highlight w:val="none"/>
        </w:rPr>
      </w:pPr>
      <w:r>
        <w:rPr>
          <w:highlight w:val="none"/>
        </w:rPr>
        <w:br w:type="page"/>
      </w:r>
    </w:p>
    <w:p w14:paraId="5EF739DA">
      <w:pPr>
        <w:numPr>
          <w:ilvl w:val="0"/>
          <w:numId w:val="0"/>
        </w:numPr>
        <w:ind w:leftChars="0"/>
        <w:rPr>
          <w:rFonts w:hint="default" w:eastAsia="宋体"/>
          <w:b/>
          <w:bCs/>
          <w:sz w:val="24"/>
          <w:szCs w:val="24"/>
          <w:highlight w:val="none"/>
          <w:lang w:val="en-US" w:eastAsia="zh-CN"/>
        </w:rPr>
      </w:pPr>
      <w:r>
        <w:rPr>
          <w:rFonts w:hint="eastAsia"/>
          <w:b/>
          <w:bCs/>
          <w:sz w:val="24"/>
          <w:szCs w:val="24"/>
          <w:highlight w:val="none"/>
          <w:lang w:eastAsia="zh-CN"/>
        </w:rPr>
        <w:t>（</w:t>
      </w:r>
      <w:r>
        <w:rPr>
          <w:rFonts w:hint="eastAsia"/>
          <w:b/>
          <w:bCs/>
          <w:sz w:val="24"/>
          <w:szCs w:val="24"/>
          <w:highlight w:val="none"/>
          <w:lang w:val="en-US" w:eastAsia="zh-CN"/>
        </w:rPr>
        <w:t>二）</w:t>
      </w:r>
      <w:r>
        <w:rPr>
          <w:rFonts w:hint="eastAsia" w:ascii="宋体" w:hAnsi="宋体" w:eastAsia="宋体" w:cs="宋体"/>
          <w:b/>
          <w:bCs/>
          <w:i w:val="0"/>
          <w:iCs w:val="0"/>
          <w:color w:val="000000"/>
          <w:kern w:val="0"/>
          <w:sz w:val="24"/>
          <w:szCs w:val="24"/>
          <w:highlight w:val="none"/>
          <w:u w:val="none"/>
          <w:lang w:val="en-US" w:eastAsia="zh-CN" w:bidi="ar"/>
        </w:rPr>
        <w:t>上通风化学实验室</w:t>
      </w:r>
    </w:p>
    <w:tbl>
      <w:tblPr>
        <w:tblStyle w:val="42"/>
        <w:tblW w:w="50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1"/>
        <w:gridCol w:w="1315"/>
        <w:gridCol w:w="5940"/>
        <w:gridCol w:w="748"/>
        <w:gridCol w:w="736"/>
        <w:gridCol w:w="3126"/>
        <w:gridCol w:w="1731"/>
      </w:tblGrid>
      <w:tr w14:paraId="79A4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blHeader/>
        </w:trPr>
        <w:tc>
          <w:tcPr>
            <w:tcW w:w="252" w:type="pct"/>
            <w:shd w:val="clear" w:color="auto" w:fill="auto"/>
            <w:vAlign w:val="center"/>
          </w:tcPr>
          <w:p w14:paraId="07BA55B6">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459" w:type="pct"/>
            <w:shd w:val="clear" w:color="auto" w:fill="auto"/>
            <w:vAlign w:val="center"/>
          </w:tcPr>
          <w:p w14:paraId="2B016EAD">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名称</w:t>
            </w:r>
          </w:p>
        </w:tc>
        <w:tc>
          <w:tcPr>
            <w:tcW w:w="2073" w:type="pct"/>
            <w:shd w:val="clear" w:color="auto" w:fill="auto"/>
            <w:vAlign w:val="center"/>
          </w:tcPr>
          <w:p w14:paraId="6D0C7479">
            <w:pPr>
              <w:keepNext w:val="0"/>
              <w:keepLines w:val="0"/>
              <w:widowControl/>
              <w:suppressLineNumbers w:val="0"/>
              <w:jc w:val="center"/>
              <w:textAlignment w:val="center"/>
              <w:rPr>
                <w:rFonts w:hint="default" w:ascii="宋体" w:hAnsi="宋体" w:eastAsia="宋体" w:cs="宋体"/>
                <w:b/>
                <w:bCs/>
                <w:i w:val="0"/>
                <w:iCs w:val="0"/>
                <w:color w:val="000000"/>
                <w:sz w:val="21"/>
                <w:szCs w:val="21"/>
                <w:highlight w:val="none"/>
                <w:u w:val="none"/>
                <w:lang w:val="en-US"/>
              </w:rPr>
            </w:pPr>
            <w:r>
              <w:rPr>
                <w:rFonts w:hint="eastAsia" w:ascii="宋体" w:hAnsi="宋体" w:eastAsia="宋体" w:cs="宋体"/>
                <w:b/>
                <w:bCs/>
                <w:i w:val="0"/>
                <w:iCs w:val="0"/>
                <w:color w:val="000000"/>
                <w:kern w:val="0"/>
                <w:sz w:val="21"/>
                <w:szCs w:val="21"/>
                <w:highlight w:val="none"/>
                <w:u w:val="none"/>
                <w:lang w:val="en-US" w:eastAsia="zh-CN" w:bidi="ar"/>
              </w:rPr>
              <w:t>招标技术规格要求</w:t>
            </w:r>
          </w:p>
        </w:tc>
        <w:tc>
          <w:tcPr>
            <w:tcW w:w="261" w:type="pct"/>
            <w:shd w:val="clear" w:color="auto" w:fill="auto"/>
            <w:vAlign w:val="center"/>
          </w:tcPr>
          <w:p w14:paraId="7A9DBC44">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数量</w:t>
            </w:r>
          </w:p>
        </w:tc>
        <w:tc>
          <w:tcPr>
            <w:tcW w:w="257" w:type="pct"/>
            <w:shd w:val="clear" w:color="auto" w:fill="auto"/>
            <w:vAlign w:val="center"/>
          </w:tcPr>
          <w:p w14:paraId="29BCABE3">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单位</w:t>
            </w:r>
          </w:p>
        </w:tc>
        <w:tc>
          <w:tcPr>
            <w:tcW w:w="1091" w:type="pct"/>
            <w:shd w:val="clear" w:color="auto" w:fill="auto"/>
            <w:vAlign w:val="center"/>
          </w:tcPr>
          <w:p w14:paraId="2FC308CB">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参考图片</w:t>
            </w:r>
          </w:p>
        </w:tc>
        <w:tc>
          <w:tcPr>
            <w:tcW w:w="604" w:type="pct"/>
            <w:shd w:val="clear" w:color="auto" w:fill="auto"/>
            <w:vAlign w:val="center"/>
          </w:tcPr>
          <w:p w14:paraId="52A796A7">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投标响应</w:t>
            </w:r>
          </w:p>
        </w:tc>
      </w:tr>
      <w:tr w14:paraId="773F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trPr>
        <w:tc>
          <w:tcPr>
            <w:tcW w:w="252" w:type="pct"/>
            <w:shd w:val="clear" w:color="auto" w:fill="auto"/>
            <w:vAlign w:val="center"/>
          </w:tcPr>
          <w:p w14:paraId="5A85416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59" w:type="pct"/>
            <w:shd w:val="clear" w:color="auto" w:fill="auto"/>
            <w:vAlign w:val="center"/>
          </w:tcPr>
          <w:p w14:paraId="6AD1EBB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教师演示台</w:t>
            </w:r>
          </w:p>
        </w:tc>
        <w:tc>
          <w:tcPr>
            <w:tcW w:w="2073" w:type="pct"/>
            <w:shd w:val="clear" w:color="auto" w:fill="auto"/>
            <w:vAlign w:val="center"/>
          </w:tcPr>
          <w:p w14:paraId="201549B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 xml:space="preserve">规格：2400*700*850mm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台面</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采用新型、环保、基材整体25mm厚（不得加边）的高强度金属树脂理化板。</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 xml:space="preserve">桌身：整体采用1.0mm厚优质冷轧钢板，全部钢制件纳米陶瓷镀膜防锈处理。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CN" w:bidi="ar"/>
              </w:rPr>
              <w:t>结构：演示台设有储物柜，中间为演示台,设置电源主控系统、</w:t>
            </w:r>
            <w:r>
              <w:rPr>
                <w:rFonts w:hint="eastAsia" w:ascii="宋体" w:hAnsi="宋体" w:cs="宋体"/>
                <w:i w:val="0"/>
                <w:iCs w:val="0"/>
                <w:color w:val="000000"/>
                <w:kern w:val="0"/>
                <w:sz w:val="21"/>
                <w:szCs w:val="21"/>
                <w:highlight w:val="none"/>
                <w:u w:val="none"/>
                <w:lang w:val="en-US" w:eastAsia="zh-CN" w:bidi="ar"/>
              </w:rPr>
              <w:t>5.</w:t>
            </w:r>
            <w:r>
              <w:rPr>
                <w:rFonts w:hint="eastAsia" w:ascii="宋体" w:hAnsi="宋体" w:eastAsia="宋体" w:cs="宋体"/>
                <w:i w:val="0"/>
                <w:iCs w:val="0"/>
                <w:color w:val="000000"/>
                <w:kern w:val="0"/>
                <w:sz w:val="21"/>
                <w:szCs w:val="21"/>
                <w:highlight w:val="none"/>
                <w:u w:val="none"/>
                <w:lang w:val="en-US" w:eastAsia="zh-CN" w:bidi="ar"/>
              </w:rPr>
              <w:t>多媒体设备（主机、显示器、中控、功放、交换机）的位置预留。含330*440mmPP水槽、下水管及三联水嘴。</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滑道：抽屉全部采用优质三节承重式滚珠滑道开合十万次不变形。</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7.</w:t>
            </w:r>
            <w:r>
              <w:rPr>
                <w:rFonts w:hint="eastAsia" w:ascii="宋体" w:hAnsi="宋体" w:eastAsia="宋体" w:cs="宋体"/>
                <w:i w:val="0"/>
                <w:iCs w:val="0"/>
                <w:color w:val="000000"/>
                <w:kern w:val="0"/>
                <w:sz w:val="21"/>
                <w:szCs w:val="21"/>
                <w:highlight w:val="none"/>
                <w:u w:val="none"/>
                <w:lang w:val="en-US" w:eastAsia="zh-CN" w:bidi="ar"/>
              </w:rPr>
              <w:t>三联水嘴：鹅</w:t>
            </w:r>
            <w:r>
              <w:rPr>
                <w:rFonts w:hint="eastAsia" w:ascii="宋体" w:hAnsi="宋体" w:eastAsia="宋体" w:cs="宋体"/>
                <w:i w:val="0"/>
                <w:iCs w:val="0"/>
                <w:color w:val="000000"/>
                <w:kern w:val="0"/>
                <w:sz w:val="21"/>
                <w:szCs w:val="21"/>
                <w:highlight w:val="none"/>
                <w:u w:val="none"/>
                <w:shd w:val="clear"/>
                <w:lang w:val="en-US" w:eastAsia="zh-CN" w:bidi="ar"/>
              </w:rPr>
              <w:t>颈</w:t>
            </w:r>
            <w:r>
              <w:rPr>
                <w:rFonts w:hint="eastAsia" w:ascii="宋体" w:hAnsi="宋体" w:eastAsia="宋体" w:cs="宋体"/>
                <w:i w:val="0"/>
                <w:iCs w:val="0"/>
                <w:color w:val="000000"/>
                <w:kern w:val="0"/>
                <w:sz w:val="21"/>
                <w:szCs w:val="21"/>
                <w:highlight w:val="none"/>
                <w:u w:val="none"/>
                <w:lang w:val="en-US" w:eastAsia="zh-CN" w:bidi="ar"/>
              </w:rPr>
              <w:t>式实验室专用优质化验水嘴：要求防酸碱、防锈、防虹吸、防阻塞，表面环氧树脂喷涂。开关阀芯为铜质陶瓷芯，高头，便于多用途使用，可拆卸清洗阻塞。出水嘴可拆卸，内有成型螺纹，可方便连接循环等特殊用水水管。</w:t>
            </w:r>
          </w:p>
          <w:p w14:paraId="0B710BC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本次投标的水嘴须为《关于印发节能产品政府采购品目清单的通知》（财库〔2019〕19号）中列明的政府强制采购产品，投标文件须中提供《市场监管总局关于发布参与实施政府采购节能产品、环境标志产品认证机构名录的公告》(2019 年第 16 号)中相应认证机构出具的、处于有效期之内的节能标志产品认证证书复印件加盖投标人公章。</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下水管：水槽专配型排水管，不锈钢卡扣连接，安装方便不渗漏。</w:t>
            </w:r>
          </w:p>
          <w:p w14:paraId="6BBF81A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7.</w:t>
            </w:r>
            <w:r>
              <w:rPr>
                <w:rFonts w:hint="eastAsia" w:ascii="宋体" w:hAnsi="宋体" w:eastAsia="宋体" w:cs="宋体"/>
                <w:i w:val="0"/>
                <w:iCs w:val="0"/>
                <w:color w:val="000000"/>
                <w:kern w:val="0"/>
                <w:sz w:val="21"/>
                <w:szCs w:val="21"/>
                <w:highlight w:val="none"/>
                <w:u w:val="none"/>
                <w:lang w:val="en-US" w:eastAsia="zh-CN" w:bidi="ar"/>
              </w:rPr>
              <w:t>为保证产品质量及从环保角度保障实验室人员健康，产品必须符合以下技术参数及要求：</w:t>
            </w:r>
          </w:p>
          <w:p w14:paraId="2F3AA0D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7.</w:t>
            </w:r>
            <w:r>
              <w:rPr>
                <w:rFonts w:hint="eastAsia" w:ascii="宋体" w:hAnsi="宋体" w:eastAsia="宋体" w:cs="宋体"/>
                <w:i w:val="0"/>
                <w:iCs w:val="0"/>
                <w:color w:val="000000"/>
                <w:kern w:val="0"/>
                <w:sz w:val="21"/>
                <w:szCs w:val="21"/>
                <w:highlight w:val="none"/>
                <w:u w:val="none"/>
                <w:lang w:val="en-US" w:eastAsia="zh-CN" w:bidi="ar"/>
              </w:rPr>
              <w:t>1台面表面耐污染性能要求：至少通过45项化学试剂测试，检验结果均为无明显变化，分级结果为“5级”。检测：1、盐酸（37%）；2、硝酸（65%）；3、氢氧化钠（40%）；4、硫酸（98%）；5、氢氟酸（40%）；6、氨水（28%）；7、甲醛（37%）；8、双氧水（3%）；9、苯酚；10、四氯化碳等45种及以上试剂。</w:t>
            </w:r>
          </w:p>
          <w:p w14:paraId="6A3B6AB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7.2</w:t>
            </w:r>
            <w:r>
              <w:rPr>
                <w:rFonts w:hint="eastAsia" w:ascii="宋体" w:hAnsi="宋体" w:eastAsia="宋体" w:cs="宋体"/>
                <w:i w:val="0"/>
                <w:iCs w:val="0"/>
                <w:color w:val="000000"/>
                <w:kern w:val="0"/>
                <w:sz w:val="21"/>
                <w:szCs w:val="21"/>
                <w:highlight w:val="none"/>
                <w:u w:val="none"/>
                <w:lang w:val="en-US" w:eastAsia="zh-CN" w:bidi="ar"/>
              </w:rPr>
              <w:t>台面依据GB/T17657-2022《人造板及饰面人造板理化性能试验方法》检测标准：顺纹抗压强度不小于88MPa，表面胶合强度不小于3.90MPa，防潮性能＞4.0MPa。</w:t>
            </w:r>
          </w:p>
          <w:p w14:paraId="3DB13F0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7.3</w:t>
            </w:r>
            <w:r>
              <w:rPr>
                <w:rFonts w:hint="eastAsia" w:ascii="宋体" w:hAnsi="宋体" w:eastAsia="宋体" w:cs="宋体"/>
                <w:i w:val="0"/>
                <w:iCs w:val="0"/>
                <w:color w:val="000000"/>
                <w:kern w:val="0"/>
                <w:sz w:val="21"/>
                <w:szCs w:val="21"/>
                <w:highlight w:val="none"/>
                <w:u w:val="none"/>
                <w:lang w:val="en-US" w:eastAsia="zh-CN" w:bidi="ar"/>
              </w:rPr>
              <w:t>教师演示台整体通过垂直静载荷试验(主桌面）测试，要求零、部件应无断裂或豁裂，应无永久性松动，应无严重影响使用功能的磨损或变形，活动部件的开关应灵便，测试结果为：合格。</w:t>
            </w:r>
          </w:p>
          <w:p w14:paraId="77CB7BD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7.</w:t>
            </w:r>
            <w:r>
              <w:rPr>
                <w:rFonts w:hint="eastAsia" w:ascii="宋体" w:hAnsi="宋体" w:eastAsia="宋体" w:cs="宋体"/>
                <w:i w:val="0"/>
                <w:iCs w:val="0"/>
                <w:color w:val="000000"/>
                <w:kern w:val="0"/>
                <w:sz w:val="21"/>
                <w:szCs w:val="21"/>
                <w:highlight w:val="none"/>
                <w:u w:val="none"/>
                <w:lang w:val="en-US" w:eastAsia="zh-CN" w:bidi="ar"/>
              </w:rPr>
              <w:t>4冷轧钢板符合GB/T230.1-2018《金属材料洛氏硬度试验 第1部分:试验方法》标准,洛氏硬度(HRA)检测结果不小于34。</w:t>
            </w:r>
          </w:p>
          <w:p w14:paraId="2500049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b/>
                <w:bCs/>
                <w:i w:val="0"/>
                <w:iCs w:val="0"/>
                <w:color w:val="000000"/>
                <w:kern w:val="0"/>
                <w:sz w:val="21"/>
                <w:szCs w:val="21"/>
                <w:highlight w:val="none"/>
                <w:u w:val="none"/>
                <w:lang w:val="en-US" w:eastAsia="zh-CN" w:bidi="ar"/>
              </w:rPr>
              <w:t>投标文件中</w:t>
            </w:r>
            <w:r>
              <w:rPr>
                <w:rFonts w:hint="eastAsia" w:ascii="宋体" w:hAnsi="宋体" w:eastAsia="宋体" w:cs="宋体"/>
                <w:b/>
                <w:bCs/>
                <w:i w:val="0"/>
                <w:iCs w:val="0"/>
                <w:color w:val="000000"/>
                <w:kern w:val="0"/>
                <w:sz w:val="21"/>
                <w:szCs w:val="21"/>
                <w:highlight w:val="none"/>
                <w:u w:val="none"/>
                <w:lang w:val="en-US" w:eastAsia="zh-CN" w:bidi="ar"/>
              </w:rPr>
              <w:t>提供具有CMA认证资质的第三方检测机构出具的检测报告，且报告中须反</w:t>
            </w:r>
            <w:r>
              <w:rPr>
                <w:rFonts w:hint="eastAsia" w:ascii="宋体" w:hAnsi="宋体" w:cs="宋体"/>
                <w:b/>
                <w:bCs/>
                <w:i w:val="0"/>
                <w:iCs w:val="0"/>
                <w:color w:val="000000"/>
                <w:kern w:val="0"/>
                <w:sz w:val="21"/>
                <w:szCs w:val="21"/>
                <w:highlight w:val="none"/>
                <w:u w:val="none"/>
                <w:lang w:val="en-US" w:eastAsia="zh-CN" w:bidi="ar"/>
              </w:rPr>
              <w:t>映</w:t>
            </w:r>
            <w:r>
              <w:rPr>
                <w:rFonts w:hint="eastAsia" w:ascii="宋体" w:hAnsi="宋体" w:eastAsia="宋体" w:cs="宋体"/>
                <w:b/>
                <w:bCs/>
                <w:i w:val="0"/>
                <w:iCs w:val="0"/>
                <w:color w:val="000000"/>
                <w:kern w:val="0"/>
                <w:sz w:val="21"/>
                <w:szCs w:val="21"/>
                <w:highlight w:val="none"/>
                <w:u w:val="none"/>
                <w:lang w:val="en-US" w:eastAsia="zh-CN" w:bidi="ar"/>
              </w:rPr>
              <w:t xml:space="preserve">以上 </w:t>
            </w:r>
            <w:r>
              <w:rPr>
                <w:rFonts w:hint="eastAsia" w:ascii="宋体" w:hAnsi="宋体" w:cs="宋体"/>
                <w:b/>
                <w:bCs/>
                <w:i w:val="0"/>
                <w:iCs w:val="0"/>
                <w:color w:val="000000"/>
                <w:kern w:val="0"/>
                <w:sz w:val="21"/>
                <w:szCs w:val="21"/>
                <w:highlight w:val="none"/>
                <w:u w:val="none"/>
                <w:lang w:val="en-US" w:eastAsia="zh-CN" w:bidi="ar"/>
              </w:rPr>
              <w:t>7.</w:t>
            </w:r>
            <w:r>
              <w:rPr>
                <w:rFonts w:hint="eastAsia" w:ascii="宋体" w:hAnsi="宋体" w:eastAsia="宋体" w:cs="宋体"/>
                <w:b/>
                <w:bCs/>
                <w:i w:val="0"/>
                <w:iCs w:val="0"/>
                <w:color w:val="000000"/>
                <w:kern w:val="0"/>
                <w:sz w:val="21"/>
                <w:szCs w:val="21"/>
                <w:highlight w:val="none"/>
                <w:u w:val="none"/>
                <w:lang w:val="en-US" w:eastAsia="zh-CN" w:bidi="ar"/>
              </w:rPr>
              <w:t>1～</w:t>
            </w:r>
            <w:r>
              <w:rPr>
                <w:rFonts w:hint="eastAsia" w:ascii="宋体" w:hAnsi="宋体" w:cs="宋体"/>
                <w:b/>
                <w:bCs/>
                <w:i w:val="0"/>
                <w:iCs w:val="0"/>
                <w:color w:val="000000"/>
                <w:kern w:val="0"/>
                <w:sz w:val="21"/>
                <w:szCs w:val="21"/>
                <w:highlight w:val="none"/>
                <w:u w:val="none"/>
                <w:lang w:val="en-US" w:eastAsia="zh-CN" w:bidi="ar"/>
              </w:rPr>
              <w:t>7.</w:t>
            </w:r>
            <w:r>
              <w:rPr>
                <w:rFonts w:hint="eastAsia" w:ascii="宋体" w:hAnsi="宋体" w:eastAsia="宋体" w:cs="宋体"/>
                <w:b/>
                <w:bCs/>
                <w:i w:val="0"/>
                <w:iCs w:val="0"/>
                <w:color w:val="000000"/>
                <w:kern w:val="0"/>
                <w:sz w:val="21"/>
                <w:szCs w:val="21"/>
                <w:highlight w:val="none"/>
                <w:u w:val="none"/>
                <w:lang w:val="en-US" w:eastAsia="zh-CN" w:bidi="ar"/>
              </w:rPr>
              <w:t>4项技术指标。</w:t>
            </w:r>
          </w:p>
        </w:tc>
        <w:tc>
          <w:tcPr>
            <w:tcW w:w="261" w:type="pct"/>
            <w:shd w:val="clear" w:color="auto" w:fill="auto"/>
            <w:vAlign w:val="center"/>
          </w:tcPr>
          <w:p w14:paraId="201F6AC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57" w:type="pct"/>
            <w:shd w:val="clear" w:color="auto" w:fill="auto"/>
            <w:noWrap/>
            <w:vAlign w:val="center"/>
          </w:tcPr>
          <w:p w14:paraId="7146FFC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1091" w:type="pct"/>
            <w:shd w:val="clear" w:color="auto" w:fill="auto"/>
            <w:noWrap/>
            <w:vAlign w:val="center"/>
          </w:tcPr>
          <w:p w14:paraId="48CFC9D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97155</wp:posOffset>
                  </wp:positionH>
                  <wp:positionV relativeFrom="paragraph">
                    <wp:posOffset>48895</wp:posOffset>
                  </wp:positionV>
                  <wp:extent cx="1731010" cy="1317625"/>
                  <wp:effectExtent l="0" t="0" r="2540" b="15875"/>
                  <wp:wrapNone/>
                  <wp:docPr id="52" name="图片_10"/>
                  <wp:cNvGraphicFramePr/>
                  <a:graphic xmlns:a="http://schemas.openxmlformats.org/drawingml/2006/main">
                    <a:graphicData uri="http://schemas.openxmlformats.org/drawingml/2006/picture">
                      <pic:pic xmlns:pic="http://schemas.openxmlformats.org/drawingml/2006/picture">
                        <pic:nvPicPr>
                          <pic:cNvPr id="52" name="图片_10"/>
                          <pic:cNvPicPr/>
                        </pic:nvPicPr>
                        <pic:blipFill>
                          <a:blip r:embed="rId28"/>
                          <a:stretch>
                            <a:fillRect/>
                          </a:stretch>
                        </pic:blipFill>
                        <pic:spPr>
                          <a:xfrm>
                            <a:off x="0" y="0"/>
                            <a:ext cx="1731010" cy="1317625"/>
                          </a:xfrm>
                          <a:prstGeom prst="rect">
                            <a:avLst/>
                          </a:prstGeom>
                          <a:noFill/>
                          <a:ln>
                            <a:noFill/>
                          </a:ln>
                        </pic:spPr>
                      </pic:pic>
                    </a:graphicData>
                  </a:graphic>
                </wp:anchor>
              </w:drawing>
            </w:r>
          </w:p>
        </w:tc>
        <w:tc>
          <w:tcPr>
            <w:tcW w:w="604" w:type="pct"/>
            <w:shd w:val="clear" w:color="auto" w:fill="auto"/>
            <w:noWrap/>
            <w:vAlign w:val="center"/>
          </w:tcPr>
          <w:p w14:paraId="660A63C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173A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252" w:type="pct"/>
            <w:shd w:val="clear" w:color="auto" w:fill="auto"/>
            <w:vAlign w:val="center"/>
          </w:tcPr>
          <w:p w14:paraId="5095F32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459" w:type="pct"/>
            <w:shd w:val="clear" w:color="auto" w:fill="auto"/>
            <w:vAlign w:val="center"/>
          </w:tcPr>
          <w:p w14:paraId="4AA80A9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实验桌</w:t>
            </w:r>
          </w:p>
        </w:tc>
        <w:tc>
          <w:tcPr>
            <w:tcW w:w="2073" w:type="pct"/>
            <w:shd w:val="clear" w:color="auto" w:fill="auto"/>
            <w:vAlign w:val="center"/>
          </w:tcPr>
          <w:p w14:paraId="6A3236B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 xml:space="preserve">规格：1200*600*780mm </w:t>
            </w:r>
          </w:p>
          <w:p w14:paraId="6F3ACA7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台面：采用16mm厚一体实芯黑色胚体实验室工业陶瓷台面。台面表面为耐腐蚀专业釉面。釉面和黑色胚体（非后期染色处理）经高温烧结而成，釉面与胚体结合后不脱落、不脱层。为防止实验操作中液体流出操作台带来不利影响，陶瓷板四周需带一体阻水边（非二次制作而成），阻水边每一边宽度≥55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台面上带有化学元素周期表图案，有利于学生实验时对比分析元素特性，加深学生对元素的理解，增强实验效果，“元素周期表”图案清晰，与台面一体烧制而成，耐腐蚀，耐刻划，永久不脱落。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台身结构：新型塑铝结构，整体1200*600*780。</w:t>
            </w:r>
          </w:p>
          <w:p w14:paraId="3CC8C2A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CN" w:bidi="ar"/>
              </w:rPr>
              <w:t>桌腿：采用工字型压铸铝一次成型，材料表面经高压静电喷涂环氧树脂防护层，耐酸碱，耐腐蚀处理。上腿规格：长585mm宽56mm高90mm，壁厚3.0mm。下腿规格：长540mm宽51mm高80mm，壁厚3.0mm。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5.</w:t>
            </w:r>
            <w:r>
              <w:rPr>
                <w:rFonts w:hint="eastAsia" w:ascii="宋体" w:hAnsi="宋体" w:eastAsia="宋体" w:cs="宋体"/>
                <w:i w:val="0"/>
                <w:iCs w:val="0"/>
                <w:color w:val="000000"/>
                <w:kern w:val="0"/>
                <w:sz w:val="21"/>
                <w:szCs w:val="21"/>
                <w:highlight w:val="none"/>
                <w:u w:val="none"/>
                <w:lang w:val="en-US" w:eastAsia="zh-CN" w:bidi="ar"/>
              </w:rPr>
              <w:t>立柱：采用41×95mm，壁厚1.8mm。前横梁采用36×25mm，壁厚1.3mm。中横梁采用34×25mm，壁厚1.3mm。后横梁：采用43×61mm，壁厚1.3mm。加强横支撑件：采用30×60mm椭圆管，壁厚1.5mm。材料表面经高压静电喷涂环氧树脂防护层，耐酸碱，耐腐蚀处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书包斗</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 xml:space="preserve">尺寸为480*290*152mm,壁厚3.5mm；采用环保型ABS工程塑料一次性注塑成型。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7.</w:t>
            </w:r>
            <w:r>
              <w:rPr>
                <w:rFonts w:hint="eastAsia" w:ascii="宋体" w:hAnsi="宋体" w:eastAsia="宋体" w:cs="宋体"/>
                <w:i w:val="0"/>
                <w:iCs w:val="0"/>
                <w:color w:val="000000"/>
                <w:kern w:val="0"/>
                <w:sz w:val="21"/>
                <w:szCs w:val="21"/>
                <w:highlight w:val="none"/>
                <w:u w:val="none"/>
                <w:lang w:val="en-US" w:eastAsia="zh-CN" w:bidi="ar"/>
              </w:rPr>
              <w:t xml:space="preserve">整体结构：台面陶瓷板一体成型，桌身由桌腿、立柱、前横梁、中横梁、后横梁及加强横支撑件组成。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8.</w:t>
            </w:r>
            <w:r>
              <w:rPr>
                <w:rFonts w:hint="eastAsia" w:ascii="宋体" w:hAnsi="宋体" w:eastAsia="宋体" w:cs="宋体"/>
                <w:i w:val="0"/>
                <w:iCs w:val="0"/>
                <w:color w:val="000000"/>
                <w:kern w:val="0"/>
                <w:sz w:val="21"/>
                <w:szCs w:val="21"/>
                <w:highlight w:val="none"/>
                <w:u w:val="none"/>
                <w:lang w:val="en-US" w:eastAsia="zh-CN" w:bidi="ar"/>
              </w:rPr>
              <w:t>可调脚：高强度可调脚，下部采用环保型PP加耐磨纤维质塑料。</w:t>
            </w:r>
          </w:p>
          <w:p w14:paraId="27CEF75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9.</w:t>
            </w:r>
            <w:r>
              <w:rPr>
                <w:rFonts w:hint="eastAsia" w:ascii="宋体" w:hAnsi="宋体" w:eastAsia="宋体" w:cs="宋体"/>
                <w:i w:val="0"/>
                <w:iCs w:val="0"/>
                <w:color w:val="000000"/>
                <w:kern w:val="0"/>
                <w:sz w:val="21"/>
                <w:szCs w:val="21"/>
                <w:highlight w:val="none"/>
                <w:u w:val="none"/>
                <w:lang w:val="en-US" w:eastAsia="zh-CN" w:bidi="ar"/>
              </w:rPr>
              <w:t>为保证产品质量以及从环保角度保障实验室人员健康，产品必须符合以下技术参数及要求：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9.</w:t>
            </w:r>
            <w:r>
              <w:rPr>
                <w:rFonts w:hint="eastAsia" w:ascii="宋体" w:hAnsi="宋体" w:eastAsia="宋体" w:cs="宋体"/>
                <w:i w:val="0"/>
                <w:iCs w:val="0"/>
                <w:color w:val="000000"/>
                <w:kern w:val="0"/>
                <w:sz w:val="21"/>
                <w:szCs w:val="21"/>
                <w:highlight w:val="none"/>
                <w:u w:val="none"/>
                <w:lang w:val="en-US" w:eastAsia="zh-CN" w:bidi="ar"/>
              </w:rPr>
              <w:t>1台面吸水率检测：检测结果平均值≤0.08%，重金属检测：满足第三方检测机构性能测试，铅溶出量＜0.5mg/L或者＜0.02mg/dm2；镉溶出量＜0.05mg/L或者＜0.002mg/dm2。</w:t>
            </w:r>
          </w:p>
          <w:p w14:paraId="111856E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9.</w:t>
            </w:r>
            <w:r>
              <w:rPr>
                <w:rFonts w:hint="eastAsia" w:ascii="宋体" w:hAnsi="宋体" w:eastAsia="宋体" w:cs="宋体"/>
                <w:i w:val="0"/>
                <w:iCs w:val="0"/>
                <w:color w:val="000000"/>
                <w:kern w:val="0"/>
                <w:sz w:val="21"/>
                <w:szCs w:val="21"/>
                <w:highlight w:val="none"/>
                <w:u w:val="none"/>
                <w:lang w:val="en-US" w:eastAsia="zh-CN" w:bidi="ar"/>
              </w:rPr>
              <w:t>2阻水边依据GB/T 23266-2009检测标准，弹性限度mm≥12，断裂模数MPa：平均值≥45，单值≥40；单项结论均为符合。</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9.</w:t>
            </w:r>
            <w:r>
              <w:rPr>
                <w:rFonts w:hint="eastAsia" w:ascii="宋体" w:hAnsi="宋体" w:eastAsia="宋体" w:cs="宋体"/>
                <w:i w:val="0"/>
                <w:iCs w:val="0"/>
                <w:color w:val="000000"/>
                <w:kern w:val="0"/>
                <w:sz w:val="21"/>
                <w:szCs w:val="21"/>
                <w:highlight w:val="none"/>
                <w:u w:val="none"/>
                <w:lang w:val="en-US" w:eastAsia="zh-CN" w:bidi="ar"/>
              </w:rPr>
              <w:t xml:space="preserve">3实验桌通过耐磨性测试，耐磨性测试结果为：合格。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9.</w:t>
            </w:r>
            <w:r>
              <w:rPr>
                <w:rFonts w:hint="eastAsia" w:ascii="宋体" w:hAnsi="宋体" w:eastAsia="宋体" w:cs="宋体"/>
                <w:i w:val="0"/>
                <w:iCs w:val="0"/>
                <w:color w:val="000000"/>
                <w:kern w:val="0"/>
                <w:sz w:val="21"/>
                <w:szCs w:val="21"/>
                <w:highlight w:val="none"/>
                <w:u w:val="none"/>
                <w:lang w:val="en-US" w:eastAsia="zh-CN" w:bidi="ar"/>
              </w:rPr>
              <w:t>4实验桌符合GB/T1732-2020《漆膜耐冲击测定法》检测标准，冲击强度检测结果为：冲击高度400mm，无剥落、裂纹、皱纹，单项结论：符合。</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9.</w:t>
            </w:r>
            <w:r>
              <w:rPr>
                <w:rFonts w:hint="eastAsia" w:ascii="宋体" w:hAnsi="宋体" w:eastAsia="宋体" w:cs="宋体"/>
                <w:i w:val="0"/>
                <w:iCs w:val="0"/>
                <w:color w:val="000000"/>
                <w:kern w:val="0"/>
                <w:sz w:val="21"/>
                <w:szCs w:val="21"/>
                <w:highlight w:val="none"/>
                <w:u w:val="none"/>
                <w:lang w:val="en-US" w:eastAsia="zh-CN" w:bidi="ar"/>
              </w:rPr>
              <w:t>5实验桌符合GB/T10125-2021《人造气氛腐蚀试验 盐雾试验》和GB/T6461-2002《金属基体上金属和其他无机覆盖层 经腐蚀试验后的试样和试件的评级》标准，检测项目包含中性盐雾试验至少10h，检测结果达到10级。</w:t>
            </w:r>
          </w:p>
          <w:p w14:paraId="4B25E31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cs="宋体"/>
                <w:b/>
                <w:bCs/>
                <w:i w:val="0"/>
                <w:iCs w:val="0"/>
                <w:color w:val="auto"/>
                <w:kern w:val="0"/>
                <w:sz w:val="21"/>
                <w:szCs w:val="21"/>
                <w:highlight w:val="none"/>
                <w:u w:val="none"/>
                <w:shd w:val="clear"/>
                <w:lang w:val="en-US" w:eastAsia="zh-CN" w:bidi="ar"/>
              </w:rPr>
              <w:t>投标文件中</w:t>
            </w:r>
            <w:r>
              <w:rPr>
                <w:rFonts w:hint="eastAsia" w:ascii="宋体" w:hAnsi="宋体" w:eastAsia="宋体" w:cs="宋体"/>
                <w:b/>
                <w:bCs/>
                <w:i w:val="0"/>
                <w:iCs w:val="0"/>
                <w:color w:val="auto"/>
                <w:kern w:val="0"/>
                <w:sz w:val="21"/>
                <w:szCs w:val="21"/>
                <w:highlight w:val="none"/>
                <w:u w:val="none"/>
                <w:shd w:val="clear"/>
                <w:lang w:val="en-US" w:eastAsia="zh-CN" w:bidi="ar"/>
              </w:rPr>
              <w:t>提供具有CMA认证资质的第三方检测机构出具的检测报告，</w:t>
            </w:r>
            <w:r>
              <w:rPr>
                <w:rFonts w:hint="eastAsia" w:ascii="宋体" w:hAnsi="宋体" w:eastAsia="宋体" w:cs="宋体"/>
                <w:b/>
                <w:bCs/>
                <w:i w:val="0"/>
                <w:iCs w:val="0"/>
                <w:color w:val="000000"/>
                <w:kern w:val="0"/>
                <w:sz w:val="21"/>
                <w:szCs w:val="21"/>
                <w:highlight w:val="none"/>
                <w:u w:val="none"/>
                <w:lang w:val="en-US" w:eastAsia="zh-CN" w:bidi="ar"/>
              </w:rPr>
              <w:t>且报告中须反</w:t>
            </w:r>
            <w:r>
              <w:rPr>
                <w:rFonts w:hint="eastAsia" w:ascii="宋体" w:hAnsi="宋体" w:cs="宋体"/>
                <w:b/>
                <w:bCs/>
                <w:i w:val="0"/>
                <w:iCs w:val="0"/>
                <w:color w:val="000000"/>
                <w:kern w:val="0"/>
                <w:sz w:val="21"/>
                <w:szCs w:val="21"/>
                <w:highlight w:val="none"/>
                <w:u w:val="none"/>
                <w:lang w:val="en-US" w:eastAsia="zh-CN" w:bidi="ar"/>
              </w:rPr>
              <w:t>映</w:t>
            </w:r>
            <w:r>
              <w:rPr>
                <w:rFonts w:hint="eastAsia" w:ascii="宋体" w:hAnsi="宋体" w:eastAsia="宋体" w:cs="宋体"/>
                <w:b/>
                <w:bCs/>
                <w:i w:val="0"/>
                <w:iCs w:val="0"/>
                <w:color w:val="000000"/>
                <w:kern w:val="0"/>
                <w:sz w:val="21"/>
                <w:szCs w:val="21"/>
                <w:highlight w:val="none"/>
                <w:u w:val="none"/>
                <w:lang w:val="en-US" w:eastAsia="zh-CN" w:bidi="ar"/>
              </w:rPr>
              <w:t xml:space="preserve">以上 </w:t>
            </w:r>
            <w:r>
              <w:rPr>
                <w:rFonts w:hint="eastAsia" w:ascii="宋体" w:hAnsi="宋体" w:cs="宋体"/>
                <w:b/>
                <w:bCs/>
                <w:i w:val="0"/>
                <w:iCs w:val="0"/>
                <w:color w:val="000000"/>
                <w:kern w:val="0"/>
                <w:sz w:val="21"/>
                <w:szCs w:val="21"/>
                <w:highlight w:val="none"/>
                <w:u w:val="none"/>
                <w:lang w:val="en-US" w:eastAsia="zh-CN" w:bidi="ar"/>
              </w:rPr>
              <w:t>9.</w:t>
            </w:r>
            <w:r>
              <w:rPr>
                <w:rFonts w:hint="eastAsia" w:ascii="宋体" w:hAnsi="宋体" w:eastAsia="宋体" w:cs="宋体"/>
                <w:b/>
                <w:bCs/>
                <w:i w:val="0"/>
                <w:iCs w:val="0"/>
                <w:color w:val="000000"/>
                <w:kern w:val="0"/>
                <w:sz w:val="21"/>
                <w:szCs w:val="21"/>
                <w:highlight w:val="none"/>
                <w:u w:val="none"/>
                <w:lang w:val="en-US" w:eastAsia="zh-CN" w:bidi="ar"/>
              </w:rPr>
              <w:t>1～</w:t>
            </w:r>
            <w:r>
              <w:rPr>
                <w:rFonts w:hint="eastAsia" w:ascii="宋体" w:hAnsi="宋体" w:cs="宋体"/>
                <w:b/>
                <w:bCs/>
                <w:i w:val="0"/>
                <w:iCs w:val="0"/>
                <w:color w:val="000000"/>
                <w:kern w:val="0"/>
                <w:sz w:val="21"/>
                <w:szCs w:val="21"/>
                <w:highlight w:val="none"/>
                <w:u w:val="none"/>
                <w:lang w:val="en-US" w:eastAsia="zh-CN" w:bidi="ar"/>
              </w:rPr>
              <w:t>9.</w:t>
            </w:r>
            <w:r>
              <w:rPr>
                <w:rFonts w:hint="eastAsia" w:ascii="宋体" w:hAnsi="宋体" w:eastAsia="宋体" w:cs="宋体"/>
                <w:b/>
                <w:bCs/>
                <w:i w:val="0"/>
                <w:iCs w:val="0"/>
                <w:color w:val="000000"/>
                <w:kern w:val="0"/>
                <w:sz w:val="21"/>
                <w:szCs w:val="21"/>
                <w:highlight w:val="none"/>
                <w:u w:val="none"/>
                <w:lang w:val="en-US" w:eastAsia="zh-CN" w:bidi="ar"/>
              </w:rPr>
              <w:t>5项技术指标。</w:t>
            </w:r>
          </w:p>
        </w:tc>
        <w:tc>
          <w:tcPr>
            <w:tcW w:w="261" w:type="pct"/>
            <w:shd w:val="clear" w:color="auto" w:fill="auto"/>
            <w:vAlign w:val="center"/>
          </w:tcPr>
          <w:p w14:paraId="6F1D728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257" w:type="pct"/>
            <w:shd w:val="clear" w:color="auto" w:fill="auto"/>
            <w:noWrap/>
            <w:vAlign w:val="center"/>
          </w:tcPr>
          <w:p w14:paraId="09BC8D1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1091" w:type="pct"/>
            <w:shd w:val="clear" w:color="auto" w:fill="auto"/>
            <w:noWrap/>
            <w:vAlign w:val="center"/>
          </w:tcPr>
          <w:p w14:paraId="0E0BF71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316230</wp:posOffset>
                  </wp:positionH>
                  <wp:positionV relativeFrom="paragraph">
                    <wp:posOffset>205740</wp:posOffset>
                  </wp:positionV>
                  <wp:extent cx="1253490" cy="1049655"/>
                  <wp:effectExtent l="0" t="0" r="3810" b="17145"/>
                  <wp:wrapNone/>
                  <wp:docPr id="53" name="Picture_1"/>
                  <wp:cNvGraphicFramePr/>
                  <a:graphic xmlns:a="http://schemas.openxmlformats.org/drawingml/2006/main">
                    <a:graphicData uri="http://schemas.openxmlformats.org/drawingml/2006/picture">
                      <pic:pic xmlns:pic="http://schemas.openxmlformats.org/drawingml/2006/picture">
                        <pic:nvPicPr>
                          <pic:cNvPr id="53" name="Picture_1"/>
                          <pic:cNvPicPr/>
                        </pic:nvPicPr>
                        <pic:blipFill>
                          <a:blip r:embed="rId29"/>
                          <a:stretch>
                            <a:fillRect/>
                          </a:stretch>
                        </pic:blipFill>
                        <pic:spPr>
                          <a:xfrm>
                            <a:off x="0" y="0"/>
                            <a:ext cx="1253490" cy="1049655"/>
                          </a:xfrm>
                          <a:prstGeom prst="rect">
                            <a:avLst/>
                          </a:prstGeom>
                          <a:noFill/>
                          <a:ln>
                            <a:noFill/>
                          </a:ln>
                        </pic:spPr>
                      </pic:pic>
                    </a:graphicData>
                  </a:graphic>
                </wp:anchor>
              </w:drawing>
            </w:r>
          </w:p>
        </w:tc>
        <w:tc>
          <w:tcPr>
            <w:tcW w:w="604" w:type="pct"/>
            <w:shd w:val="clear" w:color="auto" w:fill="auto"/>
            <w:noWrap/>
            <w:vAlign w:val="center"/>
          </w:tcPr>
          <w:p w14:paraId="1AA6FFC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4FD3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252" w:type="pct"/>
            <w:shd w:val="clear" w:color="auto" w:fill="auto"/>
            <w:vAlign w:val="center"/>
          </w:tcPr>
          <w:p w14:paraId="05F7E36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459" w:type="pct"/>
            <w:shd w:val="clear" w:color="auto" w:fill="auto"/>
            <w:noWrap/>
            <w:vAlign w:val="center"/>
          </w:tcPr>
          <w:p w14:paraId="010B284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功能柱</w:t>
            </w:r>
          </w:p>
        </w:tc>
        <w:tc>
          <w:tcPr>
            <w:tcW w:w="2073" w:type="pct"/>
            <w:shd w:val="clear" w:color="auto" w:fill="auto"/>
            <w:vAlign w:val="top"/>
          </w:tcPr>
          <w:p w14:paraId="0DFB17CB">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规格：宽≥320mm；深≥190mm；高≥730mm，壁厚3.0mm，采用PP材质一次注塑成型。主要功能是保护通风管道及电线电缆作用，配套于学生桌，美观大方。</w:t>
            </w:r>
          </w:p>
        </w:tc>
        <w:tc>
          <w:tcPr>
            <w:tcW w:w="261" w:type="pct"/>
            <w:shd w:val="clear" w:color="auto" w:fill="auto"/>
            <w:noWrap/>
            <w:vAlign w:val="center"/>
          </w:tcPr>
          <w:p w14:paraId="6153278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257" w:type="pct"/>
            <w:shd w:val="clear" w:color="auto" w:fill="auto"/>
            <w:noWrap/>
            <w:vAlign w:val="center"/>
          </w:tcPr>
          <w:p w14:paraId="7181A8A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1091" w:type="pct"/>
            <w:shd w:val="clear" w:color="auto" w:fill="auto"/>
            <w:noWrap/>
            <w:vAlign w:val="top"/>
          </w:tcPr>
          <w:p w14:paraId="496FC8EE">
            <w:pPr>
              <w:keepNext w:val="0"/>
              <w:keepLines w:val="0"/>
              <w:widowControl/>
              <w:suppressLineNumbers w:val="0"/>
              <w:jc w:val="center"/>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752475</wp:posOffset>
                  </wp:positionH>
                  <wp:positionV relativeFrom="paragraph">
                    <wp:posOffset>111125</wp:posOffset>
                  </wp:positionV>
                  <wp:extent cx="422910" cy="452755"/>
                  <wp:effectExtent l="0" t="0" r="15240" b="4445"/>
                  <wp:wrapNone/>
                  <wp:docPr id="54" name="图片_9"/>
                  <wp:cNvGraphicFramePr/>
                  <a:graphic xmlns:a="http://schemas.openxmlformats.org/drawingml/2006/main">
                    <a:graphicData uri="http://schemas.openxmlformats.org/drawingml/2006/picture">
                      <pic:pic xmlns:pic="http://schemas.openxmlformats.org/drawingml/2006/picture">
                        <pic:nvPicPr>
                          <pic:cNvPr id="54" name="图片_9"/>
                          <pic:cNvPicPr/>
                        </pic:nvPicPr>
                        <pic:blipFill>
                          <a:blip r:embed="rId30"/>
                          <a:stretch>
                            <a:fillRect/>
                          </a:stretch>
                        </pic:blipFill>
                        <pic:spPr>
                          <a:xfrm>
                            <a:off x="0" y="0"/>
                            <a:ext cx="422910" cy="452755"/>
                          </a:xfrm>
                          <a:prstGeom prst="rect">
                            <a:avLst/>
                          </a:prstGeom>
                          <a:noFill/>
                          <a:ln>
                            <a:noFill/>
                          </a:ln>
                        </pic:spPr>
                      </pic:pic>
                    </a:graphicData>
                  </a:graphic>
                </wp:anchor>
              </w:drawing>
            </w:r>
          </w:p>
        </w:tc>
        <w:tc>
          <w:tcPr>
            <w:tcW w:w="604" w:type="pct"/>
            <w:shd w:val="clear" w:color="auto" w:fill="auto"/>
            <w:noWrap/>
            <w:vAlign w:val="top"/>
          </w:tcPr>
          <w:p w14:paraId="09198B12">
            <w:pPr>
              <w:keepNext w:val="0"/>
              <w:keepLines w:val="0"/>
              <w:widowControl/>
              <w:suppressLineNumbers w:val="0"/>
              <w:jc w:val="center"/>
              <w:textAlignment w:val="top"/>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6F2A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trPr>
        <w:tc>
          <w:tcPr>
            <w:tcW w:w="252" w:type="pct"/>
            <w:shd w:val="clear" w:color="auto" w:fill="auto"/>
            <w:vAlign w:val="center"/>
          </w:tcPr>
          <w:p w14:paraId="0AB507A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459" w:type="pct"/>
            <w:shd w:val="clear" w:color="auto" w:fill="auto"/>
            <w:vAlign w:val="center"/>
          </w:tcPr>
          <w:p w14:paraId="6B33BF7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水槽柜</w:t>
            </w:r>
          </w:p>
        </w:tc>
        <w:tc>
          <w:tcPr>
            <w:tcW w:w="2073" w:type="pct"/>
            <w:shd w:val="clear" w:color="auto" w:fill="auto"/>
            <w:vAlign w:val="center"/>
          </w:tcPr>
          <w:p w14:paraId="30F9874F">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规格尺寸：450*600*1070mm。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2.水槽内部尺寸：360mm*290mm*260mm。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水槽整体：采用PP工程塑料一次性注塑成型，整体分为三段分别是滴水架、水槽上身、水槽下柜体，内部有安装固件结合，水槽面部下沉式构造，使废水无法沿着桌面侵蚀柜体，滴水架设安装水龙头,水槽台面设有紧急洗眼器与洗手液瓶的安装孔并配备了洗手液瓶，水槽前端设有凹形设计，方便操作者使用。</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4.滴水架上有6根试管棒。</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5.水槽具有防止溢水功能，水槽内部设有一个水满到一定位置的时候，把水排到PP下水器进行排出，防止废水外溢。</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 PP注塑成型自由转弯软管：采用PP材料注塑成形，吸塑PP软管节节可伸缩功能，规格1000任意伸缩长度，直径50mm。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7.水槽整体：PP材质，注塑模具一次成型，防锈、耐酸碱、防水、防潮。</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 滴水架检修门与下柜门：ABS材质，注塑一次性成型，滴水架检修门采用卡扣结构便于拆卸检修，下柜体门采用柜门挂锁结构。水槽台下面配有四个静音带刹车万向轮。</w:t>
            </w:r>
          </w:p>
          <w:p w14:paraId="0829B620">
            <w:pPr>
              <w:keepNext w:val="0"/>
              <w:keepLines w:val="0"/>
              <w:widowControl/>
              <w:suppressLineNumbers w:val="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9.PP原材料需要满足以下检测要求：</w:t>
            </w:r>
          </w:p>
          <w:p w14:paraId="1E113781">
            <w:pPr>
              <w:keepNext w:val="0"/>
              <w:keepLines w:val="0"/>
              <w:widowControl/>
              <w:suppressLineNumbers w:val="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9.1</w:t>
            </w:r>
            <w:r>
              <w:rPr>
                <w:rFonts w:hint="eastAsia" w:ascii="宋体" w:hAnsi="宋体" w:eastAsia="宋体" w:cs="宋体"/>
                <w:i w:val="0"/>
                <w:iCs w:val="0"/>
                <w:color w:val="000000"/>
                <w:kern w:val="0"/>
                <w:sz w:val="21"/>
                <w:szCs w:val="21"/>
                <w:highlight w:val="none"/>
                <w:u w:val="none"/>
                <w:lang w:val="en-US" w:eastAsia="zh-CN" w:bidi="ar"/>
              </w:rPr>
              <w:t>提供符合GB/T 1633-2000 维卡软化温度检测判定基准：≥72.4℃，检测结论：符合。依据GB/T 1634.1-2019热变形温度检测判定基准：≥89.5℃，检测结论：符合。依据GB/T 9341-2008弯曲强度检测判定基准：≥27，检测结论：符合。供依据GB/T 1843-2008悬臂梁缺口冲击强度检测判定基准：≥10，检测结论：符合。依据GB/T 2411-2008邵氏硬度检测判定基准：≥65，检测结论</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符合。</w:t>
            </w:r>
          </w:p>
          <w:p w14:paraId="59ADECF6">
            <w:pPr>
              <w:keepNext w:val="0"/>
              <w:keepLines w:val="0"/>
              <w:widowControl/>
              <w:suppressLineNumbers w:val="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9.2</w:t>
            </w:r>
            <w:r>
              <w:rPr>
                <w:rFonts w:hint="eastAsia" w:ascii="宋体" w:hAnsi="宋体" w:eastAsia="宋体" w:cs="宋体"/>
                <w:i w:val="0"/>
                <w:iCs w:val="0"/>
                <w:color w:val="000000"/>
                <w:kern w:val="0"/>
                <w:sz w:val="21"/>
                <w:szCs w:val="21"/>
                <w:highlight w:val="none"/>
                <w:u w:val="none"/>
                <w:lang w:val="en-US" w:eastAsia="zh-CN" w:bidi="ar"/>
              </w:rPr>
              <w:t>通过第三方检测机构性能测试，检测项目至少包含：拉伸强度、断裂伸长率，拉伸强度检测判定基准：≥18，检测结论：符合；断裂伸长率检测判定基准：≥60，检测结论：符合。依据GB/T 3682.1-2018熔体质量流动速率检测判定基准：≥7,检测结论：符合。依据GB/T 1043.1-2008简支梁缺口冲击检测判定基准：≥6.5，检测结论：符合。（4）依据GB/T1034-2008 吸水性检测判定基准：≥0.05，结论：符合。</w:t>
            </w:r>
          </w:p>
          <w:p w14:paraId="1DE6D7DE">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cs="宋体"/>
                <w:b/>
                <w:bCs/>
                <w:i w:val="0"/>
                <w:iCs w:val="0"/>
                <w:color w:val="auto"/>
                <w:kern w:val="0"/>
                <w:sz w:val="21"/>
                <w:szCs w:val="21"/>
                <w:highlight w:val="none"/>
                <w:u w:val="none"/>
                <w:shd w:val="clear"/>
                <w:lang w:val="en-US" w:eastAsia="zh-CN" w:bidi="ar"/>
              </w:rPr>
              <w:t>投标文件中</w:t>
            </w:r>
            <w:r>
              <w:rPr>
                <w:rFonts w:hint="eastAsia" w:ascii="宋体" w:hAnsi="宋体" w:eastAsia="宋体" w:cs="宋体"/>
                <w:b/>
                <w:bCs/>
                <w:i w:val="0"/>
                <w:iCs w:val="0"/>
                <w:color w:val="auto"/>
                <w:kern w:val="0"/>
                <w:sz w:val="21"/>
                <w:szCs w:val="21"/>
                <w:highlight w:val="none"/>
                <w:u w:val="none"/>
                <w:shd w:val="clear"/>
                <w:lang w:val="en-US" w:eastAsia="zh-CN" w:bidi="ar"/>
              </w:rPr>
              <w:t>提供具有CMA认证资质的第三方检测机构出具的检测报告，</w:t>
            </w:r>
            <w:r>
              <w:rPr>
                <w:rFonts w:hint="eastAsia" w:ascii="宋体" w:hAnsi="宋体" w:eastAsia="宋体" w:cs="宋体"/>
                <w:b/>
                <w:bCs/>
                <w:i w:val="0"/>
                <w:iCs w:val="0"/>
                <w:color w:val="000000"/>
                <w:kern w:val="0"/>
                <w:sz w:val="21"/>
                <w:szCs w:val="21"/>
                <w:highlight w:val="none"/>
                <w:u w:val="none"/>
                <w:lang w:val="en-US" w:eastAsia="zh-CN" w:bidi="ar"/>
              </w:rPr>
              <w:t>且报告中须反</w:t>
            </w:r>
            <w:r>
              <w:rPr>
                <w:rFonts w:hint="eastAsia" w:ascii="宋体" w:hAnsi="宋体" w:cs="宋体"/>
                <w:b/>
                <w:bCs/>
                <w:i w:val="0"/>
                <w:iCs w:val="0"/>
                <w:color w:val="000000"/>
                <w:kern w:val="0"/>
                <w:sz w:val="21"/>
                <w:szCs w:val="21"/>
                <w:highlight w:val="none"/>
                <w:u w:val="none"/>
                <w:lang w:val="en-US" w:eastAsia="zh-CN" w:bidi="ar"/>
              </w:rPr>
              <w:t>映</w:t>
            </w:r>
            <w:r>
              <w:rPr>
                <w:rFonts w:hint="eastAsia" w:ascii="宋体" w:hAnsi="宋体" w:eastAsia="宋体" w:cs="宋体"/>
                <w:b/>
                <w:bCs/>
                <w:i w:val="0"/>
                <w:iCs w:val="0"/>
                <w:color w:val="000000"/>
                <w:kern w:val="0"/>
                <w:sz w:val="21"/>
                <w:szCs w:val="21"/>
                <w:highlight w:val="none"/>
                <w:u w:val="none"/>
                <w:lang w:val="en-US" w:eastAsia="zh-CN" w:bidi="ar"/>
              </w:rPr>
              <w:t>以上</w:t>
            </w:r>
            <w:r>
              <w:rPr>
                <w:rFonts w:hint="eastAsia" w:ascii="宋体" w:hAnsi="宋体" w:cs="宋体"/>
                <w:b/>
                <w:bCs/>
                <w:i w:val="0"/>
                <w:iCs w:val="0"/>
                <w:color w:val="000000"/>
                <w:kern w:val="0"/>
                <w:sz w:val="21"/>
                <w:szCs w:val="21"/>
                <w:highlight w:val="none"/>
                <w:u w:val="none"/>
                <w:lang w:val="en-US" w:eastAsia="zh-CN" w:bidi="ar"/>
              </w:rPr>
              <w:t>9.1、9.2</w:t>
            </w:r>
            <w:r>
              <w:rPr>
                <w:rFonts w:hint="eastAsia" w:ascii="宋体" w:hAnsi="宋体" w:eastAsia="宋体" w:cs="宋体"/>
                <w:b/>
                <w:bCs/>
                <w:i w:val="0"/>
                <w:iCs w:val="0"/>
                <w:color w:val="000000"/>
                <w:kern w:val="0"/>
                <w:sz w:val="21"/>
                <w:szCs w:val="21"/>
                <w:highlight w:val="none"/>
                <w:u w:val="none"/>
                <w:lang w:val="en-US" w:eastAsia="zh-CN" w:bidi="ar"/>
              </w:rPr>
              <w:t>项技术指标。</w:t>
            </w:r>
          </w:p>
        </w:tc>
        <w:tc>
          <w:tcPr>
            <w:tcW w:w="261" w:type="pct"/>
            <w:shd w:val="clear" w:color="auto" w:fill="auto"/>
            <w:vAlign w:val="center"/>
          </w:tcPr>
          <w:p w14:paraId="159C89A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257" w:type="pct"/>
            <w:shd w:val="clear" w:color="auto" w:fill="auto"/>
            <w:noWrap/>
            <w:vAlign w:val="center"/>
          </w:tcPr>
          <w:p w14:paraId="1191D46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1091" w:type="pct"/>
            <w:shd w:val="clear" w:color="auto" w:fill="auto"/>
            <w:noWrap/>
            <w:vAlign w:val="center"/>
          </w:tcPr>
          <w:p w14:paraId="34CF25B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533400</wp:posOffset>
                  </wp:positionH>
                  <wp:positionV relativeFrom="paragraph">
                    <wp:posOffset>301625</wp:posOffset>
                  </wp:positionV>
                  <wp:extent cx="971550" cy="971550"/>
                  <wp:effectExtent l="0" t="0" r="0" b="0"/>
                  <wp:wrapNone/>
                  <wp:docPr id="55" name="ID_DC071EB987EF4A92A3E46207529D8CDB"/>
                  <wp:cNvGraphicFramePr/>
                  <a:graphic xmlns:a="http://schemas.openxmlformats.org/drawingml/2006/main">
                    <a:graphicData uri="http://schemas.openxmlformats.org/drawingml/2006/picture">
                      <pic:pic xmlns:pic="http://schemas.openxmlformats.org/drawingml/2006/picture">
                        <pic:nvPicPr>
                          <pic:cNvPr id="55" name="ID_DC071EB987EF4A92A3E46207529D8CDB"/>
                          <pic:cNvPicPr/>
                        </pic:nvPicPr>
                        <pic:blipFill>
                          <a:blip r:embed="rId31"/>
                          <a:stretch>
                            <a:fillRect/>
                          </a:stretch>
                        </pic:blipFill>
                        <pic:spPr>
                          <a:xfrm>
                            <a:off x="0" y="0"/>
                            <a:ext cx="971550" cy="971550"/>
                          </a:xfrm>
                          <a:prstGeom prst="rect">
                            <a:avLst/>
                          </a:prstGeom>
                          <a:noFill/>
                          <a:ln>
                            <a:noFill/>
                          </a:ln>
                        </pic:spPr>
                      </pic:pic>
                    </a:graphicData>
                  </a:graphic>
                </wp:anchor>
              </w:drawing>
            </w:r>
          </w:p>
        </w:tc>
        <w:tc>
          <w:tcPr>
            <w:tcW w:w="604" w:type="pct"/>
            <w:shd w:val="clear" w:color="auto" w:fill="auto"/>
            <w:noWrap/>
            <w:vAlign w:val="center"/>
          </w:tcPr>
          <w:p w14:paraId="7C42B1C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1E3B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trPr>
        <w:tc>
          <w:tcPr>
            <w:tcW w:w="252" w:type="pct"/>
            <w:shd w:val="clear" w:color="auto" w:fill="auto"/>
            <w:vAlign w:val="center"/>
          </w:tcPr>
          <w:p w14:paraId="2696B33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459" w:type="pct"/>
            <w:shd w:val="clear" w:color="auto" w:fill="auto"/>
            <w:vAlign w:val="center"/>
          </w:tcPr>
          <w:p w14:paraId="5B718D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上水装置</w:t>
            </w:r>
          </w:p>
        </w:tc>
        <w:tc>
          <w:tcPr>
            <w:tcW w:w="2073" w:type="pct"/>
            <w:shd w:val="clear" w:color="auto" w:fill="auto"/>
            <w:vAlign w:val="center"/>
          </w:tcPr>
          <w:p w14:paraId="6C5C9DF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用于连接地面水管及水龙头，上水管两端接头采用201不锈钢螺帽铜芯，外管是304钢丝+尼龙丝混编的、内管采用三元内管、角阀是钻石轮（塑料包铁）、阀芯和阀体均为铜制</w:t>
            </w:r>
          </w:p>
        </w:tc>
        <w:tc>
          <w:tcPr>
            <w:tcW w:w="261" w:type="pct"/>
            <w:shd w:val="clear" w:color="auto" w:fill="auto"/>
            <w:vAlign w:val="center"/>
          </w:tcPr>
          <w:p w14:paraId="7C1C2FA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257" w:type="pct"/>
            <w:shd w:val="clear" w:color="auto" w:fill="auto"/>
            <w:noWrap/>
            <w:vAlign w:val="center"/>
          </w:tcPr>
          <w:p w14:paraId="56327B2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71D6050D">
            <w:pPr>
              <w:rPr>
                <w:rFonts w:hint="eastAsia" w:ascii="宋体" w:hAnsi="宋体" w:eastAsia="宋体" w:cs="宋体"/>
                <w:i w:val="0"/>
                <w:iCs w:val="0"/>
                <w:color w:val="000000"/>
                <w:sz w:val="21"/>
                <w:szCs w:val="21"/>
                <w:highlight w:val="none"/>
                <w:u w:val="none"/>
              </w:rPr>
            </w:pPr>
          </w:p>
        </w:tc>
        <w:tc>
          <w:tcPr>
            <w:tcW w:w="604" w:type="pct"/>
            <w:shd w:val="clear" w:color="auto" w:fill="auto"/>
            <w:noWrap/>
            <w:vAlign w:val="center"/>
          </w:tcPr>
          <w:p w14:paraId="733D8BEA">
            <w:pPr>
              <w:rPr>
                <w:rFonts w:hint="eastAsia" w:ascii="宋体" w:hAnsi="宋体" w:eastAsia="宋体" w:cs="宋体"/>
                <w:i w:val="0"/>
                <w:iCs w:val="0"/>
                <w:color w:val="000000"/>
                <w:sz w:val="21"/>
                <w:szCs w:val="21"/>
                <w:highlight w:val="none"/>
                <w:u w:val="none"/>
              </w:rPr>
            </w:pPr>
          </w:p>
        </w:tc>
      </w:tr>
      <w:tr w14:paraId="049F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trPr>
        <w:tc>
          <w:tcPr>
            <w:tcW w:w="252" w:type="pct"/>
            <w:shd w:val="clear" w:color="auto" w:fill="auto"/>
            <w:vAlign w:val="center"/>
          </w:tcPr>
          <w:p w14:paraId="6E1B963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459" w:type="pct"/>
            <w:shd w:val="clear" w:color="auto" w:fill="auto"/>
            <w:vAlign w:val="center"/>
          </w:tcPr>
          <w:p w14:paraId="12E6010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下水装置</w:t>
            </w:r>
          </w:p>
        </w:tc>
        <w:tc>
          <w:tcPr>
            <w:tcW w:w="2073" w:type="pct"/>
            <w:shd w:val="clear" w:color="auto" w:fill="auto"/>
            <w:vAlign w:val="center"/>
          </w:tcPr>
          <w:p w14:paraId="0F113A2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规格:直径35mm*长度500mm水槽专配型排水管，不锈钢卡扣连接，安装方便不渗漏</w:t>
            </w:r>
          </w:p>
        </w:tc>
        <w:tc>
          <w:tcPr>
            <w:tcW w:w="261" w:type="pct"/>
            <w:shd w:val="clear" w:color="auto" w:fill="auto"/>
            <w:vAlign w:val="center"/>
          </w:tcPr>
          <w:p w14:paraId="4D2945D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257" w:type="pct"/>
            <w:shd w:val="clear" w:color="auto" w:fill="auto"/>
            <w:noWrap/>
            <w:vAlign w:val="center"/>
          </w:tcPr>
          <w:p w14:paraId="59F72BA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3B844CD0">
            <w:pPr>
              <w:rPr>
                <w:rFonts w:hint="eastAsia" w:ascii="宋体" w:hAnsi="宋体" w:eastAsia="宋体" w:cs="宋体"/>
                <w:i w:val="0"/>
                <w:iCs w:val="0"/>
                <w:color w:val="000000"/>
                <w:sz w:val="21"/>
                <w:szCs w:val="21"/>
                <w:highlight w:val="none"/>
                <w:u w:val="none"/>
              </w:rPr>
            </w:pPr>
          </w:p>
        </w:tc>
        <w:tc>
          <w:tcPr>
            <w:tcW w:w="604" w:type="pct"/>
            <w:shd w:val="clear" w:color="auto" w:fill="auto"/>
            <w:noWrap/>
            <w:vAlign w:val="center"/>
          </w:tcPr>
          <w:p w14:paraId="4D8FF0D3">
            <w:pPr>
              <w:rPr>
                <w:rFonts w:hint="eastAsia" w:ascii="宋体" w:hAnsi="宋体" w:eastAsia="宋体" w:cs="宋体"/>
                <w:i w:val="0"/>
                <w:iCs w:val="0"/>
                <w:color w:val="000000"/>
                <w:sz w:val="21"/>
                <w:szCs w:val="21"/>
                <w:highlight w:val="none"/>
                <w:u w:val="none"/>
              </w:rPr>
            </w:pPr>
          </w:p>
        </w:tc>
      </w:tr>
      <w:tr w14:paraId="1510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52" w:type="pct"/>
            <w:shd w:val="clear" w:color="auto" w:fill="auto"/>
            <w:vAlign w:val="center"/>
          </w:tcPr>
          <w:p w14:paraId="2DB5CD3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459" w:type="pct"/>
            <w:shd w:val="clear" w:color="auto" w:fill="auto"/>
            <w:vAlign w:val="center"/>
          </w:tcPr>
          <w:p w14:paraId="5452843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三联水嘴</w:t>
            </w:r>
          </w:p>
        </w:tc>
        <w:tc>
          <w:tcPr>
            <w:tcW w:w="2073" w:type="pct"/>
            <w:shd w:val="clear" w:color="auto" w:fill="auto"/>
            <w:vAlign w:val="center"/>
          </w:tcPr>
          <w:p w14:paraId="666537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鹅颈式实验室专用优质化验水嘴：要求防酸碱、防锈、防虹吸、防阻塞，表面环氧树脂喷涂。开关阀芯为铜质陶瓷芯，高头，便于多用途使用，可拆卸清洗阻塞。出水嘴可拆卸，内有成型螺纹，可方便连接循环等特殊用水水管。</w:t>
            </w:r>
          </w:p>
          <w:p w14:paraId="6D18A8B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本次投标的水嘴须为《关于印发节能产品政府采购品目清单的通知》（财库〔2019〕19号）中列明的政府强制采购产品，投标文件须中提供《市场监管总局关于发布参与实施政府采购节能产品、环境标志产品认证机构名录的公告》(2019 年第 16 号)中相应认证机构出具的、处于有效期之内的节能标志产品认证证书复印件加盖投标人公章。</w:t>
            </w:r>
          </w:p>
        </w:tc>
        <w:tc>
          <w:tcPr>
            <w:tcW w:w="261" w:type="pct"/>
            <w:shd w:val="clear" w:color="auto" w:fill="auto"/>
            <w:vAlign w:val="center"/>
          </w:tcPr>
          <w:p w14:paraId="7AF048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257" w:type="pct"/>
            <w:shd w:val="clear" w:color="auto" w:fill="auto"/>
            <w:noWrap/>
            <w:vAlign w:val="center"/>
          </w:tcPr>
          <w:p w14:paraId="38E43AD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5C7B8669">
            <w:pPr>
              <w:rPr>
                <w:rFonts w:hint="eastAsia" w:ascii="宋体" w:hAnsi="宋体" w:eastAsia="宋体" w:cs="宋体"/>
                <w:i w:val="0"/>
                <w:iCs w:val="0"/>
                <w:color w:val="000000"/>
                <w:sz w:val="21"/>
                <w:szCs w:val="21"/>
                <w:highlight w:val="none"/>
                <w:u w:val="none"/>
              </w:rPr>
            </w:pPr>
          </w:p>
        </w:tc>
        <w:tc>
          <w:tcPr>
            <w:tcW w:w="604" w:type="pct"/>
            <w:shd w:val="clear" w:color="auto" w:fill="auto"/>
            <w:noWrap/>
            <w:vAlign w:val="center"/>
          </w:tcPr>
          <w:p w14:paraId="54780C70">
            <w:pPr>
              <w:rPr>
                <w:rFonts w:hint="eastAsia" w:ascii="宋体" w:hAnsi="宋体" w:eastAsia="宋体" w:cs="宋体"/>
                <w:i w:val="0"/>
                <w:iCs w:val="0"/>
                <w:color w:val="000000"/>
                <w:sz w:val="21"/>
                <w:szCs w:val="21"/>
                <w:highlight w:val="none"/>
                <w:u w:val="none"/>
              </w:rPr>
            </w:pPr>
          </w:p>
        </w:tc>
      </w:tr>
      <w:tr w14:paraId="0EAB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252" w:type="pct"/>
            <w:shd w:val="clear" w:color="auto" w:fill="auto"/>
            <w:vAlign w:val="center"/>
          </w:tcPr>
          <w:p w14:paraId="20F3384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459" w:type="pct"/>
            <w:shd w:val="clear" w:color="auto" w:fill="auto"/>
            <w:vAlign w:val="center"/>
          </w:tcPr>
          <w:p w14:paraId="16F0C51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学生安全电源</w:t>
            </w:r>
          </w:p>
        </w:tc>
        <w:tc>
          <w:tcPr>
            <w:tcW w:w="2073" w:type="pct"/>
            <w:shd w:val="clear" w:color="auto" w:fill="auto"/>
            <w:vAlign w:val="top"/>
          </w:tcPr>
          <w:p w14:paraId="4A6497F5">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1.学生电源采用集中供电的嵌入式受控电源。</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2.学生电源显示交直流电压。既能独立操作，也能被教师控制。</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3.学生低压交流电源电压为0V-24V/2A分辨率为1V。具备自动过载保护功能。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4.学生低压直流电源电压为0V-24V/2A，分辨率为0.1V。</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   要测试1.2V到0V的电压应0.1V可调。</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5.学生电源被教师控制及锁定后，学生端不能操作。</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6.液晶显示屏采用≥1.7寸LCD屏，数字显示交流、直流电流。</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7.配置2组220V国标5孔插座。保险过载保护。</w:t>
            </w:r>
          </w:p>
        </w:tc>
        <w:tc>
          <w:tcPr>
            <w:tcW w:w="261" w:type="pct"/>
            <w:shd w:val="clear" w:color="auto" w:fill="auto"/>
            <w:vAlign w:val="center"/>
          </w:tcPr>
          <w:p w14:paraId="0916EEB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257" w:type="pct"/>
            <w:shd w:val="clear" w:color="auto" w:fill="auto"/>
            <w:noWrap/>
            <w:vAlign w:val="center"/>
          </w:tcPr>
          <w:p w14:paraId="4664F7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0F21F92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286385</wp:posOffset>
                  </wp:positionH>
                  <wp:positionV relativeFrom="paragraph">
                    <wp:posOffset>104775</wp:posOffset>
                  </wp:positionV>
                  <wp:extent cx="1435100" cy="916305"/>
                  <wp:effectExtent l="0" t="0" r="12700" b="17145"/>
                  <wp:wrapNone/>
                  <wp:docPr id="56" name="图片_16"/>
                  <wp:cNvGraphicFramePr/>
                  <a:graphic xmlns:a="http://schemas.openxmlformats.org/drawingml/2006/main">
                    <a:graphicData uri="http://schemas.openxmlformats.org/drawingml/2006/picture">
                      <pic:pic xmlns:pic="http://schemas.openxmlformats.org/drawingml/2006/picture">
                        <pic:nvPicPr>
                          <pic:cNvPr id="56" name="图片_16"/>
                          <pic:cNvPicPr/>
                        </pic:nvPicPr>
                        <pic:blipFill>
                          <a:blip r:embed="rId32"/>
                          <a:stretch>
                            <a:fillRect/>
                          </a:stretch>
                        </pic:blipFill>
                        <pic:spPr>
                          <a:xfrm>
                            <a:off x="0" y="0"/>
                            <a:ext cx="1435100" cy="916305"/>
                          </a:xfrm>
                          <a:prstGeom prst="rect">
                            <a:avLst/>
                          </a:prstGeom>
                          <a:noFill/>
                          <a:ln>
                            <a:noFill/>
                          </a:ln>
                        </pic:spPr>
                      </pic:pic>
                    </a:graphicData>
                  </a:graphic>
                </wp:anchor>
              </w:drawing>
            </w:r>
          </w:p>
        </w:tc>
        <w:tc>
          <w:tcPr>
            <w:tcW w:w="604" w:type="pct"/>
            <w:shd w:val="clear" w:color="auto" w:fill="auto"/>
            <w:noWrap/>
            <w:vAlign w:val="center"/>
          </w:tcPr>
          <w:p w14:paraId="727B444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6604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252" w:type="pct"/>
            <w:shd w:val="clear" w:color="auto" w:fill="auto"/>
            <w:vAlign w:val="center"/>
          </w:tcPr>
          <w:p w14:paraId="270051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459" w:type="pct"/>
            <w:shd w:val="clear" w:color="auto" w:fill="auto"/>
            <w:vAlign w:val="center"/>
          </w:tcPr>
          <w:p w14:paraId="084F20B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教师总控电源</w:t>
            </w:r>
          </w:p>
        </w:tc>
        <w:tc>
          <w:tcPr>
            <w:tcW w:w="2073" w:type="pct"/>
            <w:shd w:val="clear" w:color="auto" w:fill="auto"/>
            <w:vAlign w:val="top"/>
          </w:tcPr>
          <w:p w14:paraId="4F9A3355">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教师控制台控制区采用7寸触摸屏操作方式。</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1.采用火线、零线双组开管的漏电保护器，电流63A。</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2.具有年月日、时分秒、定时自动关机功能。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3.定时关机时间，可以教师根据任务要求按需设定。</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4.采用≥7寸触摸屏控制，显示教师和学生交直流电压、电流。</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5.分4组向学生实验桌输出安全的220V交流电源，每组16A空开控制。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6.配置2组国标5孔220V输出插座，2组USB输出孔，5V/2.1A。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7.教师集中供电控制学生低压，根据学生需求按相应的数值确定。教师监控分四组控制，且有电流监控功能，当电流超过60A过载保护，功率箱指示灯闪烁。</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8.教师自用低压交流电源电压为0V-18V/3A、19V-30V2A，分辨率为1V。具备自动过载保护功能。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9.教师自用低压直流电源电压为0V-18.0V/2A、18.1V-30.0V/1.5A，分辨率为0.1V。具备自动过载保护功能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10.大电流短时输出。8秒自动关断。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11.直流高压：输出240V或300V的高压，输出电流为100mA,具备过载保护功能.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12.电源的性能符合《 JY/T 0374-2004 教学实验室设备电源系统 》中的相关要求。</w:t>
            </w:r>
          </w:p>
        </w:tc>
        <w:tc>
          <w:tcPr>
            <w:tcW w:w="261" w:type="pct"/>
            <w:shd w:val="clear" w:color="auto" w:fill="auto"/>
            <w:vAlign w:val="center"/>
          </w:tcPr>
          <w:p w14:paraId="41D0EA9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57" w:type="pct"/>
            <w:shd w:val="clear" w:color="auto" w:fill="auto"/>
            <w:noWrap/>
            <w:vAlign w:val="center"/>
          </w:tcPr>
          <w:p w14:paraId="1A27416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55B02C9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181610</wp:posOffset>
                  </wp:positionH>
                  <wp:positionV relativeFrom="paragraph">
                    <wp:posOffset>87630</wp:posOffset>
                  </wp:positionV>
                  <wp:extent cx="1585595" cy="825500"/>
                  <wp:effectExtent l="0" t="0" r="14605" b="12700"/>
                  <wp:wrapNone/>
                  <wp:docPr id="57" name="图片_17"/>
                  <wp:cNvGraphicFramePr/>
                  <a:graphic xmlns:a="http://schemas.openxmlformats.org/drawingml/2006/main">
                    <a:graphicData uri="http://schemas.openxmlformats.org/drawingml/2006/picture">
                      <pic:pic xmlns:pic="http://schemas.openxmlformats.org/drawingml/2006/picture">
                        <pic:nvPicPr>
                          <pic:cNvPr id="57" name="图片_17"/>
                          <pic:cNvPicPr/>
                        </pic:nvPicPr>
                        <pic:blipFill>
                          <a:blip r:embed="rId33"/>
                          <a:stretch>
                            <a:fillRect/>
                          </a:stretch>
                        </pic:blipFill>
                        <pic:spPr>
                          <a:xfrm>
                            <a:off x="0" y="0"/>
                            <a:ext cx="1585595" cy="825500"/>
                          </a:xfrm>
                          <a:prstGeom prst="rect">
                            <a:avLst/>
                          </a:prstGeom>
                          <a:noFill/>
                          <a:ln>
                            <a:noFill/>
                          </a:ln>
                        </pic:spPr>
                      </pic:pic>
                    </a:graphicData>
                  </a:graphic>
                </wp:anchor>
              </w:drawing>
            </w:r>
          </w:p>
        </w:tc>
        <w:tc>
          <w:tcPr>
            <w:tcW w:w="604" w:type="pct"/>
            <w:shd w:val="clear" w:color="auto" w:fill="auto"/>
            <w:noWrap/>
            <w:vAlign w:val="center"/>
          </w:tcPr>
          <w:p w14:paraId="0D02EC3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20D1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40" w:hRule="atLeast"/>
        </w:trPr>
        <w:tc>
          <w:tcPr>
            <w:tcW w:w="252" w:type="pct"/>
            <w:shd w:val="clear" w:color="auto" w:fill="auto"/>
            <w:vAlign w:val="center"/>
          </w:tcPr>
          <w:p w14:paraId="404F260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459" w:type="pct"/>
            <w:shd w:val="clear" w:color="auto" w:fill="auto"/>
            <w:vAlign w:val="center"/>
          </w:tcPr>
          <w:p w14:paraId="6B8CEAF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实验凳</w:t>
            </w:r>
          </w:p>
        </w:tc>
        <w:tc>
          <w:tcPr>
            <w:tcW w:w="2073" w:type="pct"/>
            <w:shd w:val="clear" w:color="auto" w:fill="auto"/>
            <w:vAlign w:val="top"/>
          </w:tcPr>
          <w:p w14:paraId="6C7A357A">
            <w:pPr>
              <w:keepNext w:val="0"/>
              <w:keepLines w:val="0"/>
              <w:widowControl/>
              <w:suppressLineNumbers w:val="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规格：Φ300*450-500mm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 xml:space="preserve">凳面1、材质：采用环保型ABS改性塑料一次性注塑成型 2、尺寸：30cm×3cm 3、表面细纹咬花，防滑不发光                                                                                                                                                                                                                                                                   </w:t>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脚钢架1、材质及形状：椭圆形无缝钢管  2、尺寸:16×36×1.45mm 3、全圆满焊接完成，结构牢固，经高温粉体烤漆处理，长时间使用也不会产生表面烤漆剥落现象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CN" w:bidi="ar"/>
              </w:rPr>
              <w:t xml:space="preserve">脚垫1、材质：采用PP加耐磨纤维质塑料，实心倒勾式一体射出成型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5.</w:t>
            </w:r>
            <w:r>
              <w:rPr>
                <w:rFonts w:hint="eastAsia" w:ascii="宋体" w:hAnsi="宋体" w:eastAsia="宋体" w:cs="宋体"/>
                <w:i w:val="0"/>
                <w:iCs w:val="0"/>
                <w:color w:val="000000"/>
                <w:kern w:val="0"/>
                <w:sz w:val="21"/>
                <w:szCs w:val="21"/>
                <w:highlight w:val="none"/>
                <w:u w:val="none"/>
                <w:lang w:val="en-US" w:eastAsia="zh-CN" w:bidi="ar"/>
              </w:rPr>
              <w:t>凳面可通过旋转螺杆来升降凳子高度,可调高度5cm。</w:t>
            </w:r>
          </w:p>
          <w:p w14:paraId="7F029DBD">
            <w:pPr>
              <w:keepNext w:val="0"/>
              <w:keepLines w:val="0"/>
              <w:widowControl/>
              <w:suppressLineNumbers w:val="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为保证产品质量及从环保角度保障实验室人员健康，产品</w:t>
            </w:r>
            <w:r>
              <w:rPr>
                <w:rFonts w:hint="eastAsia" w:ascii="宋体" w:hAnsi="宋体" w:cs="宋体"/>
                <w:i w:val="0"/>
                <w:iCs w:val="0"/>
                <w:color w:val="000000"/>
                <w:kern w:val="0"/>
                <w:sz w:val="21"/>
                <w:szCs w:val="21"/>
                <w:highlight w:val="none"/>
                <w:u w:val="none"/>
                <w:lang w:val="en-US" w:eastAsia="zh-CN" w:bidi="ar"/>
              </w:rPr>
              <w:t>需要</w:t>
            </w:r>
            <w:r>
              <w:rPr>
                <w:rFonts w:hint="eastAsia" w:ascii="宋体" w:hAnsi="宋体" w:eastAsia="宋体" w:cs="宋体"/>
                <w:i w:val="0"/>
                <w:iCs w:val="0"/>
                <w:color w:val="000000"/>
                <w:kern w:val="0"/>
                <w:sz w:val="21"/>
                <w:szCs w:val="21"/>
                <w:highlight w:val="none"/>
                <w:u w:val="none"/>
                <w:lang w:val="en-US" w:eastAsia="zh-CN" w:bidi="ar"/>
              </w:rPr>
              <w:t>符合以下技术参数及要求：</w:t>
            </w:r>
          </w:p>
          <w:p w14:paraId="145ACD17">
            <w:pPr>
              <w:keepNext w:val="0"/>
              <w:keepLines w:val="0"/>
              <w:widowControl/>
              <w:suppressLineNumbers w:val="0"/>
              <w:shd w:val="clear"/>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1实验凳符合GB/T16422.2-2022《塑料 实验室光源暴露试验方法 第2部分：氙弧灯》标准，检测项目包含老化测试至少10h，检测结果：外观无明显变化。</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6.2</w:t>
            </w:r>
            <w:r>
              <w:rPr>
                <w:rFonts w:hint="eastAsia" w:ascii="宋体" w:hAnsi="宋体" w:eastAsia="宋体" w:cs="宋体"/>
                <w:i w:val="0"/>
                <w:iCs w:val="0"/>
                <w:color w:val="000000"/>
                <w:kern w:val="0"/>
                <w:sz w:val="21"/>
                <w:szCs w:val="21"/>
                <w:highlight w:val="none"/>
                <w:u w:val="none"/>
                <w:lang w:val="en-US" w:eastAsia="zh-CN" w:bidi="ar"/>
              </w:rPr>
              <w:t>钢管符合GB/T4893.2-2020《家具表面漆膜理化性能试验第2部分：</w:t>
            </w:r>
            <w:r>
              <w:rPr>
                <w:rFonts w:hint="eastAsia" w:ascii="宋体" w:hAnsi="宋体" w:eastAsia="宋体" w:cs="宋体"/>
                <w:i w:val="0"/>
                <w:iCs w:val="0"/>
                <w:color w:val="auto"/>
                <w:kern w:val="0"/>
                <w:sz w:val="21"/>
                <w:szCs w:val="21"/>
                <w:highlight w:val="none"/>
                <w:u w:val="none"/>
                <w:lang w:val="en-US" w:eastAsia="zh-CN" w:bidi="ar"/>
              </w:rPr>
              <w:t>耐湿热测定法》，检测项目包含耐湿热性至少10h，检测结果达到1级：无变化。</w:t>
            </w:r>
          </w:p>
          <w:p w14:paraId="0D7FC912">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cs="宋体"/>
                <w:b/>
                <w:bCs/>
                <w:i w:val="0"/>
                <w:iCs w:val="0"/>
                <w:color w:val="auto"/>
                <w:kern w:val="0"/>
                <w:sz w:val="21"/>
                <w:szCs w:val="21"/>
                <w:highlight w:val="none"/>
                <w:u w:val="none"/>
                <w:shd w:val="clear"/>
                <w:lang w:val="en-US" w:eastAsia="zh-CN" w:bidi="ar"/>
              </w:rPr>
              <w:t>投标文件中</w:t>
            </w:r>
            <w:r>
              <w:rPr>
                <w:rFonts w:hint="eastAsia" w:ascii="宋体" w:hAnsi="宋体" w:eastAsia="宋体" w:cs="宋体"/>
                <w:b/>
                <w:bCs/>
                <w:i w:val="0"/>
                <w:iCs w:val="0"/>
                <w:color w:val="auto"/>
                <w:kern w:val="0"/>
                <w:sz w:val="21"/>
                <w:szCs w:val="21"/>
                <w:highlight w:val="none"/>
                <w:u w:val="none"/>
                <w:shd w:val="clear"/>
                <w:lang w:val="en-US" w:eastAsia="zh-CN" w:bidi="ar"/>
              </w:rPr>
              <w:t>提供具有CMA认证资质的第三方检测机构出具的检测报告，</w:t>
            </w:r>
            <w:r>
              <w:rPr>
                <w:rFonts w:hint="eastAsia" w:ascii="宋体" w:hAnsi="宋体" w:eastAsia="宋体" w:cs="宋体"/>
                <w:b/>
                <w:bCs/>
                <w:i w:val="0"/>
                <w:iCs w:val="0"/>
                <w:color w:val="000000"/>
                <w:kern w:val="0"/>
                <w:sz w:val="21"/>
                <w:szCs w:val="21"/>
                <w:highlight w:val="none"/>
                <w:u w:val="none"/>
                <w:lang w:val="en-US" w:eastAsia="zh-CN" w:bidi="ar"/>
              </w:rPr>
              <w:t>且报告中须反</w:t>
            </w:r>
            <w:r>
              <w:rPr>
                <w:rFonts w:hint="eastAsia" w:ascii="宋体" w:hAnsi="宋体" w:cs="宋体"/>
                <w:b/>
                <w:bCs/>
                <w:i w:val="0"/>
                <w:iCs w:val="0"/>
                <w:color w:val="000000"/>
                <w:kern w:val="0"/>
                <w:sz w:val="21"/>
                <w:szCs w:val="21"/>
                <w:highlight w:val="none"/>
                <w:u w:val="none"/>
                <w:lang w:val="en-US" w:eastAsia="zh-CN" w:bidi="ar"/>
              </w:rPr>
              <w:t>映</w:t>
            </w:r>
            <w:r>
              <w:rPr>
                <w:rFonts w:hint="eastAsia" w:ascii="宋体" w:hAnsi="宋体" w:eastAsia="宋体" w:cs="宋体"/>
                <w:b/>
                <w:bCs/>
                <w:i w:val="0"/>
                <w:iCs w:val="0"/>
                <w:color w:val="000000"/>
                <w:kern w:val="0"/>
                <w:sz w:val="21"/>
                <w:szCs w:val="21"/>
                <w:highlight w:val="none"/>
                <w:u w:val="none"/>
                <w:lang w:val="en-US" w:eastAsia="zh-CN" w:bidi="ar"/>
              </w:rPr>
              <w:t>以上</w:t>
            </w:r>
            <w:r>
              <w:rPr>
                <w:rFonts w:hint="eastAsia" w:ascii="宋体" w:hAnsi="宋体" w:cs="宋体"/>
                <w:b/>
                <w:bCs/>
                <w:i w:val="0"/>
                <w:iCs w:val="0"/>
                <w:color w:val="000000"/>
                <w:kern w:val="0"/>
                <w:sz w:val="21"/>
                <w:szCs w:val="21"/>
                <w:highlight w:val="none"/>
                <w:u w:val="none"/>
                <w:lang w:val="en-US" w:eastAsia="zh-CN" w:bidi="ar"/>
              </w:rPr>
              <w:t>6.</w:t>
            </w:r>
            <w:r>
              <w:rPr>
                <w:rFonts w:hint="eastAsia" w:ascii="宋体" w:hAnsi="宋体" w:eastAsia="宋体" w:cs="宋体"/>
                <w:b/>
                <w:bCs/>
                <w:i w:val="0"/>
                <w:iCs w:val="0"/>
                <w:color w:val="000000"/>
                <w:kern w:val="0"/>
                <w:sz w:val="21"/>
                <w:szCs w:val="21"/>
                <w:highlight w:val="none"/>
                <w:u w:val="none"/>
                <w:lang w:val="en-US" w:eastAsia="zh-CN" w:bidi="ar"/>
              </w:rPr>
              <w:t>1</w:t>
            </w:r>
            <w:r>
              <w:rPr>
                <w:rFonts w:hint="eastAsia" w:ascii="宋体" w:hAnsi="宋体" w:cs="宋体"/>
                <w:b/>
                <w:bCs/>
                <w:i w:val="0"/>
                <w:iCs w:val="0"/>
                <w:color w:val="000000"/>
                <w:kern w:val="0"/>
                <w:sz w:val="21"/>
                <w:szCs w:val="21"/>
                <w:highlight w:val="none"/>
                <w:u w:val="none"/>
                <w:lang w:val="en-US" w:eastAsia="zh-CN" w:bidi="ar"/>
              </w:rPr>
              <w:t>、6.2</w:t>
            </w:r>
            <w:r>
              <w:rPr>
                <w:rFonts w:hint="eastAsia" w:ascii="宋体" w:hAnsi="宋体" w:eastAsia="宋体" w:cs="宋体"/>
                <w:b/>
                <w:bCs/>
                <w:i w:val="0"/>
                <w:iCs w:val="0"/>
                <w:color w:val="000000"/>
                <w:kern w:val="0"/>
                <w:sz w:val="21"/>
                <w:szCs w:val="21"/>
                <w:highlight w:val="none"/>
                <w:u w:val="none"/>
                <w:lang w:val="en-US" w:eastAsia="zh-CN" w:bidi="ar"/>
              </w:rPr>
              <w:t>项技术指标。</w:t>
            </w:r>
          </w:p>
        </w:tc>
        <w:tc>
          <w:tcPr>
            <w:tcW w:w="261" w:type="pct"/>
            <w:shd w:val="clear" w:color="auto" w:fill="auto"/>
            <w:vAlign w:val="center"/>
          </w:tcPr>
          <w:p w14:paraId="0EC9A2F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50</w:t>
            </w:r>
          </w:p>
        </w:tc>
        <w:tc>
          <w:tcPr>
            <w:tcW w:w="257" w:type="pct"/>
            <w:shd w:val="clear" w:color="auto" w:fill="auto"/>
            <w:noWrap/>
            <w:vAlign w:val="center"/>
          </w:tcPr>
          <w:p w14:paraId="648243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1091" w:type="pct"/>
            <w:shd w:val="clear" w:color="auto" w:fill="auto"/>
            <w:noWrap/>
            <w:vAlign w:val="center"/>
          </w:tcPr>
          <w:p w14:paraId="7897F7D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441960</wp:posOffset>
                  </wp:positionH>
                  <wp:positionV relativeFrom="paragraph">
                    <wp:posOffset>106680</wp:posOffset>
                  </wp:positionV>
                  <wp:extent cx="937260" cy="922020"/>
                  <wp:effectExtent l="0" t="0" r="15240" b="11430"/>
                  <wp:wrapNone/>
                  <wp:docPr id="50" name="Picture_1_SpCnt_1"/>
                  <wp:cNvGraphicFramePr/>
                  <a:graphic xmlns:a="http://schemas.openxmlformats.org/drawingml/2006/main">
                    <a:graphicData uri="http://schemas.openxmlformats.org/drawingml/2006/picture">
                      <pic:pic xmlns:pic="http://schemas.openxmlformats.org/drawingml/2006/picture">
                        <pic:nvPicPr>
                          <pic:cNvPr id="50" name="Picture_1_SpCnt_1"/>
                          <pic:cNvPicPr/>
                        </pic:nvPicPr>
                        <pic:blipFill>
                          <a:blip r:embed="rId34"/>
                          <a:stretch>
                            <a:fillRect/>
                          </a:stretch>
                        </pic:blipFill>
                        <pic:spPr>
                          <a:xfrm>
                            <a:off x="0" y="0"/>
                            <a:ext cx="937260" cy="922020"/>
                          </a:xfrm>
                          <a:prstGeom prst="rect">
                            <a:avLst/>
                          </a:prstGeom>
                          <a:noFill/>
                          <a:ln>
                            <a:noFill/>
                          </a:ln>
                        </pic:spPr>
                      </pic:pic>
                    </a:graphicData>
                  </a:graphic>
                </wp:anchor>
              </w:drawing>
            </w:r>
          </w:p>
        </w:tc>
        <w:tc>
          <w:tcPr>
            <w:tcW w:w="604" w:type="pct"/>
            <w:shd w:val="clear" w:color="auto" w:fill="auto"/>
            <w:noWrap/>
            <w:vAlign w:val="center"/>
          </w:tcPr>
          <w:p w14:paraId="0927ABC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3F31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0" w:hRule="atLeast"/>
        </w:trPr>
        <w:tc>
          <w:tcPr>
            <w:tcW w:w="252" w:type="pct"/>
            <w:shd w:val="clear" w:color="auto" w:fill="auto"/>
            <w:vAlign w:val="center"/>
          </w:tcPr>
          <w:p w14:paraId="64FC124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459" w:type="pct"/>
            <w:shd w:val="clear" w:color="auto" w:fill="auto"/>
            <w:vAlign w:val="center"/>
          </w:tcPr>
          <w:p w14:paraId="748CC10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教师椅</w:t>
            </w:r>
          </w:p>
        </w:tc>
        <w:tc>
          <w:tcPr>
            <w:tcW w:w="2073" w:type="pct"/>
            <w:shd w:val="clear" w:color="auto" w:fill="auto"/>
            <w:vAlign w:val="top"/>
          </w:tcPr>
          <w:p w14:paraId="31A3CC7B">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规格：500*500*800mm靠背及下座采用高密度网布格，阻燃、舒适、回弹性好。面料为优质网布格。依照人体工程学设计，线条流畅，美观大方，骨架钢管电镀，气动升降。</w:t>
            </w:r>
          </w:p>
        </w:tc>
        <w:tc>
          <w:tcPr>
            <w:tcW w:w="261" w:type="pct"/>
            <w:shd w:val="clear" w:color="auto" w:fill="auto"/>
            <w:vAlign w:val="center"/>
          </w:tcPr>
          <w:p w14:paraId="607844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57" w:type="pct"/>
            <w:shd w:val="clear" w:color="auto" w:fill="auto"/>
            <w:noWrap/>
            <w:vAlign w:val="center"/>
          </w:tcPr>
          <w:p w14:paraId="36535C9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1091" w:type="pct"/>
            <w:shd w:val="clear" w:color="auto" w:fill="auto"/>
            <w:noWrap/>
            <w:vAlign w:val="center"/>
          </w:tcPr>
          <w:p w14:paraId="5FC95AE8">
            <w:pPr>
              <w:rPr>
                <w:rFonts w:hint="eastAsia" w:ascii="宋体" w:hAnsi="宋体" w:eastAsia="宋体" w:cs="宋体"/>
                <w:i w:val="0"/>
                <w:iCs w:val="0"/>
                <w:color w:val="000000"/>
                <w:sz w:val="21"/>
                <w:szCs w:val="21"/>
                <w:highlight w:val="none"/>
                <w:u w:val="none"/>
              </w:rPr>
            </w:pPr>
          </w:p>
        </w:tc>
        <w:tc>
          <w:tcPr>
            <w:tcW w:w="604" w:type="pct"/>
            <w:shd w:val="clear" w:color="auto" w:fill="auto"/>
            <w:noWrap/>
            <w:vAlign w:val="center"/>
          </w:tcPr>
          <w:p w14:paraId="4A282748">
            <w:pPr>
              <w:rPr>
                <w:rFonts w:hint="eastAsia" w:ascii="宋体" w:hAnsi="宋体" w:eastAsia="宋体" w:cs="宋体"/>
                <w:i w:val="0"/>
                <w:iCs w:val="0"/>
                <w:color w:val="000000"/>
                <w:sz w:val="21"/>
                <w:szCs w:val="21"/>
                <w:highlight w:val="none"/>
                <w:u w:val="none"/>
              </w:rPr>
            </w:pPr>
          </w:p>
        </w:tc>
      </w:tr>
      <w:tr w14:paraId="4B2D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52" w:type="pct"/>
            <w:shd w:val="clear" w:color="auto" w:fill="auto"/>
            <w:vAlign w:val="center"/>
          </w:tcPr>
          <w:p w14:paraId="5FF0903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459" w:type="pct"/>
            <w:shd w:val="clear" w:color="auto" w:fill="auto"/>
            <w:vAlign w:val="center"/>
          </w:tcPr>
          <w:p w14:paraId="5BA645E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电气布线（地面以上部分）</w:t>
            </w:r>
          </w:p>
        </w:tc>
        <w:tc>
          <w:tcPr>
            <w:tcW w:w="2073" w:type="pct"/>
            <w:shd w:val="clear" w:color="auto" w:fill="auto"/>
            <w:vAlign w:val="center"/>
          </w:tcPr>
          <w:p w14:paraId="7EC011F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DN25mm阻燃线管；4、2.5平方国标线材，符合国家标准。</w:t>
            </w:r>
          </w:p>
        </w:tc>
        <w:tc>
          <w:tcPr>
            <w:tcW w:w="261" w:type="pct"/>
            <w:shd w:val="clear" w:color="auto" w:fill="auto"/>
            <w:vAlign w:val="center"/>
          </w:tcPr>
          <w:p w14:paraId="3D80DEE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57" w:type="pct"/>
            <w:shd w:val="clear" w:color="auto" w:fill="auto"/>
            <w:noWrap/>
            <w:vAlign w:val="center"/>
          </w:tcPr>
          <w:p w14:paraId="36C1BC7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3D89B5C9">
            <w:pPr>
              <w:rPr>
                <w:rFonts w:hint="eastAsia" w:ascii="宋体" w:hAnsi="宋体" w:eastAsia="宋体" w:cs="宋体"/>
                <w:i w:val="0"/>
                <w:iCs w:val="0"/>
                <w:color w:val="000000"/>
                <w:sz w:val="21"/>
                <w:szCs w:val="21"/>
                <w:highlight w:val="none"/>
                <w:u w:val="none"/>
              </w:rPr>
            </w:pPr>
          </w:p>
        </w:tc>
        <w:tc>
          <w:tcPr>
            <w:tcW w:w="604" w:type="pct"/>
            <w:shd w:val="clear" w:color="auto" w:fill="auto"/>
            <w:noWrap/>
            <w:vAlign w:val="center"/>
          </w:tcPr>
          <w:p w14:paraId="3D33B801">
            <w:pPr>
              <w:rPr>
                <w:rFonts w:hint="eastAsia" w:ascii="宋体" w:hAnsi="宋体" w:eastAsia="宋体" w:cs="宋体"/>
                <w:i w:val="0"/>
                <w:iCs w:val="0"/>
                <w:color w:val="000000"/>
                <w:sz w:val="21"/>
                <w:szCs w:val="21"/>
                <w:highlight w:val="none"/>
                <w:u w:val="none"/>
              </w:rPr>
            </w:pPr>
          </w:p>
        </w:tc>
      </w:tr>
      <w:tr w14:paraId="1F17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0" w:hRule="atLeast"/>
        </w:trPr>
        <w:tc>
          <w:tcPr>
            <w:tcW w:w="252" w:type="pct"/>
            <w:shd w:val="clear" w:color="auto" w:fill="auto"/>
            <w:vAlign w:val="center"/>
          </w:tcPr>
          <w:p w14:paraId="43EE7C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459" w:type="pct"/>
            <w:shd w:val="clear" w:color="auto" w:fill="auto"/>
            <w:vAlign w:val="center"/>
          </w:tcPr>
          <w:p w14:paraId="62B167C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给、排水系统（地面以上部分）</w:t>
            </w:r>
          </w:p>
        </w:tc>
        <w:tc>
          <w:tcPr>
            <w:tcW w:w="2073" w:type="pct"/>
            <w:shd w:val="clear" w:color="auto" w:fill="auto"/>
            <w:vAlign w:val="center"/>
          </w:tcPr>
          <w:p w14:paraId="1324E8D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ф32、ф25、ф20；DN75、DN50给水：采用PPR复合管敷设。排水：使用国标优质UPVC专用排水管。</w:t>
            </w:r>
          </w:p>
        </w:tc>
        <w:tc>
          <w:tcPr>
            <w:tcW w:w="261" w:type="pct"/>
            <w:shd w:val="clear" w:color="auto" w:fill="auto"/>
            <w:vAlign w:val="center"/>
          </w:tcPr>
          <w:p w14:paraId="62A6D3D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57" w:type="pct"/>
            <w:shd w:val="clear" w:color="auto" w:fill="auto"/>
            <w:noWrap/>
            <w:vAlign w:val="center"/>
          </w:tcPr>
          <w:p w14:paraId="3626C5B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48D4FB7D">
            <w:pPr>
              <w:rPr>
                <w:rFonts w:hint="eastAsia" w:ascii="宋体" w:hAnsi="宋体" w:eastAsia="宋体" w:cs="宋体"/>
                <w:i w:val="0"/>
                <w:iCs w:val="0"/>
                <w:color w:val="000000"/>
                <w:sz w:val="21"/>
                <w:szCs w:val="21"/>
                <w:highlight w:val="none"/>
                <w:u w:val="none"/>
              </w:rPr>
            </w:pPr>
          </w:p>
        </w:tc>
        <w:tc>
          <w:tcPr>
            <w:tcW w:w="604" w:type="pct"/>
            <w:shd w:val="clear" w:color="auto" w:fill="auto"/>
            <w:noWrap/>
            <w:vAlign w:val="center"/>
          </w:tcPr>
          <w:p w14:paraId="395A968F">
            <w:pPr>
              <w:rPr>
                <w:rFonts w:hint="eastAsia" w:ascii="宋体" w:hAnsi="宋体" w:eastAsia="宋体" w:cs="宋体"/>
                <w:i w:val="0"/>
                <w:iCs w:val="0"/>
                <w:color w:val="000000"/>
                <w:sz w:val="21"/>
                <w:szCs w:val="21"/>
                <w:highlight w:val="none"/>
                <w:u w:val="none"/>
              </w:rPr>
            </w:pPr>
          </w:p>
        </w:tc>
      </w:tr>
      <w:tr w14:paraId="75E0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52" w:type="pct"/>
            <w:shd w:val="clear" w:color="auto" w:fill="auto"/>
            <w:vAlign w:val="center"/>
          </w:tcPr>
          <w:p w14:paraId="3D6AD3D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459" w:type="pct"/>
            <w:shd w:val="clear" w:color="auto" w:fill="auto"/>
            <w:vAlign w:val="center"/>
          </w:tcPr>
          <w:p w14:paraId="7CFFCAA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风机</w:t>
            </w:r>
          </w:p>
        </w:tc>
        <w:tc>
          <w:tcPr>
            <w:tcW w:w="2073" w:type="pct"/>
            <w:shd w:val="clear" w:color="auto" w:fill="auto"/>
            <w:vAlign w:val="center"/>
          </w:tcPr>
          <w:p w14:paraId="1A845AA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6#离心风机 ≥5.5KW，转速 ≥1450r/min，流量 ≥6800-14530M3/h，全压 ≥1150-748Pa，噪声符合国家标准,风机外壳和叶轮均采用模具一次成型。配橡胶减震器用于消除专用通风机引起的震动，配防雨帽，PP材质，主要用于对专用通风机的防护。</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配置一套废气处理装置</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规格：L1800*W920*H1200mm，灰色PP抗UV材质，含常规颗粒活性炭140kg，双层炭；单面抽.</w:t>
            </w:r>
          </w:p>
        </w:tc>
        <w:tc>
          <w:tcPr>
            <w:tcW w:w="261" w:type="pct"/>
            <w:shd w:val="clear" w:color="auto" w:fill="auto"/>
            <w:noWrap/>
            <w:vAlign w:val="center"/>
          </w:tcPr>
          <w:p w14:paraId="5AE7FEC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57" w:type="pct"/>
            <w:shd w:val="clear" w:color="auto" w:fill="auto"/>
            <w:vAlign w:val="center"/>
          </w:tcPr>
          <w:p w14:paraId="558FB6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3B3403A2">
            <w:pPr>
              <w:rPr>
                <w:rFonts w:hint="eastAsia" w:ascii="宋体" w:hAnsi="宋体" w:eastAsia="宋体" w:cs="宋体"/>
                <w:i w:val="0"/>
                <w:iCs w:val="0"/>
                <w:color w:val="000000"/>
                <w:sz w:val="21"/>
                <w:szCs w:val="21"/>
                <w:highlight w:val="none"/>
                <w:u w:val="none"/>
              </w:rPr>
            </w:pPr>
          </w:p>
        </w:tc>
        <w:tc>
          <w:tcPr>
            <w:tcW w:w="604" w:type="pct"/>
            <w:shd w:val="clear" w:color="auto" w:fill="auto"/>
            <w:noWrap/>
            <w:vAlign w:val="center"/>
          </w:tcPr>
          <w:p w14:paraId="3DC2662B">
            <w:pPr>
              <w:rPr>
                <w:rFonts w:hint="eastAsia" w:ascii="宋体" w:hAnsi="宋体" w:eastAsia="宋体" w:cs="宋体"/>
                <w:i w:val="0"/>
                <w:iCs w:val="0"/>
                <w:color w:val="000000"/>
                <w:sz w:val="21"/>
                <w:szCs w:val="21"/>
                <w:highlight w:val="none"/>
                <w:u w:val="none"/>
              </w:rPr>
            </w:pPr>
          </w:p>
        </w:tc>
      </w:tr>
      <w:tr w14:paraId="548D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52" w:type="pct"/>
            <w:shd w:val="clear" w:color="auto" w:fill="auto"/>
            <w:vAlign w:val="center"/>
          </w:tcPr>
          <w:p w14:paraId="2C20FFC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459" w:type="pct"/>
            <w:shd w:val="clear" w:color="auto" w:fill="auto"/>
            <w:vAlign w:val="center"/>
          </w:tcPr>
          <w:p w14:paraId="39883E5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消音器</w:t>
            </w:r>
          </w:p>
        </w:tc>
        <w:tc>
          <w:tcPr>
            <w:tcW w:w="2073" w:type="pct"/>
            <w:shd w:val="clear" w:color="auto" w:fill="auto"/>
            <w:vAlign w:val="center"/>
          </w:tcPr>
          <w:p w14:paraId="274DCEF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φ400*1000mm,PP材质，内置隔音棉等隔音装置，确保通风室外噪音小于50分贝。</w:t>
            </w:r>
          </w:p>
        </w:tc>
        <w:tc>
          <w:tcPr>
            <w:tcW w:w="261" w:type="pct"/>
            <w:shd w:val="clear" w:color="auto" w:fill="auto"/>
            <w:noWrap/>
            <w:vAlign w:val="center"/>
          </w:tcPr>
          <w:p w14:paraId="645F139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57" w:type="pct"/>
            <w:shd w:val="clear" w:color="auto" w:fill="auto"/>
            <w:vAlign w:val="center"/>
          </w:tcPr>
          <w:p w14:paraId="1B0D859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76DA8F26">
            <w:pPr>
              <w:rPr>
                <w:rFonts w:hint="eastAsia" w:ascii="宋体" w:hAnsi="宋体" w:eastAsia="宋体" w:cs="宋体"/>
                <w:i w:val="0"/>
                <w:iCs w:val="0"/>
                <w:color w:val="000000"/>
                <w:sz w:val="21"/>
                <w:szCs w:val="21"/>
                <w:highlight w:val="none"/>
                <w:u w:val="none"/>
              </w:rPr>
            </w:pPr>
          </w:p>
        </w:tc>
        <w:tc>
          <w:tcPr>
            <w:tcW w:w="604" w:type="pct"/>
            <w:shd w:val="clear" w:color="auto" w:fill="auto"/>
            <w:noWrap/>
            <w:vAlign w:val="center"/>
          </w:tcPr>
          <w:p w14:paraId="53BEF30A">
            <w:pPr>
              <w:rPr>
                <w:rFonts w:hint="eastAsia" w:ascii="宋体" w:hAnsi="宋体" w:eastAsia="宋体" w:cs="宋体"/>
                <w:i w:val="0"/>
                <w:iCs w:val="0"/>
                <w:color w:val="000000"/>
                <w:sz w:val="21"/>
                <w:szCs w:val="21"/>
                <w:highlight w:val="none"/>
                <w:u w:val="none"/>
              </w:rPr>
            </w:pPr>
          </w:p>
        </w:tc>
      </w:tr>
      <w:tr w14:paraId="39E9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52" w:type="pct"/>
            <w:shd w:val="clear" w:color="auto" w:fill="auto"/>
            <w:vAlign w:val="center"/>
          </w:tcPr>
          <w:p w14:paraId="6931EFD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459" w:type="pct"/>
            <w:shd w:val="clear" w:color="auto" w:fill="auto"/>
            <w:vAlign w:val="center"/>
          </w:tcPr>
          <w:p w14:paraId="260C9E3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风机软连接</w:t>
            </w:r>
          </w:p>
        </w:tc>
        <w:tc>
          <w:tcPr>
            <w:tcW w:w="2073" w:type="pct"/>
            <w:shd w:val="clear" w:color="auto" w:fill="auto"/>
            <w:vAlign w:val="center"/>
          </w:tcPr>
          <w:p w14:paraId="1671F42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φ600-φ400mm,pp材质。进出口接头采用柔性材质，消除因震动引起的微量错位对风机的影响。</w:t>
            </w:r>
          </w:p>
        </w:tc>
        <w:tc>
          <w:tcPr>
            <w:tcW w:w="261" w:type="pct"/>
            <w:shd w:val="clear" w:color="auto" w:fill="auto"/>
            <w:noWrap/>
            <w:vAlign w:val="center"/>
          </w:tcPr>
          <w:p w14:paraId="30C1ED0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57" w:type="pct"/>
            <w:shd w:val="clear" w:color="auto" w:fill="auto"/>
            <w:vAlign w:val="center"/>
          </w:tcPr>
          <w:p w14:paraId="21D5280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5BADAEC0">
            <w:pPr>
              <w:rPr>
                <w:rFonts w:hint="eastAsia" w:ascii="宋体" w:hAnsi="宋体" w:eastAsia="宋体" w:cs="宋体"/>
                <w:i w:val="0"/>
                <w:iCs w:val="0"/>
                <w:color w:val="000000"/>
                <w:sz w:val="21"/>
                <w:szCs w:val="21"/>
                <w:highlight w:val="none"/>
                <w:u w:val="none"/>
              </w:rPr>
            </w:pPr>
          </w:p>
        </w:tc>
        <w:tc>
          <w:tcPr>
            <w:tcW w:w="604" w:type="pct"/>
            <w:shd w:val="clear" w:color="auto" w:fill="auto"/>
            <w:noWrap/>
            <w:vAlign w:val="center"/>
          </w:tcPr>
          <w:p w14:paraId="5DB5F7FB">
            <w:pPr>
              <w:rPr>
                <w:rFonts w:hint="eastAsia" w:ascii="宋体" w:hAnsi="宋体" w:eastAsia="宋体" w:cs="宋体"/>
                <w:i w:val="0"/>
                <w:iCs w:val="0"/>
                <w:color w:val="000000"/>
                <w:sz w:val="21"/>
                <w:szCs w:val="21"/>
                <w:highlight w:val="none"/>
                <w:u w:val="none"/>
              </w:rPr>
            </w:pPr>
          </w:p>
        </w:tc>
      </w:tr>
      <w:tr w14:paraId="4C5F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52" w:type="pct"/>
            <w:shd w:val="clear" w:color="auto" w:fill="auto"/>
            <w:vAlign w:val="center"/>
          </w:tcPr>
          <w:p w14:paraId="2AD05DF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459" w:type="pct"/>
            <w:shd w:val="clear" w:color="auto" w:fill="auto"/>
            <w:vAlign w:val="center"/>
          </w:tcPr>
          <w:p w14:paraId="0C346C0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变频器</w:t>
            </w:r>
          </w:p>
        </w:tc>
        <w:tc>
          <w:tcPr>
            <w:tcW w:w="2073" w:type="pct"/>
            <w:shd w:val="clear" w:color="auto" w:fill="auto"/>
            <w:vAlign w:val="center"/>
          </w:tcPr>
          <w:p w14:paraId="48FAA8E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变频器采用模块化设计，双CPU控制，是集数字技术、计算机技术、现代自控技术于一体的高科技产品，具有精度高、噪音低、转矩大、性能可靠及高效节能等优点。主要参数指标有：1、 LED显示：频率指示、转速指示、状态指示、异常指示等；2、额定输入电压：三相380V，±15%；3、额定输入频率：50/60 HZ；4、控制方式：空间电压矢量控制；</w:t>
            </w:r>
          </w:p>
        </w:tc>
        <w:tc>
          <w:tcPr>
            <w:tcW w:w="261" w:type="pct"/>
            <w:shd w:val="clear" w:color="auto" w:fill="auto"/>
            <w:noWrap/>
            <w:vAlign w:val="center"/>
          </w:tcPr>
          <w:p w14:paraId="7F40DCD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57" w:type="pct"/>
            <w:shd w:val="clear" w:color="auto" w:fill="auto"/>
            <w:vAlign w:val="center"/>
          </w:tcPr>
          <w:p w14:paraId="17384B8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277F5A41">
            <w:pPr>
              <w:rPr>
                <w:rFonts w:hint="eastAsia" w:ascii="宋体" w:hAnsi="宋体" w:eastAsia="宋体" w:cs="宋体"/>
                <w:i w:val="0"/>
                <w:iCs w:val="0"/>
                <w:color w:val="000000"/>
                <w:sz w:val="21"/>
                <w:szCs w:val="21"/>
                <w:highlight w:val="none"/>
                <w:u w:val="none"/>
              </w:rPr>
            </w:pPr>
          </w:p>
        </w:tc>
        <w:tc>
          <w:tcPr>
            <w:tcW w:w="604" w:type="pct"/>
            <w:shd w:val="clear" w:color="auto" w:fill="auto"/>
            <w:noWrap/>
            <w:vAlign w:val="center"/>
          </w:tcPr>
          <w:p w14:paraId="65DAC773">
            <w:pPr>
              <w:rPr>
                <w:rFonts w:hint="eastAsia" w:ascii="宋体" w:hAnsi="宋体" w:eastAsia="宋体" w:cs="宋体"/>
                <w:i w:val="0"/>
                <w:iCs w:val="0"/>
                <w:color w:val="000000"/>
                <w:sz w:val="21"/>
                <w:szCs w:val="21"/>
                <w:highlight w:val="none"/>
                <w:u w:val="none"/>
              </w:rPr>
            </w:pPr>
          </w:p>
        </w:tc>
      </w:tr>
      <w:tr w14:paraId="62D8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252" w:type="pct"/>
            <w:shd w:val="clear" w:color="auto" w:fill="auto"/>
            <w:vAlign w:val="center"/>
          </w:tcPr>
          <w:p w14:paraId="790D037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459" w:type="pct"/>
            <w:shd w:val="clear" w:color="auto" w:fill="auto"/>
            <w:vAlign w:val="center"/>
          </w:tcPr>
          <w:p w14:paraId="3EDF0EE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万向吸风罩</w:t>
            </w:r>
          </w:p>
        </w:tc>
        <w:tc>
          <w:tcPr>
            <w:tcW w:w="2073" w:type="pct"/>
            <w:shd w:val="clear" w:color="auto" w:fill="auto"/>
            <w:vAlign w:val="center"/>
          </w:tcPr>
          <w:p w14:paraId="679014F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关节：高密度PP材质表面磨砂，可360°旋转调节方向。</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2.关节密封圈：不易老化之高密度橡胶。在关节之间随着旋钮压力加大而产生阻尼效果。</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3.关节连接杆：304不锈钢双头锁杆。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4.关节盖：高密度PP材质表面磨砂。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5.关节松紧选钮：高密度PP材质，内置微形平面推力不锈钢轴承，与关节连接杆锁合。</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6.拱形集气罩：直径260mm，高密度PC制成。</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7.伸缩导管：4节直径63mm的6系专业抗氧化抗腐蚀的镁硅铝合金，表面做特氟龙表面处理，耐酸、耐碱、耐划痕。</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8.扭簧：使用90度的4mm专用弹簧钢抗氧化处理，防止吸风罩整体滑下。</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9.安装后可根据使用需要达到三维360度任意转停，集气罩吸气角度360度任意转停。</w:t>
            </w:r>
          </w:p>
          <w:p w14:paraId="2BC902A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▲10.提供铝合金型材符合GB/T10125-2021《人造气氛腐蚀试验 盐雾试验》和GB/T6461-2002《金属基体上金属和其他无机覆盖层 经腐蚀试验后的试样和试件的评级》标准，检测项目包含中性盐雾试验至少10h，检测结果达到10级。</w:t>
            </w:r>
          </w:p>
          <w:p w14:paraId="2710D36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▲11.提供铝合金型材符合GB/T1865-2009《色漆和清漆 人工气候老化和人工辐射曝露 滤过的氙弧辐射》和GB/T6461-2002《金属基体上金属和其他无机覆盖层 经腐蚀试验后的试样和试件的评级》标准，检测项目包含耐人工气候老化性至少10h，检测结果达到10级。</w:t>
            </w:r>
          </w:p>
          <w:p w14:paraId="7DAC2198">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shd w:val="clear"/>
                <w:lang w:val="en-US" w:eastAsia="zh-CN" w:bidi="ar"/>
              </w:rPr>
              <w:t>投标文件中</w:t>
            </w:r>
            <w:r>
              <w:rPr>
                <w:rFonts w:hint="eastAsia" w:ascii="宋体" w:hAnsi="宋体" w:eastAsia="宋体" w:cs="宋体"/>
                <w:b/>
                <w:bCs/>
                <w:i w:val="0"/>
                <w:iCs w:val="0"/>
                <w:color w:val="auto"/>
                <w:kern w:val="0"/>
                <w:sz w:val="21"/>
                <w:szCs w:val="21"/>
                <w:highlight w:val="none"/>
                <w:u w:val="none"/>
                <w:shd w:val="clear"/>
                <w:lang w:val="en-US" w:eastAsia="zh-CN" w:bidi="ar"/>
              </w:rPr>
              <w:t>提供具有CMA认证资质的第三方检测机构出具的检测报告，</w:t>
            </w:r>
            <w:r>
              <w:rPr>
                <w:rFonts w:hint="eastAsia" w:ascii="宋体" w:hAnsi="宋体" w:eastAsia="宋体" w:cs="宋体"/>
                <w:b/>
                <w:bCs/>
                <w:i w:val="0"/>
                <w:iCs w:val="0"/>
                <w:color w:val="000000"/>
                <w:kern w:val="0"/>
                <w:sz w:val="21"/>
                <w:szCs w:val="21"/>
                <w:highlight w:val="none"/>
                <w:u w:val="none"/>
                <w:lang w:val="en-US" w:eastAsia="zh-CN" w:bidi="ar"/>
              </w:rPr>
              <w:t>且报告中须反</w:t>
            </w:r>
            <w:r>
              <w:rPr>
                <w:rFonts w:hint="eastAsia" w:ascii="宋体" w:hAnsi="宋体" w:cs="宋体"/>
                <w:b/>
                <w:bCs/>
                <w:i w:val="0"/>
                <w:iCs w:val="0"/>
                <w:color w:val="000000"/>
                <w:kern w:val="0"/>
                <w:sz w:val="21"/>
                <w:szCs w:val="21"/>
                <w:highlight w:val="none"/>
                <w:u w:val="none"/>
                <w:lang w:val="en-US" w:eastAsia="zh-CN" w:bidi="ar"/>
              </w:rPr>
              <w:t>映</w:t>
            </w:r>
            <w:r>
              <w:rPr>
                <w:rFonts w:hint="eastAsia" w:ascii="宋体" w:hAnsi="宋体" w:eastAsia="宋体" w:cs="宋体"/>
                <w:b/>
                <w:bCs/>
                <w:i w:val="0"/>
                <w:iCs w:val="0"/>
                <w:color w:val="000000"/>
                <w:kern w:val="0"/>
                <w:sz w:val="21"/>
                <w:szCs w:val="21"/>
                <w:highlight w:val="none"/>
                <w:u w:val="none"/>
                <w:lang w:val="en-US" w:eastAsia="zh-CN" w:bidi="ar"/>
              </w:rPr>
              <w:t>以上 10～11项技术指标。</w:t>
            </w:r>
          </w:p>
        </w:tc>
        <w:tc>
          <w:tcPr>
            <w:tcW w:w="261" w:type="pct"/>
            <w:shd w:val="clear" w:color="auto" w:fill="auto"/>
            <w:noWrap/>
            <w:vAlign w:val="center"/>
          </w:tcPr>
          <w:p w14:paraId="0AAA9F3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c>
          <w:tcPr>
            <w:tcW w:w="257" w:type="pct"/>
            <w:shd w:val="clear" w:color="auto" w:fill="auto"/>
            <w:noWrap/>
            <w:vAlign w:val="center"/>
          </w:tcPr>
          <w:p w14:paraId="7913B1D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4069917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494665</wp:posOffset>
                  </wp:positionH>
                  <wp:positionV relativeFrom="paragraph">
                    <wp:posOffset>53340</wp:posOffset>
                  </wp:positionV>
                  <wp:extent cx="621030" cy="678815"/>
                  <wp:effectExtent l="0" t="0" r="7620" b="6985"/>
                  <wp:wrapNone/>
                  <wp:docPr id="51" name="图片_2"/>
                  <wp:cNvGraphicFramePr/>
                  <a:graphic xmlns:a="http://schemas.openxmlformats.org/drawingml/2006/main">
                    <a:graphicData uri="http://schemas.openxmlformats.org/drawingml/2006/picture">
                      <pic:pic xmlns:pic="http://schemas.openxmlformats.org/drawingml/2006/picture">
                        <pic:nvPicPr>
                          <pic:cNvPr id="51" name="图片_2"/>
                          <pic:cNvPicPr/>
                        </pic:nvPicPr>
                        <pic:blipFill>
                          <a:blip r:embed="rId35"/>
                          <a:stretch>
                            <a:fillRect/>
                          </a:stretch>
                        </pic:blipFill>
                        <pic:spPr>
                          <a:xfrm>
                            <a:off x="0" y="0"/>
                            <a:ext cx="621030" cy="678815"/>
                          </a:xfrm>
                          <a:prstGeom prst="rect">
                            <a:avLst/>
                          </a:prstGeom>
                          <a:noFill/>
                          <a:ln>
                            <a:noFill/>
                          </a:ln>
                        </pic:spPr>
                      </pic:pic>
                    </a:graphicData>
                  </a:graphic>
                </wp:anchor>
              </w:drawing>
            </w:r>
          </w:p>
        </w:tc>
        <w:tc>
          <w:tcPr>
            <w:tcW w:w="604" w:type="pct"/>
            <w:shd w:val="clear" w:color="auto" w:fill="auto"/>
            <w:noWrap/>
            <w:vAlign w:val="center"/>
          </w:tcPr>
          <w:p w14:paraId="268366C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497E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52" w:type="pct"/>
            <w:shd w:val="clear" w:color="auto" w:fill="auto"/>
            <w:vAlign w:val="center"/>
          </w:tcPr>
          <w:p w14:paraId="2CF617D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459" w:type="pct"/>
            <w:shd w:val="clear" w:color="auto" w:fill="auto"/>
            <w:vAlign w:val="center"/>
          </w:tcPr>
          <w:p w14:paraId="0B5D8A6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室内风管</w:t>
            </w:r>
          </w:p>
        </w:tc>
        <w:tc>
          <w:tcPr>
            <w:tcW w:w="2073" w:type="pct"/>
            <w:shd w:val="clear" w:color="auto" w:fill="auto"/>
            <w:vAlign w:val="center"/>
          </w:tcPr>
          <w:p w14:paraId="4E2BF53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室内风管采用直径为200mmPVC管路系统或者采用PP焊接管路系统</w:t>
            </w:r>
          </w:p>
        </w:tc>
        <w:tc>
          <w:tcPr>
            <w:tcW w:w="261" w:type="pct"/>
            <w:shd w:val="clear" w:color="auto" w:fill="auto"/>
            <w:noWrap/>
            <w:vAlign w:val="center"/>
          </w:tcPr>
          <w:p w14:paraId="6523A33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57" w:type="pct"/>
            <w:shd w:val="clear" w:color="auto" w:fill="auto"/>
            <w:noWrap/>
            <w:vAlign w:val="center"/>
          </w:tcPr>
          <w:p w14:paraId="74BF548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7BB490F6">
            <w:pPr>
              <w:rPr>
                <w:rFonts w:hint="eastAsia" w:ascii="宋体" w:hAnsi="宋体" w:eastAsia="宋体" w:cs="宋体"/>
                <w:i w:val="0"/>
                <w:iCs w:val="0"/>
                <w:color w:val="000000"/>
                <w:sz w:val="21"/>
                <w:szCs w:val="21"/>
                <w:highlight w:val="none"/>
                <w:u w:val="none"/>
              </w:rPr>
            </w:pPr>
          </w:p>
        </w:tc>
        <w:tc>
          <w:tcPr>
            <w:tcW w:w="604" w:type="pct"/>
            <w:shd w:val="clear" w:color="auto" w:fill="auto"/>
            <w:noWrap/>
            <w:vAlign w:val="center"/>
          </w:tcPr>
          <w:p w14:paraId="5A869B10">
            <w:pPr>
              <w:rPr>
                <w:rFonts w:hint="eastAsia" w:ascii="宋体" w:hAnsi="宋体" w:eastAsia="宋体" w:cs="宋体"/>
                <w:i w:val="0"/>
                <w:iCs w:val="0"/>
                <w:color w:val="000000"/>
                <w:sz w:val="21"/>
                <w:szCs w:val="21"/>
                <w:highlight w:val="none"/>
                <w:u w:val="none"/>
              </w:rPr>
            </w:pPr>
          </w:p>
        </w:tc>
      </w:tr>
      <w:tr w14:paraId="687D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52" w:type="pct"/>
            <w:shd w:val="clear" w:color="auto" w:fill="auto"/>
            <w:vAlign w:val="center"/>
          </w:tcPr>
          <w:p w14:paraId="07C6739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459" w:type="pct"/>
            <w:shd w:val="clear" w:color="auto" w:fill="auto"/>
            <w:vAlign w:val="center"/>
          </w:tcPr>
          <w:p w14:paraId="5080CB7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室外风管</w:t>
            </w:r>
          </w:p>
        </w:tc>
        <w:tc>
          <w:tcPr>
            <w:tcW w:w="2073" w:type="pct"/>
            <w:shd w:val="clear" w:color="auto" w:fill="auto"/>
            <w:vAlign w:val="center"/>
          </w:tcPr>
          <w:p w14:paraId="0A8D518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室外风管采用直径为400mmPVC管路系统或者采用PP焊接管路系统</w:t>
            </w:r>
          </w:p>
        </w:tc>
        <w:tc>
          <w:tcPr>
            <w:tcW w:w="261" w:type="pct"/>
            <w:shd w:val="clear" w:color="auto" w:fill="auto"/>
            <w:noWrap/>
            <w:vAlign w:val="center"/>
          </w:tcPr>
          <w:p w14:paraId="1F5DA26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57" w:type="pct"/>
            <w:shd w:val="clear" w:color="auto" w:fill="auto"/>
            <w:noWrap/>
            <w:vAlign w:val="center"/>
          </w:tcPr>
          <w:p w14:paraId="09D398A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1091" w:type="pct"/>
            <w:shd w:val="clear" w:color="auto" w:fill="auto"/>
            <w:noWrap/>
            <w:vAlign w:val="center"/>
          </w:tcPr>
          <w:p w14:paraId="056A6EFC">
            <w:pPr>
              <w:rPr>
                <w:rFonts w:hint="eastAsia" w:ascii="宋体" w:hAnsi="宋体" w:eastAsia="宋体" w:cs="宋体"/>
                <w:i w:val="0"/>
                <w:iCs w:val="0"/>
                <w:color w:val="000000"/>
                <w:sz w:val="21"/>
                <w:szCs w:val="21"/>
                <w:highlight w:val="none"/>
                <w:u w:val="none"/>
              </w:rPr>
            </w:pPr>
          </w:p>
        </w:tc>
        <w:tc>
          <w:tcPr>
            <w:tcW w:w="604" w:type="pct"/>
            <w:shd w:val="clear" w:color="auto" w:fill="auto"/>
            <w:noWrap/>
            <w:vAlign w:val="center"/>
          </w:tcPr>
          <w:p w14:paraId="3A87763C">
            <w:pPr>
              <w:rPr>
                <w:rFonts w:hint="eastAsia" w:ascii="宋体" w:hAnsi="宋体" w:eastAsia="宋体" w:cs="宋体"/>
                <w:i w:val="0"/>
                <w:iCs w:val="0"/>
                <w:color w:val="000000"/>
                <w:sz w:val="21"/>
                <w:szCs w:val="21"/>
                <w:highlight w:val="none"/>
                <w:u w:val="none"/>
              </w:rPr>
            </w:pPr>
          </w:p>
        </w:tc>
      </w:tr>
      <w:tr w14:paraId="7224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52" w:type="pct"/>
            <w:shd w:val="clear" w:color="auto" w:fill="auto"/>
            <w:vAlign w:val="center"/>
          </w:tcPr>
          <w:p w14:paraId="278B515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459" w:type="pct"/>
            <w:shd w:val="clear" w:color="auto" w:fill="auto"/>
            <w:vAlign w:val="center"/>
          </w:tcPr>
          <w:p w14:paraId="2F46F1E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风机控制线</w:t>
            </w:r>
          </w:p>
        </w:tc>
        <w:tc>
          <w:tcPr>
            <w:tcW w:w="2073" w:type="pct"/>
            <w:shd w:val="clear" w:color="auto" w:fill="auto"/>
            <w:vAlign w:val="center"/>
          </w:tcPr>
          <w:p w14:paraId="2DD16E6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三相电缆、含线路管道</w:t>
            </w:r>
          </w:p>
        </w:tc>
        <w:tc>
          <w:tcPr>
            <w:tcW w:w="261" w:type="pct"/>
            <w:shd w:val="clear" w:color="auto" w:fill="auto"/>
            <w:vAlign w:val="center"/>
          </w:tcPr>
          <w:p w14:paraId="57754BA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257" w:type="pct"/>
            <w:shd w:val="clear" w:color="auto" w:fill="auto"/>
            <w:vAlign w:val="center"/>
          </w:tcPr>
          <w:p w14:paraId="307EE53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室</w:t>
            </w:r>
          </w:p>
        </w:tc>
        <w:tc>
          <w:tcPr>
            <w:tcW w:w="1091" w:type="pct"/>
            <w:shd w:val="clear" w:color="auto" w:fill="auto"/>
            <w:noWrap/>
            <w:vAlign w:val="center"/>
          </w:tcPr>
          <w:p w14:paraId="3A238B4B">
            <w:pPr>
              <w:rPr>
                <w:rFonts w:hint="eastAsia" w:ascii="宋体" w:hAnsi="宋体" w:eastAsia="宋体" w:cs="宋体"/>
                <w:i w:val="0"/>
                <w:iCs w:val="0"/>
                <w:color w:val="000000"/>
                <w:sz w:val="21"/>
                <w:szCs w:val="21"/>
                <w:highlight w:val="none"/>
                <w:u w:val="none"/>
              </w:rPr>
            </w:pPr>
          </w:p>
        </w:tc>
        <w:tc>
          <w:tcPr>
            <w:tcW w:w="604" w:type="pct"/>
            <w:shd w:val="clear" w:color="auto" w:fill="auto"/>
            <w:noWrap/>
            <w:vAlign w:val="center"/>
          </w:tcPr>
          <w:p w14:paraId="34BE933A">
            <w:pPr>
              <w:rPr>
                <w:rFonts w:hint="eastAsia" w:ascii="宋体" w:hAnsi="宋体" w:eastAsia="宋体" w:cs="宋体"/>
                <w:i w:val="0"/>
                <w:iCs w:val="0"/>
                <w:color w:val="000000"/>
                <w:sz w:val="21"/>
                <w:szCs w:val="21"/>
                <w:highlight w:val="none"/>
                <w:u w:val="none"/>
              </w:rPr>
            </w:pPr>
          </w:p>
        </w:tc>
      </w:tr>
    </w:tbl>
    <w:p w14:paraId="0C31448C">
      <w:pPr>
        <w:numPr>
          <w:ilvl w:val="0"/>
          <w:numId w:val="0"/>
        </w:numPr>
        <w:ind w:leftChars="0"/>
        <w:rPr>
          <w:highlight w:val="none"/>
        </w:rPr>
      </w:pPr>
    </w:p>
    <w:p w14:paraId="71EE8D12">
      <w:pPr>
        <w:numPr>
          <w:ilvl w:val="0"/>
          <w:numId w:val="0"/>
        </w:numPr>
        <w:ind w:leftChars="0"/>
        <w:rPr>
          <w:highlight w:val="none"/>
        </w:rPr>
      </w:pPr>
    </w:p>
    <w:p w14:paraId="3CC2535D">
      <w:pPr>
        <w:numPr>
          <w:ilvl w:val="0"/>
          <w:numId w:val="0"/>
        </w:numPr>
        <w:ind w:leftChars="0"/>
        <w:rPr>
          <w:highlight w:val="none"/>
        </w:rPr>
      </w:pPr>
    </w:p>
    <w:p w14:paraId="6E4479B2">
      <w:pPr>
        <w:rPr>
          <w:highlight w:val="none"/>
        </w:rPr>
      </w:pPr>
      <w:r>
        <w:rPr>
          <w:highlight w:val="none"/>
        </w:rPr>
        <w:br w:type="page"/>
      </w:r>
    </w:p>
    <w:p w14:paraId="02DFB288">
      <w:pPr>
        <w:numPr>
          <w:ilvl w:val="0"/>
          <w:numId w:val="0"/>
        </w:numPr>
        <w:ind w:leftChars="0"/>
        <w:rPr>
          <w:sz w:val="24"/>
          <w:szCs w:val="24"/>
          <w:highlight w:val="none"/>
        </w:rPr>
      </w:pPr>
      <w:r>
        <w:rPr>
          <w:rFonts w:hint="eastAsia" w:ascii="宋体" w:hAnsi="宋体" w:eastAsia="宋体" w:cs="宋体"/>
          <w:b/>
          <w:bCs/>
          <w:i w:val="0"/>
          <w:iCs w:val="0"/>
          <w:color w:val="000000"/>
          <w:kern w:val="0"/>
          <w:sz w:val="24"/>
          <w:szCs w:val="24"/>
          <w:highlight w:val="none"/>
          <w:u w:val="none"/>
          <w:lang w:val="en-US" w:eastAsia="zh-CN" w:bidi="ar"/>
        </w:rPr>
        <w:t>（三）生物实验室</w:t>
      </w:r>
    </w:p>
    <w:tbl>
      <w:tblPr>
        <w:tblStyle w:val="42"/>
        <w:tblW w:w="5041" w:type="pct"/>
        <w:tblInd w:w="-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9"/>
        <w:gridCol w:w="1162"/>
        <w:gridCol w:w="6072"/>
        <w:gridCol w:w="709"/>
        <w:gridCol w:w="864"/>
        <w:gridCol w:w="2686"/>
        <w:gridCol w:w="2115"/>
      </w:tblGrid>
      <w:tr w14:paraId="6A49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blHeader/>
        </w:trPr>
        <w:tc>
          <w:tcPr>
            <w:tcW w:w="254" w:type="pct"/>
            <w:shd w:val="clear" w:color="auto" w:fill="auto"/>
            <w:vAlign w:val="center"/>
          </w:tcPr>
          <w:p w14:paraId="00CAABEF">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405" w:type="pct"/>
            <w:shd w:val="clear" w:color="auto" w:fill="auto"/>
            <w:vAlign w:val="center"/>
          </w:tcPr>
          <w:p w14:paraId="37EA9159">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名称</w:t>
            </w:r>
          </w:p>
        </w:tc>
        <w:tc>
          <w:tcPr>
            <w:tcW w:w="2116" w:type="pct"/>
            <w:shd w:val="clear" w:color="auto" w:fill="auto"/>
            <w:vAlign w:val="center"/>
          </w:tcPr>
          <w:p w14:paraId="56A88AC5">
            <w:pPr>
              <w:keepNext w:val="0"/>
              <w:keepLines w:val="0"/>
              <w:widowControl/>
              <w:suppressLineNumbers w:val="0"/>
              <w:jc w:val="center"/>
              <w:textAlignment w:val="center"/>
              <w:rPr>
                <w:rFonts w:hint="default" w:ascii="宋体" w:hAnsi="宋体" w:eastAsia="宋体" w:cs="宋体"/>
                <w:b/>
                <w:bCs/>
                <w:i w:val="0"/>
                <w:iCs w:val="0"/>
                <w:color w:val="000000"/>
                <w:sz w:val="21"/>
                <w:szCs w:val="21"/>
                <w:highlight w:val="none"/>
                <w:u w:val="none"/>
                <w:lang w:val="en-US"/>
              </w:rPr>
            </w:pPr>
            <w:r>
              <w:rPr>
                <w:rFonts w:hint="eastAsia" w:ascii="宋体" w:hAnsi="宋体" w:eastAsia="宋体" w:cs="宋体"/>
                <w:b/>
                <w:bCs/>
                <w:i w:val="0"/>
                <w:iCs w:val="0"/>
                <w:color w:val="000000"/>
                <w:kern w:val="0"/>
                <w:sz w:val="21"/>
                <w:szCs w:val="21"/>
                <w:highlight w:val="none"/>
                <w:u w:val="none"/>
                <w:lang w:val="en-US" w:eastAsia="zh-CN" w:bidi="ar"/>
              </w:rPr>
              <w:t>招标技术规格要求</w:t>
            </w:r>
          </w:p>
        </w:tc>
        <w:tc>
          <w:tcPr>
            <w:tcW w:w="247" w:type="pct"/>
            <w:shd w:val="clear" w:color="auto" w:fill="auto"/>
            <w:vAlign w:val="center"/>
          </w:tcPr>
          <w:p w14:paraId="4A510A7E">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数量</w:t>
            </w:r>
          </w:p>
        </w:tc>
        <w:tc>
          <w:tcPr>
            <w:tcW w:w="301" w:type="pct"/>
            <w:shd w:val="clear" w:color="auto" w:fill="auto"/>
            <w:vAlign w:val="center"/>
          </w:tcPr>
          <w:p w14:paraId="6F2759C0">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单位</w:t>
            </w:r>
          </w:p>
        </w:tc>
        <w:tc>
          <w:tcPr>
            <w:tcW w:w="936" w:type="pct"/>
            <w:shd w:val="clear" w:color="auto" w:fill="auto"/>
            <w:vAlign w:val="center"/>
          </w:tcPr>
          <w:p w14:paraId="5334FF2B">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参考图片</w:t>
            </w:r>
          </w:p>
        </w:tc>
        <w:tc>
          <w:tcPr>
            <w:tcW w:w="737" w:type="pct"/>
            <w:shd w:val="clear" w:color="auto" w:fill="auto"/>
            <w:vAlign w:val="center"/>
          </w:tcPr>
          <w:p w14:paraId="43E0E184">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投标响应</w:t>
            </w:r>
          </w:p>
        </w:tc>
      </w:tr>
      <w:tr w14:paraId="498C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2" w:hRule="atLeast"/>
        </w:trPr>
        <w:tc>
          <w:tcPr>
            <w:tcW w:w="254" w:type="pct"/>
            <w:shd w:val="clear" w:color="auto" w:fill="auto"/>
            <w:vAlign w:val="center"/>
          </w:tcPr>
          <w:p w14:paraId="2E8C0B3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05" w:type="pct"/>
            <w:shd w:val="clear" w:color="auto" w:fill="auto"/>
            <w:vAlign w:val="center"/>
          </w:tcPr>
          <w:p w14:paraId="0745DC1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教师演示台</w:t>
            </w:r>
          </w:p>
        </w:tc>
        <w:tc>
          <w:tcPr>
            <w:tcW w:w="2116" w:type="pct"/>
            <w:shd w:val="clear" w:color="auto" w:fill="auto"/>
            <w:vAlign w:val="center"/>
          </w:tcPr>
          <w:p w14:paraId="7350652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 xml:space="preserve">规格：2400*700*850mm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台面</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采用基材整体25mm厚（不得加边）的高强度金属树脂理化板。</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 xml:space="preserve">桌身：整体采用1.0mm厚优质冷轧钢板，全部钢制件纳米陶瓷镀膜防锈处理。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CN" w:bidi="ar"/>
              </w:rPr>
              <w:t>结构：演示台设有储物柜，中间为演示台,设置电源主控系统、多媒体设备（主机、显示器、中控、功放、交换机）的位置预留。含330*440mmPP水槽、下水管及三联水嘴。</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5.</w:t>
            </w:r>
            <w:r>
              <w:rPr>
                <w:rFonts w:hint="eastAsia" w:ascii="宋体" w:hAnsi="宋体" w:eastAsia="宋体" w:cs="宋体"/>
                <w:i w:val="0"/>
                <w:iCs w:val="0"/>
                <w:color w:val="000000"/>
                <w:kern w:val="0"/>
                <w:sz w:val="21"/>
                <w:szCs w:val="21"/>
                <w:highlight w:val="none"/>
                <w:u w:val="none"/>
                <w:lang w:val="en-US" w:eastAsia="zh-CN" w:bidi="ar"/>
              </w:rPr>
              <w:t>滑道：抽屉全部采用优质三节承重式滚珠滑道开合十万次不变形。</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三联水嘴：鹅颈式实验室专用优质化验水嘴：要求防酸碱、防锈、防虹吸、防阻塞，表面环氧树脂喷涂。开关阀芯为铜质陶瓷芯，高头，便于多用途使用，可拆卸清洗阻塞。出水嘴可拆卸，内有成型螺纹，可方便连接循环等特殊用水水管。</w:t>
            </w:r>
          </w:p>
          <w:p w14:paraId="5F557B9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本次投标的水嘴须为《关于印发节能产品政府采购品目清单的通知》（财库〔2019〕19号）中列明的政府强制采购产品，投标文件须中提供《市场监管总局关于发布参与实施政府采购节能产品、环境标志产品认证机构名录的公告》(2019 年第 16 号)中相应认证机构出具的、处于有效期之内的节能标志产品认证证书复印件加盖投标人公章。</w:t>
            </w:r>
          </w:p>
          <w:p w14:paraId="37DBC7F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7.</w:t>
            </w:r>
            <w:r>
              <w:rPr>
                <w:rFonts w:hint="eastAsia" w:ascii="宋体" w:hAnsi="宋体" w:eastAsia="宋体" w:cs="宋体"/>
                <w:i w:val="0"/>
                <w:iCs w:val="0"/>
                <w:color w:val="000000"/>
                <w:kern w:val="0"/>
                <w:sz w:val="21"/>
                <w:szCs w:val="21"/>
                <w:highlight w:val="none"/>
                <w:u w:val="none"/>
                <w:lang w:val="en-US" w:eastAsia="zh-CN" w:bidi="ar"/>
              </w:rPr>
              <w:t>下水管：水槽专配型排水管，不锈钢卡扣连接，安装方便不渗漏。</w:t>
            </w:r>
          </w:p>
        </w:tc>
        <w:tc>
          <w:tcPr>
            <w:tcW w:w="247" w:type="pct"/>
            <w:shd w:val="clear" w:color="auto" w:fill="auto"/>
            <w:vAlign w:val="center"/>
          </w:tcPr>
          <w:p w14:paraId="661DFBE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01" w:type="pct"/>
            <w:shd w:val="clear" w:color="auto" w:fill="auto"/>
            <w:noWrap/>
            <w:vAlign w:val="center"/>
          </w:tcPr>
          <w:p w14:paraId="486A5A4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936" w:type="pct"/>
            <w:shd w:val="clear" w:color="auto" w:fill="auto"/>
            <w:noWrap/>
            <w:vAlign w:val="center"/>
          </w:tcPr>
          <w:p w14:paraId="1250413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47625</wp:posOffset>
                  </wp:positionV>
                  <wp:extent cx="1555750" cy="1172845"/>
                  <wp:effectExtent l="0" t="0" r="6350" b="8255"/>
                  <wp:wrapNone/>
                  <wp:docPr id="64" name="图片_2"/>
                  <wp:cNvGraphicFramePr/>
                  <a:graphic xmlns:a="http://schemas.openxmlformats.org/drawingml/2006/main">
                    <a:graphicData uri="http://schemas.openxmlformats.org/drawingml/2006/picture">
                      <pic:pic xmlns:pic="http://schemas.openxmlformats.org/drawingml/2006/picture">
                        <pic:nvPicPr>
                          <pic:cNvPr id="64" name="图片_2"/>
                          <pic:cNvPicPr/>
                        </pic:nvPicPr>
                        <pic:blipFill>
                          <a:blip r:embed="rId36"/>
                          <a:stretch>
                            <a:fillRect/>
                          </a:stretch>
                        </pic:blipFill>
                        <pic:spPr>
                          <a:xfrm>
                            <a:off x="0" y="0"/>
                            <a:ext cx="1555750" cy="1172845"/>
                          </a:xfrm>
                          <a:prstGeom prst="rect">
                            <a:avLst/>
                          </a:prstGeom>
                          <a:noFill/>
                          <a:ln>
                            <a:noFill/>
                          </a:ln>
                        </pic:spPr>
                      </pic:pic>
                    </a:graphicData>
                  </a:graphic>
                </wp:anchor>
              </w:drawing>
            </w:r>
          </w:p>
        </w:tc>
        <w:tc>
          <w:tcPr>
            <w:tcW w:w="737" w:type="pct"/>
            <w:shd w:val="clear" w:color="auto" w:fill="auto"/>
            <w:noWrap/>
            <w:vAlign w:val="center"/>
          </w:tcPr>
          <w:p w14:paraId="701B44E6">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42FE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40" w:hRule="atLeast"/>
        </w:trPr>
        <w:tc>
          <w:tcPr>
            <w:tcW w:w="254" w:type="pct"/>
            <w:shd w:val="clear" w:color="auto" w:fill="auto"/>
            <w:vAlign w:val="center"/>
          </w:tcPr>
          <w:p w14:paraId="031045F9">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405" w:type="pct"/>
            <w:shd w:val="clear" w:color="auto" w:fill="auto"/>
            <w:vAlign w:val="center"/>
          </w:tcPr>
          <w:p w14:paraId="7C3A151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实验演示多目仪</w:t>
            </w:r>
          </w:p>
        </w:tc>
        <w:tc>
          <w:tcPr>
            <w:tcW w:w="2116" w:type="pct"/>
            <w:shd w:val="clear" w:color="auto" w:fill="auto"/>
            <w:vAlign w:val="center"/>
          </w:tcPr>
          <w:p w14:paraId="6700D07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产品分为主拍摄像及侧拍摄像，支持Windows XP/7/8/10及Android操作系统；</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主拍摄像：①机身结构：可折叠，关节处采用缓冲止动阻尼转轴，0~90°之间可任意停留（10000次扭力衰减15以内），用铝合金CD纹黑色阳极氧化装饰；摄像头外壳采用ABS磨砂；立管及横管采用铝合金，表面为黑色磨砂阳极氧化；像素大小1.12um*1.12μm；帧速≥5fps，1080P≥26fps；对焦方式：定焦；镜头视场角：D=108°；镜头光学总长：21.94mm±0.5mm；镜头结构：4G+IR；接口：M12*P0.5mm；镜头畸变＜0.5%；储存温度：-20℃~ 70℃；工作温度：0℃~60℃；供电电压：5V；最大工作电流：≤300mA；②实验光源：白色LED灯光，支持多级调光，一级为25%亮度，二级为50%亮度，三级为100%亮度。</w:t>
            </w:r>
          </w:p>
          <w:p w14:paraId="1029FF5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侧拍摄像：①机身结构：可折叠，可左右旋转调整拍摄位置，关节处采用缓冲止动阻尼转轴，0~90°之间可任意停留，用铝合金CD纹黑色阳极氧化装饰；摄像头外壳采用ABS磨砂；立管及横管采用铝合金，表面为黑色磨砂阳极氧化；像素大小1.4 µm x 1.4 µm；帧速≥15fps，1080P≥30fps；对焦方式：定焦；镜头视场角：D=108°；镜头光学总长：21.94mm±0.5mm；镜头结构：4G+IR；接口：M12*P0.5mm；镜头畸变＜0.5%；储存温度：-20℃~ 70℃；工作温度：0℃~60℃；供电电压：5V；最大工作电流：≤300mA；</w:t>
            </w:r>
          </w:p>
          <w:p w14:paraId="0566B76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lang w:val="en-US" w:eastAsia="zh-CN" w:bidi="ar"/>
              </w:rPr>
              <w:t>4</w:t>
            </w:r>
            <w:r>
              <w:rPr>
                <w:rFonts w:hint="eastAsia" w:ascii="宋体" w:hAnsi="宋体" w:cs="宋体"/>
                <w:i w:val="0"/>
                <w:iCs w:val="0"/>
                <w:color w:val="000000"/>
                <w:kern w:val="0"/>
                <w:sz w:val="21"/>
                <w:szCs w:val="21"/>
                <w:highlight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电子目镜需满足以下参数：放大倍数：40～5000倍，成像元件：彩色CMOS，尺寸≥1/2.5"(5.70x4.28)；分辨率：≥2592</w:t>
            </w:r>
            <w:r>
              <w:rPr>
                <w:rFonts w:hint="default" w:ascii="Arial" w:hAnsi="Arial" w:eastAsia="宋体" w:cs="Arial"/>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1944</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500万以上像素；信噪比：≥50db；白平衡：自动白平衡；AGC控制：低增益/高增益；逆光补偿：自动/手动；可以接驳中小学按配备标准装备的显微镜。</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主体结构：整体采用1.5mm&amp;2.0mm冷轧钢板，全圆满焊接完成，结构牢固，经高温粉体烤漆处理，长时间使用也不会产生表面烤漆剥落现象；盖板采用反弹器，关闭及打开均由按压完成；底座配置配重块及防滑垫；</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产品只需通过USB2.0接入电脑或者智慧黑板，无需任何外接电源；</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产品为一体化设计，便于携带及使用。</w:t>
            </w:r>
          </w:p>
          <w:p w14:paraId="1506082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实验演示多目仪依据GB/T 3325-2024《金属家具通用技术条件》检测标准，金属喷漆（塑）涂层附着力检测结果为0级：切割边缘完全平滑，网格内无脱落。外观性能(金属件)①管材：无裂缝、叠缝；外露管口端面封闭。②电镀件：无露底、毛刺、镀层脱落、锈蚀等；无起泡、烧焦</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无光泽(整体异色)、针孔、裂纹、斑点等；③冲压件：无脱层、裂缝；④合金件等其他金属件：无锈蚀、氧化膜脱落、刃口、毛刺、锐棱。</w:t>
            </w:r>
          </w:p>
          <w:p w14:paraId="0D7EB457">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实验演示多目仪依据GB/T 1732-2020《漆膜耐冲击测定法》检测标准，漆膜耐冲击性检测结果：50cm冲击试验漆膜无异常。</w:t>
            </w:r>
          </w:p>
          <w:p w14:paraId="3DE45D37">
            <w:pPr>
              <w:keepNext w:val="0"/>
              <w:keepLines w:val="0"/>
              <w:widowControl/>
              <w:suppressLineNumbers w:val="0"/>
              <w:jc w:val="left"/>
              <w:textAlignment w:val="center"/>
              <w:rPr>
                <w:rFonts w:hint="eastAsia" w:ascii="宋体" w:hAnsi="宋体" w:cs="宋体"/>
                <w:b/>
                <w:bCs/>
                <w:i w:val="0"/>
                <w:iCs w:val="0"/>
                <w:color w:val="auto"/>
                <w:kern w:val="0"/>
                <w:sz w:val="21"/>
                <w:szCs w:val="21"/>
                <w:highlight w:val="none"/>
                <w:u w:val="none"/>
                <w:shd w:val="clear"/>
                <w:lang w:val="en-US" w:eastAsia="zh-CN" w:bidi="ar"/>
              </w:rPr>
            </w:pPr>
            <w:r>
              <w:rPr>
                <w:rFonts w:hint="eastAsia" w:ascii="宋体" w:hAnsi="宋体" w:cs="宋体"/>
                <w:b/>
                <w:bCs/>
                <w:i w:val="0"/>
                <w:iCs w:val="0"/>
                <w:color w:val="auto"/>
                <w:kern w:val="0"/>
                <w:sz w:val="21"/>
                <w:szCs w:val="21"/>
                <w:highlight w:val="none"/>
                <w:u w:val="none"/>
                <w:shd w:val="clear"/>
                <w:lang w:val="en-US" w:eastAsia="zh-CN" w:bidi="ar"/>
              </w:rPr>
              <w:t>投标文件中</w:t>
            </w:r>
            <w:r>
              <w:rPr>
                <w:rFonts w:hint="eastAsia" w:ascii="宋体" w:hAnsi="宋体" w:eastAsia="宋体" w:cs="宋体"/>
                <w:b/>
                <w:bCs/>
                <w:i w:val="0"/>
                <w:iCs w:val="0"/>
                <w:color w:val="auto"/>
                <w:kern w:val="0"/>
                <w:sz w:val="21"/>
                <w:szCs w:val="21"/>
                <w:highlight w:val="none"/>
                <w:u w:val="none"/>
                <w:shd w:val="clear"/>
                <w:lang w:val="en-US" w:eastAsia="zh-CN" w:bidi="ar"/>
              </w:rPr>
              <w:t>提供具有CMA认证资质的第三方检测机构出具的检测报告，</w:t>
            </w:r>
            <w:r>
              <w:rPr>
                <w:rFonts w:hint="eastAsia" w:ascii="宋体" w:hAnsi="宋体" w:eastAsia="宋体" w:cs="宋体"/>
                <w:b/>
                <w:bCs/>
                <w:i w:val="0"/>
                <w:iCs w:val="0"/>
                <w:color w:val="000000"/>
                <w:kern w:val="0"/>
                <w:sz w:val="21"/>
                <w:szCs w:val="21"/>
                <w:highlight w:val="none"/>
                <w:u w:val="none"/>
                <w:lang w:val="en-US" w:eastAsia="zh-CN" w:bidi="ar"/>
              </w:rPr>
              <w:t>且报告中须反</w:t>
            </w:r>
            <w:r>
              <w:rPr>
                <w:rFonts w:hint="eastAsia" w:ascii="宋体" w:hAnsi="宋体" w:cs="宋体"/>
                <w:b/>
                <w:bCs/>
                <w:i w:val="0"/>
                <w:iCs w:val="0"/>
                <w:color w:val="000000"/>
                <w:kern w:val="0"/>
                <w:sz w:val="21"/>
                <w:szCs w:val="21"/>
                <w:highlight w:val="none"/>
                <w:u w:val="none"/>
                <w:lang w:val="en-US" w:eastAsia="zh-CN" w:bidi="ar"/>
              </w:rPr>
              <w:t>映</w:t>
            </w:r>
            <w:r>
              <w:rPr>
                <w:rFonts w:hint="eastAsia" w:ascii="宋体" w:hAnsi="宋体" w:eastAsia="宋体" w:cs="宋体"/>
                <w:b/>
                <w:bCs/>
                <w:i w:val="0"/>
                <w:iCs w:val="0"/>
                <w:color w:val="000000"/>
                <w:kern w:val="0"/>
                <w:sz w:val="21"/>
                <w:szCs w:val="21"/>
                <w:highlight w:val="none"/>
                <w:u w:val="none"/>
                <w:lang w:val="en-US" w:eastAsia="zh-CN" w:bidi="ar"/>
              </w:rPr>
              <w:t xml:space="preserve">以上 </w:t>
            </w:r>
            <w:r>
              <w:rPr>
                <w:rFonts w:hint="eastAsia" w:ascii="宋体" w:hAnsi="宋体" w:cs="宋体"/>
                <w:b/>
                <w:bCs/>
                <w:i w:val="0"/>
                <w:iCs w:val="0"/>
                <w:color w:val="000000"/>
                <w:kern w:val="0"/>
                <w:sz w:val="21"/>
                <w:szCs w:val="21"/>
                <w:highlight w:val="none"/>
                <w:u w:val="none"/>
                <w:lang w:val="en-US" w:eastAsia="zh-CN" w:bidi="ar"/>
              </w:rPr>
              <w:t>2.8</w:t>
            </w:r>
            <w:r>
              <w:rPr>
                <w:rFonts w:hint="eastAsia" w:ascii="宋体" w:hAnsi="宋体" w:eastAsia="宋体" w:cs="宋体"/>
                <w:b/>
                <w:bCs/>
                <w:i w:val="0"/>
                <w:iCs w:val="0"/>
                <w:color w:val="000000"/>
                <w:kern w:val="0"/>
                <w:sz w:val="21"/>
                <w:szCs w:val="21"/>
                <w:highlight w:val="none"/>
                <w:u w:val="none"/>
                <w:lang w:val="en-US" w:eastAsia="zh-CN" w:bidi="ar"/>
              </w:rPr>
              <w:t>～</w:t>
            </w:r>
            <w:r>
              <w:rPr>
                <w:rFonts w:hint="eastAsia" w:ascii="宋体" w:hAnsi="宋体" w:cs="宋体"/>
                <w:b/>
                <w:bCs/>
                <w:i w:val="0"/>
                <w:iCs w:val="0"/>
                <w:color w:val="000000"/>
                <w:kern w:val="0"/>
                <w:sz w:val="21"/>
                <w:szCs w:val="21"/>
                <w:highlight w:val="none"/>
                <w:u w:val="none"/>
                <w:lang w:val="en-US" w:eastAsia="zh-CN" w:bidi="ar"/>
              </w:rPr>
              <w:t>2.</w:t>
            </w:r>
            <w:r>
              <w:rPr>
                <w:rFonts w:hint="eastAsia" w:ascii="宋体" w:hAnsi="宋体" w:eastAsia="宋体" w:cs="宋体"/>
                <w:b/>
                <w:bCs/>
                <w:i w:val="0"/>
                <w:iCs w:val="0"/>
                <w:color w:val="000000"/>
                <w:kern w:val="0"/>
                <w:sz w:val="21"/>
                <w:szCs w:val="21"/>
                <w:highlight w:val="none"/>
                <w:u w:val="none"/>
                <w:lang w:val="en-US" w:eastAsia="zh-CN" w:bidi="ar"/>
              </w:rPr>
              <w:t>9项技术指标。</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10.</w:t>
            </w:r>
            <w:r>
              <w:rPr>
                <w:rFonts w:hint="eastAsia" w:ascii="宋体" w:hAnsi="宋体" w:eastAsia="宋体" w:cs="宋体"/>
                <w:i w:val="0"/>
                <w:iCs w:val="0"/>
                <w:color w:val="000000"/>
                <w:kern w:val="0"/>
                <w:sz w:val="21"/>
                <w:szCs w:val="21"/>
                <w:highlight w:val="none"/>
                <w:u w:val="none"/>
                <w:lang w:val="en-US" w:eastAsia="zh-CN" w:bidi="ar"/>
              </w:rPr>
              <w:t>实验演示多目仪应用软件：</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①支持接入实验演示多目仪进行实验的搭建过程直播示范；</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②支持直播画面自由组合切换成画中画、双画面、单镜头等格式；</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③支持直播画面接入大屏进行示范教学；</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④支持录制高清示范视频，录制视频可作为探究教学资源；</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⑤</w:t>
            </w:r>
            <w:r>
              <w:rPr>
                <w:rFonts w:hint="eastAsia" w:ascii="宋体" w:hAnsi="宋体" w:eastAsia="宋体" w:cs="宋体"/>
                <w:i w:val="0"/>
                <w:iCs w:val="0"/>
                <w:color w:val="000000"/>
                <w:kern w:val="0"/>
                <w:sz w:val="21"/>
                <w:szCs w:val="21"/>
                <w:highlight w:val="none"/>
                <w:u w:val="none"/>
                <w:lang w:val="en-US" w:eastAsia="zh-CN" w:bidi="ar"/>
              </w:rPr>
              <w:t>录制视频时支持同步录制教学音频；</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⑥支持截取实验搭建视频画面为图片；</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⑦</w:t>
            </w:r>
            <w:r>
              <w:rPr>
                <w:rFonts w:hint="eastAsia" w:ascii="宋体" w:hAnsi="宋体" w:eastAsia="宋体" w:cs="宋体"/>
                <w:i w:val="0"/>
                <w:iCs w:val="0"/>
                <w:color w:val="000000"/>
                <w:kern w:val="0"/>
                <w:sz w:val="21"/>
                <w:szCs w:val="21"/>
                <w:highlight w:val="none"/>
                <w:u w:val="none"/>
                <w:lang w:val="en-US" w:eastAsia="zh-CN" w:bidi="ar"/>
              </w:rPr>
              <w:t>支持打开本地视频进行播放；</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⑧</w:t>
            </w:r>
            <w:r>
              <w:rPr>
                <w:rFonts w:hint="eastAsia" w:ascii="宋体" w:hAnsi="宋体" w:eastAsia="宋体" w:cs="宋体"/>
                <w:i w:val="0"/>
                <w:iCs w:val="0"/>
                <w:color w:val="000000"/>
                <w:kern w:val="0"/>
                <w:sz w:val="21"/>
                <w:szCs w:val="21"/>
                <w:highlight w:val="none"/>
                <w:u w:val="none"/>
                <w:lang w:val="en-US" w:eastAsia="zh-CN" w:bidi="ar"/>
              </w:rPr>
              <w:t>生物款支持电子目镜画面预览</w:t>
            </w:r>
            <w:r>
              <w:rPr>
                <w:rFonts w:hint="eastAsia" w:ascii="宋体" w:hAnsi="宋体" w:cs="宋体"/>
                <w:i w:val="0"/>
                <w:iCs w:val="0"/>
                <w:color w:val="000000"/>
                <w:kern w:val="0"/>
                <w:sz w:val="21"/>
                <w:szCs w:val="21"/>
                <w:highlight w:val="none"/>
                <w:u w:val="none"/>
                <w:lang w:val="en-US" w:eastAsia="zh-CN" w:bidi="ar"/>
              </w:rPr>
              <w:t>。</w:t>
            </w:r>
          </w:p>
        </w:tc>
        <w:tc>
          <w:tcPr>
            <w:tcW w:w="247" w:type="pct"/>
            <w:shd w:val="clear" w:color="auto" w:fill="auto"/>
            <w:vAlign w:val="center"/>
          </w:tcPr>
          <w:p w14:paraId="58E71B8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301" w:type="pct"/>
            <w:shd w:val="clear" w:color="auto" w:fill="auto"/>
            <w:noWrap/>
            <w:vAlign w:val="center"/>
          </w:tcPr>
          <w:p w14:paraId="41B5AEC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936" w:type="pct"/>
            <w:shd w:val="clear" w:color="auto" w:fill="auto"/>
            <w:noWrap/>
            <w:vAlign w:val="center"/>
          </w:tcPr>
          <w:p w14:paraId="5C3907C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c>
          <w:tcPr>
            <w:tcW w:w="737" w:type="pct"/>
            <w:shd w:val="clear" w:color="auto" w:fill="auto"/>
            <w:noWrap/>
            <w:vAlign w:val="center"/>
          </w:tcPr>
          <w:p w14:paraId="2CF7B9D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1077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9" w:hRule="atLeast"/>
        </w:trPr>
        <w:tc>
          <w:tcPr>
            <w:tcW w:w="254" w:type="pct"/>
            <w:shd w:val="clear" w:color="auto" w:fill="auto"/>
            <w:vAlign w:val="center"/>
          </w:tcPr>
          <w:p w14:paraId="134E2F9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3</w:t>
            </w:r>
          </w:p>
        </w:tc>
        <w:tc>
          <w:tcPr>
            <w:tcW w:w="405" w:type="pct"/>
            <w:shd w:val="clear" w:color="auto" w:fill="auto"/>
            <w:vAlign w:val="center"/>
          </w:tcPr>
          <w:p w14:paraId="3659DD2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实验桌</w:t>
            </w:r>
          </w:p>
        </w:tc>
        <w:tc>
          <w:tcPr>
            <w:tcW w:w="2116" w:type="pct"/>
            <w:shd w:val="clear" w:color="auto" w:fill="auto"/>
            <w:vAlign w:val="center"/>
          </w:tcPr>
          <w:p w14:paraId="2EFC8A3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 xml:space="preserve">规格：1200*600*780mm </w:t>
            </w:r>
          </w:p>
          <w:p w14:paraId="1D1E8E2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台面：采用16mm厚一体实芯黑色胚体实验室工业陶瓷台面。</w:t>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台面表面为耐腐蚀专业釉面。釉面和黑色胚体（非后期染色处理）经高温烧结而成，釉面与胚体结合后不脱落、不脱层。为防止实验操作中液体流出操作台带来不利影响，陶瓷板四周需带一体阻水边（非二次制作而成），阻水边每一边宽度≥55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CN" w:bidi="ar"/>
              </w:rPr>
              <w:t>台身结构：新型塑铝结构，整体1200*600*780。</w:t>
            </w:r>
          </w:p>
          <w:p w14:paraId="5989889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5.</w:t>
            </w:r>
            <w:r>
              <w:rPr>
                <w:rFonts w:hint="eastAsia" w:ascii="宋体" w:hAnsi="宋体" w:eastAsia="宋体" w:cs="宋体"/>
                <w:i w:val="0"/>
                <w:iCs w:val="0"/>
                <w:color w:val="000000"/>
                <w:kern w:val="0"/>
                <w:sz w:val="21"/>
                <w:szCs w:val="21"/>
                <w:highlight w:val="none"/>
                <w:u w:val="none"/>
                <w:lang w:val="en-US" w:eastAsia="zh-CN" w:bidi="ar"/>
              </w:rPr>
              <w:t>桌腿：采用工字型压铸铝一次成型，材料表面经高压静电喷涂环氧树脂防护层，耐酸碱，耐腐蚀处理。上腿规格：长585mm宽56mm高90mm，壁厚3.0mm。下腿规格：长540mm宽51mm高80mm，壁厚3.0mm。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立柱：采用41×95mm，壁厚1.8mm。前横梁采用36×25mm，壁厚1.3mm。中横梁采用34×25mm，壁厚1.3mm。后横梁：采用43×61mm，壁厚1.3mm。加强横支撑件：采用30×60mm椭圆管，壁厚1.5mm。材料表面经高压静电喷涂环氧树脂防护层，耐酸碱，耐腐蚀处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7.</w:t>
            </w:r>
            <w:r>
              <w:rPr>
                <w:rFonts w:hint="eastAsia" w:ascii="宋体" w:hAnsi="宋体" w:eastAsia="宋体" w:cs="宋体"/>
                <w:i w:val="0"/>
                <w:iCs w:val="0"/>
                <w:color w:val="000000"/>
                <w:kern w:val="0"/>
                <w:sz w:val="21"/>
                <w:szCs w:val="21"/>
                <w:highlight w:val="none"/>
                <w:u w:val="none"/>
                <w:lang w:val="en-US" w:eastAsia="zh-CN" w:bidi="ar"/>
              </w:rPr>
              <w:t>书包斗</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 xml:space="preserve">尺寸为480*290*152mm,壁厚3.5mm；采用环保型ABS工程塑料一次性注塑成型。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8.</w:t>
            </w:r>
            <w:r>
              <w:rPr>
                <w:rFonts w:hint="eastAsia" w:ascii="宋体" w:hAnsi="宋体" w:eastAsia="宋体" w:cs="宋体"/>
                <w:i w:val="0"/>
                <w:iCs w:val="0"/>
                <w:color w:val="000000"/>
                <w:kern w:val="0"/>
                <w:sz w:val="21"/>
                <w:szCs w:val="21"/>
                <w:highlight w:val="none"/>
                <w:u w:val="none"/>
                <w:lang w:val="en-US" w:eastAsia="zh-CN" w:bidi="ar"/>
              </w:rPr>
              <w:t xml:space="preserve">整体结构：台面陶瓷板一体成型，桌身由桌腿、立柱、前横梁、中横梁、后横梁及加强横支撑件组成。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9.</w:t>
            </w:r>
            <w:r>
              <w:rPr>
                <w:rFonts w:hint="eastAsia" w:ascii="宋体" w:hAnsi="宋体" w:eastAsia="宋体" w:cs="宋体"/>
                <w:i w:val="0"/>
                <w:iCs w:val="0"/>
                <w:color w:val="000000"/>
                <w:kern w:val="0"/>
                <w:sz w:val="21"/>
                <w:szCs w:val="21"/>
                <w:highlight w:val="none"/>
                <w:u w:val="none"/>
                <w:lang w:val="en-US" w:eastAsia="zh-CN" w:bidi="ar"/>
              </w:rPr>
              <w:t>可调脚：高强度可调脚，下部采用环保型PP加耐磨纤维质塑料。</w:t>
            </w:r>
          </w:p>
          <w:p w14:paraId="05AEC8B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10.</w:t>
            </w:r>
            <w:r>
              <w:rPr>
                <w:rFonts w:hint="eastAsia" w:ascii="宋体" w:hAnsi="宋体" w:eastAsia="宋体" w:cs="宋体"/>
                <w:i w:val="0"/>
                <w:iCs w:val="0"/>
                <w:color w:val="000000"/>
                <w:kern w:val="0"/>
                <w:sz w:val="21"/>
                <w:szCs w:val="21"/>
                <w:highlight w:val="none"/>
                <w:u w:val="none"/>
                <w:lang w:val="en-US" w:eastAsia="zh-CN" w:bidi="ar"/>
              </w:rPr>
              <w:t>为保证产品质量以及从环保角度保障实验室人员健康，产品符合以下技术参数及要求：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10.</w:t>
            </w:r>
            <w:r>
              <w:rPr>
                <w:rFonts w:hint="eastAsia" w:ascii="宋体" w:hAnsi="宋体" w:eastAsia="宋体" w:cs="宋体"/>
                <w:i w:val="0"/>
                <w:iCs w:val="0"/>
                <w:color w:val="000000"/>
                <w:kern w:val="0"/>
                <w:sz w:val="21"/>
                <w:szCs w:val="21"/>
                <w:highlight w:val="none"/>
                <w:u w:val="none"/>
                <w:lang w:val="en-US" w:eastAsia="zh-CN" w:bidi="ar"/>
              </w:rPr>
              <w:t>1台面吸水率检测：检测结果平均值≤0.08%，重金属检测：满足第三方检测机构性能测试，铅溶出量＜0.5mg/L或者＜0.02mg/dm2；镉溶出量＜0.05mg/L或者＜0.002mg/dm2。</w:t>
            </w:r>
          </w:p>
          <w:p w14:paraId="0BBFAA0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10.</w:t>
            </w:r>
            <w:r>
              <w:rPr>
                <w:rFonts w:hint="eastAsia" w:ascii="宋体" w:hAnsi="宋体" w:eastAsia="宋体" w:cs="宋体"/>
                <w:i w:val="0"/>
                <w:iCs w:val="0"/>
                <w:color w:val="000000"/>
                <w:kern w:val="0"/>
                <w:sz w:val="21"/>
                <w:szCs w:val="21"/>
                <w:highlight w:val="none"/>
                <w:u w:val="none"/>
                <w:lang w:val="en-US" w:eastAsia="zh-CN" w:bidi="ar"/>
              </w:rPr>
              <w:t>2阻水边依据GB/T 23266-2009检测标准，弹性限度mm≥12，断裂模数MPa：平均值≥45，单值≥40；单项结论均为符合。</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10.</w:t>
            </w:r>
            <w:r>
              <w:rPr>
                <w:rFonts w:hint="eastAsia" w:ascii="宋体" w:hAnsi="宋体" w:eastAsia="宋体" w:cs="宋体"/>
                <w:i w:val="0"/>
                <w:iCs w:val="0"/>
                <w:color w:val="000000"/>
                <w:kern w:val="0"/>
                <w:sz w:val="21"/>
                <w:szCs w:val="21"/>
                <w:highlight w:val="none"/>
                <w:u w:val="none"/>
                <w:lang w:val="en-US" w:eastAsia="zh-CN" w:bidi="ar"/>
              </w:rPr>
              <w:t xml:space="preserve">3实验桌通过耐磨性测试，耐磨性测试结果为：合格。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10.</w:t>
            </w:r>
            <w:r>
              <w:rPr>
                <w:rFonts w:hint="eastAsia" w:ascii="宋体" w:hAnsi="宋体" w:eastAsia="宋体" w:cs="宋体"/>
                <w:i w:val="0"/>
                <w:iCs w:val="0"/>
                <w:color w:val="000000"/>
                <w:kern w:val="0"/>
                <w:sz w:val="21"/>
                <w:szCs w:val="21"/>
                <w:highlight w:val="none"/>
                <w:u w:val="none"/>
                <w:lang w:val="en-US" w:eastAsia="zh-CN" w:bidi="ar"/>
              </w:rPr>
              <w:t>4实验桌符合GB/T1732-2020《漆膜耐冲击测定法》检测标准，冲击强度检测结果为：冲击高度400mm，无剥落、裂纹、皱纹，单项结论：符合。</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10.</w:t>
            </w:r>
            <w:r>
              <w:rPr>
                <w:rFonts w:hint="eastAsia" w:ascii="宋体" w:hAnsi="宋体" w:eastAsia="宋体" w:cs="宋体"/>
                <w:i w:val="0"/>
                <w:iCs w:val="0"/>
                <w:color w:val="000000"/>
                <w:kern w:val="0"/>
                <w:sz w:val="21"/>
                <w:szCs w:val="21"/>
                <w:highlight w:val="none"/>
                <w:u w:val="none"/>
                <w:lang w:val="en-US" w:eastAsia="zh-CN" w:bidi="ar"/>
              </w:rPr>
              <w:t>5实验桌符合GB/T10125-2021《人造气氛腐蚀试验 盐雾试验》和GB/T6461-2002《金属基体上金属和其他无机覆盖层 经腐蚀试验后的试样和试件的评级》标准，检测项目包含中性盐雾试验至少10h，检测结果达到10级。</w:t>
            </w:r>
          </w:p>
          <w:p w14:paraId="0C215F5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cs="宋体"/>
                <w:b/>
                <w:bCs/>
                <w:i w:val="0"/>
                <w:iCs w:val="0"/>
                <w:color w:val="auto"/>
                <w:kern w:val="0"/>
                <w:sz w:val="21"/>
                <w:szCs w:val="21"/>
                <w:highlight w:val="none"/>
                <w:u w:val="none"/>
                <w:shd w:val="clear"/>
                <w:lang w:val="en-US" w:eastAsia="zh-CN" w:bidi="ar"/>
              </w:rPr>
              <w:t>投标文件中</w:t>
            </w:r>
            <w:r>
              <w:rPr>
                <w:rFonts w:hint="eastAsia" w:ascii="宋体" w:hAnsi="宋体" w:eastAsia="宋体" w:cs="宋体"/>
                <w:b/>
                <w:bCs/>
                <w:i w:val="0"/>
                <w:iCs w:val="0"/>
                <w:color w:val="auto"/>
                <w:kern w:val="0"/>
                <w:sz w:val="21"/>
                <w:szCs w:val="21"/>
                <w:highlight w:val="none"/>
                <w:u w:val="none"/>
                <w:shd w:val="clear"/>
                <w:lang w:val="en-US" w:eastAsia="zh-CN" w:bidi="ar"/>
              </w:rPr>
              <w:t>提供具有CMA认证资质的第三方检测机构出具的检测报告，</w:t>
            </w:r>
            <w:r>
              <w:rPr>
                <w:rFonts w:hint="eastAsia" w:ascii="宋体" w:hAnsi="宋体" w:eastAsia="宋体" w:cs="宋体"/>
                <w:b/>
                <w:bCs/>
                <w:i w:val="0"/>
                <w:iCs w:val="0"/>
                <w:color w:val="000000"/>
                <w:kern w:val="0"/>
                <w:sz w:val="21"/>
                <w:szCs w:val="21"/>
                <w:highlight w:val="none"/>
                <w:u w:val="none"/>
                <w:lang w:val="en-US" w:eastAsia="zh-CN" w:bidi="ar"/>
              </w:rPr>
              <w:t>且报告中须反</w:t>
            </w:r>
            <w:r>
              <w:rPr>
                <w:rFonts w:hint="eastAsia" w:ascii="宋体" w:hAnsi="宋体" w:cs="宋体"/>
                <w:b/>
                <w:bCs/>
                <w:i w:val="0"/>
                <w:iCs w:val="0"/>
                <w:color w:val="000000"/>
                <w:kern w:val="0"/>
                <w:sz w:val="21"/>
                <w:szCs w:val="21"/>
                <w:highlight w:val="none"/>
                <w:u w:val="none"/>
                <w:lang w:val="en-US" w:eastAsia="zh-CN" w:bidi="ar"/>
              </w:rPr>
              <w:t>映</w:t>
            </w:r>
            <w:r>
              <w:rPr>
                <w:rFonts w:hint="eastAsia" w:ascii="宋体" w:hAnsi="宋体" w:eastAsia="宋体" w:cs="宋体"/>
                <w:b/>
                <w:bCs/>
                <w:i w:val="0"/>
                <w:iCs w:val="0"/>
                <w:color w:val="000000"/>
                <w:kern w:val="0"/>
                <w:sz w:val="21"/>
                <w:szCs w:val="21"/>
                <w:highlight w:val="none"/>
                <w:u w:val="none"/>
                <w:lang w:val="en-US" w:eastAsia="zh-CN" w:bidi="ar"/>
              </w:rPr>
              <w:t xml:space="preserve">以上 </w:t>
            </w:r>
            <w:r>
              <w:rPr>
                <w:rFonts w:hint="eastAsia" w:ascii="宋体" w:hAnsi="宋体" w:cs="宋体"/>
                <w:b/>
                <w:bCs/>
                <w:i w:val="0"/>
                <w:iCs w:val="0"/>
                <w:color w:val="000000"/>
                <w:kern w:val="0"/>
                <w:sz w:val="21"/>
                <w:szCs w:val="21"/>
                <w:highlight w:val="none"/>
                <w:u w:val="none"/>
                <w:lang w:val="en-US" w:eastAsia="zh-CN" w:bidi="ar"/>
              </w:rPr>
              <w:t>10.</w:t>
            </w:r>
            <w:r>
              <w:rPr>
                <w:rFonts w:hint="eastAsia" w:ascii="宋体" w:hAnsi="宋体" w:eastAsia="宋体" w:cs="宋体"/>
                <w:b/>
                <w:bCs/>
                <w:i w:val="0"/>
                <w:iCs w:val="0"/>
                <w:color w:val="000000"/>
                <w:kern w:val="0"/>
                <w:sz w:val="21"/>
                <w:szCs w:val="21"/>
                <w:highlight w:val="none"/>
                <w:u w:val="none"/>
                <w:lang w:val="en-US" w:eastAsia="zh-CN" w:bidi="ar"/>
              </w:rPr>
              <w:t>1～</w:t>
            </w:r>
            <w:r>
              <w:rPr>
                <w:rFonts w:hint="eastAsia" w:ascii="宋体" w:hAnsi="宋体" w:cs="宋体"/>
                <w:b/>
                <w:bCs/>
                <w:i w:val="0"/>
                <w:iCs w:val="0"/>
                <w:color w:val="000000"/>
                <w:kern w:val="0"/>
                <w:sz w:val="21"/>
                <w:szCs w:val="21"/>
                <w:highlight w:val="none"/>
                <w:u w:val="none"/>
                <w:lang w:val="en-US" w:eastAsia="zh-CN" w:bidi="ar"/>
              </w:rPr>
              <w:t>10.</w:t>
            </w:r>
            <w:r>
              <w:rPr>
                <w:rFonts w:hint="eastAsia" w:ascii="宋体" w:hAnsi="宋体" w:eastAsia="宋体" w:cs="宋体"/>
                <w:b/>
                <w:bCs/>
                <w:i w:val="0"/>
                <w:iCs w:val="0"/>
                <w:color w:val="000000"/>
                <w:kern w:val="0"/>
                <w:sz w:val="21"/>
                <w:szCs w:val="21"/>
                <w:highlight w:val="none"/>
                <w:u w:val="none"/>
                <w:lang w:val="en-US" w:eastAsia="zh-CN" w:bidi="ar"/>
              </w:rPr>
              <w:t>5项技术指标。</w:t>
            </w:r>
          </w:p>
        </w:tc>
        <w:tc>
          <w:tcPr>
            <w:tcW w:w="247" w:type="pct"/>
            <w:shd w:val="clear" w:color="auto" w:fill="auto"/>
            <w:vAlign w:val="center"/>
          </w:tcPr>
          <w:p w14:paraId="109F3D6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301" w:type="pct"/>
            <w:shd w:val="clear" w:color="auto" w:fill="auto"/>
            <w:noWrap/>
            <w:vAlign w:val="center"/>
          </w:tcPr>
          <w:p w14:paraId="7CF0F59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张</w:t>
            </w:r>
          </w:p>
        </w:tc>
        <w:tc>
          <w:tcPr>
            <w:tcW w:w="936" w:type="pct"/>
            <w:shd w:val="clear" w:color="auto" w:fill="auto"/>
            <w:noWrap/>
            <w:vAlign w:val="center"/>
          </w:tcPr>
          <w:p w14:paraId="0644E35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432435</wp:posOffset>
                  </wp:positionH>
                  <wp:positionV relativeFrom="paragraph">
                    <wp:posOffset>112395</wp:posOffset>
                  </wp:positionV>
                  <wp:extent cx="1053465" cy="882015"/>
                  <wp:effectExtent l="0" t="0" r="13335" b="13335"/>
                  <wp:wrapNone/>
                  <wp:docPr id="63" name="Picture_1"/>
                  <wp:cNvGraphicFramePr/>
                  <a:graphic xmlns:a="http://schemas.openxmlformats.org/drawingml/2006/main">
                    <a:graphicData uri="http://schemas.openxmlformats.org/drawingml/2006/picture">
                      <pic:pic xmlns:pic="http://schemas.openxmlformats.org/drawingml/2006/picture">
                        <pic:nvPicPr>
                          <pic:cNvPr id="63" name="Picture_1"/>
                          <pic:cNvPicPr/>
                        </pic:nvPicPr>
                        <pic:blipFill>
                          <a:blip r:embed="rId37"/>
                          <a:stretch>
                            <a:fillRect/>
                          </a:stretch>
                        </pic:blipFill>
                        <pic:spPr>
                          <a:xfrm>
                            <a:off x="0" y="0"/>
                            <a:ext cx="1053465" cy="882015"/>
                          </a:xfrm>
                          <a:prstGeom prst="rect">
                            <a:avLst/>
                          </a:prstGeom>
                          <a:noFill/>
                          <a:ln>
                            <a:noFill/>
                          </a:ln>
                        </pic:spPr>
                      </pic:pic>
                    </a:graphicData>
                  </a:graphic>
                </wp:anchor>
              </w:drawing>
            </w:r>
          </w:p>
        </w:tc>
        <w:tc>
          <w:tcPr>
            <w:tcW w:w="737" w:type="pct"/>
            <w:shd w:val="clear" w:color="auto" w:fill="auto"/>
            <w:noWrap/>
            <w:vAlign w:val="center"/>
          </w:tcPr>
          <w:p w14:paraId="7F4E24F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1958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54" w:type="pct"/>
            <w:shd w:val="clear" w:color="auto" w:fill="auto"/>
            <w:vAlign w:val="center"/>
          </w:tcPr>
          <w:p w14:paraId="7A4F42A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4</w:t>
            </w:r>
          </w:p>
        </w:tc>
        <w:tc>
          <w:tcPr>
            <w:tcW w:w="405" w:type="pct"/>
            <w:shd w:val="clear" w:color="auto" w:fill="auto"/>
            <w:noWrap/>
            <w:vAlign w:val="center"/>
          </w:tcPr>
          <w:p w14:paraId="6DC3823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功能柱</w:t>
            </w:r>
          </w:p>
        </w:tc>
        <w:tc>
          <w:tcPr>
            <w:tcW w:w="2116" w:type="pct"/>
            <w:shd w:val="clear" w:color="auto" w:fill="auto"/>
            <w:vAlign w:val="top"/>
          </w:tcPr>
          <w:p w14:paraId="21D537E1">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规格：宽≥320mm；深≥190mm；高≥730mm，壁厚3.0mm，采用环保型工程塑料一次注塑成型。 主要功能是保护通风管道及电线电缆作用，配套于学生桌，美观大方。  </w:t>
            </w:r>
          </w:p>
        </w:tc>
        <w:tc>
          <w:tcPr>
            <w:tcW w:w="247" w:type="pct"/>
            <w:shd w:val="clear" w:color="auto" w:fill="auto"/>
            <w:noWrap/>
            <w:vAlign w:val="center"/>
          </w:tcPr>
          <w:p w14:paraId="633BBF4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301" w:type="pct"/>
            <w:shd w:val="clear" w:color="auto" w:fill="auto"/>
            <w:noWrap/>
            <w:vAlign w:val="center"/>
          </w:tcPr>
          <w:p w14:paraId="6431A61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936" w:type="pct"/>
            <w:shd w:val="clear" w:color="auto" w:fill="auto"/>
            <w:noWrap/>
            <w:vAlign w:val="center"/>
          </w:tcPr>
          <w:p w14:paraId="5B81CEB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565150</wp:posOffset>
                  </wp:positionH>
                  <wp:positionV relativeFrom="paragraph">
                    <wp:posOffset>57150</wp:posOffset>
                  </wp:positionV>
                  <wp:extent cx="434975" cy="622935"/>
                  <wp:effectExtent l="0" t="0" r="3175" b="5715"/>
                  <wp:wrapNone/>
                  <wp:docPr id="62" name="图片_1"/>
                  <wp:cNvGraphicFramePr/>
                  <a:graphic xmlns:a="http://schemas.openxmlformats.org/drawingml/2006/main">
                    <a:graphicData uri="http://schemas.openxmlformats.org/drawingml/2006/picture">
                      <pic:pic xmlns:pic="http://schemas.openxmlformats.org/drawingml/2006/picture">
                        <pic:nvPicPr>
                          <pic:cNvPr id="62" name="图片_1"/>
                          <pic:cNvPicPr/>
                        </pic:nvPicPr>
                        <pic:blipFill>
                          <a:blip r:embed="rId23"/>
                          <a:stretch>
                            <a:fillRect/>
                          </a:stretch>
                        </pic:blipFill>
                        <pic:spPr>
                          <a:xfrm>
                            <a:off x="0" y="0"/>
                            <a:ext cx="434975" cy="622935"/>
                          </a:xfrm>
                          <a:prstGeom prst="rect">
                            <a:avLst/>
                          </a:prstGeom>
                          <a:noFill/>
                          <a:ln>
                            <a:noFill/>
                          </a:ln>
                        </pic:spPr>
                      </pic:pic>
                    </a:graphicData>
                  </a:graphic>
                </wp:anchor>
              </w:drawing>
            </w:r>
          </w:p>
        </w:tc>
        <w:tc>
          <w:tcPr>
            <w:tcW w:w="737" w:type="pct"/>
            <w:shd w:val="clear" w:color="auto" w:fill="auto"/>
            <w:noWrap/>
            <w:vAlign w:val="center"/>
          </w:tcPr>
          <w:p w14:paraId="03EE05D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4516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3" w:hRule="atLeast"/>
        </w:trPr>
        <w:tc>
          <w:tcPr>
            <w:tcW w:w="254" w:type="pct"/>
            <w:shd w:val="clear" w:color="auto" w:fill="auto"/>
            <w:vAlign w:val="center"/>
          </w:tcPr>
          <w:p w14:paraId="465FEE6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5</w:t>
            </w:r>
          </w:p>
        </w:tc>
        <w:tc>
          <w:tcPr>
            <w:tcW w:w="405" w:type="pct"/>
            <w:shd w:val="clear" w:color="auto" w:fill="auto"/>
            <w:vAlign w:val="center"/>
          </w:tcPr>
          <w:p w14:paraId="445EA37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水槽柜</w:t>
            </w:r>
          </w:p>
        </w:tc>
        <w:tc>
          <w:tcPr>
            <w:tcW w:w="2116" w:type="pct"/>
            <w:shd w:val="clear" w:color="auto" w:fill="auto"/>
            <w:vAlign w:val="center"/>
          </w:tcPr>
          <w:p w14:paraId="1EAFE3DF">
            <w:pPr>
              <w:keepNext w:val="0"/>
              <w:keepLines w:val="0"/>
              <w:widowControl/>
              <w:numPr>
                <w:ilvl w:val="0"/>
                <w:numId w:val="12"/>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规格尺寸：450*600*1070mm。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 水槽内部尺寸：360mm*290mm*260mm。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 水槽整体：采用PP工程塑料一次性注塑成型，整体分为三段分别是滴水架、水槽上身、水槽下柜体，内部有安装固件结合，水槽面部下沉式构造，使废水无法沿着桌面侵蚀柜体，滴水架设安装水龙头,水槽台面设有紧急洗眼器与洗手液瓶的安装孔并配备了洗手液瓶，水槽前端设有凹形设计，方便操作者使用。</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4.滴水架上有6根试管棒。</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 水槽具有防止溢水功能，水槽内部设有一个水满到一定位置的时候，把水排到PP下水器进行排出，防止废水外溢。</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 PP注塑成型自由转弯软管：采用PP材料注塑成形，吸塑PP软管节节可伸缩功能，规格1000任意伸缩长度，直径50mm。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7.水槽整体：PP材质，注塑模具一次成型，防锈、耐酸碱、防水、防潮。</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 滴水架检修门与下柜门：ABS材质，注塑一次性成型，滴水架检修门采用卡扣结构便于拆卸检修，下柜体门采用柜门挂锁结构。水槽台下面配有四个静音带刹车万向轮。</w:t>
            </w:r>
          </w:p>
          <w:p w14:paraId="6BE25560">
            <w:pPr>
              <w:keepNext w:val="0"/>
              <w:keepLines w:val="0"/>
              <w:widowControl/>
              <w:suppressLineNumbers w:val="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9.PP原材料需要满足以下检测要求：</w:t>
            </w:r>
          </w:p>
          <w:p w14:paraId="1313720E">
            <w:pPr>
              <w:keepNext w:val="0"/>
              <w:keepLines w:val="0"/>
              <w:widowControl/>
              <w:suppressLineNumbers w:val="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9.1</w:t>
            </w:r>
            <w:r>
              <w:rPr>
                <w:rFonts w:hint="eastAsia" w:ascii="宋体" w:hAnsi="宋体" w:eastAsia="宋体" w:cs="宋体"/>
                <w:i w:val="0"/>
                <w:iCs w:val="0"/>
                <w:color w:val="000000"/>
                <w:kern w:val="0"/>
                <w:sz w:val="21"/>
                <w:szCs w:val="21"/>
                <w:highlight w:val="none"/>
                <w:u w:val="none"/>
                <w:lang w:val="en-US" w:eastAsia="zh-CN" w:bidi="ar"/>
              </w:rPr>
              <w:t>须提供符合GB/T 1633-2000 维卡软化温度检测判定基准：≥72.4℃，检测结论：符合。依据GB/T 1634.1-2019热变形温度检测判定基准：≥89.5℃，检测结论：符合。依据GB/T 9341-2008弯曲强度检测判定基准：≥27，检测结论：符合。供依据GB/T 1843-2008悬臂梁缺口冲击强度检测判定基准：≥10，检测结论：符合。依据GB/T 2411-2008邵氏硬度检测判定基准：≥65，检测结论:符合。</w:t>
            </w:r>
          </w:p>
          <w:p w14:paraId="5EC8E4AC">
            <w:pPr>
              <w:keepNext w:val="0"/>
              <w:keepLines w:val="0"/>
              <w:widowControl/>
              <w:suppressLineNumbers w:val="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9.1</w:t>
            </w:r>
            <w:r>
              <w:rPr>
                <w:rFonts w:hint="eastAsia" w:ascii="宋体" w:hAnsi="宋体" w:eastAsia="宋体" w:cs="宋体"/>
                <w:i w:val="0"/>
                <w:iCs w:val="0"/>
                <w:color w:val="000000"/>
                <w:kern w:val="0"/>
                <w:sz w:val="21"/>
                <w:szCs w:val="21"/>
                <w:highlight w:val="none"/>
                <w:u w:val="none"/>
                <w:lang w:val="en-US" w:eastAsia="zh-CN" w:bidi="ar"/>
              </w:rPr>
              <w:t>通过第三方检测机构性能测试，检测项目至少包含：拉伸强度、断裂伸长率，拉伸强度检测判定基准：≥18，检测结论：符合；断裂伸长率检测判定基准：≥60，检测结论：符合。依据GB/T 3682.1-2018熔体质量流动速率检测判定基准：≥7,检测结论：符合。依据GB/T 1043.1-2008简支梁缺口冲击检测判定基准：≥6.5，检测结论：符合。依据GB/T1034-2008 吸水性检测判定基准：≥0.05，结论：符合。</w:t>
            </w:r>
          </w:p>
          <w:p w14:paraId="35378E0A">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cs="宋体"/>
                <w:b/>
                <w:bCs/>
                <w:i w:val="0"/>
                <w:iCs w:val="0"/>
                <w:color w:val="auto"/>
                <w:kern w:val="0"/>
                <w:sz w:val="21"/>
                <w:szCs w:val="21"/>
                <w:highlight w:val="none"/>
                <w:u w:val="none"/>
                <w:shd w:val="clear"/>
                <w:lang w:val="en-US" w:eastAsia="zh-CN" w:bidi="ar"/>
              </w:rPr>
              <w:t>投标文件中</w:t>
            </w:r>
            <w:r>
              <w:rPr>
                <w:rFonts w:hint="eastAsia" w:ascii="宋体" w:hAnsi="宋体" w:eastAsia="宋体" w:cs="宋体"/>
                <w:b/>
                <w:bCs/>
                <w:i w:val="0"/>
                <w:iCs w:val="0"/>
                <w:color w:val="auto"/>
                <w:kern w:val="0"/>
                <w:sz w:val="21"/>
                <w:szCs w:val="21"/>
                <w:highlight w:val="none"/>
                <w:u w:val="none"/>
                <w:shd w:val="clear"/>
                <w:lang w:val="en-US" w:eastAsia="zh-CN" w:bidi="ar"/>
              </w:rPr>
              <w:t>提供具有CMA认证资质的第三方检测机构出具的检测报告，</w:t>
            </w:r>
            <w:r>
              <w:rPr>
                <w:rFonts w:hint="eastAsia" w:ascii="宋体" w:hAnsi="宋体" w:eastAsia="宋体" w:cs="宋体"/>
                <w:b/>
                <w:bCs/>
                <w:i w:val="0"/>
                <w:iCs w:val="0"/>
                <w:color w:val="000000"/>
                <w:kern w:val="0"/>
                <w:sz w:val="21"/>
                <w:szCs w:val="21"/>
                <w:highlight w:val="none"/>
                <w:u w:val="none"/>
                <w:lang w:val="en-US" w:eastAsia="zh-CN" w:bidi="ar"/>
              </w:rPr>
              <w:t>且报告中须反</w:t>
            </w:r>
            <w:r>
              <w:rPr>
                <w:rFonts w:hint="eastAsia" w:ascii="宋体" w:hAnsi="宋体" w:cs="宋体"/>
                <w:b/>
                <w:bCs/>
                <w:i w:val="0"/>
                <w:iCs w:val="0"/>
                <w:color w:val="000000"/>
                <w:kern w:val="0"/>
                <w:sz w:val="21"/>
                <w:szCs w:val="21"/>
                <w:highlight w:val="none"/>
                <w:u w:val="none"/>
                <w:lang w:val="en-US" w:eastAsia="zh-CN" w:bidi="ar"/>
              </w:rPr>
              <w:t>映</w:t>
            </w:r>
            <w:r>
              <w:rPr>
                <w:rFonts w:hint="eastAsia" w:ascii="宋体" w:hAnsi="宋体" w:eastAsia="宋体" w:cs="宋体"/>
                <w:b/>
                <w:bCs/>
                <w:i w:val="0"/>
                <w:iCs w:val="0"/>
                <w:color w:val="000000"/>
                <w:kern w:val="0"/>
                <w:sz w:val="21"/>
                <w:szCs w:val="21"/>
                <w:highlight w:val="none"/>
                <w:u w:val="none"/>
                <w:lang w:val="en-US" w:eastAsia="zh-CN" w:bidi="ar"/>
              </w:rPr>
              <w:t>以上</w:t>
            </w:r>
            <w:r>
              <w:rPr>
                <w:rFonts w:hint="eastAsia" w:ascii="宋体" w:hAnsi="宋体" w:cs="宋体"/>
                <w:b/>
                <w:bCs/>
                <w:i w:val="0"/>
                <w:iCs w:val="0"/>
                <w:color w:val="000000"/>
                <w:kern w:val="0"/>
                <w:sz w:val="21"/>
                <w:szCs w:val="21"/>
                <w:highlight w:val="none"/>
                <w:u w:val="none"/>
                <w:lang w:val="en-US" w:eastAsia="zh-CN" w:bidi="ar"/>
              </w:rPr>
              <w:t>9.1</w:t>
            </w:r>
            <w:r>
              <w:rPr>
                <w:rFonts w:hint="eastAsia" w:ascii="宋体" w:hAnsi="宋体" w:eastAsia="宋体" w:cs="宋体"/>
                <w:b/>
                <w:bCs/>
                <w:i w:val="0"/>
                <w:iCs w:val="0"/>
                <w:color w:val="000000"/>
                <w:kern w:val="0"/>
                <w:sz w:val="21"/>
                <w:szCs w:val="21"/>
                <w:highlight w:val="none"/>
                <w:u w:val="none"/>
                <w:lang w:val="en-US" w:eastAsia="zh-CN" w:bidi="ar"/>
              </w:rPr>
              <w:t>～</w:t>
            </w:r>
            <w:r>
              <w:rPr>
                <w:rFonts w:hint="eastAsia" w:ascii="宋体" w:hAnsi="宋体" w:cs="宋体"/>
                <w:b/>
                <w:bCs/>
                <w:i w:val="0"/>
                <w:iCs w:val="0"/>
                <w:color w:val="000000"/>
                <w:kern w:val="0"/>
                <w:sz w:val="21"/>
                <w:szCs w:val="21"/>
                <w:highlight w:val="none"/>
                <w:u w:val="none"/>
                <w:lang w:val="en-US" w:eastAsia="zh-CN" w:bidi="ar"/>
              </w:rPr>
              <w:t>9.2</w:t>
            </w:r>
            <w:r>
              <w:rPr>
                <w:rFonts w:hint="eastAsia" w:ascii="宋体" w:hAnsi="宋体" w:eastAsia="宋体" w:cs="宋体"/>
                <w:b/>
                <w:bCs/>
                <w:i w:val="0"/>
                <w:iCs w:val="0"/>
                <w:color w:val="000000"/>
                <w:kern w:val="0"/>
                <w:sz w:val="21"/>
                <w:szCs w:val="21"/>
                <w:highlight w:val="none"/>
                <w:u w:val="none"/>
                <w:lang w:val="en-US" w:eastAsia="zh-CN" w:bidi="ar"/>
              </w:rPr>
              <w:t>项技术指标。</w:t>
            </w:r>
          </w:p>
        </w:tc>
        <w:tc>
          <w:tcPr>
            <w:tcW w:w="247" w:type="pct"/>
            <w:shd w:val="clear" w:color="auto" w:fill="auto"/>
            <w:vAlign w:val="center"/>
          </w:tcPr>
          <w:p w14:paraId="1AF889F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301" w:type="pct"/>
            <w:shd w:val="clear" w:color="auto" w:fill="auto"/>
            <w:noWrap/>
            <w:vAlign w:val="center"/>
          </w:tcPr>
          <w:p w14:paraId="160F004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936" w:type="pct"/>
            <w:shd w:val="clear" w:color="auto" w:fill="auto"/>
            <w:noWrap/>
            <w:vAlign w:val="center"/>
          </w:tcPr>
          <w:p w14:paraId="3434BE2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414655</wp:posOffset>
                  </wp:positionH>
                  <wp:positionV relativeFrom="paragraph">
                    <wp:posOffset>222250</wp:posOffset>
                  </wp:positionV>
                  <wp:extent cx="971550" cy="971550"/>
                  <wp:effectExtent l="0" t="0" r="0" b="0"/>
                  <wp:wrapNone/>
                  <wp:docPr id="60" name="ID_DC071EB987EF4A92A3E46207529D8CDB"/>
                  <wp:cNvGraphicFramePr/>
                  <a:graphic xmlns:a="http://schemas.openxmlformats.org/drawingml/2006/main">
                    <a:graphicData uri="http://schemas.openxmlformats.org/drawingml/2006/picture">
                      <pic:pic xmlns:pic="http://schemas.openxmlformats.org/drawingml/2006/picture">
                        <pic:nvPicPr>
                          <pic:cNvPr id="60" name="ID_DC071EB987EF4A92A3E46207529D8CDB"/>
                          <pic:cNvPicPr/>
                        </pic:nvPicPr>
                        <pic:blipFill>
                          <a:blip r:embed="rId38"/>
                          <a:stretch>
                            <a:fillRect/>
                          </a:stretch>
                        </pic:blipFill>
                        <pic:spPr>
                          <a:xfrm>
                            <a:off x="0" y="0"/>
                            <a:ext cx="971550" cy="971550"/>
                          </a:xfrm>
                          <a:prstGeom prst="rect">
                            <a:avLst/>
                          </a:prstGeom>
                          <a:noFill/>
                          <a:ln>
                            <a:noFill/>
                          </a:ln>
                        </pic:spPr>
                      </pic:pic>
                    </a:graphicData>
                  </a:graphic>
                </wp:anchor>
              </w:drawing>
            </w:r>
          </w:p>
        </w:tc>
        <w:tc>
          <w:tcPr>
            <w:tcW w:w="737" w:type="pct"/>
            <w:shd w:val="clear" w:color="auto" w:fill="auto"/>
            <w:noWrap/>
            <w:vAlign w:val="center"/>
          </w:tcPr>
          <w:p w14:paraId="609C257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419B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4" w:type="pct"/>
            <w:shd w:val="clear" w:color="auto" w:fill="auto"/>
            <w:vAlign w:val="center"/>
          </w:tcPr>
          <w:p w14:paraId="425131C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6</w:t>
            </w:r>
          </w:p>
        </w:tc>
        <w:tc>
          <w:tcPr>
            <w:tcW w:w="405" w:type="pct"/>
            <w:shd w:val="clear" w:color="auto" w:fill="auto"/>
            <w:vAlign w:val="center"/>
          </w:tcPr>
          <w:p w14:paraId="3935D9C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上水装置</w:t>
            </w:r>
          </w:p>
        </w:tc>
        <w:tc>
          <w:tcPr>
            <w:tcW w:w="2116" w:type="pct"/>
            <w:shd w:val="clear" w:color="auto" w:fill="auto"/>
            <w:vAlign w:val="center"/>
          </w:tcPr>
          <w:p w14:paraId="000816B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用于连接地面水管及水龙头，上水管两端接头采用201不锈钢螺帽铜芯，外管是304钢丝+尼龙丝混编的、内管采用三元内管、角阀是钻石轮（塑料包铁）、阀芯和阀体均为铜制</w:t>
            </w:r>
          </w:p>
        </w:tc>
        <w:tc>
          <w:tcPr>
            <w:tcW w:w="247" w:type="pct"/>
            <w:shd w:val="clear" w:color="auto" w:fill="auto"/>
            <w:vAlign w:val="center"/>
          </w:tcPr>
          <w:p w14:paraId="5CDEB95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301" w:type="pct"/>
            <w:shd w:val="clear" w:color="auto" w:fill="auto"/>
            <w:noWrap/>
            <w:vAlign w:val="center"/>
          </w:tcPr>
          <w:p w14:paraId="4BF1626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936" w:type="pct"/>
            <w:shd w:val="clear" w:color="auto" w:fill="auto"/>
            <w:noWrap/>
            <w:vAlign w:val="center"/>
          </w:tcPr>
          <w:p w14:paraId="255A5527">
            <w:pPr>
              <w:rPr>
                <w:rFonts w:hint="eastAsia" w:ascii="宋体" w:hAnsi="宋体" w:eastAsia="宋体" w:cs="宋体"/>
                <w:i w:val="0"/>
                <w:iCs w:val="0"/>
                <w:color w:val="000000"/>
                <w:sz w:val="21"/>
                <w:szCs w:val="21"/>
                <w:highlight w:val="none"/>
                <w:u w:val="none"/>
              </w:rPr>
            </w:pPr>
          </w:p>
        </w:tc>
        <w:tc>
          <w:tcPr>
            <w:tcW w:w="737" w:type="pct"/>
            <w:shd w:val="clear" w:color="auto" w:fill="auto"/>
            <w:noWrap/>
            <w:vAlign w:val="center"/>
          </w:tcPr>
          <w:p w14:paraId="1813F768">
            <w:pPr>
              <w:rPr>
                <w:rFonts w:hint="eastAsia" w:ascii="宋体" w:hAnsi="宋体" w:eastAsia="宋体" w:cs="宋体"/>
                <w:i w:val="0"/>
                <w:iCs w:val="0"/>
                <w:color w:val="000000"/>
                <w:sz w:val="21"/>
                <w:szCs w:val="21"/>
                <w:highlight w:val="none"/>
                <w:u w:val="none"/>
              </w:rPr>
            </w:pPr>
          </w:p>
        </w:tc>
      </w:tr>
      <w:tr w14:paraId="2261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4" w:type="pct"/>
            <w:shd w:val="clear" w:color="auto" w:fill="auto"/>
            <w:vAlign w:val="center"/>
          </w:tcPr>
          <w:p w14:paraId="4272EBC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7</w:t>
            </w:r>
          </w:p>
        </w:tc>
        <w:tc>
          <w:tcPr>
            <w:tcW w:w="405" w:type="pct"/>
            <w:shd w:val="clear" w:color="auto" w:fill="auto"/>
            <w:vAlign w:val="center"/>
          </w:tcPr>
          <w:p w14:paraId="591633B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下水装置</w:t>
            </w:r>
          </w:p>
        </w:tc>
        <w:tc>
          <w:tcPr>
            <w:tcW w:w="2116" w:type="pct"/>
            <w:shd w:val="clear" w:color="auto" w:fill="auto"/>
            <w:vAlign w:val="center"/>
          </w:tcPr>
          <w:p w14:paraId="3D47EB72">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规格</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直径35mm*长度500mm水槽专配型排水管，不锈钢卡扣连接，安装方便不渗漏</w:t>
            </w:r>
          </w:p>
        </w:tc>
        <w:tc>
          <w:tcPr>
            <w:tcW w:w="247" w:type="pct"/>
            <w:shd w:val="clear" w:color="auto" w:fill="auto"/>
            <w:vAlign w:val="center"/>
          </w:tcPr>
          <w:p w14:paraId="28F0089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301" w:type="pct"/>
            <w:shd w:val="clear" w:color="auto" w:fill="auto"/>
            <w:noWrap/>
            <w:vAlign w:val="center"/>
          </w:tcPr>
          <w:p w14:paraId="494C37F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936" w:type="pct"/>
            <w:shd w:val="clear" w:color="auto" w:fill="auto"/>
            <w:noWrap/>
            <w:vAlign w:val="center"/>
          </w:tcPr>
          <w:p w14:paraId="64E082EA">
            <w:pPr>
              <w:rPr>
                <w:rFonts w:hint="eastAsia" w:ascii="宋体" w:hAnsi="宋体" w:eastAsia="宋体" w:cs="宋体"/>
                <w:i w:val="0"/>
                <w:iCs w:val="0"/>
                <w:color w:val="000000"/>
                <w:sz w:val="21"/>
                <w:szCs w:val="21"/>
                <w:highlight w:val="none"/>
                <w:u w:val="none"/>
              </w:rPr>
            </w:pPr>
          </w:p>
        </w:tc>
        <w:tc>
          <w:tcPr>
            <w:tcW w:w="737" w:type="pct"/>
            <w:shd w:val="clear" w:color="auto" w:fill="auto"/>
            <w:noWrap/>
            <w:vAlign w:val="center"/>
          </w:tcPr>
          <w:p w14:paraId="298956EB">
            <w:pPr>
              <w:rPr>
                <w:rFonts w:hint="eastAsia" w:ascii="宋体" w:hAnsi="宋体" w:eastAsia="宋体" w:cs="宋体"/>
                <w:i w:val="0"/>
                <w:iCs w:val="0"/>
                <w:color w:val="000000"/>
                <w:sz w:val="21"/>
                <w:szCs w:val="21"/>
                <w:highlight w:val="none"/>
                <w:u w:val="none"/>
              </w:rPr>
            </w:pPr>
          </w:p>
        </w:tc>
      </w:tr>
      <w:tr w14:paraId="20CD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54" w:type="pct"/>
            <w:shd w:val="clear" w:color="auto" w:fill="auto"/>
            <w:vAlign w:val="center"/>
          </w:tcPr>
          <w:p w14:paraId="134914B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8</w:t>
            </w:r>
          </w:p>
        </w:tc>
        <w:tc>
          <w:tcPr>
            <w:tcW w:w="405" w:type="pct"/>
            <w:shd w:val="clear" w:color="auto" w:fill="auto"/>
            <w:vAlign w:val="center"/>
          </w:tcPr>
          <w:p w14:paraId="304EF95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三联水嘴</w:t>
            </w:r>
          </w:p>
        </w:tc>
        <w:tc>
          <w:tcPr>
            <w:tcW w:w="2116" w:type="pct"/>
            <w:shd w:val="clear" w:color="auto" w:fill="auto"/>
            <w:vAlign w:val="center"/>
          </w:tcPr>
          <w:p w14:paraId="4F12548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鹅颈式实验室专用优质化验水嘴：要求防酸碱、防锈、防虹吸、防阻塞，表面环氧树脂喷涂。开关阀芯为铜质陶瓷芯，高头，便于多用途使用，可拆卸清洗阻塞。出水嘴可拆卸，内有成型螺纹，可方便连接循环等特殊用水水管。</w:t>
            </w:r>
          </w:p>
          <w:p w14:paraId="0C923CC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本次投标的水嘴须为《关于印发节能产品政府采购品目清单的通知》（财库〔2019〕19号）中列明的政府强制采购产品，投标文件须中提供《市场监管总局关于发布参与实施政府采购节能产品、环境标志产品认证机构名录的公告》(2019 年第 16 号)中相应认证机构出具的、处于有效期之内的节能标志产品认证证书复印件加盖投标人公章。</w:t>
            </w:r>
          </w:p>
        </w:tc>
        <w:tc>
          <w:tcPr>
            <w:tcW w:w="247" w:type="pct"/>
            <w:shd w:val="clear" w:color="auto" w:fill="auto"/>
            <w:vAlign w:val="center"/>
          </w:tcPr>
          <w:p w14:paraId="3A2D391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301" w:type="pct"/>
            <w:shd w:val="clear" w:color="auto" w:fill="auto"/>
            <w:noWrap/>
            <w:vAlign w:val="center"/>
          </w:tcPr>
          <w:p w14:paraId="1675F77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936" w:type="pct"/>
            <w:shd w:val="clear" w:color="auto" w:fill="auto"/>
            <w:noWrap/>
            <w:vAlign w:val="center"/>
          </w:tcPr>
          <w:p w14:paraId="6D7D4C87">
            <w:pPr>
              <w:rPr>
                <w:rFonts w:hint="eastAsia" w:ascii="宋体" w:hAnsi="宋体" w:eastAsia="宋体" w:cs="宋体"/>
                <w:i w:val="0"/>
                <w:iCs w:val="0"/>
                <w:color w:val="000000"/>
                <w:sz w:val="21"/>
                <w:szCs w:val="21"/>
                <w:highlight w:val="none"/>
                <w:u w:val="none"/>
              </w:rPr>
            </w:pPr>
          </w:p>
        </w:tc>
        <w:tc>
          <w:tcPr>
            <w:tcW w:w="737" w:type="pct"/>
            <w:shd w:val="clear" w:color="auto" w:fill="auto"/>
            <w:noWrap/>
            <w:vAlign w:val="center"/>
          </w:tcPr>
          <w:p w14:paraId="22EA2564">
            <w:pPr>
              <w:rPr>
                <w:rFonts w:hint="eastAsia" w:ascii="宋体" w:hAnsi="宋体" w:eastAsia="宋体" w:cs="宋体"/>
                <w:i w:val="0"/>
                <w:iCs w:val="0"/>
                <w:color w:val="000000"/>
                <w:sz w:val="21"/>
                <w:szCs w:val="21"/>
                <w:highlight w:val="none"/>
                <w:u w:val="none"/>
              </w:rPr>
            </w:pPr>
          </w:p>
        </w:tc>
      </w:tr>
      <w:tr w14:paraId="518E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65" w:hRule="atLeast"/>
        </w:trPr>
        <w:tc>
          <w:tcPr>
            <w:tcW w:w="254" w:type="pct"/>
            <w:shd w:val="clear" w:color="auto" w:fill="auto"/>
            <w:vAlign w:val="center"/>
          </w:tcPr>
          <w:p w14:paraId="108E27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cs="宋体"/>
                <w:i w:val="0"/>
                <w:iCs w:val="0"/>
                <w:color w:val="000000"/>
                <w:kern w:val="0"/>
                <w:sz w:val="21"/>
                <w:szCs w:val="21"/>
                <w:highlight w:val="none"/>
                <w:u w:val="none"/>
                <w:lang w:val="en-US" w:eastAsia="zh-CN" w:bidi="ar"/>
              </w:rPr>
              <w:t>9</w:t>
            </w:r>
          </w:p>
        </w:tc>
        <w:tc>
          <w:tcPr>
            <w:tcW w:w="405" w:type="pct"/>
            <w:shd w:val="clear" w:color="auto" w:fill="auto"/>
            <w:vAlign w:val="center"/>
          </w:tcPr>
          <w:p w14:paraId="692CDF3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学生安全电源</w:t>
            </w:r>
          </w:p>
        </w:tc>
        <w:tc>
          <w:tcPr>
            <w:tcW w:w="2116" w:type="pct"/>
            <w:shd w:val="clear" w:color="auto" w:fill="auto"/>
            <w:vAlign w:val="top"/>
          </w:tcPr>
          <w:p w14:paraId="601594C5">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1.学生电源采用集中供电的嵌入式受控电源。</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2.学生电源显示交直流电压。既能独立操作，也能被教师控制。</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3.学生低压交流电源电压为0V-24V/2A分辨率为1V。具备自动过载保护功能。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4.学生低压直流电源电压为0V-24V/2A，分辨率为0.1V。</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   要测试1.2V到0V的电压应0.1V可调。</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5.学生电源被教师控制及锁定后，学生端不能操作。</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6.液晶显示屏采用≥1.7寸LCD屏，数字显示交流、直流电流。</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7.配置2组220V国标5孔插座。保险过载保护。</w:t>
            </w:r>
          </w:p>
        </w:tc>
        <w:tc>
          <w:tcPr>
            <w:tcW w:w="247" w:type="pct"/>
            <w:shd w:val="clear" w:color="auto" w:fill="auto"/>
            <w:vAlign w:val="center"/>
          </w:tcPr>
          <w:p w14:paraId="249845B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301" w:type="pct"/>
            <w:shd w:val="clear" w:color="auto" w:fill="auto"/>
            <w:noWrap/>
            <w:vAlign w:val="center"/>
          </w:tcPr>
          <w:p w14:paraId="3473EC6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936" w:type="pct"/>
            <w:shd w:val="clear" w:color="auto" w:fill="auto"/>
            <w:noWrap/>
            <w:vAlign w:val="center"/>
          </w:tcPr>
          <w:p w14:paraId="4389EAD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71755</wp:posOffset>
                  </wp:positionV>
                  <wp:extent cx="1178560" cy="752475"/>
                  <wp:effectExtent l="0" t="0" r="2540" b="9525"/>
                  <wp:wrapNone/>
                  <wp:docPr id="59" name="图片_8"/>
                  <wp:cNvGraphicFramePr/>
                  <a:graphic xmlns:a="http://schemas.openxmlformats.org/drawingml/2006/main">
                    <a:graphicData uri="http://schemas.openxmlformats.org/drawingml/2006/picture">
                      <pic:pic xmlns:pic="http://schemas.openxmlformats.org/drawingml/2006/picture">
                        <pic:nvPicPr>
                          <pic:cNvPr id="59" name="图片_8"/>
                          <pic:cNvPicPr/>
                        </pic:nvPicPr>
                        <pic:blipFill>
                          <a:blip r:embed="rId39"/>
                          <a:stretch>
                            <a:fillRect/>
                          </a:stretch>
                        </pic:blipFill>
                        <pic:spPr>
                          <a:xfrm>
                            <a:off x="0" y="0"/>
                            <a:ext cx="1178560" cy="752475"/>
                          </a:xfrm>
                          <a:prstGeom prst="rect">
                            <a:avLst/>
                          </a:prstGeom>
                          <a:noFill/>
                          <a:ln>
                            <a:noFill/>
                          </a:ln>
                        </pic:spPr>
                      </pic:pic>
                    </a:graphicData>
                  </a:graphic>
                </wp:anchor>
              </w:drawing>
            </w:r>
          </w:p>
        </w:tc>
        <w:tc>
          <w:tcPr>
            <w:tcW w:w="737" w:type="pct"/>
            <w:shd w:val="clear" w:color="auto" w:fill="auto"/>
            <w:noWrap/>
            <w:vAlign w:val="center"/>
          </w:tcPr>
          <w:p w14:paraId="39828F1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6A4D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254" w:type="pct"/>
            <w:shd w:val="clear" w:color="auto" w:fill="auto"/>
            <w:vAlign w:val="center"/>
          </w:tcPr>
          <w:p w14:paraId="74D488A9">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i w:val="0"/>
                <w:iCs w:val="0"/>
                <w:color w:val="000000"/>
                <w:kern w:val="0"/>
                <w:sz w:val="21"/>
                <w:szCs w:val="21"/>
                <w:highlight w:val="none"/>
                <w:u w:val="none"/>
                <w:lang w:val="en-US" w:eastAsia="zh-CN" w:bidi="ar"/>
              </w:rPr>
              <w:t>10</w:t>
            </w:r>
          </w:p>
        </w:tc>
        <w:tc>
          <w:tcPr>
            <w:tcW w:w="405" w:type="pct"/>
            <w:shd w:val="clear" w:color="auto" w:fill="auto"/>
            <w:vAlign w:val="center"/>
          </w:tcPr>
          <w:p w14:paraId="61C21A6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教师总控电源</w:t>
            </w:r>
          </w:p>
        </w:tc>
        <w:tc>
          <w:tcPr>
            <w:tcW w:w="2116" w:type="pct"/>
            <w:shd w:val="clear" w:color="auto" w:fill="auto"/>
            <w:vAlign w:val="top"/>
          </w:tcPr>
          <w:p w14:paraId="7CFA8F56">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教师控制台控制区采用7寸触摸屏操作方式。</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1.采用火线、零线双组开管的漏电保护器，电流63A。</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2.具有年月日、时分秒、定时自动关机功能。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3.定时关机时间，可以教师根据任务要求按需设定。</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4.采用≥7寸触摸屏控制，显示教师和学生交直流电压、电流。</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5.分4组向学生实验桌输出安全的220V交流电源，每组16A空开控制。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6.配置2组国标5孔220V输出插座，2组USB输出孔，5V/2.1A。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7.教师集中供电控制学生低压，根据学生需求按相应的数值确定。教师监控分四组控制，且有电流监控功能，当电流超过60A过载保护，功率箱指示灯闪烁。</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8.教师自用低压交流电源电压为0V-18V/3A、19V-30V2A，分辨率为1V。具备自动过载保护功能。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9.教师自用低压直流电源电压为0V-18.0V/2A、18.1V-30.0V/1.5A，分辨率为0.1V。具备自动过载保护功能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10.大电流短时输出。8秒自动关断。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11.直流高压：输出240V或300V的高压，输出电流为100mA,具备过载保护功能.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12.电源的性能符合《 JY/T 0374-2004 教学实验室设备电源系统 》中的相关要求。</w:t>
            </w:r>
          </w:p>
        </w:tc>
        <w:tc>
          <w:tcPr>
            <w:tcW w:w="247" w:type="pct"/>
            <w:shd w:val="clear" w:color="auto" w:fill="auto"/>
            <w:vAlign w:val="center"/>
          </w:tcPr>
          <w:p w14:paraId="08B06EA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01" w:type="pct"/>
            <w:shd w:val="clear" w:color="auto" w:fill="auto"/>
            <w:noWrap/>
            <w:vAlign w:val="center"/>
          </w:tcPr>
          <w:p w14:paraId="0F842B7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936" w:type="pct"/>
            <w:shd w:val="clear" w:color="auto" w:fill="auto"/>
            <w:noWrap/>
            <w:vAlign w:val="center"/>
          </w:tcPr>
          <w:p w14:paraId="277C77D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61595</wp:posOffset>
                  </wp:positionV>
                  <wp:extent cx="1585595" cy="825500"/>
                  <wp:effectExtent l="0" t="0" r="14605" b="12700"/>
                  <wp:wrapNone/>
                  <wp:docPr id="61" name="图片_9"/>
                  <wp:cNvGraphicFramePr/>
                  <a:graphic xmlns:a="http://schemas.openxmlformats.org/drawingml/2006/main">
                    <a:graphicData uri="http://schemas.openxmlformats.org/drawingml/2006/picture">
                      <pic:pic xmlns:pic="http://schemas.openxmlformats.org/drawingml/2006/picture">
                        <pic:nvPicPr>
                          <pic:cNvPr id="61" name="图片_9"/>
                          <pic:cNvPicPr/>
                        </pic:nvPicPr>
                        <pic:blipFill>
                          <a:blip r:embed="rId40"/>
                          <a:stretch>
                            <a:fillRect/>
                          </a:stretch>
                        </pic:blipFill>
                        <pic:spPr>
                          <a:xfrm>
                            <a:off x="0" y="0"/>
                            <a:ext cx="1585595" cy="825500"/>
                          </a:xfrm>
                          <a:prstGeom prst="rect">
                            <a:avLst/>
                          </a:prstGeom>
                          <a:noFill/>
                          <a:ln>
                            <a:noFill/>
                          </a:ln>
                        </pic:spPr>
                      </pic:pic>
                    </a:graphicData>
                  </a:graphic>
                </wp:anchor>
              </w:drawing>
            </w:r>
          </w:p>
        </w:tc>
        <w:tc>
          <w:tcPr>
            <w:tcW w:w="737" w:type="pct"/>
            <w:shd w:val="clear" w:color="auto" w:fill="auto"/>
            <w:noWrap/>
            <w:vAlign w:val="center"/>
          </w:tcPr>
          <w:p w14:paraId="50CF661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241A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254" w:type="pct"/>
            <w:shd w:val="clear" w:color="auto" w:fill="auto"/>
            <w:vAlign w:val="center"/>
          </w:tcPr>
          <w:p w14:paraId="0951C0D9">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cs="宋体"/>
                <w:i w:val="0"/>
                <w:iCs w:val="0"/>
                <w:color w:val="000000"/>
                <w:kern w:val="0"/>
                <w:sz w:val="21"/>
                <w:szCs w:val="21"/>
                <w:highlight w:val="none"/>
                <w:u w:val="none"/>
                <w:lang w:val="en-US" w:eastAsia="zh-CN" w:bidi="ar"/>
              </w:rPr>
              <w:t>11</w:t>
            </w:r>
          </w:p>
        </w:tc>
        <w:tc>
          <w:tcPr>
            <w:tcW w:w="405" w:type="pct"/>
            <w:shd w:val="clear" w:color="auto" w:fill="auto"/>
            <w:vAlign w:val="center"/>
          </w:tcPr>
          <w:p w14:paraId="3D12DC6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实验凳</w:t>
            </w:r>
          </w:p>
        </w:tc>
        <w:tc>
          <w:tcPr>
            <w:tcW w:w="2116" w:type="pct"/>
            <w:shd w:val="clear" w:color="auto" w:fill="auto"/>
            <w:vAlign w:val="top"/>
          </w:tcPr>
          <w:p w14:paraId="55A31865">
            <w:pPr>
              <w:keepNext w:val="0"/>
              <w:keepLines w:val="0"/>
              <w:widowControl/>
              <w:numPr>
                <w:ilvl w:val="0"/>
                <w:numId w:val="13"/>
              </w:numPr>
              <w:suppressLineNumbers w:val="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规格：Φ300*450-500mm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CN" w:bidi="ar"/>
              </w:rPr>
              <w:t>凳面</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 xml:space="preserve">1、材质：采用环保型ABS改性塑料一次性注塑成型 2、尺寸：30cm×3cm 3、表面细纹咬花，防滑不发光                                                                                                                                                                                                                                                                   </w:t>
            </w:r>
            <w:r>
              <w:rPr>
                <w:rFonts w:hint="eastAsia" w:ascii="宋体" w:hAnsi="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CN" w:bidi="ar"/>
              </w:rPr>
              <w:t>脚钢架</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1、材质及形状：椭圆形无缝钢管  2、尺寸:16×36×1.45mm 3、全圆满焊接完成，结构牢固，经高温粉体烤漆处理，长时间使用也不会产生表面烤漆剥落现象</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CN" w:bidi="ar"/>
              </w:rPr>
              <w:t>脚垫</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 xml:space="preserve">1、材质：采用PP加耐磨纤维质塑料，实心倒勾式一体射出成型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5.</w:t>
            </w:r>
            <w:r>
              <w:rPr>
                <w:rFonts w:hint="eastAsia" w:ascii="宋体" w:hAnsi="宋体" w:eastAsia="宋体" w:cs="宋体"/>
                <w:i w:val="0"/>
                <w:iCs w:val="0"/>
                <w:color w:val="000000"/>
                <w:kern w:val="0"/>
                <w:sz w:val="21"/>
                <w:szCs w:val="21"/>
                <w:highlight w:val="none"/>
                <w:u w:val="none"/>
                <w:lang w:val="en-US" w:eastAsia="zh-CN" w:bidi="ar"/>
              </w:rPr>
              <w:t>凳面可通过旋转螺杆来升降凳子高度</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可调高度5cm。</w:t>
            </w:r>
          </w:p>
          <w:p w14:paraId="7018086B">
            <w:pPr>
              <w:keepNext w:val="0"/>
              <w:keepLines w:val="0"/>
              <w:widowControl/>
              <w:numPr>
                <w:ilvl w:val="0"/>
                <w:numId w:val="0"/>
              </w:numPr>
              <w:suppressLineNumbers w:val="0"/>
              <w:jc w:val="left"/>
              <w:textAlignment w:val="top"/>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CN" w:bidi="ar"/>
              </w:rPr>
              <w:t>为保证产品质量及从环保角度保障实验室人员健康，产品</w:t>
            </w:r>
            <w:r>
              <w:rPr>
                <w:rFonts w:hint="eastAsia" w:ascii="宋体" w:hAnsi="宋体" w:cs="宋体"/>
                <w:i w:val="0"/>
                <w:iCs w:val="0"/>
                <w:color w:val="000000"/>
                <w:kern w:val="0"/>
                <w:sz w:val="21"/>
                <w:szCs w:val="21"/>
                <w:highlight w:val="none"/>
                <w:u w:val="none"/>
                <w:lang w:val="en-US" w:eastAsia="zh-CN" w:bidi="ar"/>
              </w:rPr>
              <w:t>需要</w:t>
            </w:r>
            <w:r>
              <w:rPr>
                <w:rFonts w:hint="eastAsia" w:ascii="宋体" w:hAnsi="宋体" w:eastAsia="宋体" w:cs="宋体"/>
                <w:i w:val="0"/>
                <w:iCs w:val="0"/>
                <w:color w:val="000000"/>
                <w:kern w:val="0"/>
                <w:sz w:val="21"/>
                <w:szCs w:val="21"/>
                <w:highlight w:val="none"/>
                <w:u w:val="none"/>
                <w:lang w:val="en-US" w:eastAsia="zh-CN" w:bidi="ar"/>
              </w:rPr>
              <w:t>符合以下技术参数及要求：</w:t>
            </w:r>
          </w:p>
          <w:p w14:paraId="25856015">
            <w:pPr>
              <w:keepNext w:val="0"/>
              <w:keepLines w:val="0"/>
              <w:widowControl/>
              <w:suppressLineNumbers w:val="0"/>
              <w:shd w:val="clear"/>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6.1</w:t>
            </w:r>
            <w:r>
              <w:rPr>
                <w:rFonts w:hint="eastAsia" w:ascii="宋体" w:hAnsi="宋体" w:eastAsia="宋体" w:cs="宋体"/>
                <w:i w:val="0"/>
                <w:iCs w:val="0"/>
                <w:color w:val="000000"/>
                <w:kern w:val="0"/>
                <w:sz w:val="21"/>
                <w:szCs w:val="21"/>
                <w:highlight w:val="none"/>
                <w:u w:val="none"/>
                <w:lang w:val="en-US" w:eastAsia="zh-CN" w:bidi="ar"/>
              </w:rPr>
              <w:t>提供实验凳符合GB/T16422.2-2022《塑料 实验室光源暴露试验方法 第2部分：氙弧灯》标准，检测项目包含老化测试至少10h，检测结果：外观无明显变化。</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6.2</w:t>
            </w:r>
            <w:r>
              <w:rPr>
                <w:rFonts w:hint="eastAsia" w:ascii="宋体" w:hAnsi="宋体" w:eastAsia="宋体" w:cs="宋体"/>
                <w:i w:val="0"/>
                <w:iCs w:val="0"/>
                <w:color w:val="000000"/>
                <w:kern w:val="0"/>
                <w:sz w:val="21"/>
                <w:szCs w:val="21"/>
                <w:highlight w:val="none"/>
                <w:u w:val="none"/>
                <w:lang w:val="en-US" w:eastAsia="zh-CN" w:bidi="ar"/>
              </w:rPr>
              <w:t>提供钢管符合GB/T4893.2-2020《家具表面漆膜理化性能试验第2部分：</w:t>
            </w:r>
            <w:r>
              <w:rPr>
                <w:rFonts w:hint="eastAsia" w:ascii="宋体" w:hAnsi="宋体" w:eastAsia="宋体" w:cs="宋体"/>
                <w:i w:val="0"/>
                <w:iCs w:val="0"/>
                <w:color w:val="auto"/>
                <w:kern w:val="0"/>
                <w:sz w:val="21"/>
                <w:szCs w:val="21"/>
                <w:highlight w:val="none"/>
                <w:u w:val="none"/>
                <w:lang w:val="en-US" w:eastAsia="zh-CN" w:bidi="ar"/>
              </w:rPr>
              <w:t>耐湿热测定法》，检测项目包含耐湿热性至少10h，检测结果达到1级：无变化。</w:t>
            </w:r>
          </w:p>
          <w:p w14:paraId="6ACE3080">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cs="宋体"/>
                <w:b/>
                <w:bCs/>
                <w:i w:val="0"/>
                <w:iCs w:val="0"/>
                <w:color w:val="auto"/>
                <w:kern w:val="0"/>
                <w:sz w:val="21"/>
                <w:szCs w:val="21"/>
                <w:highlight w:val="none"/>
                <w:u w:val="none"/>
                <w:shd w:val="clear"/>
                <w:lang w:val="en-US" w:eastAsia="zh-CN" w:bidi="ar"/>
              </w:rPr>
              <w:t>投标文件中</w:t>
            </w:r>
            <w:r>
              <w:rPr>
                <w:rFonts w:hint="eastAsia" w:ascii="宋体" w:hAnsi="宋体" w:eastAsia="宋体" w:cs="宋体"/>
                <w:b/>
                <w:bCs/>
                <w:i w:val="0"/>
                <w:iCs w:val="0"/>
                <w:color w:val="auto"/>
                <w:kern w:val="0"/>
                <w:sz w:val="21"/>
                <w:szCs w:val="21"/>
                <w:highlight w:val="none"/>
                <w:u w:val="none"/>
                <w:shd w:val="clear"/>
                <w:lang w:val="en-US" w:eastAsia="zh-CN" w:bidi="ar"/>
              </w:rPr>
              <w:t>提供具有CMA认证资质的第三方检测机构出具的检测报告，</w:t>
            </w:r>
            <w:r>
              <w:rPr>
                <w:rFonts w:hint="eastAsia" w:ascii="宋体" w:hAnsi="宋体" w:eastAsia="宋体" w:cs="宋体"/>
                <w:b/>
                <w:bCs/>
                <w:i w:val="0"/>
                <w:iCs w:val="0"/>
                <w:color w:val="000000"/>
                <w:kern w:val="0"/>
                <w:sz w:val="21"/>
                <w:szCs w:val="21"/>
                <w:highlight w:val="none"/>
                <w:u w:val="none"/>
                <w:lang w:val="en-US" w:eastAsia="zh-CN" w:bidi="ar"/>
              </w:rPr>
              <w:t>且报告中须反应以上</w:t>
            </w:r>
            <w:r>
              <w:rPr>
                <w:rFonts w:hint="eastAsia" w:ascii="宋体" w:hAnsi="宋体" w:cs="宋体"/>
                <w:b/>
                <w:bCs/>
                <w:i w:val="0"/>
                <w:iCs w:val="0"/>
                <w:color w:val="000000"/>
                <w:kern w:val="0"/>
                <w:sz w:val="21"/>
                <w:szCs w:val="21"/>
                <w:highlight w:val="none"/>
                <w:u w:val="none"/>
                <w:lang w:val="en-US" w:eastAsia="zh-CN" w:bidi="ar"/>
              </w:rPr>
              <w:t>6.1</w:t>
            </w:r>
            <w:r>
              <w:rPr>
                <w:rFonts w:hint="eastAsia" w:ascii="宋体" w:hAnsi="宋体" w:eastAsia="宋体" w:cs="宋体"/>
                <w:b/>
                <w:bCs/>
                <w:i w:val="0"/>
                <w:iCs w:val="0"/>
                <w:color w:val="000000"/>
                <w:kern w:val="0"/>
                <w:sz w:val="21"/>
                <w:szCs w:val="21"/>
                <w:highlight w:val="none"/>
                <w:u w:val="none"/>
                <w:lang w:val="en-US" w:eastAsia="zh-CN" w:bidi="ar"/>
              </w:rPr>
              <w:t>～</w:t>
            </w:r>
            <w:r>
              <w:rPr>
                <w:rFonts w:hint="eastAsia" w:ascii="宋体" w:hAnsi="宋体" w:cs="宋体"/>
                <w:b/>
                <w:bCs/>
                <w:i w:val="0"/>
                <w:iCs w:val="0"/>
                <w:color w:val="000000"/>
                <w:kern w:val="0"/>
                <w:sz w:val="21"/>
                <w:szCs w:val="21"/>
                <w:highlight w:val="none"/>
                <w:u w:val="none"/>
                <w:lang w:val="en-US" w:eastAsia="zh-CN" w:bidi="ar"/>
              </w:rPr>
              <w:t>6.2</w:t>
            </w:r>
            <w:r>
              <w:rPr>
                <w:rFonts w:hint="eastAsia" w:ascii="宋体" w:hAnsi="宋体" w:eastAsia="宋体" w:cs="宋体"/>
                <w:b/>
                <w:bCs/>
                <w:i w:val="0"/>
                <w:iCs w:val="0"/>
                <w:color w:val="000000"/>
                <w:kern w:val="0"/>
                <w:sz w:val="21"/>
                <w:szCs w:val="21"/>
                <w:highlight w:val="none"/>
                <w:u w:val="none"/>
                <w:lang w:val="en-US" w:eastAsia="zh-CN" w:bidi="ar"/>
              </w:rPr>
              <w:t>项技术指标。</w:t>
            </w:r>
          </w:p>
        </w:tc>
        <w:tc>
          <w:tcPr>
            <w:tcW w:w="247" w:type="pct"/>
            <w:shd w:val="clear" w:color="auto" w:fill="auto"/>
            <w:vAlign w:val="center"/>
          </w:tcPr>
          <w:p w14:paraId="7833C7F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50</w:t>
            </w:r>
          </w:p>
        </w:tc>
        <w:tc>
          <w:tcPr>
            <w:tcW w:w="301" w:type="pct"/>
            <w:shd w:val="clear" w:color="auto" w:fill="auto"/>
            <w:noWrap/>
            <w:vAlign w:val="center"/>
          </w:tcPr>
          <w:p w14:paraId="0B0E007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936" w:type="pct"/>
            <w:shd w:val="clear" w:color="auto" w:fill="auto"/>
            <w:noWrap/>
            <w:vAlign w:val="center"/>
          </w:tcPr>
          <w:p w14:paraId="21F3393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373380</wp:posOffset>
                  </wp:positionH>
                  <wp:positionV relativeFrom="paragraph">
                    <wp:posOffset>152400</wp:posOffset>
                  </wp:positionV>
                  <wp:extent cx="937260" cy="922020"/>
                  <wp:effectExtent l="0" t="0" r="15240" b="11430"/>
                  <wp:wrapNone/>
                  <wp:docPr id="65" name="Picture_1_SpCnt_1"/>
                  <wp:cNvGraphicFramePr/>
                  <a:graphic xmlns:a="http://schemas.openxmlformats.org/drawingml/2006/main">
                    <a:graphicData uri="http://schemas.openxmlformats.org/drawingml/2006/picture">
                      <pic:pic xmlns:pic="http://schemas.openxmlformats.org/drawingml/2006/picture">
                        <pic:nvPicPr>
                          <pic:cNvPr id="65" name="Picture_1_SpCnt_1"/>
                          <pic:cNvPicPr/>
                        </pic:nvPicPr>
                        <pic:blipFill>
                          <a:blip r:embed="rId41"/>
                          <a:stretch>
                            <a:fillRect/>
                          </a:stretch>
                        </pic:blipFill>
                        <pic:spPr>
                          <a:xfrm>
                            <a:off x="0" y="0"/>
                            <a:ext cx="937260" cy="922020"/>
                          </a:xfrm>
                          <a:prstGeom prst="rect">
                            <a:avLst/>
                          </a:prstGeom>
                          <a:noFill/>
                          <a:ln>
                            <a:noFill/>
                          </a:ln>
                        </pic:spPr>
                      </pic:pic>
                    </a:graphicData>
                  </a:graphic>
                </wp:anchor>
              </w:drawing>
            </w:r>
          </w:p>
        </w:tc>
        <w:tc>
          <w:tcPr>
            <w:tcW w:w="737" w:type="pct"/>
            <w:shd w:val="clear" w:color="auto" w:fill="auto"/>
            <w:noWrap/>
            <w:vAlign w:val="center"/>
          </w:tcPr>
          <w:p w14:paraId="2A7CD60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bdr w:val="single" w:color="000000" w:sz="4" w:space="0"/>
                <w:lang w:val="en-US" w:eastAsia="zh-CN" w:bidi="ar"/>
              </w:rPr>
            </w:pPr>
          </w:p>
        </w:tc>
      </w:tr>
      <w:tr w14:paraId="41DB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2" w:hRule="atLeast"/>
        </w:trPr>
        <w:tc>
          <w:tcPr>
            <w:tcW w:w="254" w:type="pct"/>
            <w:shd w:val="clear" w:color="auto" w:fill="auto"/>
            <w:vAlign w:val="center"/>
          </w:tcPr>
          <w:p w14:paraId="5598C17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cs="宋体"/>
                <w:i w:val="0"/>
                <w:iCs w:val="0"/>
                <w:color w:val="000000"/>
                <w:kern w:val="0"/>
                <w:sz w:val="21"/>
                <w:szCs w:val="21"/>
                <w:highlight w:val="none"/>
                <w:u w:val="none"/>
                <w:lang w:val="en-US" w:eastAsia="zh-CN" w:bidi="ar"/>
              </w:rPr>
              <w:t>2</w:t>
            </w:r>
          </w:p>
        </w:tc>
        <w:tc>
          <w:tcPr>
            <w:tcW w:w="405" w:type="pct"/>
            <w:shd w:val="clear" w:color="auto" w:fill="auto"/>
            <w:vAlign w:val="center"/>
          </w:tcPr>
          <w:p w14:paraId="20EE9E5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实验光源</w:t>
            </w:r>
          </w:p>
        </w:tc>
        <w:tc>
          <w:tcPr>
            <w:tcW w:w="2116" w:type="pct"/>
            <w:shd w:val="clear" w:color="auto" w:fill="auto"/>
            <w:vAlign w:val="center"/>
          </w:tcPr>
          <w:p w14:paraId="5F1A501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不锈钢LED灯，支架采用不锈钢材质，灯管角度可以自由调节，灯管采用LED灯，光照亮度温和，使用寿命长。</w:t>
            </w:r>
          </w:p>
        </w:tc>
        <w:tc>
          <w:tcPr>
            <w:tcW w:w="247" w:type="pct"/>
            <w:shd w:val="clear" w:color="auto" w:fill="auto"/>
            <w:vAlign w:val="center"/>
          </w:tcPr>
          <w:p w14:paraId="6EEEF2E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301" w:type="pct"/>
            <w:shd w:val="clear" w:color="auto" w:fill="auto"/>
            <w:noWrap/>
            <w:vAlign w:val="center"/>
          </w:tcPr>
          <w:p w14:paraId="284CF1E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936" w:type="pct"/>
            <w:shd w:val="clear" w:color="auto" w:fill="auto"/>
            <w:noWrap/>
            <w:vAlign w:val="center"/>
          </w:tcPr>
          <w:p w14:paraId="23D3B6BB">
            <w:pPr>
              <w:rPr>
                <w:rFonts w:hint="eastAsia" w:ascii="宋体" w:hAnsi="宋体" w:eastAsia="宋体" w:cs="宋体"/>
                <w:i w:val="0"/>
                <w:iCs w:val="0"/>
                <w:color w:val="000000"/>
                <w:sz w:val="21"/>
                <w:szCs w:val="21"/>
                <w:highlight w:val="none"/>
                <w:u w:val="none"/>
              </w:rPr>
            </w:pPr>
          </w:p>
        </w:tc>
        <w:tc>
          <w:tcPr>
            <w:tcW w:w="737" w:type="pct"/>
            <w:shd w:val="clear" w:color="auto" w:fill="auto"/>
            <w:noWrap/>
            <w:vAlign w:val="center"/>
          </w:tcPr>
          <w:p w14:paraId="07E168C4">
            <w:pPr>
              <w:rPr>
                <w:rFonts w:hint="eastAsia" w:ascii="宋体" w:hAnsi="宋体" w:eastAsia="宋体" w:cs="宋体"/>
                <w:i w:val="0"/>
                <w:iCs w:val="0"/>
                <w:color w:val="000000"/>
                <w:sz w:val="21"/>
                <w:szCs w:val="21"/>
                <w:highlight w:val="none"/>
                <w:u w:val="none"/>
              </w:rPr>
            </w:pPr>
          </w:p>
        </w:tc>
      </w:tr>
      <w:tr w14:paraId="0EB3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54" w:type="pct"/>
            <w:shd w:val="clear" w:color="auto" w:fill="auto"/>
            <w:vAlign w:val="center"/>
          </w:tcPr>
          <w:p w14:paraId="1355151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cs="宋体"/>
                <w:i w:val="0"/>
                <w:iCs w:val="0"/>
                <w:color w:val="000000"/>
                <w:kern w:val="0"/>
                <w:sz w:val="21"/>
                <w:szCs w:val="21"/>
                <w:highlight w:val="none"/>
                <w:u w:val="none"/>
                <w:lang w:val="en-US" w:eastAsia="zh-CN" w:bidi="ar"/>
              </w:rPr>
              <w:t>3</w:t>
            </w:r>
          </w:p>
        </w:tc>
        <w:tc>
          <w:tcPr>
            <w:tcW w:w="405" w:type="pct"/>
            <w:shd w:val="clear" w:color="auto" w:fill="auto"/>
            <w:vAlign w:val="center"/>
          </w:tcPr>
          <w:p w14:paraId="7152C40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教师椅</w:t>
            </w:r>
          </w:p>
        </w:tc>
        <w:tc>
          <w:tcPr>
            <w:tcW w:w="2116" w:type="pct"/>
            <w:shd w:val="clear" w:color="auto" w:fill="auto"/>
            <w:vAlign w:val="top"/>
          </w:tcPr>
          <w:p w14:paraId="79FF795C">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规格：500*500*800mm靠背及下座采用高密度网布格，阻燃、舒适、回弹性好。面料为优质网布格。依照人体工程学设计，线条流畅，美观大方，骨架钢管电镀，气动升降。</w:t>
            </w:r>
          </w:p>
        </w:tc>
        <w:tc>
          <w:tcPr>
            <w:tcW w:w="247" w:type="pct"/>
            <w:shd w:val="clear" w:color="auto" w:fill="auto"/>
            <w:vAlign w:val="center"/>
          </w:tcPr>
          <w:p w14:paraId="3B0B93B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01" w:type="pct"/>
            <w:shd w:val="clear" w:color="auto" w:fill="auto"/>
            <w:noWrap/>
            <w:vAlign w:val="center"/>
          </w:tcPr>
          <w:p w14:paraId="169C192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936" w:type="pct"/>
            <w:shd w:val="clear" w:color="auto" w:fill="auto"/>
            <w:noWrap/>
            <w:vAlign w:val="center"/>
          </w:tcPr>
          <w:p w14:paraId="2F85939C">
            <w:pPr>
              <w:rPr>
                <w:rFonts w:hint="eastAsia" w:ascii="宋体" w:hAnsi="宋体" w:eastAsia="宋体" w:cs="宋体"/>
                <w:i w:val="0"/>
                <w:iCs w:val="0"/>
                <w:color w:val="000000"/>
                <w:sz w:val="21"/>
                <w:szCs w:val="21"/>
                <w:highlight w:val="none"/>
                <w:u w:val="none"/>
              </w:rPr>
            </w:pPr>
          </w:p>
        </w:tc>
        <w:tc>
          <w:tcPr>
            <w:tcW w:w="737" w:type="pct"/>
            <w:shd w:val="clear" w:color="auto" w:fill="auto"/>
            <w:noWrap/>
            <w:vAlign w:val="center"/>
          </w:tcPr>
          <w:p w14:paraId="33A643C9">
            <w:pPr>
              <w:rPr>
                <w:rFonts w:hint="eastAsia" w:ascii="宋体" w:hAnsi="宋体" w:eastAsia="宋体" w:cs="宋体"/>
                <w:i w:val="0"/>
                <w:iCs w:val="0"/>
                <w:color w:val="000000"/>
                <w:sz w:val="21"/>
                <w:szCs w:val="21"/>
                <w:highlight w:val="none"/>
                <w:u w:val="none"/>
              </w:rPr>
            </w:pPr>
          </w:p>
        </w:tc>
      </w:tr>
      <w:tr w14:paraId="1760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54" w:type="pct"/>
            <w:shd w:val="clear" w:color="auto" w:fill="auto"/>
            <w:vAlign w:val="center"/>
          </w:tcPr>
          <w:p w14:paraId="379406A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cs="宋体"/>
                <w:i w:val="0"/>
                <w:iCs w:val="0"/>
                <w:color w:val="000000"/>
                <w:kern w:val="0"/>
                <w:sz w:val="21"/>
                <w:szCs w:val="21"/>
                <w:highlight w:val="none"/>
                <w:u w:val="none"/>
                <w:lang w:val="en-US" w:eastAsia="zh-CN" w:bidi="ar"/>
              </w:rPr>
              <w:t>4</w:t>
            </w:r>
          </w:p>
        </w:tc>
        <w:tc>
          <w:tcPr>
            <w:tcW w:w="405" w:type="pct"/>
            <w:shd w:val="clear" w:color="auto" w:fill="auto"/>
            <w:vAlign w:val="center"/>
          </w:tcPr>
          <w:p w14:paraId="74EC145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电气布线（地面以上部分）</w:t>
            </w:r>
          </w:p>
        </w:tc>
        <w:tc>
          <w:tcPr>
            <w:tcW w:w="2116" w:type="pct"/>
            <w:shd w:val="clear" w:color="auto" w:fill="auto"/>
            <w:vAlign w:val="center"/>
          </w:tcPr>
          <w:p w14:paraId="56EB7DC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DN25mm阻燃线管；4、2.5平方国标线材，符合国家标准。</w:t>
            </w:r>
          </w:p>
        </w:tc>
        <w:tc>
          <w:tcPr>
            <w:tcW w:w="247" w:type="pct"/>
            <w:shd w:val="clear" w:color="auto" w:fill="auto"/>
            <w:vAlign w:val="center"/>
          </w:tcPr>
          <w:p w14:paraId="7E31D8F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01" w:type="pct"/>
            <w:shd w:val="clear" w:color="auto" w:fill="auto"/>
            <w:noWrap/>
            <w:vAlign w:val="center"/>
          </w:tcPr>
          <w:p w14:paraId="4C8CE18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936" w:type="pct"/>
            <w:shd w:val="clear" w:color="auto" w:fill="auto"/>
            <w:noWrap/>
            <w:vAlign w:val="center"/>
          </w:tcPr>
          <w:p w14:paraId="18C34AE4">
            <w:pPr>
              <w:rPr>
                <w:rFonts w:hint="eastAsia" w:ascii="宋体" w:hAnsi="宋体" w:eastAsia="宋体" w:cs="宋体"/>
                <w:i w:val="0"/>
                <w:iCs w:val="0"/>
                <w:color w:val="000000"/>
                <w:sz w:val="21"/>
                <w:szCs w:val="21"/>
                <w:highlight w:val="none"/>
                <w:u w:val="none"/>
              </w:rPr>
            </w:pPr>
          </w:p>
        </w:tc>
        <w:tc>
          <w:tcPr>
            <w:tcW w:w="737" w:type="pct"/>
            <w:shd w:val="clear" w:color="auto" w:fill="auto"/>
            <w:noWrap/>
            <w:vAlign w:val="center"/>
          </w:tcPr>
          <w:p w14:paraId="17B6C5DB">
            <w:pPr>
              <w:rPr>
                <w:rFonts w:hint="eastAsia" w:ascii="宋体" w:hAnsi="宋体" w:eastAsia="宋体" w:cs="宋体"/>
                <w:i w:val="0"/>
                <w:iCs w:val="0"/>
                <w:color w:val="000000"/>
                <w:sz w:val="21"/>
                <w:szCs w:val="21"/>
                <w:highlight w:val="none"/>
                <w:u w:val="none"/>
              </w:rPr>
            </w:pPr>
          </w:p>
        </w:tc>
      </w:tr>
      <w:tr w14:paraId="73B1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54" w:type="pct"/>
            <w:shd w:val="clear" w:color="auto" w:fill="auto"/>
            <w:vAlign w:val="center"/>
          </w:tcPr>
          <w:p w14:paraId="4146FEA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cs="宋体"/>
                <w:i w:val="0"/>
                <w:iCs w:val="0"/>
                <w:color w:val="000000"/>
                <w:kern w:val="0"/>
                <w:sz w:val="21"/>
                <w:szCs w:val="21"/>
                <w:highlight w:val="none"/>
                <w:u w:val="none"/>
                <w:lang w:val="en-US" w:eastAsia="zh-CN" w:bidi="ar"/>
              </w:rPr>
              <w:t>5</w:t>
            </w:r>
          </w:p>
        </w:tc>
        <w:tc>
          <w:tcPr>
            <w:tcW w:w="405" w:type="pct"/>
            <w:shd w:val="clear" w:color="auto" w:fill="auto"/>
            <w:vAlign w:val="center"/>
          </w:tcPr>
          <w:p w14:paraId="41BF75F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给、排水系统（地面以上部分）</w:t>
            </w:r>
          </w:p>
        </w:tc>
        <w:tc>
          <w:tcPr>
            <w:tcW w:w="2116" w:type="pct"/>
            <w:shd w:val="clear" w:color="auto" w:fill="auto"/>
            <w:vAlign w:val="center"/>
          </w:tcPr>
          <w:p w14:paraId="1A20BA5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ф32、ф25、ф20；DN75、DN50给水：采用PPR复合管敷设。排水：使用国标优质UPVC专用排水管。</w:t>
            </w:r>
          </w:p>
        </w:tc>
        <w:tc>
          <w:tcPr>
            <w:tcW w:w="247" w:type="pct"/>
            <w:shd w:val="clear" w:color="auto" w:fill="auto"/>
            <w:vAlign w:val="center"/>
          </w:tcPr>
          <w:p w14:paraId="0E5C7C3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01" w:type="pct"/>
            <w:shd w:val="clear" w:color="auto" w:fill="auto"/>
            <w:noWrap/>
            <w:vAlign w:val="center"/>
          </w:tcPr>
          <w:p w14:paraId="456D93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936" w:type="pct"/>
            <w:shd w:val="clear" w:color="auto" w:fill="auto"/>
            <w:noWrap/>
            <w:vAlign w:val="center"/>
          </w:tcPr>
          <w:p w14:paraId="1E65C493">
            <w:pPr>
              <w:rPr>
                <w:rFonts w:hint="eastAsia" w:ascii="宋体" w:hAnsi="宋体" w:eastAsia="宋体" w:cs="宋体"/>
                <w:i w:val="0"/>
                <w:iCs w:val="0"/>
                <w:color w:val="000000"/>
                <w:sz w:val="21"/>
                <w:szCs w:val="21"/>
                <w:highlight w:val="none"/>
                <w:u w:val="none"/>
              </w:rPr>
            </w:pPr>
          </w:p>
        </w:tc>
        <w:tc>
          <w:tcPr>
            <w:tcW w:w="737" w:type="pct"/>
            <w:shd w:val="clear" w:color="auto" w:fill="auto"/>
            <w:noWrap/>
            <w:vAlign w:val="center"/>
          </w:tcPr>
          <w:p w14:paraId="1F1E5038">
            <w:pPr>
              <w:rPr>
                <w:rFonts w:hint="eastAsia" w:ascii="宋体" w:hAnsi="宋体" w:eastAsia="宋体" w:cs="宋体"/>
                <w:i w:val="0"/>
                <w:iCs w:val="0"/>
                <w:color w:val="000000"/>
                <w:sz w:val="21"/>
                <w:szCs w:val="21"/>
                <w:highlight w:val="none"/>
                <w:u w:val="none"/>
              </w:rPr>
            </w:pPr>
          </w:p>
        </w:tc>
      </w:tr>
    </w:tbl>
    <w:p w14:paraId="44E21751">
      <w:pPr>
        <w:numPr>
          <w:ilvl w:val="0"/>
          <w:numId w:val="0"/>
        </w:numPr>
        <w:ind w:leftChars="0"/>
        <w:rPr>
          <w:highlight w:val="none"/>
        </w:rPr>
      </w:pPr>
    </w:p>
    <w:p w14:paraId="79867277">
      <w:pPr>
        <w:numPr>
          <w:ilvl w:val="0"/>
          <w:numId w:val="0"/>
        </w:numPr>
        <w:ind w:leftChars="0"/>
        <w:rPr>
          <w:highlight w:val="none"/>
        </w:rPr>
      </w:pPr>
    </w:p>
    <w:p w14:paraId="6107CF4A">
      <w:pPr>
        <w:rPr>
          <w:highlight w:val="none"/>
        </w:rPr>
      </w:pPr>
      <w:r>
        <w:rPr>
          <w:highlight w:val="none"/>
        </w:rPr>
        <w:br w:type="page"/>
      </w:r>
    </w:p>
    <w:p w14:paraId="58FC0712">
      <w:pPr>
        <w:numPr>
          <w:ilvl w:val="0"/>
          <w:numId w:val="0"/>
        </w:numPr>
        <w:ind w:leftChars="0"/>
        <w:rPr>
          <w:rFonts w:hint="default" w:eastAsia="宋体"/>
          <w:highlight w:val="none"/>
          <w:lang w:val="en-US" w:eastAsia="zh-CN"/>
        </w:rPr>
      </w:pPr>
      <w:r>
        <w:rPr>
          <w:rFonts w:hint="eastAsia"/>
          <w:highlight w:val="none"/>
          <w:lang w:eastAsia="zh-CN"/>
        </w:rPr>
        <w:t>（</w:t>
      </w:r>
      <w:r>
        <w:rPr>
          <w:rFonts w:hint="eastAsia"/>
          <w:highlight w:val="none"/>
          <w:lang w:val="en-US" w:eastAsia="zh-CN"/>
        </w:rPr>
        <w:t>四）室内装饰要求（三间）</w:t>
      </w:r>
    </w:p>
    <w:tbl>
      <w:tblPr>
        <w:tblStyle w:val="42"/>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0"/>
        <w:gridCol w:w="2791"/>
        <w:gridCol w:w="3396"/>
        <w:gridCol w:w="638"/>
        <w:gridCol w:w="667"/>
        <w:gridCol w:w="4124"/>
        <w:gridCol w:w="1915"/>
      </w:tblGrid>
      <w:tr w14:paraId="1E06E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2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029B7">
            <w:pPr>
              <w:keepNext w:val="0"/>
              <w:keepLines w:val="0"/>
              <w:widowControl/>
              <w:suppressLineNumbers w:val="0"/>
              <w:jc w:val="center"/>
              <w:textAlignment w:val="center"/>
              <w:rPr>
                <w:rFonts w:hint="default" w:ascii="宋体" w:hAnsi="宋体" w:eastAsia="宋体" w:cs="宋体"/>
                <w:b/>
                <w:bCs/>
                <w:i w:val="0"/>
                <w:iCs w:val="0"/>
                <w:color w:val="000000"/>
                <w:sz w:val="21"/>
                <w:szCs w:val="21"/>
                <w:highlight w:val="none"/>
                <w:u w:val="none"/>
                <w:lang w:val="en-US" w:eastAsia="zh-CN"/>
              </w:rPr>
            </w:pPr>
            <w:r>
              <w:rPr>
                <w:rFonts w:hint="eastAsia" w:ascii="宋体" w:hAnsi="宋体" w:eastAsia="宋体" w:cs="宋体"/>
                <w:b/>
                <w:bCs/>
                <w:i w:val="0"/>
                <w:iCs w:val="0"/>
                <w:color w:val="000000"/>
                <w:sz w:val="21"/>
                <w:szCs w:val="21"/>
                <w:highlight w:val="none"/>
                <w:u w:val="none"/>
                <w:lang w:val="en-US" w:eastAsia="zh-CN"/>
              </w:rPr>
              <w:t>序号</w:t>
            </w:r>
          </w:p>
        </w:tc>
        <w:tc>
          <w:tcPr>
            <w:tcW w:w="9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60F2A">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lang w:val="en-US" w:eastAsia="zh-CN"/>
              </w:rPr>
            </w:pPr>
            <w:r>
              <w:rPr>
                <w:rFonts w:hint="eastAsia" w:ascii="宋体" w:hAnsi="宋体" w:eastAsia="宋体" w:cs="宋体"/>
                <w:b/>
                <w:bCs/>
                <w:i w:val="0"/>
                <w:iCs w:val="0"/>
                <w:color w:val="000000"/>
                <w:sz w:val="21"/>
                <w:szCs w:val="21"/>
                <w:highlight w:val="none"/>
                <w:u w:val="none"/>
                <w:lang w:val="en-US" w:eastAsia="zh-CN"/>
              </w:rPr>
              <w:t>名称</w:t>
            </w:r>
          </w:p>
        </w:tc>
        <w:tc>
          <w:tcPr>
            <w:tcW w:w="12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4D2EFA">
            <w:pPr>
              <w:jc w:val="center"/>
              <w:rPr>
                <w:rFonts w:hint="default" w:ascii="宋体" w:hAnsi="宋体" w:eastAsia="宋体" w:cs="宋体"/>
                <w:b/>
                <w:bCs/>
                <w:i w:val="0"/>
                <w:iCs w:val="0"/>
                <w:color w:val="000000"/>
                <w:sz w:val="21"/>
                <w:szCs w:val="21"/>
                <w:highlight w:val="none"/>
                <w:u w:val="none"/>
                <w:lang w:val="en-US" w:eastAsia="zh-CN"/>
              </w:rPr>
            </w:pPr>
            <w:r>
              <w:rPr>
                <w:rFonts w:hint="eastAsia" w:ascii="宋体" w:hAnsi="宋体" w:eastAsia="宋体" w:cs="宋体"/>
                <w:b/>
                <w:bCs/>
                <w:i w:val="0"/>
                <w:iCs w:val="0"/>
                <w:color w:val="000000"/>
                <w:sz w:val="21"/>
                <w:szCs w:val="21"/>
                <w:highlight w:val="none"/>
                <w:u w:val="none"/>
                <w:lang w:val="en-US" w:eastAsia="zh-CN"/>
              </w:rPr>
              <w:t>招标技术规格要求</w:t>
            </w:r>
          </w:p>
        </w:tc>
        <w:tc>
          <w:tcPr>
            <w:tcW w:w="1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38B83">
            <w:pPr>
              <w:jc w:val="center"/>
              <w:rPr>
                <w:rFonts w:hint="eastAsia" w:ascii="宋体" w:hAnsi="宋体" w:eastAsia="宋体" w:cs="宋体"/>
                <w:b/>
                <w:bCs/>
                <w:i w:val="0"/>
                <w:iCs w:val="0"/>
                <w:color w:val="000000"/>
                <w:sz w:val="21"/>
                <w:szCs w:val="21"/>
                <w:highlight w:val="none"/>
                <w:u w:val="none"/>
                <w:lang w:val="en-US" w:eastAsia="zh-CN"/>
              </w:rPr>
            </w:pPr>
            <w:r>
              <w:rPr>
                <w:rFonts w:hint="eastAsia" w:ascii="宋体" w:hAnsi="宋体" w:eastAsia="宋体" w:cs="宋体"/>
                <w:b/>
                <w:bCs/>
                <w:i w:val="0"/>
                <w:iCs w:val="0"/>
                <w:color w:val="000000"/>
                <w:sz w:val="21"/>
                <w:szCs w:val="21"/>
                <w:highlight w:val="none"/>
                <w:u w:val="none"/>
                <w:lang w:val="en-US" w:eastAsia="zh-CN"/>
              </w:rPr>
              <w:t>单位</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7E279">
            <w:pPr>
              <w:jc w:val="center"/>
              <w:rPr>
                <w:rFonts w:hint="eastAsia" w:ascii="宋体" w:hAnsi="宋体" w:eastAsia="宋体" w:cs="宋体"/>
                <w:b/>
                <w:bCs/>
                <w:i w:val="0"/>
                <w:iCs w:val="0"/>
                <w:color w:val="000000"/>
                <w:sz w:val="21"/>
                <w:szCs w:val="21"/>
                <w:highlight w:val="none"/>
                <w:u w:val="none"/>
                <w:lang w:val="en-US" w:eastAsia="zh-CN"/>
              </w:rPr>
            </w:pPr>
            <w:r>
              <w:rPr>
                <w:rFonts w:hint="eastAsia" w:ascii="宋体" w:hAnsi="宋体" w:eastAsia="宋体" w:cs="宋体"/>
                <w:b/>
                <w:bCs/>
                <w:i w:val="0"/>
                <w:iCs w:val="0"/>
                <w:color w:val="000000"/>
                <w:sz w:val="21"/>
                <w:szCs w:val="21"/>
                <w:highlight w:val="none"/>
                <w:u w:val="none"/>
                <w:lang w:val="en-US" w:eastAsia="zh-CN"/>
              </w:rPr>
              <w:t>数量</w:t>
            </w:r>
          </w:p>
        </w:tc>
        <w:tc>
          <w:tcPr>
            <w:tcW w:w="14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BFCDC2">
            <w:pPr>
              <w:jc w:val="center"/>
              <w:rPr>
                <w:rFonts w:hint="default" w:ascii="宋体" w:hAnsi="宋体" w:eastAsia="宋体" w:cs="宋体"/>
                <w:b/>
                <w:bCs/>
                <w:i w:val="0"/>
                <w:iCs w:val="0"/>
                <w:color w:val="000000"/>
                <w:sz w:val="21"/>
                <w:szCs w:val="21"/>
                <w:highlight w:val="none"/>
                <w:u w:val="none"/>
                <w:lang w:val="en-US" w:eastAsia="zh-CN"/>
              </w:rPr>
            </w:pPr>
            <w:r>
              <w:rPr>
                <w:rFonts w:hint="eastAsia" w:ascii="宋体" w:hAnsi="宋体" w:eastAsia="宋体" w:cs="宋体"/>
                <w:b/>
                <w:bCs/>
                <w:i w:val="0"/>
                <w:iCs w:val="0"/>
                <w:color w:val="000000"/>
                <w:sz w:val="21"/>
                <w:szCs w:val="21"/>
                <w:highlight w:val="none"/>
                <w:u w:val="none"/>
                <w:lang w:val="en-US" w:eastAsia="zh-CN"/>
              </w:rPr>
              <w:t>备注</w:t>
            </w:r>
          </w:p>
        </w:tc>
        <w:tc>
          <w:tcPr>
            <w:tcW w:w="6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A7D453">
            <w:pPr>
              <w:jc w:val="center"/>
              <w:rPr>
                <w:rFonts w:hint="default" w:ascii="宋体" w:hAnsi="宋体" w:eastAsia="宋体" w:cs="宋体"/>
                <w:b/>
                <w:bCs/>
                <w:i w:val="0"/>
                <w:iCs w:val="0"/>
                <w:color w:val="000000"/>
                <w:sz w:val="21"/>
                <w:szCs w:val="21"/>
                <w:highlight w:val="none"/>
                <w:u w:val="none"/>
                <w:lang w:val="en-US" w:eastAsia="zh-CN"/>
              </w:rPr>
            </w:pPr>
            <w:r>
              <w:rPr>
                <w:rFonts w:hint="eastAsia" w:ascii="宋体" w:hAnsi="宋体" w:eastAsia="宋体" w:cs="宋体"/>
                <w:b/>
                <w:bCs/>
                <w:i w:val="0"/>
                <w:iCs w:val="0"/>
                <w:color w:val="000000"/>
                <w:sz w:val="21"/>
                <w:szCs w:val="21"/>
                <w:highlight w:val="none"/>
                <w:u w:val="none"/>
                <w:lang w:val="en-US" w:eastAsia="zh-CN"/>
              </w:rPr>
              <w:t>投标响应</w:t>
            </w:r>
          </w:p>
        </w:tc>
      </w:tr>
      <w:tr w14:paraId="7479A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FB83A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一、</w:t>
            </w:r>
          </w:p>
        </w:tc>
        <w:tc>
          <w:tcPr>
            <w:tcW w:w="9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4B922D">
            <w:pPr>
              <w:keepNext w:val="0"/>
              <w:keepLines w:val="0"/>
              <w:widowControl/>
              <w:suppressLineNumbers w:val="0"/>
              <w:jc w:val="left"/>
              <w:textAlignment w:val="center"/>
              <w:rPr>
                <w:rFonts w:hint="default" w:ascii="宋体" w:hAnsi="宋体" w:eastAsia="宋体" w:cs="宋体"/>
                <w:i w:val="0"/>
                <w:iCs w:val="0"/>
                <w:color w:val="00000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实验室顶、墙、地面要求</w:t>
            </w:r>
          </w:p>
        </w:tc>
        <w:tc>
          <w:tcPr>
            <w:tcW w:w="120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188E3">
            <w:pPr>
              <w:rPr>
                <w:rFonts w:hint="eastAsia" w:ascii="宋体" w:hAnsi="宋体" w:eastAsia="宋体" w:cs="宋体"/>
                <w:i w:val="0"/>
                <w:iCs w:val="0"/>
                <w:color w:val="000000"/>
                <w:sz w:val="21"/>
                <w:szCs w:val="21"/>
                <w:highlight w:val="none"/>
                <w:u w:val="none"/>
              </w:rPr>
            </w:pPr>
          </w:p>
        </w:tc>
        <w:tc>
          <w:tcPr>
            <w:tcW w:w="167"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DB1CF1C">
            <w:pPr>
              <w:rPr>
                <w:rFonts w:hint="eastAsia" w:ascii="宋体" w:hAnsi="宋体" w:eastAsia="宋体" w:cs="宋体"/>
                <w:i w:val="0"/>
                <w:iCs w:val="0"/>
                <w:color w:val="000000"/>
                <w:sz w:val="21"/>
                <w:szCs w:val="21"/>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8EB5961">
            <w:pPr>
              <w:jc w:val="center"/>
              <w:rPr>
                <w:rFonts w:hint="eastAsia" w:ascii="宋体" w:hAnsi="宋体" w:eastAsia="宋体" w:cs="宋体"/>
                <w:i w:val="0"/>
                <w:iCs w:val="0"/>
                <w:color w:val="000000"/>
                <w:sz w:val="21"/>
                <w:szCs w:val="21"/>
                <w:highlight w:val="none"/>
                <w:u w:val="none"/>
              </w:rPr>
            </w:pPr>
          </w:p>
        </w:tc>
        <w:tc>
          <w:tcPr>
            <w:tcW w:w="1460"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5200A6EC">
            <w:pPr>
              <w:rPr>
                <w:rFonts w:hint="eastAsia" w:ascii="宋体" w:hAnsi="宋体" w:eastAsia="宋体" w:cs="宋体"/>
                <w:i w:val="0"/>
                <w:iCs w:val="0"/>
                <w:color w:val="000000"/>
                <w:sz w:val="21"/>
                <w:szCs w:val="21"/>
                <w:highlight w:val="none"/>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FFFFFF"/>
            <w:vAlign w:val="bottom"/>
          </w:tcPr>
          <w:p w14:paraId="332D72E5">
            <w:pPr>
              <w:rPr>
                <w:rFonts w:hint="eastAsia" w:ascii="宋体" w:hAnsi="宋体" w:eastAsia="宋体" w:cs="宋体"/>
                <w:i w:val="0"/>
                <w:iCs w:val="0"/>
                <w:color w:val="000000"/>
                <w:sz w:val="21"/>
                <w:szCs w:val="21"/>
                <w:highlight w:val="none"/>
                <w:u w:val="none"/>
              </w:rPr>
            </w:pPr>
          </w:p>
        </w:tc>
      </w:tr>
      <w:tr w14:paraId="4B0CD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BCA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E757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吊顶造型天棚</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34E0EF3A">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1、40*25mm木龙骨基层;</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2、木龙骨上18mm细木工板基层+单9.5mm纸面石膏板面层,专用自攻螺钉拧牢；</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3、木龙骨、细木工板刷防火涂料两遍</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2FB5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8C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2A24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教室单层纸面石膏板造型吊顶</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3614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1763F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0087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C218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格栅吊顶</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629A135C">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铝方通吊顶：</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90*50*0.9间距100mm，                 </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B238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19A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64</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753F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φ8热镀锌吊筋，60主龙及专用配套副龙骨，木纹色铝型材方通</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939B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1E447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1FB7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F9B1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窗帘盒</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BE01D">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18mm木板基层外贴石膏板              </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ABB5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C15A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1A94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板缝贴胶带、点锈批刮腻子、实际遍数(遍):3</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B8B0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6B8B3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7BC3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9A3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铲除涂料面</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4EBE4060">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1、原教室墙面及天棚面涂料层铲除墙 ；                         2、面满刷墙固2遍。     </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F5BD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B668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160</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574E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抹灰层铲除 墙保滚涂</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832D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1811C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DF5B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796A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墙面、天棚喷刷涂料</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578B19D0">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墙面、天棚乳胶漆：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1、墙面刮腻子2遍；</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2、内墙刷白色乳胶漆3遍。</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9DDD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0E57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160</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D20ED">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腻子粉批底(腻子粉、石膏、老粉、胶水等）                           立邦美得丽内墙乳胶漆</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8108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0E642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3A14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4217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楼地面自流平</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1860D1AB">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1、自流坪楼地面5mm厚水泥基层自流平砂浆面层</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08A2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CE72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93</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56E62">
            <w:pPr>
              <w:rPr>
                <w:rFonts w:hint="eastAsia" w:ascii="宋体" w:hAnsi="宋体" w:eastAsia="宋体" w:cs="宋体"/>
                <w:i w:val="0"/>
                <w:iCs w:val="0"/>
                <w:color w:val="000000"/>
                <w:sz w:val="21"/>
                <w:szCs w:val="21"/>
                <w:highlight w:val="none"/>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4D9A7">
            <w:pPr>
              <w:rPr>
                <w:rFonts w:hint="eastAsia" w:ascii="宋体" w:hAnsi="宋体" w:eastAsia="宋体" w:cs="宋体"/>
                <w:i w:val="0"/>
                <w:iCs w:val="0"/>
                <w:color w:val="000000"/>
                <w:sz w:val="21"/>
                <w:szCs w:val="21"/>
                <w:highlight w:val="none"/>
                <w:u w:val="none"/>
              </w:rPr>
            </w:pPr>
          </w:p>
        </w:tc>
      </w:tr>
      <w:tr w14:paraId="0C359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D2DC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E868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地面塑胶地板</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38DCA296">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1、PVC塑胶地板铺贴（2.0mm*2m*20m)               </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C4AA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8CFD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93</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84A7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楼地面：聚氯乙烯卷材地板</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6E76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13005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7608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671D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零星维修</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41C2B465">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1、墙面瓷砖开槽修补        2、地面开槽浇筑   </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AEE3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6901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12B9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辅料及人工</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7ACD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2C01D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B43F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FF69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满堂脚手架</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7AF32C18">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满堂脚手架 基本层3.6m～4m</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9FA9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400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93</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4100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单项脚手架 满堂脚手架基本层3.6m~4m 天棚饰面脚手架</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BFE59">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2DA6E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FC37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53D7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垃圾清运</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584F43FB">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搬运垃圾清运等</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03CD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FEB5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82D9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装修垃圾清理外运处理一次性包干结算时不予调整。</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0EB3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426CA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4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F5C66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w:t>
            </w:r>
          </w:p>
        </w:tc>
        <w:tc>
          <w:tcPr>
            <w:tcW w:w="99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31EF1">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安装要求</w:t>
            </w:r>
          </w:p>
        </w:tc>
        <w:tc>
          <w:tcPr>
            <w:tcW w:w="1204"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C0E5085">
            <w:pPr>
              <w:jc w:val="left"/>
              <w:rPr>
                <w:rFonts w:hint="eastAsia" w:ascii="宋体" w:hAnsi="宋体" w:eastAsia="宋体" w:cs="宋体"/>
                <w:i w:val="0"/>
                <w:iCs w:val="0"/>
                <w:color w:val="000000"/>
                <w:sz w:val="21"/>
                <w:szCs w:val="21"/>
                <w:highlight w:val="none"/>
                <w:u w:val="none"/>
              </w:rPr>
            </w:pPr>
          </w:p>
        </w:tc>
        <w:tc>
          <w:tcPr>
            <w:tcW w:w="1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D730E8">
            <w:pPr>
              <w:jc w:val="center"/>
              <w:rPr>
                <w:rFonts w:hint="eastAsia" w:ascii="宋体" w:hAnsi="宋体" w:eastAsia="宋体" w:cs="宋体"/>
                <w:i w:val="0"/>
                <w:iCs w:val="0"/>
                <w:color w:val="000000"/>
                <w:sz w:val="21"/>
                <w:szCs w:val="21"/>
                <w:highlight w:val="none"/>
                <w:u w:val="none"/>
              </w:rPr>
            </w:pPr>
          </w:p>
        </w:tc>
        <w:tc>
          <w:tcPr>
            <w:tcW w:w="2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D5B86A">
            <w:pPr>
              <w:jc w:val="center"/>
              <w:rPr>
                <w:rFonts w:hint="eastAsia" w:ascii="宋体" w:hAnsi="宋体" w:eastAsia="宋体" w:cs="宋体"/>
                <w:i w:val="0"/>
                <w:iCs w:val="0"/>
                <w:color w:val="000000"/>
                <w:sz w:val="21"/>
                <w:szCs w:val="21"/>
                <w:highlight w:val="none"/>
                <w:u w:val="none"/>
              </w:rPr>
            </w:pPr>
          </w:p>
        </w:tc>
        <w:tc>
          <w:tcPr>
            <w:tcW w:w="1460"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11D2E3F6">
            <w:pPr>
              <w:jc w:val="left"/>
              <w:rPr>
                <w:rFonts w:hint="eastAsia" w:ascii="宋体" w:hAnsi="宋体" w:eastAsia="宋体" w:cs="宋体"/>
                <w:i w:val="0"/>
                <w:iCs w:val="0"/>
                <w:color w:val="000000"/>
                <w:sz w:val="21"/>
                <w:szCs w:val="21"/>
                <w:highlight w:val="none"/>
                <w:u w:val="none"/>
              </w:rPr>
            </w:pPr>
          </w:p>
        </w:tc>
        <w:tc>
          <w:tcPr>
            <w:tcW w:w="683" w:type="pct"/>
            <w:tcBorders>
              <w:top w:val="single" w:color="000000" w:sz="4" w:space="0"/>
              <w:left w:val="single" w:color="000000" w:sz="4" w:space="0"/>
              <w:bottom w:val="single" w:color="000000" w:sz="4" w:space="0"/>
              <w:right w:val="single" w:color="000000" w:sz="4" w:space="0"/>
            </w:tcBorders>
            <w:shd w:val="clear" w:color="FFFFFF" w:fill="FFFFFF"/>
            <w:vAlign w:val="center"/>
          </w:tcPr>
          <w:p w14:paraId="4BB1841E">
            <w:pPr>
              <w:jc w:val="left"/>
              <w:rPr>
                <w:rFonts w:hint="eastAsia" w:ascii="宋体" w:hAnsi="宋体" w:eastAsia="宋体" w:cs="宋体"/>
                <w:i w:val="0"/>
                <w:iCs w:val="0"/>
                <w:color w:val="000000"/>
                <w:sz w:val="21"/>
                <w:szCs w:val="21"/>
                <w:highlight w:val="none"/>
                <w:u w:val="none"/>
              </w:rPr>
            </w:pPr>
          </w:p>
        </w:tc>
      </w:tr>
      <w:tr w14:paraId="5E420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4A41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E311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灯具管线拆除</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082D491E">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1.教室风扇及灯具、管线等材料拆除，</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C384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780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6AF1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勘查现场后根据现场实际情况自行报价，一次性包干结算时不予调整。</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8803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2EE22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6445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EC5B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配管</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44FF5CE1">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刚性阻燃管敷设 砖、混凝土结构暗配 公称直径(mm)25</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9025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86CB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220</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C4A78">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塑料管敷设 刚性阻燃管敷设 砖、混凝土结构暗配 公称直径(mm)25</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C8C88">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0B3A6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6DB4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6376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配管</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43BB6D1D">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刚性阻燃管敷设 砖、混凝土结构暗配 公称直径(mm)32</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0C5F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DA6C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AAC6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塑料管敷设 刚性阻燃管敷设 砖、混凝土结构暗配 公称直径(mm)32</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2EEA2">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19C01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3B30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5958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配线</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617DFD1D">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管内穿线BVR-2.5</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5A51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C3B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650</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74F73">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穿照明线 铜芯导线截面(mm2以内)2.5</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EC39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51FF6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C76E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8BB9F">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配线</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6FB32328">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管内穿线BVR-4</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3A13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B894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728D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穿动力线 铝芯导线截面(mm2以内)4</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8E3B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4B8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DC7A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A0E7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接线盒</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206463E6">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开关盒安装</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1D28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6DB7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C81EF">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开关盒、插座盒安装</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D79B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3F96E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FCAD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33C7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LED装饰灯</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507F9F58">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长条灯，规格尺寸：1200*200mm  6500K白光</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128C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BB0C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C171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安装方式：吊装式</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DC0CF">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282ED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0E4F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05F6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LED装饰灯</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6E216767">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六边形灯，规格尺寸：600*600mm  6500K白光</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A1C5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F20E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CE43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安装方式：吊装式</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A346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05AC6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493D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8F3A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定制LED灯</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3229CE6C">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平板线条灯定制，规格尺寸：200*50mm  6500K白光</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3F9A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62A9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567F5">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安装方式：吊装式</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69784">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66396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C8C3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8BD3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照明开关</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665833D4">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三联双控开关</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7D7B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3F27D">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4F3FC">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跷板暗开关双控≤3联</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E40BC">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1C2B9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B4CC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727BC">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塑料管</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525988B9">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1.安装部位:室内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2.介质:水</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3.材质、规格:塑料给水管φ25</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4.连接形式:粘接</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5、含管件</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303B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3CFA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81E8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室内塑料给水管(粘接) 公称直径(mm以内)25</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D1682">
            <w:pPr>
              <w:keepNext w:val="0"/>
              <w:keepLines w:val="0"/>
              <w:widowControl/>
              <w:suppressLineNumbers w:val="0"/>
              <w:jc w:val="left"/>
              <w:textAlignment w:val="center"/>
              <w:rPr>
                <w:rStyle w:val="172"/>
                <w:rFonts w:hint="eastAsia" w:ascii="宋体" w:hAnsi="宋体" w:eastAsia="宋体" w:cs="宋体"/>
                <w:sz w:val="21"/>
                <w:szCs w:val="21"/>
                <w:highlight w:val="none"/>
                <w:lang w:val="en-US" w:eastAsia="zh-CN" w:bidi="ar"/>
              </w:rPr>
            </w:pPr>
          </w:p>
        </w:tc>
      </w:tr>
      <w:tr w14:paraId="6F583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BEF9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1456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塑料管</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4BA61CEE">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1.安装部位:室内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2.介质:水</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3.材质、规格:塑料排水管φ75</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4.连接形式:粘接</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5、含管件</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E60C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5105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67DF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室内塑料排水管(粘接) 公称直径(mm以内)75</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122E8">
            <w:pPr>
              <w:keepNext w:val="0"/>
              <w:keepLines w:val="0"/>
              <w:widowControl/>
              <w:suppressLineNumbers w:val="0"/>
              <w:jc w:val="left"/>
              <w:textAlignment w:val="center"/>
              <w:rPr>
                <w:rStyle w:val="172"/>
                <w:rFonts w:hint="eastAsia" w:ascii="宋体" w:hAnsi="宋体" w:eastAsia="宋体" w:cs="宋体"/>
                <w:sz w:val="21"/>
                <w:szCs w:val="21"/>
                <w:highlight w:val="none"/>
                <w:lang w:val="en-US" w:eastAsia="zh-CN" w:bidi="ar"/>
              </w:rPr>
            </w:pPr>
          </w:p>
        </w:tc>
      </w:tr>
      <w:tr w14:paraId="6B80D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EB3E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D8CB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螺纹阀门</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0F04229D">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1、螺纹阀门安装 公称直径(mm以内)25                                         </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D49E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DCA4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B92E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螺纹阀门安装 公称直径(mm以内)25</w:t>
            </w: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4528E">
            <w:pPr>
              <w:keepNext w:val="0"/>
              <w:keepLines w:val="0"/>
              <w:widowControl/>
              <w:suppressLineNumbers w:val="0"/>
              <w:jc w:val="left"/>
              <w:textAlignment w:val="center"/>
              <w:rPr>
                <w:rStyle w:val="172"/>
                <w:rFonts w:hint="eastAsia" w:ascii="宋体" w:hAnsi="宋体" w:eastAsia="宋体" w:cs="宋体"/>
                <w:sz w:val="21"/>
                <w:szCs w:val="21"/>
                <w:highlight w:val="none"/>
                <w:lang w:val="en-US" w:eastAsia="zh-CN" w:bidi="ar"/>
              </w:rPr>
            </w:pPr>
          </w:p>
        </w:tc>
      </w:tr>
      <w:tr w14:paraId="7C673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FA8D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4D3F7">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凿（压）槽</w:t>
            </w:r>
          </w:p>
        </w:tc>
        <w:tc>
          <w:tcPr>
            <w:tcW w:w="1204" w:type="pct"/>
            <w:tcBorders>
              <w:top w:val="single" w:color="000000" w:sz="4" w:space="0"/>
              <w:left w:val="single" w:color="000000" w:sz="4" w:space="0"/>
              <w:bottom w:val="single" w:color="000000" w:sz="4" w:space="0"/>
              <w:right w:val="single" w:color="000000" w:sz="4" w:space="0"/>
            </w:tcBorders>
            <w:shd w:val="clear" w:color="auto" w:fill="auto"/>
            <w:vAlign w:val="top"/>
          </w:tcPr>
          <w:p w14:paraId="555B396E">
            <w:pPr>
              <w:keepNext w:val="0"/>
              <w:keepLines w:val="0"/>
              <w:widowControl/>
              <w:suppressLineNumbers w:val="0"/>
              <w:jc w:val="left"/>
              <w:textAlignment w:val="top"/>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混凝土刨沟槽 DN50</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12AC6">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2E3F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105</w:t>
            </w:r>
          </w:p>
        </w:tc>
        <w:tc>
          <w:tcPr>
            <w:tcW w:w="1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AE701">
            <w:pPr>
              <w:rPr>
                <w:rFonts w:hint="eastAsia" w:ascii="宋体" w:hAnsi="宋体" w:eastAsia="宋体" w:cs="宋体"/>
                <w:i w:val="0"/>
                <w:iCs w:val="0"/>
                <w:color w:val="000000"/>
                <w:sz w:val="21"/>
                <w:szCs w:val="21"/>
                <w:highlight w:val="none"/>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53E63">
            <w:pPr>
              <w:rPr>
                <w:rFonts w:hint="eastAsia" w:ascii="宋体" w:hAnsi="宋体" w:eastAsia="宋体" w:cs="宋体"/>
                <w:i w:val="0"/>
                <w:iCs w:val="0"/>
                <w:color w:val="000000"/>
                <w:sz w:val="21"/>
                <w:szCs w:val="21"/>
                <w:highlight w:val="none"/>
                <w:u w:val="none"/>
              </w:rPr>
            </w:pPr>
          </w:p>
        </w:tc>
      </w:tr>
    </w:tbl>
    <w:p w14:paraId="571BD48D">
      <w:pPr>
        <w:pStyle w:val="12"/>
        <w:ind w:left="0" w:leftChars="0" w:firstLine="0" w:firstLineChars="0"/>
        <w:rPr>
          <w:rFonts w:hint="eastAsia" w:eastAsia="宋体"/>
          <w:color w:val="auto"/>
          <w:highlight w:val="none"/>
          <w:lang w:val="en-US" w:eastAsia="zh-CN"/>
        </w:rPr>
      </w:pPr>
    </w:p>
    <w:p w14:paraId="2D9BF22A">
      <w:pPr>
        <w:rPr>
          <w:rFonts w:hint="eastAsia" w:ascii="宋体" w:hAnsi="宋体" w:eastAsia="宋体" w:cs="宋体"/>
          <w:b/>
          <w:bCs/>
          <w:sz w:val="24"/>
          <w:szCs w:val="24"/>
          <w:highlight w:val="none"/>
          <w:lang w:val="en-US" w:eastAsia="zh-CN"/>
        </w:rPr>
        <w:sectPr>
          <w:pgSz w:w="16838" w:h="11906" w:orient="landscape"/>
          <w:pgMar w:top="1417" w:right="1417" w:bottom="1417" w:left="1417" w:header="851" w:footer="850" w:gutter="0"/>
          <w:pgBorders>
            <w:top w:val="none" w:sz="0" w:space="0"/>
            <w:left w:val="none" w:sz="0" w:space="0"/>
            <w:bottom w:val="none" w:sz="0" w:space="0"/>
            <w:right w:val="none" w:sz="0" w:space="0"/>
          </w:pgBorders>
          <w:cols w:space="0" w:num="1"/>
          <w:rtlGutter w:val="0"/>
          <w:docGrid w:linePitch="312" w:charSpace="0"/>
        </w:sectPr>
      </w:pPr>
      <w:r>
        <w:rPr>
          <w:rFonts w:hint="eastAsia" w:ascii="宋体" w:hAnsi="宋体" w:eastAsia="宋体" w:cs="宋体"/>
          <w:b/>
          <w:bCs/>
          <w:sz w:val="24"/>
          <w:szCs w:val="24"/>
          <w:highlight w:val="none"/>
          <w:lang w:val="en-US" w:eastAsia="zh-CN"/>
        </w:rPr>
        <w:br w:type="page"/>
      </w:r>
    </w:p>
    <w:p w14:paraId="188F0451">
      <w:pPr>
        <w:pStyle w:val="3"/>
        <w:keepNext/>
        <w:keepLines/>
        <w:pageBreakBefore w:val="0"/>
        <w:widowControl w:val="0"/>
        <w:kinsoku/>
        <w:wordWrap/>
        <w:overflowPunct/>
        <w:topLinePunct w:val="0"/>
        <w:autoSpaceDE/>
        <w:autoSpaceDN/>
        <w:bidi w:val="0"/>
        <w:adjustRightInd w:val="0"/>
        <w:snapToGrid/>
        <w:spacing w:before="0" w:after="0"/>
        <w:jc w:val="both"/>
        <w:textAlignment w:val="baseline"/>
        <w:rPr>
          <w:rFonts w:hint="eastAsia" w:ascii="宋体" w:hAnsi="宋体" w:eastAsia="宋体" w:cs="宋体"/>
          <w:b/>
          <w:color w:val="auto"/>
          <w:sz w:val="24"/>
          <w:szCs w:val="24"/>
          <w:highlight w:val="none"/>
          <w:lang w:val="en-US" w:eastAsia="zh-CN"/>
        </w:rPr>
      </w:pPr>
      <w:bookmarkStart w:id="133" w:name="_Toc19511"/>
      <w:r>
        <w:rPr>
          <w:rFonts w:hint="eastAsia" w:ascii="宋体" w:hAnsi="宋体" w:eastAsia="宋体" w:cs="宋体"/>
          <w:b/>
          <w:color w:val="auto"/>
          <w:sz w:val="24"/>
          <w:szCs w:val="24"/>
          <w:highlight w:val="none"/>
          <w:lang w:val="en-US" w:eastAsia="zh-CN"/>
        </w:rPr>
        <w:t>三、样品清单</w:t>
      </w:r>
    </w:p>
    <w:p w14:paraId="03CA24CC">
      <w:pPr>
        <w:rPr>
          <w:rFonts w:hint="eastAsia"/>
          <w:highlight w:val="none"/>
          <w:lang w:val="en-US" w:eastAsia="zh-CN"/>
        </w:rPr>
      </w:pPr>
    </w:p>
    <w:tbl>
      <w:tblPr>
        <w:tblStyle w:val="42"/>
        <w:tblW w:w="47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3582"/>
        <w:gridCol w:w="1686"/>
        <w:gridCol w:w="2431"/>
      </w:tblGrid>
      <w:tr w14:paraId="61C7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86" w:type="pct"/>
            <w:noWrap w:val="0"/>
            <w:vAlign w:val="center"/>
          </w:tcPr>
          <w:p w14:paraId="09CBB93C">
            <w:pPr>
              <w:jc w:val="center"/>
              <w:rPr>
                <w:rFonts w:hint="eastAsia" w:ascii="宋体" w:hAnsi="宋体" w:cs="宋体"/>
                <w:b/>
                <w:sz w:val="21"/>
                <w:szCs w:val="21"/>
                <w:highlight w:val="none"/>
              </w:rPr>
            </w:pPr>
            <w:r>
              <w:rPr>
                <w:rFonts w:hint="eastAsia" w:ascii="宋体" w:hAnsi="宋体" w:cs="宋体"/>
                <w:b/>
                <w:sz w:val="21"/>
                <w:szCs w:val="21"/>
                <w:highlight w:val="none"/>
              </w:rPr>
              <w:t>序号</w:t>
            </w:r>
          </w:p>
        </w:tc>
        <w:tc>
          <w:tcPr>
            <w:tcW w:w="2148" w:type="pct"/>
            <w:noWrap w:val="0"/>
            <w:vAlign w:val="center"/>
          </w:tcPr>
          <w:p w14:paraId="6FEE9EBD">
            <w:pPr>
              <w:jc w:val="center"/>
              <w:rPr>
                <w:rFonts w:hint="eastAsia" w:ascii="宋体" w:hAnsi="宋体" w:cs="宋体"/>
                <w:b/>
                <w:sz w:val="21"/>
                <w:szCs w:val="21"/>
                <w:highlight w:val="none"/>
              </w:rPr>
            </w:pPr>
            <w:r>
              <w:rPr>
                <w:rFonts w:hint="eastAsia" w:ascii="宋体" w:hAnsi="宋体" w:cs="宋体"/>
                <w:b/>
                <w:sz w:val="21"/>
                <w:szCs w:val="21"/>
                <w:highlight w:val="none"/>
              </w:rPr>
              <w:t>样品名称</w:t>
            </w:r>
          </w:p>
        </w:tc>
        <w:tc>
          <w:tcPr>
            <w:tcW w:w="785" w:type="pct"/>
            <w:noWrap w:val="0"/>
            <w:vAlign w:val="center"/>
          </w:tcPr>
          <w:p w14:paraId="53750A83">
            <w:pPr>
              <w:jc w:val="center"/>
              <w:rPr>
                <w:rFonts w:hint="default" w:ascii="宋体" w:hAnsi="宋体" w:eastAsia="宋体" w:cs="宋体"/>
                <w:b/>
                <w:sz w:val="21"/>
                <w:szCs w:val="21"/>
                <w:highlight w:val="none"/>
                <w:lang w:val="en-US" w:eastAsia="zh-CN"/>
              </w:rPr>
            </w:pPr>
            <w:r>
              <w:rPr>
                <w:rFonts w:hint="eastAsia" w:ascii="宋体" w:hAnsi="宋体" w:cs="宋体"/>
                <w:b/>
                <w:sz w:val="21"/>
                <w:szCs w:val="21"/>
                <w:highlight w:val="none"/>
                <w:lang w:val="en-US" w:eastAsia="zh-CN"/>
              </w:rPr>
              <w:t>规格尺寸</w:t>
            </w:r>
          </w:p>
        </w:tc>
        <w:tc>
          <w:tcPr>
            <w:tcW w:w="1479" w:type="pct"/>
            <w:noWrap w:val="0"/>
            <w:vAlign w:val="center"/>
          </w:tcPr>
          <w:p w14:paraId="3ACECD49">
            <w:pPr>
              <w:jc w:val="center"/>
              <w:rPr>
                <w:rFonts w:hint="eastAsia" w:ascii="宋体" w:hAnsi="宋体" w:cs="宋体"/>
                <w:b/>
                <w:sz w:val="21"/>
                <w:szCs w:val="21"/>
                <w:highlight w:val="none"/>
              </w:rPr>
            </w:pPr>
            <w:r>
              <w:rPr>
                <w:rFonts w:hint="eastAsia" w:ascii="宋体" w:hAnsi="宋体" w:cs="宋体"/>
                <w:b/>
                <w:sz w:val="21"/>
                <w:szCs w:val="21"/>
                <w:highlight w:val="none"/>
              </w:rPr>
              <w:t>数量</w:t>
            </w:r>
          </w:p>
        </w:tc>
      </w:tr>
      <w:tr w14:paraId="45CA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86" w:type="pct"/>
            <w:noWrap w:val="0"/>
            <w:vAlign w:val="center"/>
          </w:tcPr>
          <w:p w14:paraId="0193C58C">
            <w:pPr>
              <w:jc w:val="center"/>
              <w:rPr>
                <w:rFonts w:hint="eastAsia" w:ascii="宋体" w:hAnsi="宋体" w:cs="宋体"/>
                <w:sz w:val="21"/>
                <w:szCs w:val="21"/>
                <w:highlight w:val="none"/>
              </w:rPr>
            </w:pPr>
            <w:r>
              <w:rPr>
                <w:rFonts w:hint="eastAsia" w:ascii="宋体" w:hAnsi="宋体" w:cs="宋体"/>
                <w:sz w:val="21"/>
                <w:szCs w:val="21"/>
                <w:highlight w:val="none"/>
              </w:rPr>
              <w:t>1</w:t>
            </w:r>
          </w:p>
        </w:tc>
        <w:tc>
          <w:tcPr>
            <w:tcW w:w="2148" w:type="pct"/>
            <w:noWrap w:val="0"/>
            <w:vAlign w:val="center"/>
          </w:tcPr>
          <w:p w14:paraId="09432587">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实验桌（上通风化学实验室)</w:t>
            </w:r>
          </w:p>
        </w:tc>
        <w:tc>
          <w:tcPr>
            <w:tcW w:w="785" w:type="pct"/>
            <w:noWrap w:val="0"/>
            <w:vAlign w:val="center"/>
          </w:tcPr>
          <w:p w14:paraId="1E623AAA">
            <w:pPr>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1200*600*780mm</w:t>
            </w:r>
          </w:p>
        </w:tc>
        <w:tc>
          <w:tcPr>
            <w:tcW w:w="1479" w:type="pct"/>
            <w:noWrap w:val="0"/>
            <w:vAlign w:val="center"/>
          </w:tcPr>
          <w:p w14:paraId="5086112A">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1张</w:t>
            </w:r>
          </w:p>
        </w:tc>
      </w:tr>
    </w:tbl>
    <w:p w14:paraId="2E719ABF">
      <w:pPr>
        <w:wordWrap w:val="0"/>
        <w:spacing w:line="360" w:lineRule="auto"/>
        <w:jc w:val="left"/>
        <w:rPr>
          <w:rFonts w:ascii="宋体" w:hAnsi="宋体" w:cs="宋体"/>
          <w:szCs w:val="21"/>
          <w:highlight w:val="none"/>
        </w:rPr>
      </w:pPr>
    </w:p>
    <w:p w14:paraId="03F6DDFD">
      <w:pPr>
        <w:widowControl/>
        <w:adjustRightInd/>
        <w:spacing w:line="360" w:lineRule="auto"/>
        <w:ind w:firstLine="338" w:firstLineChars="161"/>
        <w:jc w:val="left"/>
        <w:textAlignment w:val="auto"/>
        <w:rPr>
          <w:rFonts w:hint="eastAsia" w:ascii="宋体" w:hAnsi="宋体" w:cs="Times New Roman"/>
          <w:kern w:val="2"/>
          <w:sz w:val="21"/>
          <w:szCs w:val="21"/>
          <w:highlight w:val="none"/>
        </w:rPr>
      </w:pPr>
      <w:r>
        <w:rPr>
          <w:rFonts w:hint="eastAsia" w:ascii="宋体" w:hAnsi="宋体" w:cs="Times New Roman"/>
          <w:kern w:val="2"/>
          <w:sz w:val="21"/>
          <w:szCs w:val="21"/>
          <w:highlight w:val="none"/>
        </w:rPr>
        <w:t>备注：</w:t>
      </w:r>
    </w:p>
    <w:p w14:paraId="06CFFDFE">
      <w:pPr>
        <w:widowControl/>
        <w:adjustRightInd/>
        <w:spacing w:line="360" w:lineRule="auto"/>
        <w:ind w:firstLine="338" w:firstLineChars="161"/>
        <w:jc w:val="left"/>
        <w:textAlignment w:val="auto"/>
        <w:rPr>
          <w:rFonts w:hint="eastAsia" w:ascii="宋体" w:hAnsi="宋体" w:cs="Times New Roman"/>
          <w:kern w:val="2"/>
          <w:sz w:val="21"/>
          <w:szCs w:val="21"/>
          <w:highlight w:val="none"/>
        </w:rPr>
      </w:pPr>
      <w:r>
        <w:rPr>
          <w:rFonts w:hint="eastAsia" w:ascii="宋体" w:hAnsi="宋体" w:cs="Times New Roman"/>
          <w:kern w:val="2"/>
          <w:sz w:val="21"/>
          <w:szCs w:val="21"/>
          <w:highlight w:val="none"/>
        </w:rPr>
        <w:t>1、投标样品仅作为评分项，评标委员会按照采购文件规定的评标办法及标准对样品进行评价，投标样品质量不影响其投标文件的有效性。</w:t>
      </w:r>
    </w:p>
    <w:p w14:paraId="6CAA478C">
      <w:pPr>
        <w:widowControl/>
        <w:adjustRightInd/>
        <w:spacing w:line="360" w:lineRule="auto"/>
        <w:ind w:firstLine="338" w:firstLineChars="161"/>
        <w:jc w:val="left"/>
        <w:textAlignment w:val="auto"/>
        <w:rPr>
          <w:rFonts w:hint="eastAsia" w:ascii="宋体" w:hAnsi="宋体" w:cs="Times New Roman"/>
          <w:kern w:val="2"/>
          <w:sz w:val="21"/>
          <w:szCs w:val="21"/>
          <w:highlight w:val="none"/>
        </w:rPr>
      </w:pPr>
      <w:r>
        <w:rPr>
          <w:rFonts w:hint="eastAsia" w:ascii="宋体" w:hAnsi="宋体" w:cs="Times New Roman"/>
          <w:kern w:val="2"/>
          <w:sz w:val="21"/>
          <w:szCs w:val="21"/>
          <w:highlight w:val="none"/>
        </w:rPr>
        <w:t>2、样品的提交地点：宁波国家高新区行政服务中心（宁波国家高新区公共资源交易中心</w:t>
      </w:r>
      <w:r>
        <w:rPr>
          <w:rFonts w:hint="eastAsia" w:ascii="宋体" w:hAnsi="宋体" w:cs="Times New Roman"/>
          <w:kern w:val="2"/>
          <w:sz w:val="21"/>
          <w:szCs w:val="21"/>
          <w:highlight w:val="none"/>
          <w:lang w:eastAsia="zh-CN"/>
        </w:rPr>
        <w:t>，</w:t>
      </w:r>
      <w:r>
        <w:rPr>
          <w:rFonts w:hint="eastAsia" w:ascii="宋体" w:hAnsi="宋体" w:cs="Times New Roman"/>
          <w:kern w:val="2"/>
          <w:sz w:val="21"/>
          <w:szCs w:val="21"/>
          <w:highlight w:val="none"/>
        </w:rPr>
        <w:t>宁波市广贤路997号孵化大楼南三楼</w:t>
      </w:r>
      <w:r>
        <w:rPr>
          <w:rFonts w:hint="eastAsia" w:ascii="宋体" w:hAnsi="宋体" w:cs="Times New Roman"/>
          <w:kern w:val="2"/>
          <w:sz w:val="21"/>
          <w:szCs w:val="21"/>
          <w:highlight w:val="none"/>
          <w:lang w:val="en-US" w:eastAsia="zh-CN"/>
        </w:rPr>
        <w:t>开标区</w:t>
      </w:r>
      <w:r>
        <w:rPr>
          <w:rFonts w:hint="eastAsia" w:ascii="宋体" w:hAnsi="宋体" w:cs="Times New Roman"/>
          <w:kern w:val="2"/>
          <w:sz w:val="21"/>
          <w:szCs w:val="21"/>
          <w:highlight w:val="none"/>
        </w:rPr>
        <w:t>）</w:t>
      </w:r>
    </w:p>
    <w:p w14:paraId="4D7A4D9E">
      <w:pPr>
        <w:widowControl/>
        <w:adjustRightInd/>
        <w:spacing w:line="360" w:lineRule="auto"/>
        <w:ind w:firstLine="338" w:firstLineChars="161"/>
        <w:jc w:val="left"/>
        <w:textAlignment w:val="auto"/>
        <w:rPr>
          <w:rFonts w:hint="eastAsia" w:ascii="宋体" w:hAnsi="宋体" w:cs="Times New Roman"/>
          <w:kern w:val="2"/>
          <w:sz w:val="21"/>
          <w:szCs w:val="21"/>
          <w:highlight w:val="none"/>
        </w:rPr>
      </w:pPr>
      <w:r>
        <w:rPr>
          <w:rFonts w:hint="eastAsia" w:ascii="宋体" w:hAnsi="宋体" w:cs="Times New Roman"/>
          <w:kern w:val="2"/>
          <w:sz w:val="21"/>
          <w:szCs w:val="21"/>
          <w:highlight w:val="none"/>
        </w:rPr>
        <w:t>样品递交截止时间：样品请于提交投标文件截止时间之前送至指定位置，并完成摆放。超过截止时间的样品，采购人或</w:t>
      </w:r>
      <w:r>
        <w:rPr>
          <w:rFonts w:hint="eastAsia" w:ascii="宋体" w:hAnsi="宋体" w:cs="Times New Roman"/>
          <w:kern w:val="2"/>
          <w:sz w:val="21"/>
          <w:szCs w:val="21"/>
          <w:highlight w:val="none"/>
          <w:lang w:eastAsia="zh-CN"/>
        </w:rPr>
        <w:t>采购代理机构</w:t>
      </w:r>
      <w:r>
        <w:rPr>
          <w:rFonts w:hint="eastAsia" w:ascii="宋体" w:hAnsi="宋体" w:cs="Times New Roman"/>
          <w:kern w:val="2"/>
          <w:sz w:val="21"/>
          <w:szCs w:val="21"/>
          <w:highlight w:val="none"/>
        </w:rPr>
        <w:t>将不予接收。</w:t>
      </w:r>
    </w:p>
    <w:p w14:paraId="495F454B">
      <w:pPr>
        <w:widowControl/>
        <w:adjustRightInd/>
        <w:spacing w:line="360" w:lineRule="auto"/>
        <w:ind w:firstLine="338" w:firstLineChars="161"/>
        <w:jc w:val="left"/>
        <w:textAlignment w:val="auto"/>
        <w:rPr>
          <w:rFonts w:hint="eastAsia" w:ascii="宋体" w:hAnsi="宋体" w:cs="Times New Roman"/>
          <w:kern w:val="2"/>
          <w:sz w:val="21"/>
          <w:szCs w:val="21"/>
          <w:highlight w:val="none"/>
        </w:rPr>
      </w:pPr>
      <w:r>
        <w:rPr>
          <w:rFonts w:hint="eastAsia" w:ascii="宋体" w:hAnsi="宋体" w:cs="Times New Roman"/>
          <w:kern w:val="2"/>
          <w:sz w:val="21"/>
          <w:szCs w:val="21"/>
          <w:highlight w:val="none"/>
        </w:rPr>
        <w:t>3、样品外表面上须牢固地粘贴写有“项目名称”、“样品名称”及“</w:t>
      </w:r>
      <w:r>
        <w:rPr>
          <w:rFonts w:hint="eastAsia" w:ascii="宋体" w:hAnsi="宋体" w:cs="Times New Roman"/>
          <w:kern w:val="2"/>
          <w:sz w:val="21"/>
          <w:szCs w:val="21"/>
          <w:highlight w:val="none"/>
          <w:lang w:val="en-US" w:eastAsia="zh-CN"/>
        </w:rPr>
        <w:t>投标人</w:t>
      </w:r>
      <w:r>
        <w:rPr>
          <w:rFonts w:hint="eastAsia" w:ascii="宋体" w:hAnsi="宋体" w:cs="Times New Roman"/>
          <w:kern w:val="2"/>
          <w:sz w:val="21"/>
          <w:szCs w:val="21"/>
          <w:highlight w:val="none"/>
        </w:rPr>
        <w:t>名称”的标识。</w:t>
      </w:r>
    </w:p>
    <w:p w14:paraId="1A6E9F13">
      <w:pPr>
        <w:widowControl/>
        <w:adjustRightInd/>
        <w:spacing w:line="360" w:lineRule="auto"/>
        <w:ind w:firstLine="338" w:firstLineChars="161"/>
        <w:jc w:val="left"/>
        <w:textAlignment w:val="auto"/>
        <w:rPr>
          <w:rFonts w:hint="eastAsia" w:ascii="宋体" w:hAnsi="宋体" w:cs="Times New Roman"/>
          <w:kern w:val="2"/>
          <w:sz w:val="21"/>
          <w:szCs w:val="21"/>
          <w:highlight w:val="none"/>
        </w:rPr>
      </w:pPr>
      <w:r>
        <w:rPr>
          <w:rFonts w:hint="eastAsia" w:ascii="宋体" w:hAnsi="宋体" w:cs="Times New Roman"/>
          <w:kern w:val="2"/>
          <w:sz w:val="21"/>
          <w:szCs w:val="21"/>
          <w:highlight w:val="none"/>
        </w:rPr>
        <w:t>4、本项目样品由评标委员会现场评审。</w:t>
      </w:r>
    </w:p>
    <w:p w14:paraId="6D977F57">
      <w:pPr>
        <w:widowControl/>
        <w:adjustRightInd/>
        <w:spacing w:line="360" w:lineRule="auto"/>
        <w:ind w:firstLine="338" w:firstLineChars="161"/>
        <w:jc w:val="left"/>
        <w:textAlignment w:val="auto"/>
        <w:rPr>
          <w:rFonts w:hint="eastAsia"/>
          <w:color w:val="auto"/>
          <w:highlight w:val="none"/>
        </w:rPr>
      </w:pPr>
      <w:r>
        <w:rPr>
          <w:rFonts w:hint="eastAsia" w:ascii="宋体" w:hAnsi="宋体" w:cs="Times New Roman"/>
          <w:kern w:val="2"/>
          <w:sz w:val="21"/>
          <w:szCs w:val="21"/>
          <w:highlight w:val="none"/>
        </w:rPr>
        <w:t>5、开标结束后，</w:t>
      </w:r>
      <w:r>
        <w:rPr>
          <w:rFonts w:hint="eastAsia" w:ascii="宋体" w:hAnsi="宋体" w:cs="Times New Roman"/>
          <w:kern w:val="2"/>
          <w:sz w:val="21"/>
          <w:szCs w:val="21"/>
          <w:highlight w:val="none"/>
          <w:lang w:eastAsia="zh-CN"/>
        </w:rPr>
        <w:t>采购人</w:t>
      </w:r>
      <w:r>
        <w:rPr>
          <w:rFonts w:hint="eastAsia" w:ascii="宋体" w:hAnsi="宋体" w:cs="Times New Roman"/>
          <w:kern w:val="2"/>
          <w:sz w:val="21"/>
          <w:szCs w:val="21"/>
          <w:highlight w:val="none"/>
        </w:rPr>
        <w:t>将对中标候选人的样品进行封存，作为验收的依据。其他</w:t>
      </w:r>
      <w:r>
        <w:rPr>
          <w:rFonts w:hint="eastAsia" w:ascii="宋体" w:hAnsi="宋体" w:cs="Times New Roman"/>
          <w:kern w:val="2"/>
          <w:sz w:val="21"/>
          <w:szCs w:val="21"/>
          <w:highlight w:val="none"/>
          <w:lang w:val="en-US" w:eastAsia="zh-CN"/>
        </w:rPr>
        <w:t>投标人</w:t>
      </w:r>
      <w:r>
        <w:rPr>
          <w:rFonts w:hint="eastAsia" w:ascii="宋体" w:hAnsi="宋体" w:cs="Times New Roman"/>
          <w:kern w:val="2"/>
          <w:sz w:val="21"/>
          <w:szCs w:val="21"/>
          <w:highlight w:val="none"/>
        </w:rPr>
        <w:t>的样品在开标结束后自行领回。逾期未取回的，</w:t>
      </w:r>
      <w:r>
        <w:rPr>
          <w:rFonts w:hint="eastAsia" w:ascii="宋体" w:hAnsi="宋体" w:cs="Times New Roman"/>
          <w:kern w:val="2"/>
          <w:sz w:val="21"/>
          <w:szCs w:val="21"/>
          <w:highlight w:val="none"/>
          <w:lang w:val="en-US" w:eastAsia="zh-CN"/>
        </w:rPr>
        <w:t>采购人</w:t>
      </w:r>
      <w:r>
        <w:rPr>
          <w:rFonts w:hint="eastAsia" w:ascii="宋体" w:hAnsi="宋体" w:cs="Times New Roman"/>
          <w:kern w:val="2"/>
          <w:sz w:val="21"/>
          <w:szCs w:val="21"/>
          <w:highlight w:val="none"/>
        </w:rPr>
        <w:t>、</w:t>
      </w:r>
      <w:r>
        <w:rPr>
          <w:rFonts w:hint="eastAsia" w:ascii="宋体" w:hAnsi="宋体" w:cs="Times New Roman"/>
          <w:kern w:val="2"/>
          <w:sz w:val="21"/>
          <w:szCs w:val="21"/>
          <w:highlight w:val="none"/>
          <w:lang w:val="en-US" w:eastAsia="zh-CN"/>
        </w:rPr>
        <w:t>采购</w:t>
      </w:r>
      <w:r>
        <w:rPr>
          <w:rFonts w:hint="eastAsia" w:ascii="宋体" w:hAnsi="宋体" w:cs="Times New Roman"/>
          <w:kern w:val="2"/>
          <w:sz w:val="21"/>
          <w:szCs w:val="21"/>
          <w:highlight w:val="none"/>
        </w:rPr>
        <w:t>代理机构不负保管义务</w:t>
      </w:r>
      <w:r>
        <w:rPr>
          <w:rFonts w:hint="eastAsia" w:ascii="宋体" w:hAnsi="宋体" w:cs="Times New Roman"/>
          <w:kern w:val="2"/>
          <w:sz w:val="21"/>
          <w:szCs w:val="21"/>
          <w:highlight w:val="none"/>
          <w:lang w:eastAsia="zh-CN"/>
        </w:rPr>
        <w:t>。</w:t>
      </w:r>
    </w:p>
    <w:p w14:paraId="37C50E50">
      <w:pPr>
        <w:rPr>
          <w:rFonts w:hint="eastAsia"/>
          <w:color w:val="auto"/>
          <w:highlight w:val="none"/>
        </w:rPr>
      </w:pPr>
    </w:p>
    <w:p w14:paraId="50B3708B">
      <w:pPr>
        <w:rPr>
          <w:rFonts w:hint="eastAsia"/>
          <w:color w:val="auto"/>
          <w:highlight w:val="none"/>
        </w:rPr>
      </w:pPr>
      <w:r>
        <w:rPr>
          <w:rFonts w:hint="eastAsia"/>
          <w:color w:val="auto"/>
          <w:highlight w:val="none"/>
        </w:rPr>
        <w:br w:type="page"/>
      </w:r>
    </w:p>
    <w:p w14:paraId="1799BCE8">
      <w:pPr>
        <w:pStyle w:val="3"/>
        <w:jc w:val="center"/>
        <w:rPr>
          <w:color w:val="auto"/>
          <w:highlight w:val="none"/>
        </w:rPr>
      </w:pPr>
      <w:r>
        <w:rPr>
          <w:rFonts w:hint="eastAsia"/>
          <w:color w:val="auto"/>
          <w:highlight w:val="none"/>
        </w:rPr>
        <w:t>第五章  评标办法及标准</w:t>
      </w:r>
      <w:bookmarkEnd w:id="133"/>
    </w:p>
    <w:p w14:paraId="31FA08E4">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一、评标办法</w:t>
      </w:r>
    </w:p>
    <w:p w14:paraId="0FD90900">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1.1本项目评标采用综合评分法。</w:t>
      </w:r>
    </w:p>
    <w:p w14:paraId="1CA4799B">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1.2综合评分法：采用百分制，总分100分。投标人的综合得分为商务和技术得分与报价得分之和。按综合得分由高到低的排序，推荐</w:t>
      </w:r>
      <w:r>
        <w:rPr>
          <w:rFonts w:hint="eastAsia" w:ascii="宋体" w:hAnsi="宋体" w:cs="宋体"/>
          <w:color w:val="auto"/>
          <w:sz w:val="21"/>
          <w:szCs w:val="21"/>
          <w:highlight w:val="none"/>
          <w:lang w:val="en-US" w:eastAsia="zh-CN"/>
        </w:rPr>
        <w:t>三名</w:t>
      </w:r>
      <w:r>
        <w:rPr>
          <w:rFonts w:hint="eastAsia" w:ascii="宋体" w:hAnsi="宋体" w:cs="宋体"/>
          <w:color w:val="auto"/>
          <w:sz w:val="21"/>
          <w:szCs w:val="21"/>
          <w:highlight w:val="none"/>
        </w:rPr>
        <w:t>中标候选人。若投标人的综合得分相等，则投标报价低者列前；若投标报价也相同时，采取随机抽签的方式确定排序。</w:t>
      </w:r>
    </w:p>
    <w:p w14:paraId="71966072">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1.3本项目需要落实的政府采购政策：《关于促进残疾人就业政府采购政策的通知》（财库[2017]141号）、《政府采购促进中小企业发展管理办法》（财库〔2020〕46号）、《关于政府采购支持监狱企业发展有关问题的通知》（财库[2014]68号）、《关于调整优化节能产品、环境标志产品政府采购执行机制的通知》（财库〔2019〕9号文）、《关于印发环境标志产品政府采购品目清单的通知》（财库〔2019〕18号）和《关于印发节能产品政府采购品目清单的通知》（财库〔2019〕19号）。</w:t>
      </w:r>
    </w:p>
    <w:p w14:paraId="07035EC5">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1.4本次采购为</w:t>
      </w:r>
      <w:r>
        <w:rPr>
          <w:rFonts w:hint="eastAsia" w:ascii="宋体" w:hAnsi="宋体" w:cs="宋体"/>
          <w:b/>
          <w:bCs/>
          <w:color w:val="auto"/>
          <w:sz w:val="21"/>
          <w:szCs w:val="21"/>
          <w:highlight w:val="none"/>
          <w:u w:val="single"/>
        </w:rPr>
        <w:t>专门面向中小企业</w:t>
      </w:r>
      <w:r>
        <w:rPr>
          <w:rFonts w:hint="eastAsia" w:ascii="宋体" w:hAnsi="宋体" w:cs="宋体"/>
          <w:color w:val="auto"/>
          <w:sz w:val="21"/>
          <w:szCs w:val="21"/>
          <w:highlight w:val="none"/>
        </w:rPr>
        <w:t>，采购标的对应的中小企业划分标准所属行业为：</w:t>
      </w:r>
      <w:r>
        <w:rPr>
          <w:rFonts w:hint="eastAsia" w:ascii="宋体" w:hAnsi="宋体" w:cs="宋体"/>
          <w:b/>
          <w:bCs/>
          <w:color w:val="auto"/>
          <w:sz w:val="21"/>
          <w:szCs w:val="21"/>
          <w:highlight w:val="none"/>
          <w:u w:val="single"/>
        </w:rPr>
        <w:t>工业</w:t>
      </w:r>
      <w:r>
        <w:rPr>
          <w:rFonts w:hint="eastAsia" w:ascii="宋体" w:hAnsi="宋体" w:cs="宋体"/>
          <w:color w:val="auto"/>
          <w:sz w:val="21"/>
          <w:szCs w:val="21"/>
          <w:highlight w:val="none"/>
        </w:rPr>
        <w:t>。</w:t>
      </w:r>
    </w:p>
    <w:p w14:paraId="29984904">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1.5本项目将对节能产品、环境标志产品给予政策性因素技术加分，投标产品如属于节能产品、环境标志产品的，供应商须提供由国家确定的认证机构出具的、处于有效期之内的节能产品、环境标志产品认证证书，未按要求提供认证证书或认证证书与中国政府采购网（www.ccgp.gov.cn）节能产品、环境标志产品查询结果不相符的评标委员会将不予认可，不得享受技术加分。由多个产品集成的项目（标项），必须所有产品符合上述要求才能享受技术加分。</w:t>
      </w:r>
    </w:p>
    <w:p w14:paraId="4C0C0C89">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评标委员会成员对需要共同认定的事项存在争议的，应当按照少数服从多数的原则作出结论。</w:t>
      </w:r>
    </w:p>
    <w:p w14:paraId="18B2BE01">
      <w:pPr>
        <w:wordWrap w:val="0"/>
        <w:spacing w:line="360" w:lineRule="auto"/>
        <w:rPr>
          <w:rFonts w:ascii="宋体" w:hAnsi="宋体" w:cs="宋体"/>
          <w:b/>
          <w:bCs/>
          <w:color w:val="auto"/>
          <w:sz w:val="21"/>
          <w:szCs w:val="21"/>
          <w:highlight w:val="none"/>
        </w:rPr>
      </w:pPr>
      <w:r>
        <w:rPr>
          <w:rFonts w:hint="eastAsia" w:ascii="宋体" w:hAnsi="宋体" w:cs="宋体"/>
          <w:color w:val="auto"/>
          <w:sz w:val="21"/>
          <w:szCs w:val="21"/>
          <w:highlight w:val="none"/>
        </w:rPr>
        <w:t>二、</w:t>
      </w:r>
      <w:r>
        <w:rPr>
          <w:rFonts w:hint="eastAsia" w:ascii="宋体" w:hAnsi="宋体" w:cs="宋体"/>
          <w:b/>
          <w:bCs/>
          <w:color w:val="auto"/>
          <w:sz w:val="21"/>
          <w:szCs w:val="21"/>
          <w:highlight w:val="none"/>
        </w:rPr>
        <w:t>评标程序</w:t>
      </w:r>
    </w:p>
    <w:p w14:paraId="687BEC78">
      <w:pPr>
        <w:wordWrap w:val="0"/>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2.1初步审查：包含资格性审查和符合性审查。资格性审查是指采购人或代理机构根据“附表1资格性审查表”的要求对投标文件逐一进行评审。符合性审查是指评标委员会根据“附表2符合性审查表”的要求对投标文件逐一进行评审。</w:t>
      </w:r>
      <w:r>
        <w:rPr>
          <w:rFonts w:hint="eastAsia" w:ascii="宋体" w:hAnsi="宋体" w:cs="宋体"/>
          <w:b/>
          <w:color w:val="auto"/>
          <w:sz w:val="21"/>
          <w:szCs w:val="21"/>
          <w:highlight w:val="none"/>
        </w:rPr>
        <w:t>资格性审查和符合性审查中，有任意一项审查结论不合格的，作无效标处理。</w:t>
      </w:r>
    </w:p>
    <w:p w14:paraId="3AE5F96F">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2.2</w:t>
      </w:r>
      <w:r>
        <w:rPr>
          <w:rFonts w:hint="eastAsia" w:ascii="宋体" w:hAnsi="宋体" w:cs="宋体"/>
          <w:color w:val="auto"/>
          <w:sz w:val="21"/>
          <w:szCs w:val="21"/>
          <w:highlight w:val="none"/>
          <w:lang w:val="zh-CN"/>
        </w:rPr>
        <w:t>比较与评价：</w:t>
      </w:r>
      <w:r>
        <w:rPr>
          <w:rFonts w:hint="eastAsia" w:ascii="宋体" w:hAnsi="宋体" w:cs="宋体"/>
          <w:color w:val="auto"/>
          <w:sz w:val="21"/>
          <w:szCs w:val="21"/>
          <w:highlight w:val="none"/>
        </w:rPr>
        <w:t>评标委员会根据“附表3商务和技术评分表”的要求，</w:t>
      </w:r>
      <w:r>
        <w:rPr>
          <w:rFonts w:hint="eastAsia" w:ascii="宋体" w:hAnsi="宋体" w:cs="宋体"/>
          <w:color w:val="auto"/>
          <w:sz w:val="21"/>
          <w:szCs w:val="21"/>
          <w:highlight w:val="none"/>
          <w:lang w:val="zh-CN"/>
        </w:rPr>
        <w:t>对照投标文件的应答进行比较，判定其偏差性质和程度，</w:t>
      </w:r>
      <w:r>
        <w:rPr>
          <w:rFonts w:hint="eastAsia" w:ascii="宋体" w:hAnsi="宋体" w:cs="宋体"/>
          <w:color w:val="auto"/>
          <w:sz w:val="21"/>
          <w:szCs w:val="21"/>
          <w:highlight w:val="none"/>
        </w:rPr>
        <w:t>由评标委员会成员在分值范围内自行评分。投标人商务和技术得分为各评标委员会成员有效评分的算术平均值（小数点后保留二位数）。</w:t>
      </w:r>
    </w:p>
    <w:p w14:paraId="7D2B2B02">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2.3在评标过程中，发现的价格计算错误按下述原则修正：</w:t>
      </w:r>
    </w:p>
    <w:p w14:paraId="5566D576">
      <w:pPr>
        <w:pStyle w:val="135"/>
        <w:widowControl/>
        <w:spacing w:line="360" w:lineRule="auto"/>
        <w:ind w:left="17" w:leftChars="7" w:firstLine="529" w:firstLineChars="252"/>
        <w:rPr>
          <w:rFonts w:hAnsi="宋体" w:cs="宋体"/>
          <w:color w:val="auto"/>
          <w:sz w:val="21"/>
          <w:szCs w:val="21"/>
          <w:highlight w:val="none"/>
        </w:rPr>
      </w:pPr>
      <w:r>
        <w:rPr>
          <w:rFonts w:hint="eastAsia" w:hAnsi="宋体" w:cs="宋体"/>
          <w:color w:val="auto"/>
          <w:sz w:val="21"/>
          <w:szCs w:val="21"/>
          <w:highlight w:val="none"/>
        </w:rPr>
        <w:t>（1）投标文件中开标一览表内容与投标文件中分项报价表内容不一致的，以开标一览表为准；</w:t>
      </w:r>
    </w:p>
    <w:p w14:paraId="24EBF432">
      <w:pPr>
        <w:pStyle w:val="135"/>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（2）大写金额和小写金额不一致的，以大写金额为准；</w:t>
      </w:r>
    </w:p>
    <w:p w14:paraId="72047E08">
      <w:pPr>
        <w:pStyle w:val="135"/>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（3）单价金额小数点或者百分比有明显错位的，以开标一览表的总价为准，并修改单价；</w:t>
      </w:r>
    </w:p>
    <w:p w14:paraId="6A24F73B">
      <w:pPr>
        <w:pStyle w:val="135"/>
        <w:widowControl/>
        <w:spacing w:line="360" w:lineRule="auto"/>
        <w:ind w:left="757" w:leftChars="228" w:hanging="210" w:hangingChars="100"/>
        <w:rPr>
          <w:rFonts w:hAnsi="宋体" w:cs="宋体"/>
          <w:color w:val="auto"/>
          <w:sz w:val="21"/>
          <w:szCs w:val="21"/>
          <w:highlight w:val="none"/>
        </w:rPr>
      </w:pPr>
      <w:r>
        <w:rPr>
          <w:rFonts w:hint="eastAsia" w:hAnsi="宋体" w:cs="宋体"/>
          <w:color w:val="auto"/>
          <w:sz w:val="21"/>
          <w:szCs w:val="21"/>
          <w:highlight w:val="none"/>
        </w:rPr>
        <w:t>（4）总价金额与按单价汇总金额不一致的，以单价金额计算结果为准；</w:t>
      </w:r>
    </w:p>
    <w:p w14:paraId="65E02437">
      <w:pPr>
        <w:wordWrap w:val="0"/>
        <w:spacing w:line="360" w:lineRule="auto"/>
        <w:ind w:firstLine="422" w:firstLineChars="200"/>
        <w:rPr>
          <w:rFonts w:ascii="宋体" w:hAnsi="宋体" w:cs="宋体"/>
          <w:color w:val="auto"/>
          <w:sz w:val="21"/>
          <w:szCs w:val="21"/>
          <w:highlight w:val="none"/>
        </w:rPr>
      </w:pPr>
      <w:r>
        <w:rPr>
          <w:rFonts w:hint="eastAsia" w:ascii="宋体" w:hAnsi="宋体" w:cs="宋体"/>
          <w:b/>
          <w:bCs/>
          <w:color w:val="auto"/>
          <w:sz w:val="21"/>
          <w:szCs w:val="21"/>
          <w:highlight w:val="none"/>
        </w:rPr>
        <w:t>同时出现两种以上不一致的，按照前款规定的顺序修正。修正后的报价经投标人确认后具有约束</w:t>
      </w:r>
      <w:r>
        <w:rPr>
          <w:rFonts w:hint="eastAsia" w:ascii="宋体" w:hAnsi="宋体" w:cs="宋体"/>
          <w:b/>
          <w:color w:val="auto"/>
          <w:sz w:val="21"/>
          <w:szCs w:val="21"/>
          <w:highlight w:val="none"/>
        </w:rPr>
        <w:t>力，若投标人不确认的，则其投标无效</w:t>
      </w:r>
      <w:r>
        <w:rPr>
          <w:rFonts w:hint="eastAsia" w:ascii="宋体" w:hAnsi="宋体" w:cs="宋体"/>
          <w:color w:val="auto"/>
          <w:sz w:val="21"/>
          <w:szCs w:val="21"/>
          <w:highlight w:val="none"/>
        </w:rPr>
        <w:t>。</w:t>
      </w:r>
    </w:p>
    <w:p w14:paraId="71BA4C67">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提供相同品牌产品且通过资格性审查、符合性审查的不同投标人参加同一标项投标的，按一家投标人计算，评审后综合得分最高的同品牌投标人获得中标候选人推荐资格；综合得分相同的，由评标委员会采取随机抽取方式确定，其他同品牌投标人不作为中标候选人。</w:t>
      </w:r>
    </w:p>
    <w:p w14:paraId="6211E7C7">
      <w:pPr>
        <w:wordWrap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非单一产品采购项目，多家投标人提供的核心产品品牌相同的，按上述规定处理。</w:t>
      </w:r>
    </w:p>
    <w:p w14:paraId="4254AFC4">
      <w:pPr>
        <w:wordWrap w:val="0"/>
        <w:spacing w:line="360" w:lineRule="auto"/>
        <w:ind w:firstLine="422" w:firstLineChars="200"/>
        <w:rPr>
          <w:rFonts w:hint="eastAsia" w:ascii="宋体" w:hAnsi="宋体" w:eastAsia="宋体" w:cs="宋体"/>
          <w:b/>
          <w:bCs/>
          <w:color w:val="auto"/>
          <w:sz w:val="21"/>
          <w:szCs w:val="21"/>
          <w:highlight w:val="none"/>
          <w:u w:val="single"/>
          <w:lang w:eastAsia="zh-CN"/>
        </w:rPr>
      </w:pPr>
      <w:r>
        <w:rPr>
          <w:rFonts w:hint="eastAsia" w:ascii="宋体" w:hAnsi="宋体" w:eastAsia="宋体" w:cs="宋体"/>
          <w:b/>
          <w:bCs/>
          <w:color w:val="auto"/>
          <w:sz w:val="21"/>
          <w:szCs w:val="21"/>
          <w:highlight w:val="none"/>
          <w:u w:val="single"/>
        </w:rPr>
        <w:t>本项目核心产品为</w:t>
      </w:r>
      <w:r>
        <w:rPr>
          <w:rFonts w:hint="eastAsia" w:ascii="宋体" w:hAnsi="宋体" w:cs="宋体"/>
          <w:b/>
          <w:bCs/>
          <w:color w:val="auto"/>
          <w:sz w:val="21"/>
          <w:szCs w:val="21"/>
          <w:highlight w:val="none"/>
          <w:u w:val="single"/>
          <w:lang w:val="en-US" w:eastAsia="zh-CN"/>
        </w:rPr>
        <w:t>实验桌（上通风化学实验室)</w:t>
      </w:r>
      <w:r>
        <w:rPr>
          <w:rFonts w:hint="eastAsia"/>
          <w:highlight w:val="none"/>
          <w:lang w:eastAsia="zh-CN"/>
        </w:rPr>
        <w:t>。</w:t>
      </w:r>
    </w:p>
    <w:p w14:paraId="68AEEF84">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综合评估：投标人的综合得分为商务和技术得分与报价得分之和。</w:t>
      </w:r>
    </w:p>
    <w:p w14:paraId="2F891D3E">
      <w:pPr>
        <w:wordWrap w:val="0"/>
        <w:spacing w:line="360" w:lineRule="auto"/>
        <w:ind w:firstLine="422" w:firstLineChars="200"/>
        <w:rPr>
          <w:rFonts w:ascii="宋体" w:hAnsi="宋体" w:cs="宋体"/>
          <w:b/>
          <w:color w:val="auto"/>
          <w:sz w:val="21"/>
          <w:szCs w:val="21"/>
          <w:highlight w:val="none"/>
        </w:rPr>
      </w:pPr>
      <w:r>
        <w:rPr>
          <w:rFonts w:hint="eastAsia" w:ascii="宋体" w:hAnsi="宋体" w:cs="宋体"/>
          <w:b/>
          <w:color w:val="auto"/>
          <w:sz w:val="21"/>
          <w:szCs w:val="21"/>
          <w:highlight w:val="none"/>
        </w:rPr>
        <w:t>2.</w:t>
      </w:r>
      <w:r>
        <w:rPr>
          <w:rFonts w:hint="eastAsia" w:ascii="宋体" w:hAnsi="宋体" w:cs="宋体"/>
          <w:b/>
          <w:color w:val="auto"/>
          <w:sz w:val="21"/>
          <w:szCs w:val="21"/>
          <w:highlight w:val="none"/>
          <w:lang w:val="en-US" w:eastAsia="zh-CN"/>
        </w:rPr>
        <w:t>6</w:t>
      </w:r>
      <w:r>
        <w:rPr>
          <w:rFonts w:hint="eastAsia" w:ascii="宋体" w:hAnsi="宋体" w:cs="宋体"/>
          <w:b/>
          <w:color w:val="auto"/>
          <w:sz w:val="21"/>
          <w:szCs w:val="21"/>
          <w:highlight w:val="none"/>
        </w:rPr>
        <w:t>推荐中标候选人：根据投标人综合得分由高到低进行排序结合中标原则，推荐</w:t>
      </w:r>
      <w:r>
        <w:rPr>
          <w:rFonts w:hint="eastAsia" w:ascii="宋体" w:hAnsi="宋体" w:cs="宋体"/>
          <w:b/>
          <w:color w:val="auto"/>
          <w:sz w:val="21"/>
          <w:szCs w:val="21"/>
          <w:highlight w:val="none"/>
          <w:lang w:val="en-US" w:eastAsia="zh-CN"/>
        </w:rPr>
        <w:t>三名</w:t>
      </w:r>
      <w:r>
        <w:rPr>
          <w:rFonts w:hint="eastAsia" w:ascii="宋体" w:hAnsi="宋体" w:cs="宋体"/>
          <w:b/>
          <w:color w:val="auto"/>
          <w:sz w:val="21"/>
          <w:szCs w:val="21"/>
          <w:highlight w:val="none"/>
        </w:rPr>
        <w:t>中标候选人。若投标人的综合得分相等，则投标报价低者列前。若投标报价也相同时，则采取随机抽签的方式确定排序。</w:t>
      </w:r>
    </w:p>
    <w:p w14:paraId="3BB9579B">
      <w:pPr>
        <w:wordWrap w:val="0"/>
        <w:spacing w:line="360" w:lineRule="auto"/>
        <w:ind w:firstLine="422" w:firstLineChars="200"/>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rPr>
        <w:t>2.</w:t>
      </w:r>
      <w:r>
        <w:rPr>
          <w:rFonts w:hint="eastAsia" w:ascii="宋体" w:hAnsi="宋体" w:cs="宋体"/>
          <w:b/>
          <w:color w:val="auto"/>
          <w:sz w:val="21"/>
          <w:szCs w:val="21"/>
          <w:highlight w:val="none"/>
          <w:lang w:val="en-US" w:eastAsia="zh-CN"/>
        </w:rPr>
        <w:t>7</w:t>
      </w:r>
      <w:r>
        <w:rPr>
          <w:rFonts w:hint="eastAsia" w:ascii="宋体" w:hAnsi="宋体" w:cs="宋体"/>
          <w:b/>
          <w:color w:val="auto"/>
          <w:sz w:val="21"/>
          <w:szCs w:val="21"/>
          <w:highlight w:val="none"/>
        </w:rPr>
        <w:t>确定中标</w:t>
      </w:r>
      <w:r>
        <w:rPr>
          <w:rFonts w:hint="eastAsia" w:ascii="宋体" w:hAnsi="宋体" w:cs="宋体"/>
          <w:b/>
          <w:color w:val="auto"/>
          <w:sz w:val="21"/>
          <w:szCs w:val="21"/>
          <w:highlight w:val="none"/>
          <w:lang w:val="en-US" w:eastAsia="zh-CN"/>
        </w:rPr>
        <w:t>供应商</w:t>
      </w:r>
    </w:p>
    <w:p w14:paraId="294F1DDF">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评标委员会按综合得分由高到低的排序，向采购人推荐</w:t>
      </w:r>
      <w:r>
        <w:rPr>
          <w:rFonts w:hint="eastAsia" w:ascii="宋体" w:hAnsi="宋体" w:cs="宋体"/>
          <w:color w:val="auto"/>
          <w:sz w:val="21"/>
          <w:szCs w:val="21"/>
          <w:highlight w:val="none"/>
          <w:lang w:val="en-US" w:eastAsia="zh-CN"/>
        </w:rPr>
        <w:t>三名</w:t>
      </w:r>
      <w:r>
        <w:rPr>
          <w:rFonts w:hint="eastAsia" w:ascii="宋体" w:hAnsi="宋体" w:cs="宋体"/>
          <w:color w:val="auto"/>
          <w:sz w:val="21"/>
          <w:szCs w:val="21"/>
          <w:highlight w:val="none"/>
        </w:rPr>
        <w:t>中标候选人。代理机构应当自评审结束之日起2个工作日内将评审报告送交采购人。采购人应当自收到评审报告之日起5个工作日内在评审报告推荐的中标候选人中确定1名</w:t>
      </w:r>
      <w:r>
        <w:rPr>
          <w:rFonts w:hint="eastAsia" w:ascii="宋体" w:hAnsi="宋体" w:cs="宋体"/>
          <w:color w:val="auto"/>
          <w:sz w:val="21"/>
          <w:szCs w:val="21"/>
          <w:highlight w:val="none"/>
          <w:lang w:eastAsia="zh-CN"/>
        </w:rPr>
        <w:t>中标人</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中标或者成交供应商拒绝与采购人签订合同的，采购人可以按照评审报告推荐的中标或者成交候选 人名单排序，确定下一候选人为中标或者成交供应商，也可以重新开展政府采购活动。</w:t>
      </w:r>
    </w:p>
    <w:p w14:paraId="71253387">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三、投标的澄清</w:t>
      </w:r>
    </w:p>
    <w:p w14:paraId="3E5D90A4">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3.1评标委员会在对投标文件的有效性、完整性和响应程度进行审查时，可以要求投标人对投标文件中含义不明确、同类问题表述不一致或者有明显文字和计算错误的内容等做出必要的澄清。投标人的澄清不得超出投标文件的范围或者改变投标文件的实质性内容。</w:t>
      </w:r>
    </w:p>
    <w:p w14:paraId="315776CA">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3.2政采云具体操作如下：</w:t>
      </w:r>
    </w:p>
    <w:p w14:paraId="54C1421A">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在评审过程中，如评标委员会对投标文件有疑问，由评标委员会组长将问题汇总后发函，或由采购代理机构代替发起。投标人在截止时间前，予以回复。此回复将作为投标文件内容的一部分，具有相应的法律效力。</w:t>
      </w:r>
    </w:p>
    <w:p w14:paraId="08F3235B">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路径：用户中心—项目采购—询标澄清</w:t>
      </w:r>
    </w:p>
    <w:p w14:paraId="31F3D843">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（1）政采云平台通过待办事项和短信提醒投标人在截止时间前完成澄清。</w:t>
      </w:r>
    </w:p>
    <w:p w14:paraId="5558904B">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（2）投标人在“询标澄清-待办理”标签页下选择状态为“待澄清”的项目，点击操作栏【澄清】。</w:t>
      </w:r>
    </w:p>
    <w:p w14:paraId="344B02D9">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（3）查看函内容，在澄清截止时间前上传澄清文件并对澄清文件进行签章。（注：澄清文件必须以PDF格式上传，文件大小：50M）</w:t>
      </w:r>
    </w:p>
    <w:p w14:paraId="03D33694">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（4）签章完成，文件名称处显示“已签章”，投标人可“撤回签章”修改澄清函和“查看文件”。</w:t>
      </w:r>
    </w:p>
    <w:p w14:paraId="6D840843">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确认澄清文件内容后，点击右上角【提交】；（注：投标人未对澄清文件签章，提交时，弹框提醒“澄清文件未签章，请进行签章操作”，如遇CA突发情况无法签章，投标人可点击【放弃签章并提交】提交澄清文件；反之则签章后再提交。）</w:t>
      </w:r>
    </w:p>
    <w:p w14:paraId="7A8B14B3">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（6）完成状态：投标人澄清文件提交成功后，在“询标澄清-全部”标签页下显示状态为“已澄清”。</w:t>
      </w:r>
    </w:p>
    <w:p w14:paraId="4FCF969F">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3.3开标现场，投标人安排法定代表人或授权代表到场的，则由评标委员会组长将问题汇总后向投标人发出书面“采购</w:t>
      </w:r>
      <w:r>
        <w:rPr>
          <w:rFonts w:hint="eastAsia" w:ascii="宋体" w:hAnsi="宋体" w:cs="宋体"/>
          <w:color w:val="auto"/>
          <w:sz w:val="21"/>
          <w:szCs w:val="21"/>
          <w:highlight w:val="none"/>
          <w:lang w:eastAsia="zh-CN"/>
        </w:rPr>
        <w:t>投标文件</w:t>
      </w:r>
      <w:r>
        <w:rPr>
          <w:rFonts w:hint="eastAsia" w:ascii="宋体" w:hAnsi="宋体" w:cs="宋体"/>
          <w:color w:val="auto"/>
          <w:sz w:val="21"/>
          <w:szCs w:val="21"/>
          <w:highlight w:val="none"/>
        </w:rPr>
        <w:t>问题澄清通知”，投标人应对需要澄清的问题作书面回答，该书面澄清应当由投标人的法定代表人或授权代表签字或者加盖投标人公章。书面澄清将作为投标文件内容的一部分，具有相应的法律效力。</w:t>
      </w:r>
    </w:p>
    <w:p w14:paraId="2CDFB690">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3.4投标人未在截止时间前完成澄清，将被视作自动放弃。</w:t>
      </w:r>
    </w:p>
    <w:p w14:paraId="3B6DAB85">
      <w:pPr>
        <w:wordWrap w:val="0"/>
        <w:spacing w:line="360" w:lineRule="auto"/>
        <w:rPr>
          <w:rFonts w:ascii="宋体" w:hAnsi="宋体" w:cs="宋体"/>
          <w:color w:val="auto"/>
          <w:sz w:val="21"/>
          <w:szCs w:val="21"/>
          <w:highlight w:val="none"/>
        </w:rPr>
      </w:pPr>
      <w:r>
        <w:rPr>
          <w:rFonts w:hint="eastAsia" w:ascii="宋体" w:hAnsi="宋体" w:cs="宋体"/>
          <w:b/>
          <w:color w:val="auto"/>
          <w:sz w:val="21"/>
          <w:szCs w:val="21"/>
          <w:highlight w:val="none"/>
        </w:rPr>
        <w:t>四、特别声明：价格是评标的重要因素之一，但最低</w:t>
      </w:r>
      <w:r>
        <w:rPr>
          <w:rFonts w:hint="eastAsia" w:ascii="宋体" w:hAnsi="宋体" w:cs="宋体"/>
          <w:b/>
          <w:color w:val="auto"/>
          <w:sz w:val="21"/>
          <w:szCs w:val="21"/>
          <w:highlight w:val="none"/>
          <w:lang w:val="en-US" w:eastAsia="zh-CN"/>
        </w:rPr>
        <w:t>报价</w:t>
      </w:r>
      <w:r>
        <w:rPr>
          <w:rFonts w:hint="eastAsia" w:ascii="宋体" w:hAnsi="宋体" w:cs="宋体"/>
          <w:b/>
          <w:color w:val="auto"/>
          <w:sz w:val="21"/>
          <w:szCs w:val="21"/>
          <w:highlight w:val="none"/>
        </w:rPr>
        <w:t>不是中标的唯一依据。</w:t>
      </w:r>
    </w:p>
    <w:p w14:paraId="59B56AE1">
      <w:pPr>
        <w:wordWrap w:val="0"/>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五、重新招标</w:t>
      </w:r>
    </w:p>
    <w:p w14:paraId="4AA8AB39">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有下列情形之一的，采购人将重新招标：</w:t>
      </w:r>
    </w:p>
    <w:p w14:paraId="121257E3">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5.1投标截止时间止，投标人少于3个的；</w:t>
      </w:r>
    </w:p>
    <w:p w14:paraId="48F5BD1E">
      <w:pPr>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5.2评标委员会评标过程中，有效投标人少于3个的；</w:t>
      </w:r>
    </w:p>
    <w:p w14:paraId="5D0E560B">
      <w:pPr>
        <w:widowControl/>
        <w:wordWrap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5.3评标委员会发现采购文件存在歧义、重大缺陷导致评标工作无法进行，或者采购文件内容违反国家有关强制性规定的，应当停止评标工作，与采购人或者代理机构沟通并作书面记录。采购人或者代理机构确认后，应当修改采购文件，重新组织招标活动。</w:t>
      </w:r>
    </w:p>
    <w:p w14:paraId="099FCEA4">
      <w:pPr>
        <w:spacing w:line="360" w:lineRule="auto"/>
        <w:ind w:firstLine="420" w:firstLineChars="200"/>
        <w:rPr>
          <w:color w:val="auto"/>
          <w:sz w:val="21"/>
          <w:szCs w:val="21"/>
          <w:highlight w:val="none"/>
        </w:rPr>
      </w:pPr>
    </w:p>
    <w:p w14:paraId="51BF4AA4">
      <w:pPr>
        <w:spacing w:line="400" w:lineRule="exact"/>
        <w:rPr>
          <w:rFonts w:ascii="宋体" w:hAnsi="宋体"/>
          <w:color w:val="auto"/>
          <w:sz w:val="21"/>
          <w:szCs w:val="21"/>
          <w:highlight w:val="none"/>
        </w:rPr>
      </w:pPr>
      <w:r>
        <w:rPr>
          <w:color w:val="auto"/>
          <w:sz w:val="21"/>
          <w:szCs w:val="21"/>
          <w:highlight w:val="none"/>
        </w:rPr>
        <w:br w:type="page"/>
      </w:r>
      <w:r>
        <w:rPr>
          <w:rFonts w:hint="eastAsia" w:ascii="宋体" w:hAnsi="宋体"/>
          <w:color w:val="auto"/>
          <w:sz w:val="21"/>
          <w:szCs w:val="21"/>
          <w:highlight w:val="none"/>
        </w:rPr>
        <w:t>附表</w:t>
      </w:r>
      <w:r>
        <w:rPr>
          <w:rFonts w:ascii="宋体" w:hAnsi="宋体"/>
          <w:color w:val="auto"/>
          <w:sz w:val="21"/>
          <w:szCs w:val="21"/>
          <w:highlight w:val="none"/>
        </w:rPr>
        <w:t>1</w:t>
      </w:r>
      <w:r>
        <w:rPr>
          <w:rFonts w:hint="eastAsia" w:ascii="宋体" w:hAnsi="宋体"/>
          <w:color w:val="auto"/>
          <w:sz w:val="21"/>
          <w:szCs w:val="21"/>
          <w:highlight w:val="none"/>
        </w:rPr>
        <w:t xml:space="preserve">：                           </w:t>
      </w:r>
    </w:p>
    <w:p w14:paraId="22FEE82B">
      <w:pPr>
        <w:spacing w:line="340" w:lineRule="exact"/>
        <w:jc w:val="center"/>
        <w:rPr>
          <w:rFonts w:ascii="宋体" w:hAnsi="宋体"/>
          <w:color w:val="auto"/>
          <w:sz w:val="21"/>
          <w:szCs w:val="21"/>
          <w:highlight w:val="none"/>
        </w:rPr>
      </w:pPr>
      <w:r>
        <w:rPr>
          <w:rFonts w:hint="eastAsia" w:ascii="宋体" w:hAnsi="宋体"/>
          <w:b/>
          <w:color w:val="auto"/>
          <w:sz w:val="21"/>
          <w:szCs w:val="21"/>
          <w:highlight w:val="none"/>
        </w:rPr>
        <w:t>资格性审查表</w:t>
      </w:r>
    </w:p>
    <w:tbl>
      <w:tblPr>
        <w:tblStyle w:val="42"/>
        <w:tblW w:w="1008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041"/>
        <w:gridCol w:w="5327"/>
      </w:tblGrid>
      <w:tr w14:paraId="7A69F9F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39BF9820">
            <w:pPr>
              <w:wordWrap w:val="0"/>
              <w:spacing w:line="360" w:lineRule="auto"/>
              <w:jc w:val="center"/>
              <w:rPr>
                <w:rFonts w:ascii="宋体" w:hAnsi="宋体" w:cs="宋体"/>
                <w:b/>
                <w:color w:val="auto"/>
                <w:sz w:val="21"/>
                <w:szCs w:val="21"/>
                <w:highlight w:val="none"/>
              </w:rPr>
            </w:pPr>
            <w:r>
              <w:rPr>
                <w:rFonts w:hint="eastAsia" w:ascii="宋体" w:hAnsi="宋体" w:cs="宋体"/>
                <w:b/>
                <w:color w:val="auto"/>
                <w:sz w:val="21"/>
                <w:szCs w:val="21"/>
                <w:highlight w:val="none"/>
              </w:rPr>
              <w:t>序号</w:t>
            </w:r>
          </w:p>
        </w:tc>
        <w:tc>
          <w:tcPr>
            <w:tcW w:w="4041" w:type="dxa"/>
            <w:vAlign w:val="center"/>
          </w:tcPr>
          <w:p w14:paraId="12B6384F">
            <w:pPr>
              <w:wordWrap w:val="0"/>
              <w:spacing w:line="360" w:lineRule="auto"/>
              <w:jc w:val="center"/>
              <w:rPr>
                <w:rFonts w:ascii="宋体" w:hAnsi="宋体" w:cs="宋体"/>
                <w:b/>
                <w:color w:val="auto"/>
                <w:sz w:val="21"/>
                <w:szCs w:val="21"/>
                <w:highlight w:val="none"/>
              </w:rPr>
            </w:pPr>
            <w:r>
              <w:rPr>
                <w:rFonts w:hint="eastAsia" w:ascii="宋体" w:hAnsi="宋体" w:cs="宋体"/>
                <w:b/>
                <w:color w:val="auto"/>
                <w:sz w:val="21"/>
                <w:szCs w:val="21"/>
                <w:highlight w:val="none"/>
              </w:rPr>
              <w:t>要求说明</w:t>
            </w:r>
          </w:p>
        </w:tc>
        <w:tc>
          <w:tcPr>
            <w:tcW w:w="5327" w:type="dxa"/>
            <w:vAlign w:val="center"/>
          </w:tcPr>
          <w:p w14:paraId="5AF9DD0A">
            <w:pPr>
              <w:wordWrap w:val="0"/>
              <w:spacing w:line="360" w:lineRule="auto"/>
              <w:jc w:val="center"/>
              <w:rPr>
                <w:rFonts w:ascii="宋体" w:hAnsi="宋体" w:cs="宋体"/>
                <w:b/>
                <w:color w:val="auto"/>
                <w:sz w:val="21"/>
                <w:szCs w:val="21"/>
                <w:highlight w:val="none"/>
              </w:rPr>
            </w:pPr>
            <w:r>
              <w:rPr>
                <w:rFonts w:hint="eastAsia" w:ascii="宋体" w:hAnsi="宋体" w:cs="宋体"/>
                <w:b/>
                <w:color w:val="auto"/>
                <w:sz w:val="21"/>
                <w:szCs w:val="21"/>
                <w:highlight w:val="none"/>
              </w:rPr>
              <w:t>审查要求</w:t>
            </w:r>
          </w:p>
        </w:tc>
      </w:tr>
      <w:tr w14:paraId="1FBAD05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191583D7">
            <w:pPr>
              <w:wordWrap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4041" w:type="dxa"/>
            <w:vAlign w:val="center"/>
          </w:tcPr>
          <w:p w14:paraId="14DD6034">
            <w:pPr>
              <w:spacing w:line="360" w:lineRule="exact"/>
              <w:rPr>
                <w:rFonts w:ascii="宋体" w:hAnsi="宋体" w:cs="宋体"/>
                <w:color w:val="auto"/>
                <w:sz w:val="21"/>
                <w:szCs w:val="21"/>
                <w:highlight w:val="none"/>
              </w:rPr>
            </w:pPr>
            <w:r>
              <w:rPr>
                <w:rFonts w:hint="eastAsia" w:ascii="宋体" w:hAnsi="宋体"/>
                <w:color w:val="auto"/>
                <w:sz w:val="21"/>
                <w:szCs w:val="21"/>
                <w:highlight w:val="none"/>
              </w:rPr>
              <w:t>满足《中华人民共和国政府采购法》第二十二条规定；</w:t>
            </w:r>
          </w:p>
        </w:tc>
        <w:tc>
          <w:tcPr>
            <w:tcW w:w="5327" w:type="dxa"/>
            <w:vAlign w:val="center"/>
          </w:tcPr>
          <w:p w14:paraId="38502808">
            <w:pPr>
              <w:spacing w:line="360" w:lineRule="exact"/>
              <w:rPr>
                <w:rFonts w:ascii="宋体" w:hAnsi="宋体"/>
                <w:color w:val="auto"/>
                <w:sz w:val="21"/>
                <w:szCs w:val="21"/>
                <w:highlight w:val="none"/>
              </w:rPr>
            </w:pPr>
            <w:r>
              <w:rPr>
                <w:rFonts w:hint="eastAsia" w:ascii="宋体" w:hAnsi="宋体"/>
                <w:color w:val="auto"/>
                <w:sz w:val="21"/>
                <w:szCs w:val="21"/>
                <w:highlight w:val="none"/>
              </w:rPr>
              <w:t>A1、关于资格的承诺函；</w:t>
            </w:r>
          </w:p>
          <w:p w14:paraId="07E7A2EE">
            <w:pPr>
              <w:spacing w:line="360" w:lineRule="exact"/>
              <w:rPr>
                <w:rFonts w:ascii="宋体" w:hAnsi="宋体" w:cs="宋体"/>
                <w:color w:val="auto"/>
                <w:sz w:val="21"/>
                <w:szCs w:val="21"/>
                <w:highlight w:val="none"/>
              </w:rPr>
            </w:pPr>
            <w:r>
              <w:rPr>
                <w:rFonts w:hint="eastAsia" w:ascii="宋体" w:hAnsi="宋体"/>
                <w:color w:val="auto"/>
                <w:sz w:val="21"/>
                <w:szCs w:val="21"/>
                <w:highlight w:val="none"/>
              </w:rPr>
              <w:t>A2、营业执照副本（或事业法人登记证副本或其他登记证明材料）复印件加盖供应商公章（供应商如果有名称变更的，应提供由行政主管部门出具的变更证明文件复印件加盖供应商公章）；</w:t>
            </w:r>
          </w:p>
        </w:tc>
      </w:tr>
      <w:tr w14:paraId="450ABA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099FC5B6">
            <w:pPr>
              <w:wordWrap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4041" w:type="dxa"/>
            <w:vAlign w:val="center"/>
          </w:tcPr>
          <w:p w14:paraId="722A49F1">
            <w:pPr>
              <w:spacing w:line="360" w:lineRule="exact"/>
              <w:rPr>
                <w:rFonts w:hint="eastAsia" w:ascii="宋体" w:hAnsi="宋体"/>
                <w:color w:val="auto"/>
                <w:sz w:val="21"/>
                <w:szCs w:val="21"/>
                <w:highlight w:val="none"/>
              </w:rPr>
            </w:pPr>
            <w:r>
              <w:rPr>
                <w:rFonts w:hint="eastAsia" w:ascii="宋体" w:hAnsi="宋体"/>
                <w:color w:val="auto"/>
                <w:sz w:val="21"/>
                <w:szCs w:val="21"/>
                <w:highlight w:val="none"/>
              </w:rPr>
              <w:t>未被“信用中国”（</w:t>
            </w:r>
            <w:r>
              <w:rPr>
                <w:rFonts w:ascii="宋体" w:hAnsi="宋体"/>
                <w:color w:val="auto"/>
                <w:sz w:val="21"/>
                <w:szCs w:val="21"/>
                <w:highlight w:val="none"/>
              </w:rPr>
              <w:t>www.creditchina.gov.cn)</w:t>
            </w:r>
            <w:r>
              <w:rPr>
                <w:rFonts w:hint="eastAsia" w:ascii="宋体" w:hAnsi="宋体"/>
                <w:color w:val="auto"/>
                <w:sz w:val="21"/>
                <w:szCs w:val="21"/>
                <w:highlight w:val="none"/>
              </w:rPr>
              <w:t>、“中国政府采购网”（</w:t>
            </w:r>
            <w:r>
              <w:rPr>
                <w:rFonts w:ascii="宋体" w:hAnsi="宋体"/>
                <w:color w:val="auto"/>
                <w:sz w:val="21"/>
                <w:szCs w:val="21"/>
                <w:highlight w:val="none"/>
              </w:rPr>
              <w:t>www.ccgp.gov.cn</w:t>
            </w:r>
            <w:r>
              <w:rPr>
                <w:rFonts w:hint="eastAsia" w:ascii="宋体" w:hAnsi="宋体"/>
                <w:color w:val="auto"/>
                <w:sz w:val="21"/>
                <w:szCs w:val="21"/>
                <w:highlight w:val="none"/>
              </w:rPr>
              <w:t>）列入失信被执行人、重大税收违法失信主体、政府采购严重违法失信行为记录名单。</w:t>
            </w:r>
          </w:p>
        </w:tc>
        <w:tc>
          <w:tcPr>
            <w:tcW w:w="5327" w:type="dxa"/>
            <w:vAlign w:val="center"/>
          </w:tcPr>
          <w:p w14:paraId="784F3CD1">
            <w:pPr>
              <w:spacing w:line="360" w:lineRule="exact"/>
              <w:rPr>
                <w:rFonts w:hint="eastAsia" w:ascii="宋体" w:hAnsi="宋体"/>
                <w:color w:val="auto"/>
                <w:sz w:val="21"/>
                <w:szCs w:val="21"/>
                <w:highlight w:val="none"/>
                <w:lang w:val="en-US" w:eastAsia="zh-CN"/>
              </w:rPr>
            </w:pPr>
            <w:r>
              <w:rPr>
                <w:rFonts w:hint="eastAsia" w:ascii="宋体" w:hAnsi="宋体"/>
                <w:color w:val="auto"/>
                <w:sz w:val="21"/>
                <w:szCs w:val="21"/>
                <w:highlight w:val="none"/>
              </w:rPr>
              <w:t>未被“信用中国”（www.creditchina.gov.cn)、中国政府采购网（www.ccgp.gov.cn）列入失信被执行人、重大税收违法案件当事人名单（重大税收违法失信主体）、政府采购严重违法失信行为记录名单。</w:t>
            </w:r>
          </w:p>
        </w:tc>
      </w:tr>
      <w:tr w14:paraId="62E99E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43E5C01E">
            <w:pPr>
              <w:wordWrap w:val="0"/>
              <w:spacing w:line="360" w:lineRule="auto"/>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4041" w:type="dxa"/>
            <w:vAlign w:val="center"/>
          </w:tcPr>
          <w:p w14:paraId="62CAAC6B">
            <w:pPr>
              <w:spacing w:line="360" w:lineRule="exact"/>
              <w:rPr>
                <w:rFonts w:hint="eastAsia" w:ascii="宋体" w:hAnsi="宋体" w:eastAsia="宋体" w:cs="宋体"/>
                <w:color w:val="auto"/>
                <w:sz w:val="21"/>
                <w:szCs w:val="21"/>
                <w:highlight w:val="none"/>
                <w:lang w:val="en-US" w:eastAsia="zh-CN" w:bidi="ar-SA"/>
              </w:rPr>
            </w:pPr>
            <w:r>
              <w:rPr>
                <w:rFonts w:hint="eastAsia" w:ascii="宋体" w:hAnsi="宋体" w:cs="宋体"/>
                <w:color w:val="auto"/>
                <w:sz w:val="21"/>
                <w:szCs w:val="21"/>
                <w:highlight w:val="none"/>
              </w:rPr>
              <w:t>落实政策需满足的资格要求：本项目专门面向中小企业，所有货物应全部由符合政策要求的中、小、微企业制造。</w:t>
            </w:r>
          </w:p>
        </w:tc>
        <w:tc>
          <w:tcPr>
            <w:tcW w:w="5327" w:type="dxa"/>
            <w:vAlign w:val="center"/>
          </w:tcPr>
          <w:p w14:paraId="7ECA0B8D">
            <w:pPr>
              <w:spacing w:line="360" w:lineRule="exact"/>
              <w:rPr>
                <w:rFonts w:hint="eastAsia" w:ascii="宋体" w:hAnsi="宋体"/>
                <w:color w:val="auto"/>
                <w:sz w:val="21"/>
                <w:szCs w:val="21"/>
                <w:highlight w:val="none"/>
              </w:rPr>
            </w:pPr>
            <w:r>
              <w:rPr>
                <w:rFonts w:hint="eastAsia" w:ascii="宋体" w:hAnsi="宋体"/>
                <w:color w:val="auto"/>
                <w:sz w:val="21"/>
                <w:szCs w:val="21"/>
                <w:highlight w:val="none"/>
              </w:rPr>
              <w:t>A</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、中小企业声明函（详见附件）；</w:t>
            </w:r>
          </w:p>
          <w:p w14:paraId="294E8B96">
            <w:pPr>
              <w:spacing w:line="360" w:lineRule="exact"/>
              <w:rPr>
                <w:rFonts w:hint="eastAsia" w:ascii="宋体" w:hAnsi="宋体"/>
                <w:color w:val="auto"/>
                <w:sz w:val="21"/>
                <w:szCs w:val="21"/>
                <w:highlight w:val="none"/>
              </w:rPr>
            </w:pPr>
            <w:r>
              <w:rPr>
                <w:rFonts w:hint="eastAsia" w:ascii="宋体" w:hAnsi="宋体"/>
                <w:color w:val="auto"/>
                <w:sz w:val="21"/>
                <w:szCs w:val="21"/>
                <w:highlight w:val="none"/>
              </w:rPr>
              <w:t>A</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、残疾人福利性单位声明函（如有请提供，详见附件）；</w:t>
            </w:r>
          </w:p>
          <w:p w14:paraId="0974603A">
            <w:pPr>
              <w:spacing w:line="360" w:lineRule="exact"/>
              <w:rPr>
                <w:rFonts w:hint="eastAsia" w:ascii="宋体" w:hAnsi="宋体" w:eastAsia="宋体" w:cs="Times New Roman"/>
                <w:color w:val="auto"/>
                <w:sz w:val="21"/>
                <w:szCs w:val="21"/>
                <w:highlight w:val="none"/>
                <w:lang w:val="en-US" w:eastAsia="zh-CN" w:bidi="ar-SA"/>
              </w:rPr>
            </w:pPr>
            <w:r>
              <w:rPr>
                <w:rFonts w:hint="eastAsia" w:ascii="宋体" w:hAnsi="宋体"/>
                <w:color w:val="auto"/>
                <w:sz w:val="21"/>
                <w:szCs w:val="21"/>
                <w:highlight w:val="none"/>
              </w:rPr>
              <w:t>A</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、省级以上监狱管理局、戒毒管理局（含新疆生产建设兵团）出具的属于监狱企业的证明文件（如有请提供）。</w:t>
            </w:r>
          </w:p>
        </w:tc>
      </w:tr>
      <w:tr w14:paraId="5EA618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19F90A0C">
            <w:pPr>
              <w:wordWrap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4041" w:type="dxa"/>
            <w:vAlign w:val="center"/>
          </w:tcPr>
          <w:p w14:paraId="2F8643AA">
            <w:pPr>
              <w:spacing w:line="36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本项目的特定资格要求：无</w:t>
            </w:r>
          </w:p>
        </w:tc>
        <w:tc>
          <w:tcPr>
            <w:tcW w:w="5327" w:type="dxa"/>
            <w:vAlign w:val="center"/>
          </w:tcPr>
          <w:p w14:paraId="6C1F3C38">
            <w:pPr>
              <w:spacing w:line="360" w:lineRule="exact"/>
              <w:rPr>
                <w:rFonts w:ascii="宋体" w:hAnsi="宋体" w:cs="宋体"/>
                <w:color w:val="auto"/>
                <w:sz w:val="21"/>
                <w:szCs w:val="21"/>
                <w:highlight w:val="none"/>
              </w:rPr>
            </w:pPr>
            <w:r>
              <w:rPr>
                <w:rFonts w:hint="eastAsia" w:ascii="宋体" w:hAnsi="宋体" w:cs="Arial"/>
                <w:color w:val="auto"/>
                <w:sz w:val="21"/>
                <w:szCs w:val="21"/>
                <w:highlight w:val="none"/>
              </w:rPr>
              <w:t>/</w:t>
            </w:r>
          </w:p>
        </w:tc>
      </w:tr>
      <w:tr w14:paraId="431E1B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61" w:type="dxa"/>
            <w:gridSpan w:val="2"/>
            <w:vAlign w:val="center"/>
          </w:tcPr>
          <w:p w14:paraId="73602EF5">
            <w:pPr>
              <w:wordWrap w:val="0"/>
              <w:spacing w:line="360" w:lineRule="auto"/>
              <w:jc w:val="center"/>
              <w:rPr>
                <w:rFonts w:ascii="宋体" w:hAnsi="宋体" w:cs="宋体"/>
                <w:color w:val="auto"/>
                <w:sz w:val="21"/>
                <w:szCs w:val="21"/>
                <w:highlight w:val="none"/>
              </w:rPr>
            </w:pPr>
            <w:r>
              <w:rPr>
                <w:rFonts w:hint="eastAsia" w:ascii="宋体" w:hAnsi="宋体" w:cs="宋体"/>
                <w:b/>
                <w:color w:val="auto"/>
                <w:sz w:val="21"/>
                <w:szCs w:val="21"/>
                <w:highlight w:val="none"/>
              </w:rPr>
              <w:t>资格性审查结论</w:t>
            </w:r>
          </w:p>
        </w:tc>
        <w:tc>
          <w:tcPr>
            <w:tcW w:w="5327" w:type="dxa"/>
            <w:vAlign w:val="center"/>
          </w:tcPr>
          <w:p w14:paraId="513EF62D">
            <w:pPr>
              <w:wordWrap w:val="0"/>
              <w:spacing w:line="360" w:lineRule="auto"/>
              <w:jc w:val="center"/>
              <w:rPr>
                <w:rFonts w:ascii="宋体" w:hAnsi="宋体" w:cs="宋体"/>
                <w:color w:val="auto"/>
                <w:sz w:val="21"/>
                <w:szCs w:val="21"/>
                <w:highlight w:val="none"/>
              </w:rPr>
            </w:pPr>
          </w:p>
        </w:tc>
      </w:tr>
    </w:tbl>
    <w:p w14:paraId="748F237C">
      <w:pPr>
        <w:spacing w:line="340" w:lineRule="exact"/>
        <w:rPr>
          <w:rFonts w:ascii="宋体" w:hAnsi="宋体"/>
          <w:color w:val="auto"/>
          <w:sz w:val="21"/>
          <w:szCs w:val="21"/>
          <w:highlight w:val="none"/>
        </w:rPr>
      </w:pPr>
      <w:r>
        <w:rPr>
          <w:rFonts w:hint="eastAsia" w:ascii="宋体" w:hAnsi="宋体"/>
          <w:color w:val="auto"/>
          <w:sz w:val="21"/>
          <w:szCs w:val="21"/>
          <w:highlight w:val="none"/>
        </w:rPr>
        <w:t>注：</w:t>
      </w:r>
      <w:r>
        <w:rPr>
          <w:rFonts w:ascii="宋体" w:hAnsi="宋体"/>
          <w:color w:val="auto"/>
          <w:sz w:val="21"/>
          <w:szCs w:val="21"/>
          <w:highlight w:val="none"/>
        </w:rPr>
        <w:t>1</w:t>
      </w:r>
      <w:r>
        <w:rPr>
          <w:rFonts w:hint="eastAsia" w:ascii="宋体" w:hAnsi="宋体"/>
          <w:color w:val="auto"/>
          <w:sz w:val="21"/>
          <w:szCs w:val="21"/>
          <w:highlight w:val="none"/>
        </w:rPr>
        <w:t>、上述</w:t>
      </w:r>
      <w:r>
        <w:rPr>
          <w:rFonts w:hint="eastAsia" w:ascii="宋体" w:hAnsi="宋体"/>
          <w:color w:val="auto"/>
          <w:sz w:val="21"/>
          <w:szCs w:val="21"/>
          <w:highlight w:val="none"/>
          <w:lang w:eastAsia="zh-CN"/>
        </w:rPr>
        <w:t>资格文件</w:t>
      </w:r>
      <w:r>
        <w:rPr>
          <w:rFonts w:hint="eastAsia" w:ascii="宋体" w:hAnsi="宋体"/>
          <w:color w:val="auto"/>
          <w:sz w:val="21"/>
          <w:szCs w:val="21"/>
          <w:highlight w:val="none"/>
        </w:rPr>
        <w:t>未按招标文件要求附入投标文件中的，资格性审查不合格。</w:t>
      </w:r>
    </w:p>
    <w:p w14:paraId="6BC2EF0D">
      <w:pPr>
        <w:spacing w:line="340" w:lineRule="exact"/>
        <w:ind w:firstLine="420" w:firstLineChars="200"/>
        <w:rPr>
          <w:rFonts w:ascii="宋体" w:hAnsi="宋体"/>
          <w:color w:val="auto"/>
          <w:sz w:val="21"/>
          <w:szCs w:val="21"/>
          <w:highlight w:val="none"/>
        </w:rPr>
      </w:pPr>
      <w:r>
        <w:rPr>
          <w:rFonts w:ascii="宋体" w:hAnsi="宋体"/>
          <w:color w:val="auto"/>
          <w:sz w:val="21"/>
          <w:szCs w:val="21"/>
          <w:highlight w:val="none"/>
        </w:rPr>
        <w:t>2</w:t>
      </w:r>
      <w:r>
        <w:rPr>
          <w:rFonts w:hint="eastAsia" w:ascii="宋体" w:hAnsi="宋体"/>
          <w:color w:val="auto"/>
          <w:sz w:val="21"/>
          <w:szCs w:val="21"/>
          <w:highlight w:val="none"/>
        </w:rPr>
        <w:t>、上述审查项目中，任意一项不符合的，资格性审查不合格。</w:t>
      </w:r>
    </w:p>
    <w:p w14:paraId="57684828">
      <w:pPr>
        <w:spacing w:line="340" w:lineRule="exact"/>
        <w:ind w:firstLine="420" w:firstLineChars="200"/>
        <w:rPr>
          <w:rFonts w:ascii="宋体" w:hAnsi="宋体"/>
          <w:color w:val="auto"/>
          <w:sz w:val="21"/>
          <w:szCs w:val="21"/>
          <w:highlight w:val="none"/>
        </w:rPr>
      </w:pPr>
      <w:r>
        <w:rPr>
          <w:rFonts w:hint="eastAsia" w:ascii="宋体" w:hAnsi="宋体"/>
          <w:color w:val="auto"/>
          <w:sz w:val="21"/>
          <w:szCs w:val="21"/>
          <w:highlight w:val="none"/>
        </w:rPr>
        <w:t>3、代理机构将于开标当天通过“信用中国”网站查询供应商失信被执行人、重大税收违法失信主体，通过中国政府采购网查询供应商政府采购严重违法失信行为信用记录。若供应商被列入失信被执行人、重大税收违法失信主体、政府采购严重违法失信行为记录名单，其资格审查为不合格，其投标将被认定为无效投标。</w:t>
      </w:r>
    </w:p>
    <w:p w14:paraId="2C43B61D">
      <w:pPr>
        <w:spacing w:line="340" w:lineRule="exact"/>
        <w:ind w:firstLine="514" w:firstLineChars="245"/>
        <w:rPr>
          <w:rFonts w:ascii="宋体" w:hAnsi="宋体"/>
          <w:color w:val="auto"/>
          <w:sz w:val="21"/>
          <w:szCs w:val="21"/>
          <w:highlight w:val="none"/>
        </w:rPr>
      </w:pPr>
      <w:r>
        <w:rPr>
          <w:rFonts w:hint="eastAsia" w:ascii="宋体" w:hAnsi="宋体"/>
          <w:color w:val="auto"/>
          <w:sz w:val="21"/>
          <w:szCs w:val="21"/>
          <w:highlight w:val="none"/>
        </w:rPr>
        <w:t>若在开标当天因不可抗力事件导致无法查询且一时无法恢复查询的，可在结果公示期间对确定中标候选人进行事后查询。确定中标候选人被列入失信被执行人、重大税收违法失信主体、政府采购严重违法失信行为记录名单的，采购人将依法取消其中标资格。</w:t>
      </w:r>
    </w:p>
    <w:p w14:paraId="0B309DD4">
      <w:pPr>
        <w:spacing w:line="400" w:lineRule="exact"/>
        <w:jc w:val="both"/>
        <w:rPr>
          <w:rFonts w:hint="eastAsia" w:ascii="宋体" w:hAnsi="宋体"/>
          <w:color w:val="auto"/>
          <w:sz w:val="21"/>
          <w:szCs w:val="21"/>
          <w:highlight w:val="none"/>
        </w:rPr>
      </w:pPr>
      <w:r>
        <w:rPr>
          <w:rFonts w:ascii="宋体" w:hAnsi="宋体"/>
          <w:color w:val="auto"/>
          <w:sz w:val="21"/>
          <w:szCs w:val="21"/>
          <w:highlight w:val="none"/>
        </w:rPr>
        <w:br w:type="page"/>
      </w:r>
      <w:r>
        <w:rPr>
          <w:rFonts w:hint="eastAsia" w:ascii="宋体" w:hAnsi="宋体"/>
          <w:color w:val="auto"/>
          <w:sz w:val="21"/>
          <w:szCs w:val="21"/>
          <w:highlight w:val="none"/>
        </w:rPr>
        <w:t>附表</w:t>
      </w:r>
      <w:r>
        <w:rPr>
          <w:rFonts w:ascii="宋体" w:hAnsi="宋体"/>
          <w:color w:val="auto"/>
          <w:sz w:val="21"/>
          <w:szCs w:val="21"/>
          <w:highlight w:val="none"/>
        </w:rPr>
        <w:t>2</w:t>
      </w:r>
      <w:r>
        <w:rPr>
          <w:rFonts w:hint="eastAsia" w:ascii="宋体" w:hAnsi="宋体"/>
          <w:color w:val="auto"/>
          <w:sz w:val="21"/>
          <w:szCs w:val="21"/>
          <w:highlight w:val="none"/>
        </w:rPr>
        <w:t>：</w:t>
      </w:r>
    </w:p>
    <w:p w14:paraId="5027E9A3">
      <w:pPr>
        <w:pStyle w:val="18"/>
        <w:ind w:left="0" w:leftChars="0" w:firstLine="0" w:firstLineChars="0"/>
        <w:jc w:val="center"/>
        <w:rPr>
          <w:highlight w:val="none"/>
        </w:rPr>
      </w:pPr>
      <w:r>
        <w:rPr>
          <w:rFonts w:hint="eastAsia" w:ascii="宋体" w:hAnsi="宋体"/>
          <w:b/>
          <w:color w:val="auto"/>
          <w:sz w:val="21"/>
          <w:szCs w:val="21"/>
          <w:highlight w:val="none"/>
        </w:rPr>
        <w:t>符合性审查表</w:t>
      </w:r>
    </w:p>
    <w:tbl>
      <w:tblPr>
        <w:tblStyle w:val="42"/>
        <w:tblW w:w="9415"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272"/>
        <w:gridCol w:w="4423"/>
      </w:tblGrid>
      <w:tr w14:paraId="02627B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20" w:type="dxa"/>
          </w:tcPr>
          <w:p w14:paraId="3E460A4A">
            <w:pPr>
              <w:snapToGrid w:val="0"/>
              <w:spacing w:line="400" w:lineRule="exact"/>
              <w:jc w:val="center"/>
              <w:rPr>
                <w:rFonts w:ascii="宋体" w:hAnsi="宋体"/>
                <w:b/>
                <w:color w:val="auto"/>
                <w:sz w:val="21"/>
                <w:szCs w:val="21"/>
                <w:highlight w:val="none"/>
              </w:rPr>
            </w:pPr>
            <w:r>
              <w:rPr>
                <w:rFonts w:hint="eastAsia" w:ascii="宋体" w:hAnsi="宋体"/>
                <w:b/>
                <w:color w:val="auto"/>
                <w:sz w:val="21"/>
                <w:szCs w:val="21"/>
                <w:highlight w:val="none"/>
              </w:rPr>
              <w:t>序号</w:t>
            </w:r>
          </w:p>
        </w:tc>
        <w:tc>
          <w:tcPr>
            <w:tcW w:w="4272" w:type="dxa"/>
            <w:vAlign w:val="center"/>
          </w:tcPr>
          <w:p w14:paraId="67AB3CDD">
            <w:pPr>
              <w:snapToGrid w:val="0"/>
              <w:spacing w:line="400" w:lineRule="exact"/>
              <w:jc w:val="center"/>
              <w:rPr>
                <w:rFonts w:ascii="宋体" w:hAnsi="宋体"/>
                <w:b/>
                <w:color w:val="auto"/>
                <w:sz w:val="21"/>
                <w:szCs w:val="21"/>
                <w:highlight w:val="none"/>
              </w:rPr>
            </w:pPr>
            <w:r>
              <w:rPr>
                <w:rFonts w:hint="eastAsia" w:ascii="宋体" w:hAnsi="宋体"/>
                <w:b/>
                <w:color w:val="auto"/>
                <w:sz w:val="21"/>
                <w:szCs w:val="21"/>
                <w:highlight w:val="none"/>
              </w:rPr>
              <w:t>要求说明</w:t>
            </w:r>
          </w:p>
        </w:tc>
        <w:tc>
          <w:tcPr>
            <w:tcW w:w="4423" w:type="dxa"/>
            <w:vAlign w:val="center"/>
          </w:tcPr>
          <w:p w14:paraId="0DD58654">
            <w:pPr>
              <w:snapToGrid w:val="0"/>
              <w:spacing w:line="400" w:lineRule="exact"/>
              <w:jc w:val="center"/>
              <w:rPr>
                <w:rFonts w:ascii="宋体" w:hAnsi="宋体"/>
                <w:b/>
                <w:color w:val="auto"/>
                <w:sz w:val="21"/>
                <w:szCs w:val="21"/>
                <w:highlight w:val="none"/>
              </w:rPr>
            </w:pPr>
            <w:r>
              <w:rPr>
                <w:rFonts w:hint="eastAsia" w:ascii="宋体" w:hAnsi="宋体"/>
                <w:b/>
                <w:color w:val="auto"/>
                <w:sz w:val="21"/>
                <w:szCs w:val="21"/>
                <w:highlight w:val="none"/>
              </w:rPr>
              <w:t>审查要求</w:t>
            </w:r>
          </w:p>
        </w:tc>
      </w:tr>
      <w:tr w14:paraId="691F65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Align w:val="center"/>
          </w:tcPr>
          <w:p w14:paraId="1647BCED">
            <w:pPr>
              <w:snapToGrid w:val="0"/>
              <w:spacing w:line="400" w:lineRule="exact"/>
              <w:jc w:val="center"/>
              <w:rPr>
                <w:rFonts w:ascii="宋体" w:hAnsi="宋体"/>
                <w:color w:val="auto"/>
                <w:sz w:val="21"/>
                <w:szCs w:val="21"/>
                <w:highlight w:val="none"/>
              </w:rPr>
            </w:pPr>
            <w:r>
              <w:rPr>
                <w:rFonts w:ascii="宋体" w:hAnsi="宋体"/>
                <w:color w:val="auto"/>
                <w:sz w:val="21"/>
                <w:szCs w:val="21"/>
                <w:highlight w:val="none"/>
              </w:rPr>
              <w:t>1</w:t>
            </w:r>
          </w:p>
        </w:tc>
        <w:tc>
          <w:tcPr>
            <w:tcW w:w="4272" w:type="dxa"/>
            <w:vAlign w:val="center"/>
          </w:tcPr>
          <w:p w14:paraId="2E0A0119">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投标有效期：符合第二章“投标人须知前附表”第8条的要求。</w:t>
            </w:r>
          </w:p>
        </w:tc>
        <w:tc>
          <w:tcPr>
            <w:tcW w:w="4423" w:type="dxa"/>
            <w:vAlign w:val="center"/>
          </w:tcPr>
          <w:p w14:paraId="33689508">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提供“投标书”</w:t>
            </w:r>
            <w:r>
              <w:rPr>
                <w:rFonts w:hint="eastAsia" w:ascii="宋体" w:hAnsi="宋体" w:cs="宋体"/>
                <w:color w:val="auto"/>
                <w:sz w:val="21"/>
                <w:szCs w:val="21"/>
                <w:highlight w:val="none"/>
              </w:rPr>
              <w:t>。</w:t>
            </w:r>
          </w:p>
        </w:tc>
      </w:tr>
      <w:tr w14:paraId="19577D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Align w:val="center"/>
          </w:tcPr>
          <w:p w14:paraId="3399A750">
            <w:pPr>
              <w:snapToGrid w:val="0"/>
              <w:spacing w:line="400" w:lineRule="exact"/>
              <w:jc w:val="center"/>
              <w:rPr>
                <w:rFonts w:ascii="宋体" w:hAnsi="宋体"/>
                <w:color w:val="auto"/>
                <w:sz w:val="21"/>
                <w:szCs w:val="21"/>
                <w:highlight w:val="none"/>
              </w:rPr>
            </w:pPr>
            <w:r>
              <w:rPr>
                <w:rFonts w:ascii="宋体" w:hAnsi="宋体"/>
                <w:color w:val="auto"/>
                <w:sz w:val="21"/>
                <w:szCs w:val="21"/>
                <w:highlight w:val="none"/>
              </w:rPr>
              <w:t>2</w:t>
            </w:r>
          </w:p>
        </w:tc>
        <w:tc>
          <w:tcPr>
            <w:tcW w:w="4272" w:type="dxa"/>
            <w:vAlign w:val="center"/>
          </w:tcPr>
          <w:p w14:paraId="3A3E5E58">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法定代表人身份证明、法定代表人授权书。</w:t>
            </w:r>
          </w:p>
        </w:tc>
        <w:tc>
          <w:tcPr>
            <w:tcW w:w="4423" w:type="dxa"/>
            <w:vAlign w:val="center"/>
          </w:tcPr>
          <w:p w14:paraId="1D35CFE5">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（1）投标文件由法定代表人签字的，提供“法定代表人身份证明”。</w:t>
            </w:r>
          </w:p>
          <w:p w14:paraId="4B33AD73">
            <w:pPr>
              <w:snapToGrid w:val="0"/>
              <w:spacing w:line="400" w:lineRule="exact"/>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（2）投标文件由授权代表签字的，提供“法定代表人授权书”</w:t>
            </w:r>
            <w:r>
              <w:rPr>
                <w:rFonts w:hint="eastAsia" w:ascii="宋体" w:hAnsi="宋体"/>
                <w:color w:val="auto"/>
                <w:sz w:val="21"/>
                <w:szCs w:val="21"/>
                <w:highlight w:val="none"/>
                <w:lang w:eastAsia="zh-CN"/>
              </w:rPr>
              <w:t>，</w:t>
            </w:r>
            <w:r>
              <w:rPr>
                <w:rFonts w:hint="eastAsia" w:ascii="宋体" w:hAnsi="宋体"/>
                <w:color w:val="auto"/>
                <w:sz w:val="21"/>
                <w:szCs w:val="21"/>
                <w:highlight w:val="none"/>
              </w:rPr>
              <w:t>并同时提供社保部门出具的供应商单位开标前6个月任意1个月为授权代表缴纳社保的证明资料复印件。</w:t>
            </w:r>
          </w:p>
        </w:tc>
      </w:tr>
      <w:tr w14:paraId="25948F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Align w:val="center"/>
          </w:tcPr>
          <w:p w14:paraId="75AC0AE7">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3</w:t>
            </w:r>
          </w:p>
        </w:tc>
        <w:tc>
          <w:tcPr>
            <w:tcW w:w="4272" w:type="dxa"/>
            <w:vAlign w:val="center"/>
          </w:tcPr>
          <w:p w14:paraId="2AB53BE7">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符合第二章“投标人须知”第九、1条的要求。</w:t>
            </w:r>
          </w:p>
        </w:tc>
        <w:tc>
          <w:tcPr>
            <w:tcW w:w="4423" w:type="dxa"/>
            <w:vAlign w:val="center"/>
          </w:tcPr>
          <w:p w14:paraId="429F0F55">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投标文件的签署盖章。</w:t>
            </w:r>
          </w:p>
        </w:tc>
      </w:tr>
      <w:tr w14:paraId="312F0B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Align w:val="center"/>
          </w:tcPr>
          <w:p w14:paraId="72C4D94D">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4</w:t>
            </w:r>
          </w:p>
        </w:tc>
        <w:tc>
          <w:tcPr>
            <w:tcW w:w="4272" w:type="dxa"/>
            <w:vAlign w:val="center"/>
          </w:tcPr>
          <w:p w14:paraId="4FD88937">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对同个项目不允许提供两个投标方案。</w:t>
            </w:r>
          </w:p>
        </w:tc>
        <w:tc>
          <w:tcPr>
            <w:tcW w:w="4423" w:type="dxa"/>
            <w:vAlign w:val="center"/>
          </w:tcPr>
          <w:p w14:paraId="1C42FDAF">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是否有两个投标方案。</w:t>
            </w:r>
          </w:p>
        </w:tc>
      </w:tr>
      <w:tr w14:paraId="45CE29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720" w:type="dxa"/>
            <w:vAlign w:val="center"/>
          </w:tcPr>
          <w:p w14:paraId="090F706E">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5</w:t>
            </w:r>
          </w:p>
        </w:tc>
        <w:tc>
          <w:tcPr>
            <w:tcW w:w="4272" w:type="dxa"/>
            <w:vAlign w:val="center"/>
          </w:tcPr>
          <w:p w14:paraId="74CB9A2B">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投标人不得在投标活动中提供任何虚假材料或从事其他违法活动的。</w:t>
            </w:r>
          </w:p>
        </w:tc>
        <w:tc>
          <w:tcPr>
            <w:tcW w:w="4423" w:type="dxa"/>
            <w:vAlign w:val="center"/>
          </w:tcPr>
          <w:p w14:paraId="39B1529E">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不得提供任何虚假材料或从事其他违法活动。</w:t>
            </w:r>
          </w:p>
        </w:tc>
      </w:tr>
      <w:tr w14:paraId="02F179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Align w:val="center"/>
          </w:tcPr>
          <w:p w14:paraId="6EB090EA">
            <w:pPr>
              <w:snapToGrid w:val="0"/>
              <w:spacing w:line="400" w:lineRule="exact"/>
              <w:jc w:val="center"/>
              <w:rPr>
                <w:rFonts w:ascii="宋体" w:hAnsi="宋体"/>
                <w:color w:val="auto"/>
                <w:sz w:val="21"/>
                <w:szCs w:val="21"/>
                <w:highlight w:val="none"/>
              </w:rPr>
            </w:pPr>
            <w:r>
              <w:rPr>
                <w:rFonts w:hint="eastAsia" w:ascii="宋体" w:hAnsi="宋体"/>
                <w:color w:val="auto"/>
                <w:sz w:val="21"/>
                <w:szCs w:val="21"/>
                <w:highlight w:val="none"/>
              </w:rPr>
              <w:t>6</w:t>
            </w:r>
          </w:p>
        </w:tc>
        <w:tc>
          <w:tcPr>
            <w:tcW w:w="4272" w:type="dxa"/>
            <w:vAlign w:val="center"/>
          </w:tcPr>
          <w:p w14:paraId="173F496D">
            <w:pPr>
              <w:snapToGrid w:val="0"/>
              <w:spacing w:line="40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评标委员会经过审查，认定供应商虚假应标、串通投标的</w:t>
            </w:r>
          </w:p>
          <w:p w14:paraId="3F8A574F">
            <w:pPr>
              <w:snapToGrid w:val="0"/>
              <w:spacing w:line="40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有下列情形之一的，视为供应商串通投标：</w:t>
            </w:r>
          </w:p>
          <w:p w14:paraId="0E6B4CA6">
            <w:pPr>
              <w:snapToGrid w:val="0"/>
              <w:spacing w:line="40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（1）不同供应商的投标文件由同一单位或者个人编制；</w:t>
            </w:r>
          </w:p>
          <w:p w14:paraId="40E21047">
            <w:pPr>
              <w:snapToGrid w:val="0"/>
              <w:spacing w:line="40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（2）不同供应商委托同一单位或者个人办理投标事宜；</w:t>
            </w:r>
          </w:p>
          <w:p w14:paraId="6B11A7C1">
            <w:pPr>
              <w:snapToGrid w:val="0"/>
              <w:spacing w:line="40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（3）不同供应商的投标文件载明的项目管理成员或者联系人员为同一人；</w:t>
            </w:r>
          </w:p>
          <w:p w14:paraId="7C1941FD">
            <w:pPr>
              <w:snapToGrid w:val="0"/>
              <w:spacing w:line="400" w:lineRule="exact"/>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（4）不同供应商的投标文件异常一致或者投标报价呈规律性差异；</w:t>
            </w:r>
          </w:p>
          <w:p w14:paraId="60C1E159">
            <w:pPr>
              <w:snapToGrid w:val="0"/>
              <w:spacing w:line="400" w:lineRule="exact"/>
              <w:rPr>
                <w:rFonts w:hint="eastAsia" w:ascii="宋体" w:hAnsi="宋体" w:eastAsia="宋体" w:cs="Times New Roman"/>
                <w:color w:val="auto"/>
                <w:sz w:val="21"/>
                <w:szCs w:val="21"/>
                <w:highlight w:val="none"/>
                <w:lang w:val="en-US" w:eastAsia="zh-CN"/>
              </w:rPr>
            </w:pPr>
            <w:r>
              <w:rPr>
                <w:rFonts w:hint="eastAsia" w:ascii="宋体" w:hAnsi="宋体" w:eastAsia="宋体"/>
                <w:color w:val="auto"/>
                <w:sz w:val="21"/>
                <w:szCs w:val="21"/>
                <w:highlight w:val="none"/>
              </w:rPr>
              <w:t>（5）不同供应商的投标文件相互混装；</w:t>
            </w:r>
          </w:p>
        </w:tc>
        <w:tc>
          <w:tcPr>
            <w:tcW w:w="4423" w:type="dxa"/>
            <w:vAlign w:val="center"/>
          </w:tcPr>
          <w:p w14:paraId="66BB44CA">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不得有所述情形。</w:t>
            </w:r>
          </w:p>
        </w:tc>
      </w:tr>
      <w:tr w14:paraId="53D688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Align w:val="center"/>
          </w:tcPr>
          <w:p w14:paraId="602585E8">
            <w:pPr>
              <w:snapToGrid w:val="0"/>
              <w:spacing w:line="400" w:lineRule="exact"/>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7</w:t>
            </w:r>
          </w:p>
        </w:tc>
        <w:tc>
          <w:tcPr>
            <w:tcW w:w="4272" w:type="dxa"/>
            <w:shd w:val="clear" w:color="auto" w:fill="auto"/>
            <w:vAlign w:val="center"/>
          </w:tcPr>
          <w:p w14:paraId="0D9FFB5B">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参与同一个标段的供应商存在下列情形之一且无法合理解释的，其投标文件无效：</w:t>
            </w:r>
          </w:p>
          <w:p w14:paraId="68B05147">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1.不同供应商的电子投标文件上传计算机的网卡MAC地址或硬盘序列号等硬件信息相同的；</w:t>
            </w:r>
          </w:p>
          <w:p w14:paraId="559ED485">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2.上传的电子投标文件若出现使用本项目其他投标供应商的数字证书加密的，或者加盖本项目其他投标供应商的电子印章的；</w:t>
            </w:r>
          </w:p>
          <w:p w14:paraId="1B34B70E">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3.不同供应商的投标文件的内容存在3处（含）以上错误一致的；</w:t>
            </w:r>
          </w:p>
          <w:p w14:paraId="5041B787">
            <w:pPr>
              <w:widowControl/>
              <w:snapToGrid w:val="0"/>
              <w:spacing w:line="400" w:lineRule="exact"/>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4.不同供应商联系人为同一人或不同联系人的联系电话一致的。</w:t>
            </w:r>
          </w:p>
          <w:p w14:paraId="578EFFB6">
            <w:pPr>
              <w:widowControl/>
              <w:snapToGrid w:val="0"/>
              <w:spacing w:line="400" w:lineRule="exact"/>
              <w:rPr>
                <w:rFonts w:hint="eastAsia"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rPr>
              <w:t>5.不同供应商在相同Internet主机分配地址（相同IP地址）获取招标文件或网上投标的。</w:t>
            </w:r>
          </w:p>
        </w:tc>
        <w:tc>
          <w:tcPr>
            <w:tcW w:w="4423" w:type="dxa"/>
            <w:shd w:val="clear" w:color="auto" w:fill="auto"/>
            <w:vAlign w:val="center"/>
          </w:tcPr>
          <w:p w14:paraId="403E8402">
            <w:pPr>
              <w:snapToGrid w:val="0"/>
              <w:spacing w:line="400" w:lineRule="exact"/>
              <w:rPr>
                <w:rFonts w:hint="eastAsia" w:ascii="宋体" w:hAnsi="宋体" w:eastAsia="宋体" w:cs="Times New Roman"/>
                <w:color w:val="auto"/>
                <w:sz w:val="21"/>
                <w:szCs w:val="21"/>
                <w:highlight w:val="none"/>
                <w:lang w:val="en-US" w:eastAsia="zh-CN" w:bidi="ar-SA"/>
              </w:rPr>
            </w:pPr>
            <w:r>
              <w:rPr>
                <w:rFonts w:hint="eastAsia" w:ascii="宋体" w:hAnsi="宋体"/>
                <w:color w:val="auto"/>
                <w:sz w:val="21"/>
                <w:szCs w:val="21"/>
                <w:highlight w:val="none"/>
              </w:rPr>
              <w:t>不得有所述情形。</w:t>
            </w:r>
          </w:p>
        </w:tc>
      </w:tr>
      <w:tr w14:paraId="34083D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Align w:val="center"/>
          </w:tcPr>
          <w:p w14:paraId="666B9E72">
            <w:pPr>
              <w:snapToGrid w:val="0"/>
              <w:spacing w:line="400" w:lineRule="exact"/>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8</w:t>
            </w:r>
          </w:p>
        </w:tc>
        <w:tc>
          <w:tcPr>
            <w:tcW w:w="4272" w:type="dxa"/>
            <w:vAlign w:val="center"/>
          </w:tcPr>
          <w:p w14:paraId="63EFF05B">
            <w:pPr>
              <w:widowControl/>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符合法律、法规和采购文件中规定的其他实质性要求（实质性要求采购文件中“</w:t>
            </w:r>
            <w:r>
              <w:rPr>
                <w:rFonts w:hint="eastAsia" w:ascii="宋体" w:hAnsi="宋体"/>
                <w:color w:val="auto"/>
                <w:sz w:val="21"/>
                <w:szCs w:val="21"/>
                <w:highlight w:val="none"/>
                <w:lang w:eastAsia="zh-CN"/>
              </w:rPr>
              <w:t>★</w:t>
            </w:r>
            <w:r>
              <w:rPr>
                <w:rFonts w:hint="eastAsia" w:ascii="宋体" w:hAnsi="宋体"/>
                <w:color w:val="auto"/>
                <w:sz w:val="21"/>
                <w:szCs w:val="21"/>
                <w:highlight w:val="none"/>
              </w:rPr>
              <w:t>”标记）</w:t>
            </w:r>
          </w:p>
        </w:tc>
        <w:tc>
          <w:tcPr>
            <w:tcW w:w="4423" w:type="dxa"/>
            <w:vAlign w:val="center"/>
          </w:tcPr>
          <w:p w14:paraId="061099D4">
            <w:pPr>
              <w:snapToGrid w:val="0"/>
              <w:spacing w:line="400" w:lineRule="exact"/>
              <w:rPr>
                <w:rFonts w:ascii="宋体" w:hAnsi="宋体"/>
                <w:color w:val="auto"/>
                <w:sz w:val="21"/>
                <w:szCs w:val="21"/>
                <w:highlight w:val="none"/>
              </w:rPr>
            </w:pPr>
            <w:r>
              <w:rPr>
                <w:rFonts w:hint="eastAsia" w:ascii="宋体" w:hAnsi="宋体"/>
                <w:color w:val="auto"/>
                <w:sz w:val="21"/>
                <w:szCs w:val="21"/>
                <w:highlight w:val="none"/>
              </w:rPr>
              <w:t>符合所述要求。</w:t>
            </w:r>
          </w:p>
        </w:tc>
      </w:tr>
      <w:tr w14:paraId="1EDD3C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20" w:type="dxa"/>
            <w:vAlign w:val="center"/>
          </w:tcPr>
          <w:p w14:paraId="328D6DB9">
            <w:pPr>
              <w:snapToGrid w:val="0"/>
              <w:spacing w:line="400" w:lineRule="exact"/>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9</w:t>
            </w:r>
          </w:p>
        </w:tc>
        <w:tc>
          <w:tcPr>
            <w:tcW w:w="4272" w:type="dxa"/>
            <w:vAlign w:val="center"/>
          </w:tcPr>
          <w:p w14:paraId="5E9AA764">
            <w:pPr>
              <w:snapToGrid w:val="0"/>
              <w:spacing w:line="400" w:lineRule="exact"/>
              <w:rPr>
                <w:rFonts w:ascii="宋体" w:hAnsi="宋体"/>
                <w:color w:val="auto"/>
                <w:sz w:val="21"/>
                <w:szCs w:val="21"/>
                <w:highlight w:val="none"/>
              </w:rPr>
            </w:pPr>
            <w:r>
              <w:rPr>
                <w:rFonts w:ascii="宋体" w:hAnsi="宋体"/>
                <w:color w:val="auto"/>
                <w:sz w:val="21"/>
                <w:szCs w:val="21"/>
                <w:highlight w:val="none"/>
              </w:rPr>
              <w:t>本次公开招标设有最高限价，投标价超出最高限价作无效标处理。</w:t>
            </w:r>
          </w:p>
        </w:tc>
        <w:tc>
          <w:tcPr>
            <w:tcW w:w="4423" w:type="dxa"/>
            <w:vAlign w:val="center"/>
          </w:tcPr>
          <w:p w14:paraId="0199ACE2">
            <w:pPr>
              <w:spacing w:line="400" w:lineRule="exact"/>
              <w:rPr>
                <w:rFonts w:ascii="宋体" w:hAnsi="宋体"/>
                <w:color w:val="auto"/>
                <w:sz w:val="21"/>
                <w:szCs w:val="21"/>
                <w:highlight w:val="none"/>
              </w:rPr>
            </w:pPr>
            <w:r>
              <w:rPr>
                <w:rFonts w:hint="eastAsia" w:ascii="宋体" w:hAnsi="宋体"/>
                <w:color w:val="auto"/>
                <w:sz w:val="21"/>
                <w:szCs w:val="21"/>
                <w:highlight w:val="none"/>
              </w:rPr>
              <w:t>提供“开标一览表”</w:t>
            </w:r>
            <w:r>
              <w:rPr>
                <w:rFonts w:hint="eastAsia" w:ascii="宋体" w:hAnsi="宋体"/>
                <w:color w:val="auto"/>
                <w:sz w:val="21"/>
                <w:szCs w:val="21"/>
                <w:highlight w:val="none"/>
                <w:lang w:eastAsia="zh-CN"/>
              </w:rPr>
              <w:t>、“分项报价表”</w:t>
            </w:r>
            <w:r>
              <w:rPr>
                <w:rFonts w:hint="eastAsia" w:ascii="宋体" w:hAnsi="宋体" w:cs="宋体"/>
                <w:color w:val="auto"/>
                <w:sz w:val="21"/>
                <w:szCs w:val="21"/>
                <w:highlight w:val="none"/>
              </w:rPr>
              <w:t>。</w:t>
            </w:r>
          </w:p>
        </w:tc>
      </w:tr>
      <w:tr w14:paraId="0B0CAC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Align w:val="center"/>
          </w:tcPr>
          <w:p w14:paraId="39B334EE">
            <w:pPr>
              <w:snapToGrid w:val="0"/>
              <w:spacing w:line="400" w:lineRule="exact"/>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10</w:t>
            </w:r>
          </w:p>
        </w:tc>
        <w:tc>
          <w:tcPr>
            <w:tcW w:w="4272" w:type="dxa"/>
            <w:vAlign w:val="center"/>
          </w:tcPr>
          <w:p w14:paraId="4760176D">
            <w:pPr>
              <w:spacing w:line="400" w:lineRule="exact"/>
              <w:rPr>
                <w:rFonts w:ascii="宋体" w:hAnsi="宋体"/>
                <w:color w:val="auto"/>
                <w:sz w:val="21"/>
                <w:szCs w:val="21"/>
                <w:highlight w:val="none"/>
              </w:rPr>
            </w:pPr>
            <w:r>
              <w:rPr>
                <w:rFonts w:hint="eastAsia" w:ascii="宋体" w:hAnsi="宋体"/>
                <w:color w:val="auto"/>
                <w:sz w:val="21"/>
                <w:szCs w:val="21"/>
                <w:highlight w:val="none"/>
              </w:rPr>
              <w:t>评标委员会认为投标人的报价明显低于其他通过评审</w:t>
            </w:r>
            <w:r>
              <w:rPr>
                <w:rFonts w:hint="eastAsia" w:ascii="宋体" w:hAnsi="宋体"/>
                <w:color w:val="auto"/>
                <w:sz w:val="21"/>
                <w:szCs w:val="21"/>
                <w:highlight w:val="none"/>
                <w:lang w:val="en-US" w:eastAsia="zh-CN"/>
              </w:rPr>
              <w:t>的</w:t>
            </w:r>
            <w:r>
              <w:rPr>
                <w:rFonts w:hint="eastAsia" w:ascii="宋体" w:hAnsi="宋体"/>
                <w:color w:val="auto"/>
                <w:sz w:val="21"/>
                <w:szCs w:val="21"/>
                <w:highlight w:val="none"/>
              </w:rPr>
              <w:t>投标人的报价，有可能影响产品质量或者不能诚信履约的，应当要求其在评标现场合理的时间内提供书面说明，必要时提交相关证明材料；投标人不能证明其报价合理性的，评标委员会应当将其作为无效投标处理。</w:t>
            </w:r>
          </w:p>
        </w:tc>
        <w:tc>
          <w:tcPr>
            <w:tcW w:w="4423" w:type="dxa"/>
            <w:vAlign w:val="center"/>
          </w:tcPr>
          <w:p w14:paraId="00EACED1">
            <w:pPr>
              <w:spacing w:line="400" w:lineRule="exact"/>
              <w:rPr>
                <w:rFonts w:ascii="宋体" w:hAnsi="宋体"/>
                <w:color w:val="auto"/>
                <w:sz w:val="21"/>
                <w:szCs w:val="21"/>
                <w:highlight w:val="none"/>
              </w:rPr>
            </w:pPr>
            <w:r>
              <w:rPr>
                <w:rFonts w:hint="eastAsia" w:ascii="宋体" w:hAnsi="宋体"/>
                <w:color w:val="auto"/>
                <w:sz w:val="21"/>
                <w:szCs w:val="21"/>
                <w:highlight w:val="none"/>
              </w:rPr>
              <w:t>符合所述要求。</w:t>
            </w:r>
          </w:p>
        </w:tc>
      </w:tr>
      <w:tr w14:paraId="21B5D0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Align w:val="center"/>
          </w:tcPr>
          <w:p w14:paraId="71F2FD94">
            <w:pPr>
              <w:snapToGrid w:val="0"/>
              <w:spacing w:line="400" w:lineRule="exact"/>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1</w:t>
            </w:r>
            <w:r>
              <w:rPr>
                <w:rFonts w:hint="eastAsia" w:ascii="宋体" w:hAnsi="宋体"/>
                <w:color w:val="auto"/>
                <w:sz w:val="21"/>
                <w:szCs w:val="21"/>
                <w:highlight w:val="none"/>
                <w:lang w:val="en-US" w:eastAsia="zh-CN"/>
              </w:rPr>
              <w:t>1</w:t>
            </w:r>
          </w:p>
        </w:tc>
        <w:tc>
          <w:tcPr>
            <w:tcW w:w="4272" w:type="dxa"/>
            <w:vAlign w:val="center"/>
          </w:tcPr>
          <w:p w14:paraId="0F360735">
            <w:pPr>
              <w:spacing w:line="400" w:lineRule="exact"/>
              <w:rPr>
                <w:rFonts w:ascii="宋体" w:hAnsi="宋体"/>
                <w:color w:val="auto"/>
                <w:sz w:val="21"/>
                <w:szCs w:val="21"/>
                <w:highlight w:val="none"/>
              </w:rPr>
            </w:pPr>
            <w:r>
              <w:rPr>
                <w:rFonts w:hint="eastAsia" w:ascii="宋体" w:hAnsi="宋体"/>
                <w:color w:val="auto"/>
                <w:sz w:val="21"/>
                <w:szCs w:val="21"/>
                <w:highlight w:val="none"/>
              </w:rPr>
              <w:t>在评标过程中，发现的价格计算错误按下述原则修正：</w:t>
            </w:r>
          </w:p>
          <w:p w14:paraId="61B8EE00">
            <w:pPr>
              <w:spacing w:line="400" w:lineRule="exact"/>
              <w:rPr>
                <w:rFonts w:ascii="宋体" w:hAnsi="宋体"/>
                <w:color w:val="auto"/>
                <w:sz w:val="21"/>
                <w:szCs w:val="21"/>
                <w:highlight w:val="none"/>
              </w:rPr>
            </w:pPr>
            <w:r>
              <w:rPr>
                <w:rFonts w:hint="eastAsia" w:ascii="宋体" w:hAnsi="宋体"/>
                <w:color w:val="auto"/>
                <w:sz w:val="21"/>
                <w:szCs w:val="21"/>
                <w:highlight w:val="none"/>
              </w:rPr>
              <w:t>（1）投标文件中开标一览表内容与投标文件中分项报价表内容不一致的，以开标一览表为准；</w:t>
            </w:r>
          </w:p>
          <w:p w14:paraId="02C407C0">
            <w:pPr>
              <w:spacing w:line="400" w:lineRule="exact"/>
              <w:rPr>
                <w:rFonts w:ascii="宋体" w:hAnsi="宋体"/>
                <w:color w:val="auto"/>
                <w:sz w:val="21"/>
                <w:szCs w:val="21"/>
                <w:highlight w:val="none"/>
              </w:rPr>
            </w:pPr>
            <w:r>
              <w:rPr>
                <w:rFonts w:hint="eastAsia" w:ascii="宋体" w:hAnsi="宋体"/>
                <w:color w:val="auto"/>
                <w:sz w:val="21"/>
                <w:szCs w:val="21"/>
                <w:highlight w:val="none"/>
              </w:rPr>
              <w:t>（2）大写金额和小写金额不一致的，以大写金额为准；</w:t>
            </w:r>
          </w:p>
          <w:p w14:paraId="24949214">
            <w:pPr>
              <w:spacing w:line="400" w:lineRule="exact"/>
              <w:rPr>
                <w:rFonts w:ascii="宋体" w:hAnsi="宋体"/>
                <w:color w:val="auto"/>
                <w:sz w:val="21"/>
                <w:szCs w:val="21"/>
                <w:highlight w:val="none"/>
              </w:rPr>
            </w:pPr>
            <w:r>
              <w:rPr>
                <w:rFonts w:hint="eastAsia" w:ascii="宋体" w:hAnsi="宋体"/>
                <w:color w:val="auto"/>
                <w:sz w:val="21"/>
                <w:szCs w:val="21"/>
                <w:highlight w:val="none"/>
              </w:rPr>
              <w:t>（3）单价金额小数点或者百分比有明显错位的，以开标一览表的总价为准，并修改单价；</w:t>
            </w:r>
          </w:p>
          <w:p w14:paraId="69E1364D">
            <w:pPr>
              <w:spacing w:line="400" w:lineRule="exact"/>
              <w:rPr>
                <w:rFonts w:ascii="宋体" w:hAnsi="宋体"/>
                <w:color w:val="auto"/>
                <w:sz w:val="21"/>
                <w:szCs w:val="21"/>
                <w:highlight w:val="none"/>
              </w:rPr>
            </w:pPr>
            <w:r>
              <w:rPr>
                <w:rFonts w:hint="eastAsia" w:ascii="宋体" w:hAnsi="宋体"/>
                <w:color w:val="auto"/>
                <w:sz w:val="21"/>
                <w:szCs w:val="21"/>
                <w:highlight w:val="none"/>
              </w:rPr>
              <w:t>（4）总价金额与按单价汇总金额不一致的，以单价金额计算结果为准；</w:t>
            </w:r>
          </w:p>
          <w:p w14:paraId="0C0BE81E">
            <w:pPr>
              <w:spacing w:line="400" w:lineRule="exact"/>
              <w:rPr>
                <w:rFonts w:ascii="宋体" w:hAnsi="宋体"/>
                <w:color w:val="auto"/>
                <w:sz w:val="21"/>
                <w:szCs w:val="21"/>
                <w:highlight w:val="none"/>
              </w:rPr>
            </w:pPr>
            <w:r>
              <w:rPr>
                <w:rFonts w:hint="eastAsia" w:ascii="宋体" w:hAnsi="宋体"/>
                <w:color w:val="auto"/>
                <w:sz w:val="21"/>
                <w:szCs w:val="21"/>
                <w:highlight w:val="none"/>
              </w:rPr>
              <w:t>同时出现两种以上不一致的，按照前款规定的顺序修正。修正后的报价经投标人确认后具有约束力，若投标人不确认的，则其投标无效。</w:t>
            </w:r>
          </w:p>
        </w:tc>
        <w:tc>
          <w:tcPr>
            <w:tcW w:w="4423" w:type="dxa"/>
            <w:vAlign w:val="center"/>
          </w:tcPr>
          <w:p w14:paraId="4359EA49">
            <w:pPr>
              <w:spacing w:line="400" w:lineRule="exact"/>
              <w:rPr>
                <w:rFonts w:ascii="宋体" w:hAnsi="宋体"/>
                <w:color w:val="auto"/>
                <w:sz w:val="21"/>
                <w:szCs w:val="21"/>
                <w:highlight w:val="none"/>
              </w:rPr>
            </w:pPr>
            <w:r>
              <w:rPr>
                <w:rFonts w:hint="eastAsia" w:ascii="宋体" w:hAnsi="宋体"/>
                <w:color w:val="auto"/>
                <w:sz w:val="21"/>
                <w:szCs w:val="21"/>
                <w:highlight w:val="none"/>
              </w:rPr>
              <w:t>符合所述要求。</w:t>
            </w:r>
          </w:p>
        </w:tc>
      </w:tr>
      <w:tr w14:paraId="103EEB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0" w:type="dxa"/>
            <w:vAlign w:val="center"/>
          </w:tcPr>
          <w:p w14:paraId="480A63FA">
            <w:pPr>
              <w:snapToGrid w:val="0"/>
              <w:spacing w:line="400" w:lineRule="exact"/>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12</w:t>
            </w:r>
          </w:p>
        </w:tc>
        <w:tc>
          <w:tcPr>
            <w:tcW w:w="4272" w:type="dxa"/>
            <w:vAlign w:val="center"/>
          </w:tcPr>
          <w:p w14:paraId="770CBCA7">
            <w:pPr>
              <w:spacing w:line="400" w:lineRule="exac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rPr>
              <w:t>本项目不接受联合体。</w:t>
            </w:r>
          </w:p>
        </w:tc>
        <w:tc>
          <w:tcPr>
            <w:tcW w:w="4423" w:type="dxa"/>
            <w:vAlign w:val="center"/>
          </w:tcPr>
          <w:p w14:paraId="6E783CC0">
            <w:pPr>
              <w:spacing w:line="400" w:lineRule="exac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投标人</w:t>
            </w:r>
            <w:r>
              <w:rPr>
                <w:rFonts w:hint="eastAsia" w:ascii="宋体" w:hAnsi="宋体" w:eastAsia="宋体" w:cs="Times New Roman"/>
                <w:color w:val="auto"/>
                <w:sz w:val="21"/>
                <w:szCs w:val="21"/>
                <w:highlight w:val="none"/>
              </w:rPr>
              <w:t>非联合体。</w:t>
            </w:r>
          </w:p>
        </w:tc>
      </w:tr>
      <w:tr w14:paraId="704DBA2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92" w:type="dxa"/>
            <w:gridSpan w:val="2"/>
            <w:vAlign w:val="center"/>
          </w:tcPr>
          <w:p w14:paraId="25320153">
            <w:pPr>
              <w:snapToGrid w:val="0"/>
              <w:spacing w:line="400" w:lineRule="exact"/>
              <w:jc w:val="center"/>
              <w:rPr>
                <w:rFonts w:ascii="宋体" w:hAnsi="宋体"/>
                <w:color w:val="auto"/>
                <w:sz w:val="21"/>
                <w:szCs w:val="21"/>
                <w:highlight w:val="none"/>
              </w:rPr>
            </w:pPr>
            <w:r>
              <w:rPr>
                <w:rFonts w:hint="eastAsia" w:ascii="宋体" w:hAnsi="宋体"/>
                <w:b/>
                <w:color w:val="auto"/>
                <w:sz w:val="21"/>
                <w:szCs w:val="21"/>
                <w:highlight w:val="none"/>
              </w:rPr>
              <w:t>符合性审查结论</w:t>
            </w:r>
          </w:p>
        </w:tc>
        <w:tc>
          <w:tcPr>
            <w:tcW w:w="4423" w:type="dxa"/>
            <w:vAlign w:val="center"/>
          </w:tcPr>
          <w:p w14:paraId="609F2C05">
            <w:pPr>
              <w:snapToGrid w:val="0"/>
              <w:spacing w:line="400" w:lineRule="exact"/>
              <w:rPr>
                <w:rFonts w:ascii="宋体" w:hAnsi="宋体"/>
                <w:color w:val="auto"/>
                <w:sz w:val="21"/>
                <w:szCs w:val="21"/>
                <w:highlight w:val="none"/>
              </w:rPr>
            </w:pPr>
          </w:p>
        </w:tc>
      </w:tr>
    </w:tbl>
    <w:p w14:paraId="57718230">
      <w:pPr>
        <w:spacing w:line="400" w:lineRule="exact"/>
        <w:rPr>
          <w:rFonts w:ascii="宋体" w:hAnsi="宋体"/>
          <w:b/>
          <w:color w:val="auto"/>
          <w:sz w:val="21"/>
          <w:szCs w:val="21"/>
          <w:highlight w:val="none"/>
        </w:rPr>
      </w:pPr>
      <w:r>
        <w:rPr>
          <w:rFonts w:hint="eastAsia" w:ascii="宋体" w:hAnsi="宋体"/>
          <w:b/>
          <w:color w:val="auto"/>
          <w:sz w:val="21"/>
          <w:szCs w:val="21"/>
          <w:highlight w:val="none"/>
        </w:rPr>
        <w:t>注：</w:t>
      </w:r>
      <w:r>
        <w:rPr>
          <w:rFonts w:ascii="宋体" w:hAnsi="宋体"/>
          <w:b/>
          <w:color w:val="auto"/>
          <w:sz w:val="21"/>
          <w:szCs w:val="21"/>
          <w:highlight w:val="none"/>
        </w:rPr>
        <w:t>1</w:t>
      </w:r>
      <w:r>
        <w:rPr>
          <w:rFonts w:hint="eastAsia" w:ascii="宋体" w:hAnsi="宋体"/>
          <w:b/>
          <w:color w:val="auto"/>
          <w:sz w:val="21"/>
          <w:szCs w:val="21"/>
          <w:highlight w:val="none"/>
        </w:rPr>
        <w:t>、上述审查项目中，任意一项不符合的，符合性审查不合格。</w:t>
      </w:r>
    </w:p>
    <w:p w14:paraId="639B40F6">
      <w:pPr>
        <w:spacing w:line="360" w:lineRule="auto"/>
        <w:ind w:firstLine="422" w:firstLineChars="200"/>
        <w:rPr>
          <w:color w:val="auto"/>
          <w:szCs w:val="24"/>
          <w:highlight w:val="none"/>
        </w:rPr>
      </w:pPr>
      <w:r>
        <w:rPr>
          <w:rFonts w:hint="eastAsia" w:ascii="宋体" w:hAnsi="宋体"/>
          <w:b/>
          <w:color w:val="auto"/>
          <w:sz w:val="21"/>
          <w:szCs w:val="21"/>
          <w:highlight w:val="none"/>
        </w:rPr>
        <w:t>2、序号3-序号</w:t>
      </w:r>
      <w:r>
        <w:rPr>
          <w:rFonts w:hint="eastAsia" w:ascii="宋体" w:hAnsi="宋体"/>
          <w:b/>
          <w:color w:val="auto"/>
          <w:sz w:val="21"/>
          <w:szCs w:val="21"/>
          <w:highlight w:val="none"/>
          <w:lang w:val="en-US" w:eastAsia="zh-CN"/>
        </w:rPr>
        <w:t>8</w:t>
      </w:r>
      <w:r>
        <w:rPr>
          <w:rFonts w:hint="eastAsia" w:ascii="宋体" w:hAnsi="宋体"/>
          <w:b/>
          <w:color w:val="auto"/>
          <w:sz w:val="21"/>
          <w:szCs w:val="21"/>
          <w:highlight w:val="none"/>
        </w:rPr>
        <w:t>、序号</w:t>
      </w:r>
      <w:r>
        <w:rPr>
          <w:rFonts w:hint="eastAsia" w:ascii="宋体" w:hAnsi="宋体"/>
          <w:b/>
          <w:color w:val="auto"/>
          <w:sz w:val="21"/>
          <w:szCs w:val="21"/>
          <w:highlight w:val="none"/>
          <w:lang w:val="en-US" w:eastAsia="zh-CN"/>
        </w:rPr>
        <w:t>10</w:t>
      </w:r>
      <w:r>
        <w:rPr>
          <w:rFonts w:hint="eastAsia" w:ascii="宋体" w:hAnsi="宋体"/>
          <w:b/>
          <w:color w:val="auto"/>
          <w:sz w:val="21"/>
          <w:szCs w:val="21"/>
          <w:highlight w:val="none"/>
        </w:rPr>
        <w:t>-1</w:t>
      </w:r>
      <w:r>
        <w:rPr>
          <w:rFonts w:hint="eastAsia" w:ascii="宋体" w:hAnsi="宋体"/>
          <w:b/>
          <w:color w:val="auto"/>
          <w:sz w:val="21"/>
          <w:szCs w:val="21"/>
          <w:highlight w:val="none"/>
          <w:lang w:val="en-US" w:eastAsia="zh-CN"/>
        </w:rPr>
        <w:t>2</w:t>
      </w:r>
      <w:r>
        <w:rPr>
          <w:rFonts w:hint="eastAsia" w:ascii="宋体" w:hAnsi="宋体"/>
          <w:b/>
          <w:color w:val="auto"/>
          <w:sz w:val="21"/>
          <w:szCs w:val="21"/>
          <w:highlight w:val="none"/>
        </w:rPr>
        <w:t>在政采云上无须添加关联点。</w:t>
      </w:r>
    </w:p>
    <w:p w14:paraId="4F5AF777">
      <w:pPr>
        <w:pStyle w:val="25"/>
        <w:widowControl/>
        <w:spacing w:line="360" w:lineRule="auto"/>
        <w:ind w:firstLine="420" w:firstLineChars="200"/>
        <w:jc w:val="left"/>
        <w:rPr>
          <w:rFonts w:hAnsi="宋体"/>
          <w:color w:val="auto"/>
          <w:highlight w:val="none"/>
        </w:rPr>
      </w:pPr>
    </w:p>
    <w:p w14:paraId="66D136CB">
      <w:pPr>
        <w:adjustRightInd/>
        <w:spacing w:line="480" w:lineRule="auto"/>
        <w:ind w:firstLine="422" w:firstLineChars="200"/>
        <w:jc w:val="center"/>
        <w:textAlignment w:val="auto"/>
        <w:rPr>
          <w:rFonts w:ascii="宋体" w:hAnsi="宋体"/>
          <w:b/>
          <w:color w:val="auto"/>
          <w:sz w:val="21"/>
          <w:szCs w:val="21"/>
          <w:highlight w:val="none"/>
        </w:rPr>
      </w:pPr>
      <w:r>
        <w:rPr>
          <w:rFonts w:ascii="宋体" w:hAnsi="宋体"/>
          <w:b/>
          <w:color w:val="auto"/>
          <w:sz w:val="21"/>
          <w:szCs w:val="21"/>
          <w:highlight w:val="none"/>
        </w:rPr>
        <w:br w:type="page"/>
      </w:r>
    </w:p>
    <w:p w14:paraId="486FADF5">
      <w:pPr>
        <w:pStyle w:val="17"/>
        <w:rPr>
          <w:rFonts w:hint="eastAsia" w:ascii="宋体" w:hAnsi="宋体"/>
          <w:b/>
          <w:color w:val="auto"/>
          <w:sz w:val="21"/>
          <w:szCs w:val="21"/>
          <w:highlight w:val="none"/>
        </w:rPr>
      </w:pPr>
      <w:r>
        <w:rPr>
          <w:rFonts w:hint="eastAsia" w:ascii="宋体" w:hAnsi="宋体"/>
          <w:b/>
          <w:color w:val="auto"/>
          <w:sz w:val="21"/>
          <w:szCs w:val="21"/>
          <w:highlight w:val="none"/>
        </w:rPr>
        <w:t>附表3：</w:t>
      </w:r>
    </w:p>
    <w:p w14:paraId="4FF7CBE4">
      <w:pPr>
        <w:pStyle w:val="17"/>
        <w:jc w:val="center"/>
        <w:rPr>
          <w:rFonts w:ascii="宋体" w:hAnsi="宋体"/>
          <w:b/>
          <w:color w:val="auto"/>
          <w:sz w:val="21"/>
          <w:szCs w:val="21"/>
          <w:highlight w:val="none"/>
        </w:rPr>
      </w:pPr>
      <w:r>
        <w:rPr>
          <w:rFonts w:hint="eastAsia" w:ascii="宋体" w:hAnsi="宋体"/>
          <w:b/>
          <w:color w:val="auto"/>
          <w:sz w:val="21"/>
          <w:szCs w:val="21"/>
          <w:highlight w:val="none"/>
        </w:rPr>
        <w:t>评分标准（兼评委打分表）</w:t>
      </w:r>
    </w:p>
    <w:tbl>
      <w:tblPr>
        <w:tblStyle w:val="4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1"/>
        <w:gridCol w:w="658"/>
        <w:gridCol w:w="6391"/>
        <w:gridCol w:w="645"/>
        <w:gridCol w:w="723"/>
      </w:tblGrid>
      <w:tr w14:paraId="49541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701" w:type="dxa"/>
            <w:shd w:val="clear" w:color="auto" w:fill="auto"/>
            <w:vAlign w:val="center"/>
          </w:tcPr>
          <w:p w14:paraId="43450F9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宋体"/>
                <w:b/>
                <w:bCs/>
                <w:color w:val="000000"/>
                <w:sz w:val="21"/>
                <w:szCs w:val="21"/>
                <w:highlight w:val="none"/>
                <w:lang w:val="en-US" w:eastAsia="zh-CN"/>
              </w:rPr>
            </w:pPr>
            <w:r>
              <w:rPr>
                <w:rFonts w:hint="eastAsia" w:ascii="宋体" w:hAnsi="宋体" w:cs="宋体"/>
                <w:b/>
                <w:bCs/>
                <w:color w:val="000000"/>
                <w:sz w:val="21"/>
                <w:szCs w:val="21"/>
                <w:highlight w:val="none"/>
                <w:lang w:val="en-US" w:eastAsia="zh-CN"/>
              </w:rPr>
              <w:t>评标项目</w:t>
            </w:r>
          </w:p>
        </w:tc>
        <w:tc>
          <w:tcPr>
            <w:tcW w:w="7049" w:type="dxa"/>
            <w:gridSpan w:val="2"/>
            <w:shd w:val="clear" w:color="auto" w:fill="auto"/>
            <w:vAlign w:val="center"/>
          </w:tcPr>
          <w:p w14:paraId="478F7E8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宋体"/>
                <w:b/>
                <w:bCs/>
                <w:sz w:val="21"/>
                <w:szCs w:val="21"/>
                <w:highlight w:val="none"/>
                <w:lang w:val="en-US" w:eastAsia="zh-CN" w:bidi="zh-CN"/>
              </w:rPr>
            </w:pPr>
            <w:r>
              <w:rPr>
                <w:rFonts w:hint="eastAsia" w:ascii="宋体" w:hAnsi="宋体" w:cs="宋体"/>
                <w:b/>
                <w:bCs/>
                <w:sz w:val="21"/>
                <w:szCs w:val="21"/>
                <w:highlight w:val="none"/>
                <w:lang w:val="en-US" w:eastAsia="zh-CN" w:bidi="zh-CN"/>
              </w:rPr>
              <w:t>评分内容</w:t>
            </w:r>
          </w:p>
        </w:tc>
        <w:tc>
          <w:tcPr>
            <w:tcW w:w="645" w:type="dxa"/>
            <w:vAlign w:val="center"/>
          </w:tcPr>
          <w:p w14:paraId="3BF16C3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宋体"/>
                <w:b/>
                <w:bCs/>
                <w:color w:val="000000"/>
                <w:sz w:val="21"/>
                <w:szCs w:val="21"/>
                <w:highlight w:val="none"/>
                <w:lang w:val="en-US" w:eastAsia="zh-CN" w:bidi="ar-SA"/>
              </w:rPr>
            </w:pPr>
            <w:r>
              <w:rPr>
                <w:rFonts w:hint="eastAsia" w:ascii="宋体" w:hAnsi="宋体" w:eastAsia="宋体" w:cs="宋体"/>
                <w:b/>
                <w:bCs/>
                <w:color w:val="000000"/>
                <w:sz w:val="21"/>
                <w:szCs w:val="21"/>
                <w:highlight w:val="none"/>
                <w:lang w:val="en-US" w:eastAsia="zh-CN" w:bidi="ar-SA"/>
              </w:rPr>
              <w:t xml:space="preserve">分值 </w:t>
            </w:r>
          </w:p>
        </w:tc>
        <w:tc>
          <w:tcPr>
            <w:tcW w:w="723" w:type="dxa"/>
            <w:vAlign w:val="center"/>
          </w:tcPr>
          <w:p w14:paraId="0215DC5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宋体"/>
                <w:b/>
                <w:bCs/>
                <w:sz w:val="21"/>
                <w:szCs w:val="21"/>
                <w:highlight w:val="none"/>
                <w:lang w:val="en-US" w:eastAsia="zh-CN" w:bidi="zh-CN"/>
              </w:rPr>
            </w:pPr>
            <w:r>
              <w:rPr>
                <w:rFonts w:hint="eastAsia" w:ascii="宋体" w:hAnsi="宋体" w:cs="宋体"/>
                <w:b/>
                <w:bCs/>
                <w:sz w:val="21"/>
                <w:szCs w:val="21"/>
                <w:highlight w:val="none"/>
                <w:lang w:val="en-US" w:eastAsia="zh-CN" w:bidi="zh-CN"/>
              </w:rPr>
              <w:t>分值属性</w:t>
            </w:r>
          </w:p>
        </w:tc>
      </w:tr>
      <w:tr w14:paraId="2D2DC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1" w:type="dxa"/>
            <w:shd w:val="clear" w:color="auto" w:fill="auto"/>
            <w:vAlign w:val="center"/>
          </w:tcPr>
          <w:p w14:paraId="52CABC3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价格评分</w:t>
            </w:r>
          </w:p>
          <w:p w14:paraId="57DF3C5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eastAsia="zh-CN"/>
              </w:rPr>
              <w:t>（30分）</w:t>
            </w:r>
          </w:p>
        </w:tc>
        <w:tc>
          <w:tcPr>
            <w:tcW w:w="7049" w:type="dxa"/>
            <w:gridSpan w:val="2"/>
            <w:shd w:val="clear" w:color="auto" w:fill="auto"/>
            <w:vAlign w:val="center"/>
          </w:tcPr>
          <w:p w14:paraId="50F2D532">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评标基准价=满足招标文件要求且投标报价最低的价格为评标基准价；</w:t>
            </w:r>
          </w:p>
          <w:p w14:paraId="5FBB1EF1">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评标基准价得分为满分30分，其他投标人报价得分计算公式如下：</w:t>
            </w:r>
          </w:p>
          <w:p w14:paraId="5BC4CB6D">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其他投标人报价得分=（评标基准价/投标报价）×30%×100；</w:t>
            </w:r>
          </w:p>
          <w:p w14:paraId="397CB2F8">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ru-RU" w:eastAsia="zh-CN"/>
              </w:rPr>
            </w:pPr>
            <w:r>
              <w:rPr>
                <w:rFonts w:hint="eastAsia" w:ascii="宋体" w:hAnsi="宋体" w:eastAsia="宋体" w:cs="宋体"/>
                <w:kern w:val="2"/>
                <w:sz w:val="21"/>
                <w:szCs w:val="21"/>
                <w:highlight w:val="none"/>
                <w:lang w:val="en-US" w:eastAsia="zh-CN"/>
              </w:rPr>
              <w:t>（保留二位小数）</w:t>
            </w:r>
          </w:p>
        </w:tc>
        <w:tc>
          <w:tcPr>
            <w:tcW w:w="645" w:type="dxa"/>
            <w:vAlign w:val="center"/>
          </w:tcPr>
          <w:p w14:paraId="74DCD4A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sz w:val="21"/>
                <w:szCs w:val="21"/>
                <w:highlight w:val="none"/>
                <w:lang w:val="ru-RU" w:eastAsia="zh-CN" w:bidi="ar-SA"/>
              </w:rPr>
            </w:pPr>
            <w:r>
              <w:rPr>
                <w:rFonts w:hint="eastAsia" w:ascii="宋体" w:hAnsi="宋体" w:eastAsia="宋体" w:cs="宋体"/>
                <w:color w:val="000000"/>
                <w:sz w:val="21"/>
                <w:szCs w:val="21"/>
                <w:highlight w:val="none"/>
                <w:lang w:val="ru-RU" w:eastAsia="zh-CN"/>
              </w:rPr>
              <w:t>30</w:t>
            </w:r>
          </w:p>
        </w:tc>
        <w:tc>
          <w:tcPr>
            <w:tcW w:w="723" w:type="dxa"/>
            <w:vAlign w:val="center"/>
          </w:tcPr>
          <w:p w14:paraId="1AC0116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客观分</w:t>
            </w:r>
          </w:p>
        </w:tc>
      </w:tr>
      <w:tr w14:paraId="415AC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1" w:type="dxa"/>
            <w:vMerge w:val="restart"/>
            <w:shd w:val="clear" w:color="auto" w:fill="auto"/>
            <w:vAlign w:val="center"/>
          </w:tcPr>
          <w:p w14:paraId="347C98B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技术评分</w:t>
            </w:r>
          </w:p>
          <w:p w14:paraId="71CAF27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70</w:t>
            </w:r>
            <w:r>
              <w:rPr>
                <w:rFonts w:hint="eastAsia" w:ascii="宋体" w:hAnsi="宋体" w:eastAsia="宋体" w:cs="宋体"/>
                <w:color w:val="000000"/>
                <w:sz w:val="21"/>
                <w:szCs w:val="21"/>
                <w:highlight w:val="none"/>
                <w:lang w:eastAsia="zh-CN"/>
              </w:rPr>
              <w:t>分）</w:t>
            </w:r>
          </w:p>
        </w:tc>
        <w:tc>
          <w:tcPr>
            <w:tcW w:w="658" w:type="dxa"/>
            <w:shd w:val="clear" w:color="auto" w:fill="auto"/>
            <w:vAlign w:val="center"/>
          </w:tcPr>
          <w:p w14:paraId="22F617A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sz w:val="22"/>
                <w:szCs w:val="22"/>
                <w:highlight w:val="none"/>
                <w:lang w:eastAsia="zh-CN"/>
              </w:rPr>
            </w:pPr>
            <w:r>
              <w:rPr>
                <w:rFonts w:hint="eastAsia" w:ascii="宋体" w:hAnsi="宋体" w:eastAsia="宋体" w:cs="宋体"/>
                <w:kern w:val="2"/>
                <w:sz w:val="21"/>
                <w:szCs w:val="21"/>
                <w:highlight w:val="none"/>
                <w:lang w:val="en-US" w:eastAsia="zh-CN"/>
              </w:rPr>
              <w:t>技术参数响应</w:t>
            </w:r>
          </w:p>
        </w:tc>
        <w:tc>
          <w:tcPr>
            <w:tcW w:w="6391" w:type="dxa"/>
            <w:vAlign w:val="center"/>
          </w:tcPr>
          <w:p w14:paraId="54061AD6">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ru-RU" w:eastAsia="zh-CN"/>
              </w:rPr>
            </w:pPr>
            <w:r>
              <w:rPr>
                <w:rFonts w:hint="eastAsia" w:ascii="宋体" w:hAnsi="宋体" w:eastAsia="宋体" w:cs="宋体"/>
                <w:kern w:val="2"/>
                <w:sz w:val="21"/>
                <w:szCs w:val="21"/>
                <w:highlight w:val="none"/>
                <w:lang w:val="ru-RU" w:eastAsia="zh-CN"/>
              </w:rPr>
              <w:t>完全响应“第</w:t>
            </w:r>
            <w:r>
              <w:rPr>
                <w:rFonts w:hint="eastAsia" w:ascii="宋体" w:hAnsi="宋体" w:eastAsia="宋体" w:cs="宋体"/>
                <w:kern w:val="2"/>
                <w:sz w:val="21"/>
                <w:szCs w:val="21"/>
                <w:highlight w:val="none"/>
                <w:lang w:val="en-US" w:eastAsia="zh-CN"/>
              </w:rPr>
              <w:t>四</w:t>
            </w:r>
            <w:r>
              <w:rPr>
                <w:rFonts w:hint="eastAsia" w:ascii="宋体" w:hAnsi="宋体" w:eastAsia="宋体" w:cs="宋体"/>
                <w:kern w:val="2"/>
                <w:sz w:val="21"/>
                <w:szCs w:val="21"/>
                <w:highlight w:val="none"/>
                <w:lang w:val="ru-RU" w:eastAsia="zh-CN"/>
              </w:rPr>
              <w:t>章 招标内容与技术需求”各项指标的，得</w:t>
            </w:r>
            <w:r>
              <w:rPr>
                <w:rFonts w:hint="eastAsia" w:ascii="宋体" w:hAnsi="宋体" w:cs="宋体"/>
                <w:kern w:val="2"/>
                <w:sz w:val="21"/>
                <w:szCs w:val="21"/>
                <w:highlight w:val="none"/>
                <w:lang w:val="en-US" w:eastAsia="zh-CN"/>
              </w:rPr>
              <w:t>20</w:t>
            </w:r>
            <w:r>
              <w:rPr>
                <w:rFonts w:hint="eastAsia" w:ascii="宋体" w:hAnsi="宋体" w:eastAsia="宋体" w:cs="宋体"/>
                <w:kern w:val="2"/>
                <w:sz w:val="21"/>
                <w:szCs w:val="21"/>
                <w:highlight w:val="none"/>
                <w:lang w:val="ru-RU" w:eastAsia="zh-CN"/>
              </w:rPr>
              <w:t>分；对标有“★”的指标有负偏离的作无效标处理，对标</w:t>
            </w:r>
            <w:r>
              <w:rPr>
                <w:rFonts w:hint="eastAsia" w:ascii="宋体" w:hAnsi="宋体" w:cs="宋体"/>
                <w:kern w:val="2"/>
                <w:sz w:val="21"/>
                <w:szCs w:val="21"/>
                <w:highlight w:val="none"/>
                <w:lang w:val="ru-RU" w:eastAsia="zh-CN"/>
              </w:rPr>
              <w:t>“</w:t>
            </w:r>
            <w:r>
              <w:rPr>
                <w:rFonts w:hint="eastAsia" w:ascii="宋体" w:hAnsi="宋体" w:eastAsia="宋体" w:cs="宋体"/>
                <w:kern w:val="2"/>
                <w:sz w:val="21"/>
                <w:szCs w:val="21"/>
                <w:highlight w:val="none"/>
                <w:lang w:val="ru-RU" w:eastAsia="zh-CN"/>
              </w:rPr>
              <w:t>▲”的指标（如有）每有1项负偏离扣</w:t>
            </w:r>
            <w:r>
              <w:rPr>
                <w:rFonts w:hint="eastAsia" w:ascii="宋体" w:hAnsi="宋体" w:cs="宋体"/>
                <w:kern w:val="2"/>
                <w:sz w:val="21"/>
                <w:szCs w:val="21"/>
                <w:highlight w:val="none"/>
                <w:lang w:val="en-US" w:eastAsia="zh-CN"/>
              </w:rPr>
              <w:t>1</w:t>
            </w:r>
            <w:r>
              <w:rPr>
                <w:rFonts w:hint="eastAsia" w:ascii="宋体" w:hAnsi="宋体" w:eastAsia="宋体" w:cs="宋体"/>
                <w:kern w:val="2"/>
                <w:sz w:val="21"/>
                <w:szCs w:val="21"/>
                <w:highlight w:val="none"/>
                <w:lang w:val="ru-RU" w:eastAsia="zh-CN"/>
              </w:rPr>
              <w:t>分，</w:t>
            </w:r>
            <w:r>
              <w:rPr>
                <w:rFonts w:hint="eastAsia" w:ascii="宋体" w:hAnsi="宋体" w:eastAsia="宋体" w:cs="宋体"/>
                <w:kern w:val="2"/>
                <w:sz w:val="21"/>
                <w:szCs w:val="21"/>
                <w:highlight w:val="none"/>
                <w:lang w:val="en-US" w:eastAsia="zh-CN"/>
              </w:rPr>
              <w:t>未标有</w:t>
            </w:r>
            <w:r>
              <w:rPr>
                <w:rFonts w:hint="eastAsia" w:ascii="宋体" w:hAnsi="宋体" w:eastAsia="宋体" w:cs="宋体"/>
                <w:kern w:val="2"/>
                <w:sz w:val="21"/>
                <w:szCs w:val="21"/>
                <w:highlight w:val="none"/>
                <w:lang w:val="ru-RU" w:eastAsia="zh-CN"/>
              </w:rPr>
              <w:t>“★”</w:t>
            </w:r>
            <w:r>
              <w:rPr>
                <w:rFonts w:hint="eastAsia" w:ascii="宋体" w:hAnsi="宋体" w:eastAsia="宋体" w:cs="宋体"/>
                <w:kern w:val="2"/>
                <w:sz w:val="21"/>
                <w:szCs w:val="21"/>
                <w:highlight w:val="none"/>
                <w:lang w:val="en-US" w:eastAsia="zh-CN"/>
              </w:rPr>
              <w:t>和“</w:t>
            </w:r>
            <w:r>
              <w:rPr>
                <w:rFonts w:hint="eastAsia" w:ascii="宋体" w:hAnsi="宋体" w:eastAsia="宋体" w:cs="宋体"/>
                <w:kern w:val="2"/>
                <w:sz w:val="21"/>
                <w:szCs w:val="21"/>
                <w:highlight w:val="none"/>
                <w:lang w:val="ru-RU" w:eastAsia="zh-CN"/>
              </w:rPr>
              <w:t>▲”一般指标每有1项负偏离扣</w:t>
            </w:r>
            <w:r>
              <w:rPr>
                <w:rFonts w:hint="eastAsia" w:ascii="宋体" w:hAnsi="宋体" w:cs="宋体"/>
                <w:kern w:val="2"/>
                <w:sz w:val="21"/>
                <w:szCs w:val="21"/>
                <w:highlight w:val="none"/>
                <w:lang w:val="en-US" w:eastAsia="zh-CN"/>
              </w:rPr>
              <w:t>0.5</w:t>
            </w:r>
            <w:r>
              <w:rPr>
                <w:rFonts w:hint="eastAsia" w:ascii="宋体" w:hAnsi="宋体" w:eastAsia="宋体" w:cs="宋体"/>
                <w:kern w:val="2"/>
                <w:sz w:val="21"/>
                <w:szCs w:val="21"/>
                <w:highlight w:val="none"/>
                <w:lang w:val="ru-RU" w:eastAsia="zh-CN"/>
              </w:rPr>
              <w:t>分，相同指标不重复扣分，</w:t>
            </w:r>
            <w:r>
              <w:rPr>
                <w:rFonts w:hint="eastAsia" w:ascii="宋体" w:hAnsi="宋体" w:eastAsia="宋体" w:cs="宋体"/>
                <w:i w:val="0"/>
                <w:iCs w:val="0"/>
                <w:color w:val="000000"/>
                <w:kern w:val="0"/>
                <w:sz w:val="21"/>
                <w:szCs w:val="21"/>
                <w:highlight w:val="none"/>
                <w:u w:val="none"/>
                <w:lang w:val="en-US" w:eastAsia="zh-CN" w:bidi="ar"/>
              </w:rPr>
              <w:t xml:space="preserve">当负偏离扣分超过总分值20分时，作无效投标处理。 </w:t>
            </w:r>
          </w:p>
          <w:p w14:paraId="25571142">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ru-RU" w:eastAsia="zh-CN"/>
              </w:rPr>
            </w:pPr>
            <w:r>
              <w:rPr>
                <w:rFonts w:hint="eastAsia" w:ascii="宋体" w:hAnsi="宋体" w:eastAsia="宋体" w:cs="宋体"/>
                <w:kern w:val="2"/>
                <w:sz w:val="21"/>
                <w:szCs w:val="21"/>
                <w:highlight w:val="none"/>
                <w:lang w:val="ru-RU" w:eastAsia="zh-CN"/>
              </w:rPr>
              <w:t>评审依据：需在投标文件中按照采购清单、技术参数中要求提供有关证明材料并加盖投标人公章，未提供或不符合要求的不得分。</w:t>
            </w:r>
          </w:p>
        </w:tc>
        <w:tc>
          <w:tcPr>
            <w:tcW w:w="645" w:type="dxa"/>
            <w:vAlign w:val="center"/>
          </w:tcPr>
          <w:p w14:paraId="1593188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宋体"/>
                <w:bCs/>
                <w:kern w:val="2"/>
                <w:sz w:val="21"/>
                <w:szCs w:val="21"/>
                <w:highlight w:val="none"/>
                <w:lang w:val="en-US" w:eastAsia="zh-CN" w:bidi="ar-SA"/>
              </w:rPr>
            </w:pPr>
            <w:r>
              <w:rPr>
                <w:rFonts w:hint="eastAsia" w:ascii="宋体" w:hAnsi="宋体" w:cs="宋体"/>
                <w:bCs/>
                <w:kern w:val="2"/>
                <w:sz w:val="21"/>
                <w:szCs w:val="21"/>
                <w:highlight w:val="none"/>
                <w:lang w:val="en-US" w:eastAsia="zh-CN"/>
              </w:rPr>
              <w:t>20</w:t>
            </w:r>
          </w:p>
        </w:tc>
        <w:tc>
          <w:tcPr>
            <w:tcW w:w="723" w:type="dxa"/>
            <w:vAlign w:val="center"/>
          </w:tcPr>
          <w:p w14:paraId="2C1319B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highlight w:val="none"/>
                <w:lang w:val="ru-RU" w:eastAsia="zh-CN" w:bidi="ar-SA"/>
              </w:rPr>
            </w:pPr>
            <w:r>
              <w:rPr>
                <w:rFonts w:hint="eastAsia" w:ascii="宋体" w:hAnsi="宋体" w:eastAsia="宋体" w:cs="宋体"/>
                <w:kern w:val="2"/>
                <w:sz w:val="21"/>
                <w:szCs w:val="21"/>
                <w:highlight w:val="none"/>
                <w:lang w:val="en-US" w:eastAsia="zh-CN"/>
              </w:rPr>
              <w:t>客观分</w:t>
            </w:r>
          </w:p>
        </w:tc>
      </w:tr>
      <w:tr w14:paraId="09909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1" w:type="dxa"/>
            <w:vMerge w:val="continue"/>
            <w:shd w:val="clear" w:color="auto" w:fill="auto"/>
            <w:vAlign w:val="center"/>
          </w:tcPr>
          <w:p w14:paraId="05AF097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eastAsia="宋体" w:cs="宋体"/>
                <w:color w:val="000000"/>
                <w:sz w:val="21"/>
                <w:szCs w:val="21"/>
                <w:highlight w:val="none"/>
                <w:lang w:eastAsia="zh-CN"/>
              </w:rPr>
            </w:pPr>
          </w:p>
        </w:tc>
        <w:tc>
          <w:tcPr>
            <w:tcW w:w="658" w:type="dxa"/>
            <w:shd w:val="clear" w:color="auto" w:fill="auto"/>
            <w:vAlign w:val="center"/>
          </w:tcPr>
          <w:p w14:paraId="0CB28C3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eastAsia="宋体" w:cs="宋体"/>
                <w:color w:val="000000"/>
                <w:sz w:val="22"/>
                <w:szCs w:val="22"/>
                <w:highlight w:val="none"/>
                <w:lang w:eastAsia="zh-CN"/>
              </w:rPr>
            </w:pPr>
            <w:r>
              <w:rPr>
                <w:rFonts w:hint="eastAsia" w:ascii="宋体" w:hAnsi="宋体" w:eastAsia="宋体" w:cs="宋体"/>
                <w:kern w:val="2"/>
                <w:sz w:val="21"/>
                <w:szCs w:val="21"/>
                <w:highlight w:val="none"/>
                <w:lang w:val="en-US" w:eastAsia="zh-CN"/>
              </w:rPr>
              <w:t>平面布置方案</w:t>
            </w:r>
          </w:p>
        </w:tc>
        <w:tc>
          <w:tcPr>
            <w:tcW w:w="6391" w:type="dxa"/>
            <w:vAlign w:val="center"/>
          </w:tcPr>
          <w:p w14:paraId="681901D0">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平面布置方案（</w:t>
            </w:r>
            <w:r>
              <w:rPr>
                <w:rFonts w:hint="eastAsia" w:ascii="宋体" w:hAnsi="宋体" w:cs="宋体"/>
                <w:kern w:val="2"/>
                <w:sz w:val="21"/>
                <w:szCs w:val="21"/>
                <w:highlight w:val="none"/>
                <w:lang w:val="en-US" w:eastAsia="zh-CN"/>
              </w:rPr>
              <w:t>6</w:t>
            </w:r>
            <w:r>
              <w:rPr>
                <w:rFonts w:hint="eastAsia" w:ascii="宋体" w:hAnsi="宋体" w:eastAsia="宋体" w:cs="宋体"/>
                <w:kern w:val="2"/>
                <w:sz w:val="21"/>
                <w:szCs w:val="21"/>
                <w:highlight w:val="none"/>
                <w:lang w:val="en-US" w:eastAsia="zh-CN"/>
              </w:rPr>
              <w:t>分）：</w:t>
            </w:r>
          </w:p>
          <w:p w14:paraId="3C1B9D41">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根据投标人针对本项目的布置方案（包含但不仅限于清单里面所有功能区的效果图、平面布置图、水位、电点位，通风图设计方案），提供的方案效果新颖度、可实施性、专业性、完整性、美观度等进行综合评议：</w:t>
            </w:r>
          </w:p>
          <w:p w14:paraId="574064C0">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cs="宋体"/>
                <w:kern w:val="2"/>
                <w:sz w:val="21"/>
                <w:szCs w:val="21"/>
                <w:highlight w:val="none"/>
                <w:lang w:val="en-US" w:eastAsia="zh-CN"/>
              </w:rPr>
              <w:t>1.</w:t>
            </w:r>
            <w:r>
              <w:rPr>
                <w:rFonts w:hint="eastAsia" w:ascii="宋体" w:hAnsi="宋体" w:eastAsia="宋体" w:cs="宋体"/>
                <w:kern w:val="2"/>
                <w:sz w:val="21"/>
                <w:szCs w:val="21"/>
                <w:highlight w:val="none"/>
                <w:lang w:val="en-US" w:eastAsia="zh-CN"/>
              </w:rPr>
              <w:t>提供图纸完整及美观、实施性强的得</w:t>
            </w:r>
            <w:r>
              <w:rPr>
                <w:rFonts w:hint="eastAsia" w:ascii="宋体" w:hAnsi="宋体" w:cs="宋体"/>
                <w:kern w:val="2"/>
                <w:sz w:val="21"/>
                <w:szCs w:val="21"/>
                <w:highlight w:val="none"/>
                <w:lang w:val="en-US" w:eastAsia="zh-CN"/>
              </w:rPr>
              <w:t>6</w:t>
            </w:r>
            <w:r>
              <w:rPr>
                <w:rFonts w:hint="eastAsia" w:ascii="宋体" w:hAnsi="宋体" w:eastAsia="宋体" w:cs="宋体"/>
                <w:kern w:val="2"/>
                <w:sz w:val="21"/>
                <w:szCs w:val="21"/>
                <w:highlight w:val="none"/>
                <w:lang w:val="en-US" w:eastAsia="zh-CN"/>
              </w:rPr>
              <w:t>分；</w:t>
            </w:r>
          </w:p>
          <w:p w14:paraId="4A50C142">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cs="宋体"/>
                <w:kern w:val="2"/>
                <w:sz w:val="21"/>
                <w:szCs w:val="21"/>
                <w:highlight w:val="none"/>
                <w:lang w:val="en-US" w:eastAsia="zh-CN"/>
              </w:rPr>
              <w:t>2.</w:t>
            </w:r>
            <w:r>
              <w:rPr>
                <w:rFonts w:hint="eastAsia" w:ascii="宋体" w:hAnsi="宋体" w:eastAsia="宋体" w:cs="宋体"/>
                <w:kern w:val="2"/>
                <w:sz w:val="21"/>
                <w:szCs w:val="21"/>
                <w:highlight w:val="none"/>
                <w:lang w:val="en-US" w:eastAsia="zh-CN"/>
              </w:rPr>
              <w:t>提供部分图纸及美观、实施性一般的得</w:t>
            </w:r>
            <w:r>
              <w:rPr>
                <w:rFonts w:hint="eastAsia" w:ascii="宋体" w:hAnsi="宋体" w:cs="宋体"/>
                <w:kern w:val="2"/>
                <w:sz w:val="21"/>
                <w:szCs w:val="21"/>
                <w:highlight w:val="none"/>
                <w:lang w:val="en-US" w:eastAsia="zh-CN"/>
              </w:rPr>
              <w:t>4</w:t>
            </w:r>
            <w:r>
              <w:rPr>
                <w:rFonts w:hint="eastAsia" w:ascii="宋体" w:hAnsi="宋体" w:eastAsia="宋体" w:cs="宋体"/>
                <w:kern w:val="2"/>
                <w:sz w:val="21"/>
                <w:szCs w:val="21"/>
                <w:highlight w:val="none"/>
                <w:lang w:val="en-US" w:eastAsia="zh-CN"/>
              </w:rPr>
              <w:t>分；</w:t>
            </w:r>
          </w:p>
          <w:p w14:paraId="555E0870">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cs="宋体"/>
                <w:kern w:val="2"/>
                <w:sz w:val="21"/>
                <w:szCs w:val="21"/>
                <w:highlight w:val="none"/>
                <w:lang w:val="en-US" w:eastAsia="zh-CN"/>
              </w:rPr>
              <w:t>3.</w:t>
            </w:r>
            <w:r>
              <w:rPr>
                <w:rFonts w:hint="eastAsia" w:ascii="宋体" w:hAnsi="宋体" w:eastAsia="宋体" w:cs="宋体"/>
                <w:kern w:val="2"/>
                <w:sz w:val="21"/>
                <w:szCs w:val="21"/>
                <w:highlight w:val="none"/>
                <w:lang w:val="en-US" w:eastAsia="zh-CN"/>
              </w:rPr>
              <w:t>提供较少图纸及美观、实施性差的得</w:t>
            </w:r>
            <w:r>
              <w:rPr>
                <w:rFonts w:hint="eastAsia" w:ascii="宋体" w:hAnsi="宋体" w:cs="宋体"/>
                <w:kern w:val="2"/>
                <w:sz w:val="21"/>
                <w:szCs w:val="21"/>
                <w:highlight w:val="none"/>
                <w:lang w:val="en-US" w:eastAsia="zh-CN"/>
              </w:rPr>
              <w:t>2</w:t>
            </w:r>
            <w:r>
              <w:rPr>
                <w:rFonts w:hint="eastAsia" w:ascii="宋体" w:hAnsi="宋体" w:eastAsia="宋体" w:cs="宋体"/>
                <w:kern w:val="2"/>
                <w:sz w:val="21"/>
                <w:szCs w:val="21"/>
                <w:highlight w:val="none"/>
                <w:lang w:val="en-US" w:eastAsia="zh-CN"/>
              </w:rPr>
              <w:t>分；</w:t>
            </w:r>
          </w:p>
          <w:p w14:paraId="130D7229">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Cs/>
                <w:kern w:val="2"/>
                <w:sz w:val="21"/>
                <w:szCs w:val="21"/>
                <w:highlight w:val="none"/>
                <w:lang w:val="ru-RU" w:eastAsia="zh-CN"/>
              </w:rPr>
            </w:pPr>
            <w:r>
              <w:rPr>
                <w:rFonts w:hint="eastAsia" w:ascii="宋体" w:hAnsi="宋体" w:cs="宋体"/>
                <w:kern w:val="2"/>
                <w:sz w:val="21"/>
                <w:szCs w:val="21"/>
                <w:highlight w:val="none"/>
                <w:lang w:val="en-US" w:eastAsia="zh-CN"/>
              </w:rPr>
              <w:t>4.</w:t>
            </w:r>
            <w:r>
              <w:rPr>
                <w:rFonts w:hint="eastAsia" w:ascii="宋体" w:hAnsi="宋体" w:eastAsia="宋体" w:cs="宋体"/>
                <w:kern w:val="2"/>
                <w:sz w:val="21"/>
                <w:szCs w:val="21"/>
                <w:highlight w:val="none"/>
                <w:lang w:val="en-US" w:eastAsia="zh-CN"/>
              </w:rPr>
              <w:t>无方案不得分。</w:t>
            </w:r>
          </w:p>
        </w:tc>
        <w:tc>
          <w:tcPr>
            <w:tcW w:w="645" w:type="dxa"/>
            <w:vAlign w:val="center"/>
          </w:tcPr>
          <w:p w14:paraId="2A9BF71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2"/>
                <w:sz w:val="21"/>
                <w:szCs w:val="21"/>
                <w:highlight w:val="none"/>
                <w:lang w:val="ru-RU" w:eastAsia="zh-CN" w:bidi="ar-SA"/>
              </w:rPr>
            </w:pPr>
            <w:r>
              <w:rPr>
                <w:rFonts w:hint="eastAsia" w:ascii="宋体" w:hAnsi="宋体" w:cs="宋体"/>
                <w:bCs/>
                <w:kern w:val="2"/>
                <w:sz w:val="21"/>
                <w:szCs w:val="21"/>
                <w:highlight w:val="none"/>
                <w:lang w:val="en-US" w:eastAsia="zh-CN"/>
              </w:rPr>
              <w:t>6</w:t>
            </w:r>
          </w:p>
        </w:tc>
        <w:tc>
          <w:tcPr>
            <w:tcW w:w="723" w:type="dxa"/>
            <w:vAlign w:val="center"/>
          </w:tcPr>
          <w:p w14:paraId="22E319A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highlight w:val="none"/>
                <w:lang w:val="ru-RU" w:eastAsia="zh-CN" w:bidi="ar-SA"/>
              </w:rPr>
            </w:pPr>
            <w:r>
              <w:rPr>
                <w:rFonts w:hint="eastAsia" w:ascii="宋体" w:hAnsi="宋体" w:cs="宋体"/>
                <w:kern w:val="2"/>
                <w:sz w:val="21"/>
                <w:szCs w:val="21"/>
                <w:highlight w:val="none"/>
                <w:lang w:val="en-US" w:eastAsia="zh-CN"/>
              </w:rPr>
              <w:t>主</w:t>
            </w:r>
            <w:r>
              <w:rPr>
                <w:rFonts w:hint="eastAsia" w:ascii="宋体" w:hAnsi="宋体" w:eastAsia="宋体" w:cs="宋体"/>
                <w:kern w:val="2"/>
                <w:sz w:val="21"/>
                <w:szCs w:val="21"/>
                <w:highlight w:val="none"/>
                <w:lang w:val="en-US" w:eastAsia="zh-CN"/>
              </w:rPr>
              <w:t>观分</w:t>
            </w:r>
          </w:p>
        </w:tc>
      </w:tr>
      <w:tr w14:paraId="638AD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1" w:type="dxa"/>
            <w:vMerge w:val="continue"/>
            <w:vAlign w:val="center"/>
          </w:tcPr>
          <w:p w14:paraId="6D23BDF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eastAsia="宋体" w:cs="宋体"/>
                <w:color w:val="000000"/>
                <w:sz w:val="21"/>
                <w:szCs w:val="21"/>
                <w:highlight w:val="none"/>
                <w:lang w:eastAsia="zh-CN"/>
              </w:rPr>
            </w:pPr>
          </w:p>
        </w:tc>
        <w:tc>
          <w:tcPr>
            <w:tcW w:w="658" w:type="dxa"/>
            <w:vMerge w:val="restart"/>
            <w:shd w:val="clear" w:color="auto" w:fill="auto"/>
            <w:vAlign w:val="center"/>
          </w:tcPr>
          <w:p w14:paraId="2A4B35E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sz w:val="22"/>
                <w:szCs w:val="22"/>
                <w:highlight w:val="none"/>
                <w:lang w:eastAsia="zh-CN"/>
              </w:rPr>
            </w:pPr>
            <w:r>
              <w:rPr>
                <w:rFonts w:hint="eastAsia" w:ascii="宋体" w:hAnsi="宋体" w:eastAsia="宋体" w:cs="宋体"/>
                <w:bCs/>
                <w:kern w:val="2"/>
                <w:sz w:val="21"/>
                <w:szCs w:val="21"/>
                <w:highlight w:val="none"/>
                <w:lang w:val="ru-RU" w:eastAsia="zh-CN"/>
              </w:rPr>
              <w:t>产品的工艺设计能力</w:t>
            </w:r>
          </w:p>
        </w:tc>
        <w:tc>
          <w:tcPr>
            <w:tcW w:w="6391" w:type="dxa"/>
            <w:shd w:val="clear" w:color="auto" w:fill="auto"/>
            <w:vAlign w:val="center"/>
          </w:tcPr>
          <w:p w14:paraId="1FCF7402">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b w:val="0"/>
                <w:bCs/>
                <w:color w:val="auto"/>
                <w:kern w:val="2"/>
                <w:sz w:val="21"/>
                <w:szCs w:val="21"/>
                <w:highlight w:val="none"/>
                <w:lang w:val="ru-RU" w:eastAsia="zh-CN"/>
              </w:rPr>
              <w:t>实验桌（</w:t>
            </w:r>
            <w:r>
              <w:rPr>
                <w:rFonts w:hint="eastAsia" w:ascii="宋体" w:hAnsi="宋体" w:eastAsia="宋体" w:cs="宋体"/>
                <w:b w:val="0"/>
                <w:bCs/>
                <w:color w:val="auto"/>
                <w:kern w:val="2"/>
                <w:sz w:val="21"/>
                <w:szCs w:val="21"/>
                <w:highlight w:val="none"/>
                <w:lang w:val="en-US" w:eastAsia="zh-CN"/>
              </w:rPr>
              <w:t>2分）</w:t>
            </w:r>
            <w:r>
              <w:rPr>
                <w:rFonts w:hint="eastAsia" w:ascii="宋体" w:hAnsi="宋体" w:eastAsia="宋体" w:cs="宋体"/>
                <w:bCs/>
                <w:kern w:val="2"/>
                <w:sz w:val="21"/>
                <w:szCs w:val="21"/>
                <w:highlight w:val="none"/>
                <w:lang w:val="en-US" w:eastAsia="zh-CN"/>
              </w:rPr>
              <w:t>：</w:t>
            </w:r>
            <w:r>
              <w:rPr>
                <w:rFonts w:hint="eastAsia" w:ascii="宋体" w:hAnsi="宋体" w:eastAsia="宋体" w:cs="宋体"/>
                <w:kern w:val="2"/>
                <w:sz w:val="21"/>
                <w:szCs w:val="21"/>
                <w:highlight w:val="none"/>
                <w:lang w:val="ru-RU" w:eastAsia="zh-CN"/>
              </w:rPr>
              <w:t>产品设计完善、结构稳定，图纸清晰，</w:t>
            </w:r>
            <w:r>
              <w:rPr>
                <w:rFonts w:hint="eastAsia" w:ascii="宋体" w:hAnsi="宋体" w:eastAsia="宋体" w:cs="宋体"/>
                <w:kern w:val="2"/>
                <w:sz w:val="21"/>
                <w:szCs w:val="21"/>
                <w:highlight w:val="none"/>
                <w:lang w:val="en-US" w:eastAsia="zh-CN"/>
              </w:rPr>
              <w:t>每满足1项得1分，不满足不得分</w:t>
            </w:r>
          </w:p>
          <w:p w14:paraId="22691918">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ru-RU" w:eastAsia="zh-CN"/>
              </w:rPr>
            </w:pPr>
            <w:r>
              <w:rPr>
                <w:rFonts w:hint="eastAsia" w:ascii="宋体" w:hAnsi="宋体" w:cs="宋体"/>
                <w:kern w:val="2"/>
                <w:sz w:val="21"/>
                <w:szCs w:val="21"/>
                <w:highlight w:val="none"/>
                <w:lang w:val="en-US" w:eastAsia="zh-CN"/>
              </w:rPr>
              <w:t>1.</w:t>
            </w:r>
            <w:r>
              <w:rPr>
                <w:rFonts w:hint="eastAsia" w:ascii="宋体" w:hAnsi="宋体" w:eastAsia="宋体" w:cs="宋体"/>
                <w:kern w:val="2"/>
                <w:sz w:val="21"/>
                <w:szCs w:val="21"/>
                <w:highlight w:val="none"/>
                <w:lang w:val="ru-RU" w:eastAsia="zh-CN"/>
              </w:rPr>
              <w:t>实验桌的产品结构三视图；</w:t>
            </w:r>
          </w:p>
          <w:p w14:paraId="56098CF4">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 w:val="0"/>
                <w:bCs w:val="0"/>
                <w:color w:val="auto"/>
                <w:kern w:val="2"/>
                <w:sz w:val="21"/>
                <w:szCs w:val="21"/>
                <w:highlight w:val="none"/>
                <w:lang w:val="ru-RU" w:eastAsia="zh-CN" w:bidi="ar-SA"/>
              </w:rPr>
            </w:pPr>
            <w:r>
              <w:rPr>
                <w:rFonts w:hint="eastAsia" w:ascii="宋体" w:hAnsi="宋体" w:cs="宋体"/>
                <w:kern w:val="2"/>
                <w:sz w:val="21"/>
                <w:szCs w:val="21"/>
                <w:highlight w:val="none"/>
                <w:lang w:val="en-US" w:eastAsia="zh-CN"/>
              </w:rPr>
              <w:t>2.</w:t>
            </w:r>
            <w:r>
              <w:rPr>
                <w:rFonts w:hint="eastAsia" w:ascii="宋体" w:hAnsi="宋体" w:eastAsia="宋体" w:cs="宋体"/>
                <w:kern w:val="2"/>
                <w:sz w:val="21"/>
                <w:szCs w:val="21"/>
                <w:highlight w:val="none"/>
                <w:lang w:val="ru-RU" w:eastAsia="zh-CN"/>
              </w:rPr>
              <w:t>实验桌</w:t>
            </w:r>
            <w:r>
              <w:rPr>
                <w:rFonts w:hint="eastAsia" w:ascii="宋体" w:hAnsi="宋体" w:eastAsia="宋体" w:cs="宋体"/>
                <w:kern w:val="2"/>
                <w:sz w:val="21"/>
                <w:szCs w:val="21"/>
                <w:highlight w:val="none"/>
                <w:lang w:val="en-US" w:eastAsia="zh-CN"/>
              </w:rPr>
              <w:t>的</w:t>
            </w:r>
            <w:r>
              <w:rPr>
                <w:rFonts w:hint="eastAsia" w:ascii="宋体" w:hAnsi="宋体" w:eastAsia="宋体" w:cs="宋体"/>
                <w:kern w:val="2"/>
                <w:sz w:val="21"/>
                <w:szCs w:val="21"/>
                <w:highlight w:val="none"/>
                <w:lang w:val="ru-RU" w:eastAsia="zh-CN"/>
              </w:rPr>
              <w:t>部件图；</w:t>
            </w:r>
          </w:p>
        </w:tc>
        <w:tc>
          <w:tcPr>
            <w:tcW w:w="645" w:type="dxa"/>
            <w:vAlign w:val="center"/>
          </w:tcPr>
          <w:p w14:paraId="451CB2B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color w:val="auto"/>
                <w:sz w:val="21"/>
                <w:szCs w:val="21"/>
                <w:highlight w:val="none"/>
                <w:lang w:val="ru-RU" w:eastAsia="zh-CN" w:bidi="ar-SA"/>
              </w:rPr>
            </w:pPr>
            <w:r>
              <w:rPr>
                <w:rFonts w:hint="eastAsia" w:ascii="宋体" w:hAnsi="宋体" w:eastAsia="宋体" w:cs="宋体"/>
                <w:b w:val="0"/>
                <w:bCs w:val="0"/>
                <w:color w:val="auto"/>
                <w:sz w:val="21"/>
                <w:szCs w:val="21"/>
                <w:highlight w:val="none"/>
                <w:lang w:val="en-US" w:eastAsia="zh-CN"/>
              </w:rPr>
              <w:t>2</w:t>
            </w:r>
          </w:p>
        </w:tc>
        <w:tc>
          <w:tcPr>
            <w:tcW w:w="723" w:type="dxa"/>
            <w:vAlign w:val="center"/>
          </w:tcPr>
          <w:p w14:paraId="4E30D41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宋体"/>
                <w:bCs/>
                <w:kern w:val="2"/>
                <w:sz w:val="21"/>
                <w:szCs w:val="21"/>
                <w:highlight w:val="none"/>
                <w:lang w:val="en-US" w:eastAsia="zh-CN"/>
              </w:rPr>
            </w:pPr>
            <w:r>
              <w:rPr>
                <w:rFonts w:hint="eastAsia" w:ascii="宋体" w:hAnsi="宋体" w:cs="宋体"/>
                <w:bCs/>
                <w:kern w:val="2"/>
                <w:sz w:val="21"/>
                <w:szCs w:val="21"/>
                <w:highlight w:val="none"/>
                <w:lang w:val="en-US" w:eastAsia="zh-CN"/>
              </w:rPr>
              <w:t>主观分</w:t>
            </w:r>
          </w:p>
        </w:tc>
      </w:tr>
      <w:tr w14:paraId="425C8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1" w:type="dxa"/>
            <w:vMerge w:val="continue"/>
            <w:vAlign w:val="center"/>
          </w:tcPr>
          <w:p w14:paraId="1D4266E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eastAsia="宋体" w:cs="宋体"/>
                <w:color w:val="000000"/>
                <w:sz w:val="21"/>
                <w:szCs w:val="21"/>
                <w:highlight w:val="none"/>
                <w:lang w:eastAsia="zh-CN"/>
              </w:rPr>
            </w:pPr>
          </w:p>
        </w:tc>
        <w:tc>
          <w:tcPr>
            <w:tcW w:w="658" w:type="dxa"/>
            <w:vMerge w:val="continue"/>
            <w:shd w:val="clear" w:color="auto" w:fill="auto"/>
            <w:vAlign w:val="center"/>
          </w:tcPr>
          <w:p w14:paraId="2756369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2"/>
                <w:sz w:val="21"/>
                <w:szCs w:val="21"/>
                <w:highlight w:val="none"/>
                <w:lang w:val="ru-RU" w:eastAsia="zh-CN"/>
              </w:rPr>
            </w:pPr>
          </w:p>
        </w:tc>
        <w:tc>
          <w:tcPr>
            <w:tcW w:w="6391" w:type="dxa"/>
            <w:shd w:val="clear" w:color="auto" w:fill="auto"/>
            <w:vAlign w:val="center"/>
          </w:tcPr>
          <w:p w14:paraId="6F58AE28">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bCs/>
                <w:kern w:val="2"/>
                <w:sz w:val="21"/>
                <w:szCs w:val="21"/>
                <w:highlight w:val="none"/>
                <w:lang w:val="en-US" w:eastAsia="zh-CN"/>
              </w:rPr>
              <w:t>实验</w:t>
            </w:r>
            <w:r>
              <w:rPr>
                <w:rFonts w:hint="eastAsia" w:ascii="宋体" w:hAnsi="宋体" w:eastAsia="宋体" w:cs="宋体"/>
                <w:bCs/>
                <w:kern w:val="2"/>
                <w:sz w:val="21"/>
                <w:szCs w:val="21"/>
                <w:highlight w:val="none"/>
                <w:lang w:val="ru-RU" w:eastAsia="zh-CN"/>
              </w:rPr>
              <w:t>凳（</w:t>
            </w:r>
            <w:r>
              <w:rPr>
                <w:rFonts w:hint="eastAsia" w:ascii="宋体" w:hAnsi="宋体" w:eastAsia="宋体" w:cs="宋体"/>
                <w:bCs/>
                <w:kern w:val="2"/>
                <w:sz w:val="21"/>
                <w:szCs w:val="21"/>
                <w:highlight w:val="none"/>
                <w:lang w:val="en-US" w:eastAsia="zh-CN"/>
              </w:rPr>
              <w:t>2分）：</w:t>
            </w:r>
            <w:r>
              <w:rPr>
                <w:rFonts w:hint="eastAsia" w:ascii="宋体" w:hAnsi="宋体" w:eastAsia="宋体" w:cs="宋体"/>
                <w:kern w:val="2"/>
                <w:sz w:val="21"/>
                <w:szCs w:val="21"/>
                <w:highlight w:val="none"/>
                <w:lang w:val="ru-RU" w:eastAsia="zh-CN"/>
              </w:rPr>
              <w:t>产品设计完善、结构稳定，图纸清晰，</w:t>
            </w:r>
            <w:r>
              <w:rPr>
                <w:rFonts w:hint="eastAsia" w:ascii="宋体" w:hAnsi="宋体" w:eastAsia="宋体" w:cs="宋体"/>
                <w:kern w:val="2"/>
                <w:sz w:val="21"/>
                <w:szCs w:val="21"/>
                <w:highlight w:val="none"/>
                <w:lang w:val="en-US" w:eastAsia="zh-CN"/>
              </w:rPr>
              <w:t>每满足1项得1分，不满足不得分</w:t>
            </w:r>
          </w:p>
          <w:p w14:paraId="189F4BD0">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ru-RU" w:eastAsia="zh-CN"/>
              </w:rPr>
            </w:pPr>
            <w:r>
              <w:rPr>
                <w:rFonts w:hint="eastAsia" w:ascii="宋体" w:hAnsi="宋体" w:cs="宋体"/>
                <w:kern w:val="2"/>
                <w:sz w:val="21"/>
                <w:szCs w:val="21"/>
                <w:highlight w:val="none"/>
                <w:lang w:val="en-US" w:eastAsia="zh-CN"/>
              </w:rPr>
              <w:t>1.</w:t>
            </w:r>
            <w:r>
              <w:rPr>
                <w:rFonts w:hint="eastAsia" w:ascii="宋体" w:hAnsi="宋体" w:eastAsia="宋体" w:cs="宋体"/>
                <w:kern w:val="2"/>
                <w:sz w:val="21"/>
                <w:szCs w:val="21"/>
                <w:highlight w:val="none"/>
                <w:lang w:val="ru-RU" w:eastAsia="zh-CN"/>
              </w:rPr>
              <w:t>实验</w:t>
            </w:r>
            <w:r>
              <w:rPr>
                <w:rFonts w:hint="eastAsia" w:ascii="宋体" w:hAnsi="宋体" w:cs="宋体"/>
                <w:kern w:val="2"/>
                <w:sz w:val="21"/>
                <w:szCs w:val="21"/>
                <w:highlight w:val="none"/>
                <w:lang w:val="en-US" w:eastAsia="zh-CN"/>
              </w:rPr>
              <w:t>凳</w:t>
            </w:r>
            <w:r>
              <w:rPr>
                <w:rFonts w:hint="eastAsia" w:ascii="宋体" w:hAnsi="宋体" w:eastAsia="宋体" w:cs="宋体"/>
                <w:kern w:val="2"/>
                <w:sz w:val="21"/>
                <w:szCs w:val="21"/>
                <w:highlight w:val="none"/>
                <w:lang w:val="ru-RU" w:eastAsia="zh-CN"/>
              </w:rPr>
              <w:t>的产品结构三视图；</w:t>
            </w:r>
          </w:p>
          <w:p w14:paraId="77EDA61F">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宋体" w:hAnsi="宋体" w:eastAsia="宋体" w:cs="宋体"/>
                <w:bCs/>
                <w:kern w:val="2"/>
                <w:sz w:val="21"/>
                <w:szCs w:val="21"/>
                <w:highlight w:val="none"/>
                <w:lang w:val="en-US" w:eastAsia="zh-CN" w:bidi="ar-SA"/>
              </w:rPr>
            </w:pPr>
            <w:r>
              <w:rPr>
                <w:rFonts w:hint="eastAsia" w:ascii="宋体" w:hAnsi="宋体" w:cs="宋体"/>
                <w:kern w:val="2"/>
                <w:sz w:val="21"/>
                <w:szCs w:val="21"/>
                <w:highlight w:val="none"/>
                <w:lang w:val="en-US" w:eastAsia="zh-CN"/>
              </w:rPr>
              <w:t>2.</w:t>
            </w:r>
            <w:r>
              <w:rPr>
                <w:rFonts w:hint="eastAsia" w:ascii="宋体" w:hAnsi="宋体" w:eastAsia="宋体" w:cs="宋体"/>
                <w:kern w:val="2"/>
                <w:sz w:val="21"/>
                <w:szCs w:val="21"/>
                <w:highlight w:val="none"/>
                <w:lang w:val="ru-RU" w:eastAsia="zh-CN"/>
              </w:rPr>
              <w:t>实验</w:t>
            </w:r>
            <w:r>
              <w:rPr>
                <w:rFonts w:hint="eastAsia" w:ascii="宋体" w:hAnsi="宋体" w:cs="宋体"/>
                <w:kern w:val="2"/>
                <w:sz w:val="21"/>
                <w:szCs w:val="21"/>
                <w:highlight w:val="none"/>
                <w:lang w:val="en-US" w:eastAsia="zh-CN"/>
              </w:rPr>
              <w:t>凳</w:t>
            </w:r>
            <w:r>
              <w:rPr>
                <w:rFonts w:hint="eastAsia" w:ascii="宋体" w:hAnsi="宋体" w:eastAsia="宋体" w:cs="宋体"/>
                <w:kern w:val="2"/>
                <w:sz w:val="21"/>
                <w:szCs w:val="21"/>
                <w:highlight w:val="none"/>
                <w:lang w:val="en-US" w:eastAsia="zh-CN"/>
              </w:rPr>
              <w:t>的</w:t>
            </w:r>
            <w:r>
              <w:rPr>
                <w:rFonts w:hint="eastAsia" w:ascii="宋体" w:hAnsi="宋体" w:eastAsia="宋体" w:cs="宋体"/>
                <w:kern w:val="2"/>
                <w:sz w:val="21"/>
                <w:szCs w:val="21"/>
                <w:highlight w:val="none"/>
                <w:lang w:val="ru-RU" w:eastAsia="zh-CN"/>
              </w:rPr>
              <w:t>部件图；</w:t>
            </w:r>
          </w:p>
        </w:tc>
        <w:tc>
          <w:tcPr>
            <w:tcW w:w="645" w:type="dxa"/>
            <w:vAlign w:val="center"/>
          </w:tcPr>
          <w:p w14:paraId="075E228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723" w:type="dxa"/>
            <w:vAlign w:val="center"/>
          </w:tcPr>
          <w:p w14:paraId="103ADE6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2"/>
                <w:sz w:val="21"/>
                <w:szCs w:val="21"/>
                <w:highlight w:val="none"/>
                <w:lang w:val="ru-RU" w:eastAsia="zh-CN" w:bidi="ar-SA"/>
              </w:rPr>
            </w:pPr>
            <w:r>
              <w:rPr>
                <w:rFonts w:hint="eastAsia" w:ascii="宋体" w:hAnsi="宋体" w:cs="宋体"/>
                <w:bCs/>
                <w:kern w:val="2"/>
                <w:sz w:val="21"/>
                <w:szCs w:val="21"/>
                <w:highlight w:val="none"/>
                <w:lang w:val="en-US" w:eastAsia="zh-CN"/>
              </w:rPr>
              <w:t>主观分</w:t>
            </w:r>
          </w:p>
        </w:tc>
      </w:tr>
      <w:tr w14:paraId="10EB6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1" w:type="dxa"/>
            <w:vMerge w:val="continue"/>
            <w:vAlign w:val="center"/>
          </w:tcPr>
          <w:p w14:paraId="0225DFB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eastAsia="宋体" w:cs="宋体"/>
                <w:color w:val="000000"/>
                <w:sz w:val="21"/>
                <w:szCs w:val="21"/>
                <w:highlight w:val="none"/>
                <w:lang w:eastAsia="zh-CN"/>
              </w:rPr>
            </w:pPr>
          </w:p>
        </w:tc>
        <w:tc>
          <w:tcPr>
            <w:tcW w:w="658" w:type="dxa"/>
            <w:shd w:val="clear" w:color="auto" w:fill="auto"/>
            <w:vAlign w:val="center"/>
          </w:tcPr>
          <w:p w14:paraId="1CED02D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2"/>
                <w:sz w:val="21"/>
                <w:szCs w:val="21"/>
                <w:highlight w:val="none"/>
                <w:lang w:val="ru-RU" w:eastAsia="zh-CN"/>
              </w:rPr>
            </w:pPr>
            <w:r>
              <w:rPr>
                <w:rFonts w:hint="eastAsia" w:ascii="宋体" w:hAnsi="宋体" w:eastAsia="宋体" w:cs="宋体"/>
                <w:bCs/>
                <w:kern w:val="2"/>
                <w:sz w:val="21"/>
                <w:szCs w:val="21"/>
                <w:highlight w:val="none"/>
                <w:lang w:val="en-US" w:eastAsia="zh-CN"/>
              </w:rPr>
              <w:t>样品</w:t>
            </w:r>
          </w:p>
        </w:tc>
        <w:tc>
          <w:tcPr>
            <w:tcW w:w="6391" w:type="dxa"/>
            <w:shd w:val="clear" w:color="auto" w:fill="auto"/>
            <w:vAlign w:val="center"/>
          </w:tcPr>
          <w:p w14:paraId="741C661C">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评委</w:t>
            </w:r>
            <w:r>
              <w:rPr>
                <w:rFonts w:hint="eastAsia" w:ascii="宋体" w:hAnsi="宋体" w:cs="宋体"/>
                <w:kern w:val="2"/>
                <w:sz w:val="21"/>
                <w:szCs w:val="21"/>
                <w:highlight w:val="none"/>
                <w:lang w:val="en-US" w:eastAsia="zh-CN"/>
              </w:rPr>
              <w:t>对</w:t>
            </w:r>
            <w:r>
              <w:rPr>
                <w:rFonts w:hint="eastAsia" w:ascii="宋体" w:hAnsi="宋体" w:eastAsia="宋体" w:cs="宋体"/>
                <w:kern w:val="2"/>
                <w:sz w:val="21"/>
                <w:szCs w:val="21"/>
                <w:highlight w:val="none"/>
                <w:lang w:val="en-US" w:eastAsia="zh-CN"/>
              </w:rPr>
              <w:t>投标样品从产品质量、教学功能、外观结构、材料档次、做工水平、安全性、耐用性等方面进行综合评价（</w:t>
            </w:r>
            <w:r>
              <w:rPr>
                <w:rFonts w:hint="eastAsia" w:ascii="宋体" w:hAnsi="宋体" w:cs="宋体"/>
                <w:kern w:val="2"/>
                <w:sz w:val="21"/>
                <w:szCs w:val="21"/>
                <w:highlight w:val="none"/>
                <w:lang w:val="en-US" w:eastAsia="zh-CN"/>
              </w:rPr>
              <w:t>5</w:t>
            </w:r>
            <w:r>
              <w:rPr>
                <w:rFonts w:hint="eastAsia" w:ascii="宋体" w:hAnsi="宋体" w:eastAsia="宋体" w:cs="宋体"/>
                <w:kern w:val="2"/>
                <w:sz w:val="21"/>
                <w:szCs w:val="21"/>
                <w:highlight w:val="none"/>
                <w:lang w:val="en-US" w:eastAsia="zh-CN"/>
              </w:rPr>
              <w:t>分）</w:t>
            </w:r>
            <w:r>
              <w:rPr>
                <w:rFonts w:hint="eastAsia" w:ascii="宋体" w:hAnsi="宋体" w:cs="宋体"/>
                <w:kern w:val="2"/>
                <w:sz w:val="21"/>
                <w:szCs w:val="21"/>
                <w:highlight w:val="none"/>
                <w:lang w:val="en-US" w:eastAsia="zh-CN"/>
              </w:rPr>
              <w:t>：</w:t>
            </w:r>
          </w:p>
          <w:p w14:paraId="2C5F847C">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cs="宋体"/>
                <w:kern w:val="2"/>
                <w:sz w:val="21"/>
                <w:szCs w:val="21"/>
                <w:highlight w:val="none"/>
                <w:lang w:val="en-US" w:eastAsia="zh-CN"/>
              </w:rPr>
              <w:t>1.</w:t>
            </w:r>
            <w:r>
              <w:rPr>
                <w:rFonts w:hint="eastAsia" w:ascii="宋体" w:hAnsi="宋体" w:eastAsia="宋体" w:cs="宋体"/>
                <w:kern w:val="2"/>
                <w:sz w:val="21"/>
                <w:szCs w:val="21"/>
                <w:highlight w:val="none"/>
                <w:lang w:val="en-US" w:eastAsia="zh-CN"/>
              </w:rPr>
              <w:t>样品工艺制作精良，设计科学，样式美观，使用效果优良、大方、安全实用</w:t>
            </w:r>
            <w:r>
              <w:rPr>
                <w:rFonts w:hint="eastAsia" w:ascii="宋体" w:hAnsi="宋体" w:cs="宋体"/>
                <w:kern w:val="2"/>
                <w:sz w:val="21"/>
                <w:szCs w:val="21"/>
                <w:highlight w:val="none"/>
                <w:lang w:val="en-US" w:eastAsia="zh-CN"/>
              </w:rPr>
              <w:t>的得5分</w:t>
            </w:r>
            <w:r>
              <w:rPr>
                <w:rFonts w:hint="eastAsia" w:ascii="宋体" w:hAnsi="宋体" w:eastAsia="宋体" w:cs="宋体"/>
                <w:kern w:val="2"/>
                <w:sz w:val="21"/>
                <w:szCs w:val="21"/>
                <w:highlight w:val="none"/>
                <w:lang w:val="en-US" w:eastAsia="zh-CN"/>
              </w:rPr>
              <w:t>；</w:t>
            </w:r>
          </w:p>
          <w:p w14:paraId="16E4985A">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cs="宋体"/>
                <w:kern w:val="2"/>
                <w:sz w:val="21"/>
                <w:szCs w:val="21"/>
                <w:highlight w:val="none"/>
                <w:lang w:val="en-US" w:eastAsia="zh-CN"/>
              </w:rPr>
              <w:t>2.</w:t>
            </w:r>
            <w:r>
              <w:rPr>
                <w:rFonts w:hint="eastAsia" w:ascii="宋体" w:hAnsi="宋体" w:eastAsia="宋体" w:cs="宋体"/>
                <w:kern w:val="2"/>
                <w:sz w:val="21"/>
                <w:szCs w:val="21"/>
                <w:highlight w:val="none"/>
                <w:lang w:val="en-US" w:eastAsia="zh-CN"/>
              </w:rPr>
              <w:t>样品工艺制作良好，设计较科学，样式较好，使用效果较好、整个效果安全实用</w:t>
            </w:r>
            <w:r>
              <w:rPr>
                <w:rFonts w:hint="eastAsia" w:ascii="宋体" w:hAnsi="宋体" w:cs="宋体"/>
                <w:kern w:val="2"/>
                <w:sz w:val="21"/>
                <w:szCs w:val="21"/>
                <w:highlight w:val="none"/>
                <w:lang w:val="en-US" w:eastAsia="zh-CN"/>
              </w:rPr>
              <w:t>的得3</w:t>
            </w:r>
            <w:r>
              <w:rPr>
                <w:rFonts w:hint="eastAsia" w:ascii="宋体" w:hAnsi="宋体" w:eastAsia="宋体" w:cs="宋体"/>
                <w:kern w:val="2"/>
                <w:sz w:val="21"/>
                <w:szCs w:val="21"/>
                <w:highlight w:val="none"/>
                <w:lang w:val="en-US" w:eastAsia="zh-CN"/>
              </w:rPr>
              <w:t>；</w:t>
            </w:r>
          </w:p>
          <w:p w14:paraId="543D6249">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rPr>
              <w:t>3.</w:t>
            </w:r>
            <w:r>
              <w:rPr>
                <w:rFonts w:hint="eastAsia" w:ascii="宋体" w:hAnsi="宋体" w:eastAsia="宋体" w:cs="宋体"/>
                <w:kern w:val="2"/>
                <w:sz w:val="21"/>
                <w:szCs w:val="21"/>
                <w:highlight w:val="none"/>
                <w:lang w:val="en-US" w:eastAsia="zh-CN"/>
              </w:rPr>
              <w:t>样品工艺制作一般，设计基本符合要求，样式一般，使用效果一般</w:t>
            </w:r>
            <w:r>
              <w:rPr>
                <w:rFonts w:hint="eastAsia" w:ascii="宋体" w:hAnsi="宋体" w:cs="宋体"/>
                <w:kern w:val="2"/>
                <w:sz w:val="21"/>
                <w:szCs w:val="21"/>
                <w:highlight w:val="none"/>
                <w:lang w:val="en-US" w:eastAsia="zh-CN"/>
              </w:rPr>
              <w:t>的得1分。</w:t>
            </w:r>
          </w:p>
        </w:tc>
        <w:tc>
          <w:tcPr>
            <w:tcW w:w="645" w:type="dxa"/>
            <w:vAlign w:val="center"/>
          </w:tcPr>
          <w:p w14:paraId="4F7CE8A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5</w:t>
            </w:r>
          </w:p>
        </w:tc>
        <w:tc>
          <w:tcPr>
            <w:tcW w:w="723" w:type="dxa"/>
            <w:shd w:val="clear" w:color="auto" w:fill="auto"/>
            <w:vAlign w:val="center"/>
          </w:tcPr>
          <w:p w14:paraId="746F036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cs="宋体"/>
                <w:bCs/>
                <w:kern w:val="2"/>
                <w:sz w:val="21"/>
                <w:szCs w:val="21"/>
                <w:highlight w:val="none"/>
                <w:lang w:val="en-US" w:eastAsia="zh-CN"/>
              </w:rPr>
              <w:t>主观分</w:t>
            </w:r>
          </w:p>
        </w:tc>
      </w:tr>
      <w:tr w14:paraId="58142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701" w:type="dxa"/>
            <w:vMerge w:val="continue"/>
            <w:vAlign w:val="center"/>
          </w:tcPr>
          <w:p w14:paraId="13E4966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eastAsia="宋体" w:cs="宋体"/>
                <w:color w:val="000000"/>
                <w:sz w:val="21"/>
                <w:szCs w:val="21"/>
                <w:highlight w:val="none"/>
                <w:lang w:eastAsia="zh-CN"/>
              </w:rPr>
            </w:pPr>
          </w:p>
        </w:tc>
        <w:tc>
          <w:tcPr>
            <w:tcW w:w="658" w:type="dxa"/>
            <w:shd w:val="clear" w:color="auto" w:fill="auto"/>
            <w:vAlign w:val="center"/>
          </w:tcPr>
          <w:p w14:paraId="66066066">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产品演示</w:t>
            </w:r>
          </w:p>
        </w:tc>
        <w:tc>
          <w:tcPr>
            <w:tcW w:w="6391" w:type="dxa"/>
            <w:vAlign w:val="center"/>
          </w:tcPr>
          <w:p w14:paraId="18DE7CB6">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Cs/>
                <w:kern w:val="2"/>
                <w:sz w:val="21"/>
                <w:szCs w:val="21"/>
                <w:highlight w:val="none"/>
                <w:lang w:val="ru-RU" w:eastAsia="zh-CN"/>
              </w:rPr>
            </w:pPr>
            <w:r>
              <w:rPr>
                <w:rFonts w:hint="eastAsia" w:ascii="宋体" w:hAnsi="宋体" w:eastAsia="宋体" w:cs="宋体"/>
                <w:bCs/>
                <w:kern w:val="2"/>
                <w:sz w:val="21"/>
                <w:szCs w:val="21"/>
                <w:highlight w:val="none"/>
                <w:lang w:val="ru-RU" w:eastAsia="zh-CN"/>
              </w:rPr>
              <w:t>视频演示要求(共</w:t>
            </w:r>
            <w:r>
              <w:rPr>
                <w:rFonts w:hint="eastAsia" w:ascii="宋体" w:hAnsi="宋体" w:eastAsia="宋体" w:cs="宋体"/>
                <w:bCs/>
                <w:kern w:val="2"/>
                <w:sz w:val="21"/>
                <w:szCs w:val="21"/>
                <w:highlight w:val="none"/>
                <w:lang w:val="en-US" w:eastAsia="zh-CN"/>
              </w:rPr>
              <w:t>10</w:t>
            </w:r>
            <w:r>
              <w:rPr>
                <w:rFonts w:hint="eastAsia" w:ascii="宋体" w:hAnsi="宋体" w:eastAsia="宋体" w:cs="宋体"/>
                <w:bCs/>
                <w:kern w:val="2"/>
                <w:sz w:val="21"/>
                <w:szCs w:val="21"/>
                <w:highlight w:val="none"/>
                <w:lang w:val="ru-RU" w:eastAsia="zh-CN"/>
              </w:rPr>
              <w:t>分):</w:t>
            </w:r>
          </w:p>
          <w:p w14:paraId="44418D89">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Cs/>
                <w:kern w:val="2"/>
                <w:sz w:val="21"/>
                <w:szCs w:val="21"/>
                <w:highlight w:val="none"/>
                <w:lang w:val="ru-RU" w:eastAsia="zh-CN"/>
              </w:rPr>
            </w:pPr>
            <w:r>
              <w:rPr>
                <w:rFonts w:hint="eastAsia" w:ascii="宋体" w:hAnsi="宋体" w:eastAsia="宋体" w:cs="宋体"/>
                <w:bCs/>
                <w:kern w:val="2"/>
                <w:sz w:val="21"/>
                <w:szCs w:val="21"/>
                <w:highlight w:val="none"/>
                <w:lang w:val="ru-RU" w:eastAsia="zh-CN"/>
              </w:rPr>
              <w:t>对实验演示多目仪进行</w:t>
            </w:r>
            <w:r>
              <w:rPr>
                <w:rFonts w:hint="eastAsia" w:ascii="宋体" w:hAnsi="宋体" w:eastAsia="宋体" w:cs="宋体"/>
                <w:bCs/>
                <w:kern w:val="2"/>
                <w:sz w:val="21"/>
                <w:szCs w:val="21"/>
                <w:highlight w:val="none"/>
                <w:lang w:val="en-US" w:eastAsia="zh-CN"/>
              </w:rPr>
              <w:t>已下5项</w:t>
            </w:r>
            <w:r>
              <w:rPr>
                <w:rFonts w:hint="eastAsia" w:ascii="宋体" w:hAnsi="宋体" w:eastAsia="宋体" w:cs="宋体"/>
                <w:bCs/>
                <w:kern w:val="2"/>
                <w:sz w:val="21"/>
                <w:szCs w:val="21"/>
                <w:highlight w:val="none"/>
                <w:lang w:val="ru-RU" w:eastAsia="zh-CN"/>
              </w:rPr>
              <w:t xml:space="preserve">视频演示，全部满足得 </w:t>
            </w:r>
            <w:r>
              <w:rPr>
                <w:rFonts w:hint="eastAsia" w:ascii="宋体" w:hAnsi="宋体" w:eastAsia="宋体" w:cs="宋体"/>
                <w:bCs/>
                <w:kern w:val="2"/>
                <w:sz w:val="21"/>
                <w:szCs w:val="21"/>
                <w:highlight w:val="none"/>
                <w:lang w:val="en-US" w:eastAsia="zh-CN"/>
              </w:rPr>
              <w:t>10</w:t>
            </w:r>
            <w:r>
              <w:rPr>
                <w:rFonts w:hint="eastAsia" w:ascii="宋体" w:hAnsi="宋体" w:eastAsia="宋体" w:cs="宋体"/>
                <w:bCs/>
                <w:kern w:val="2"/>
                <w:sz w:val="21"/>
                <w:szCs w:val="21"/>
                <w:highlight w:val="none"/>
                <w:lang w:val="ru-RU" w:eastAsia="zh-CN"/>
              </w:rPr>
              <w:t>分;有一项不满足(未演示的功能点视为不满足)扣</w:t>
            </w:r>
            <w:r>
              <w:rPr>
                <w:rFonts w:hint="eastAsia" w:ascii="宋体" w:hAnsi="宋体" w:eastAsia="宋体" w:cs="宋体"/>
                <w:bCs/>
                <w:kern w:val="2"/>
                <w:sz w:val="21"/>
                <w:szCs w:val="21"/>
                <w:highlight w:val="none"/>
                <w:lang w:val="en-US" w:eastAsia="zh-CN"/>
              </w:rPr>
              <w:t>2</w:t>
            </w:r>
            <w:r>
              <w:rPr>
                <w:rFonts w:hint="eastAsia" w:ascii="宋体" w:hAnsi="宋体" w:eastAsia="宋体" w:cs="宋体"/>
                <w:bCs/>
                <w:kern w:val="2"/>
                <w:sz w:val="21"/>
                <w:szCs w:val="21"/>
                <w:highlight w:val="none"/>
                <w:lang w:val="ru-RU" w:eastAsia="zh-CN"/>
              </w:rPr>
              <w:t>分，扣完为止</w:t>
            </w:r>
            <w:r>
              <w:rPr>
                <w:rFonts w:hint="eastAsia" w:ascii="宋体" w:hAnsi="宋体" w:cs="宋体"/>
                <w:bCs/>
                <w:kern w:val="2"/>
                <w:sz w:val="21"/>
                <w:szCs w:val="21"/>
                <w:highlight w:val="none"/>
                <w:lang w:val="en-US" w:eastAsia="zh-CN"/>
              </w:rPr>
              <w:t>；</w:t>
            </w:r>
            <w:r>
              <w:rPr>
                <w:rFonts w:hint="eastAsia" w:ascii="宋体" w:hAnsi="宋体" w:eastAsia="宋体" w:cs="宋体"/>
                <w:bCs/>
                <w:kern w:val="2"/>
                <w:sz w:val="21"/>
                <w:szCs w:val="21"/>
                <w:highlight w:val="none"/>
                <w:lang w:val="ru-RU" w:eastAsia="zh-CN"/>
              </w:rPr>
              <w:t>不演示不得分。演示时间不得超过</w:t>
            </w:r>
            <w:r>
              <w:rPr>
                <w:rFonts w:hint="eastAsia" w:ascii="宋体" w:hAnsi="宋体" w:eastAsia="宋体" w:cs="宋体"/>
                <w:bCs/>
                <w:kern w:val="2"/>
                <w:sz w:val="21"/>
                <w:szCs w:val="21"/>
                <w:highlight w:val="none"/>
                <w:lang w:val="en-US" w:eastAsia="zh-CN"/>
              </w:rPr>
              <w:t>10</w:t>
            </w:r>
            <w:r>
              <w:rPr>
                <w:rFonts w:hint="eastAsia" w:ascii="宋体" w:hAnsi="宋体" w:eastAsia="宋体" w:cs="宋体"/>
                <w:bCs/>
                <w:kern w:val="2"/>
                <w:sz w:val="21"/>
                <w:szCs w:val="21"/>
                <w:highlight w:val="none"/>
                <w:lang w:val="ru-RU" w:eastAsia="zh-CN"/>
              </w:rPr>
              <w:t>分钟，未在有效时间内演示的功能点视为不满足。</w:t>
            </w:r>
          </w:p>
          <w:p w14:paraId="42308EEA">
            <w:pPr>
              <w:keepNext w:val="0"/>
              <w:keepLines w:val="0"/>
              <w:pageBreakBefore w:val="0"/>
              <w:widowControl/>
              <w:numPr>
                <w:ilvl w:val="0"/>
                <w:numId w:val="14"/>
              </w:numPr>
              <w:kinsoku/>
              <w:wordWrap/>
              <w:overflowPunct/>
              <w:topLinePunct w:val="0"/>
              <w:autoSpaceDE/>
              <w:autoSpaceDN/>
              <w:bidi w:val="0"/>
              <w:adjustRightInd/>
              <w:snapToGrid/>
              <w:spacing w:line="300" w:lineRule="exact"/>
              <w:textAlignment w:val="auto"/>
              <w:rPr>
                <w:rFonts w:hint="eastAsia" w:ascii="宋体" w:hAnsi="宋体" w:eastAsia="宋体" w:cs="宋体"/>
                <w:bCs/>
                <w:kern w:val="2"/>
                <w:sz w:val="21"/>
                <w:szCs w:val="21"/>
                <w:highlight w:val="none"/>
                <w:lang w:val="ru-RU" w:eastAsia="zh-CN"/>
              </w:rPr>
            </w:pPr>
            <w:r>
              <w:rPr>
                <w:rFonts w:hint="eastAsia" w:ascii="宋体" w:hAnsi="宋体" w:eastAsia="宋体" w:cs="宋体"/>
                <w:bCs/>
                <w:kern w:val="2"/>
                <w:sz w:val="21"/>
                <w:szCs w:val="21"/>
                <w:highlight w:val="none"/>
                <w:lang w:val="en-US" w:eastAsia="zh-CN"/>
              </w:rPr>
              <w:t>演示多目仪</w:t>
            </w:r>
            <w:r>
              <w:rPr>
                <w:rFonts w:hint="eastAsia" w:ascii="宋体" w:hAnsi="宋体" w:eastAsia="宋体" w:cs="宋体"/>
                <w:bCs/>
                <w:kern w:val="2"/>
                <w:sz w:val="21"/>
                <w:szCs w:val="21"/>
                <w:highlight w:val="none"/>
                <w:lang w:val="ru-RU" w:eastAsia="zh-CN"/>
              </w:rPr>
              <w:t>具有</w:t>
            </w:r>
            <w:r>
              <w:rPr>
                <w:rFonts w:hint="eastAsia" w:ascii="宋体" w:hAnsi="宋体" w:eastAsia="宋体" w:cs="宋体"/>
                <w:bCs/>
                <w:kern w:val="2"/>
                <w:sz w:val="21"/>
                <w:szCs w:val="21"/>
                <w:highlight w:val="none"/>
                <w:lang w:val="en-US" w:eastAsia="zh-CN"/>
              </w:rPr>
              <w:t>两个</w:t>
            </w:r>
            <w:r>
              <w:rPr>
                <w:rFonts w:hint="eastAsia" w:ascii="宋体" w:hAnsi="宋体" w:eastAsia="宋体" w:cs="宋体"/>
                <w:bCs/>
                <w:kern w:val="2"/>
                <w:sz w:val="21"/>
                <w:szCs w:val="21"/>
                <w:highlight w:val="none"/>
                <w:lang w:val="ru-RU" w:eastAsia="zh-CN"/>
              </w:rPr>
              <w:t>摄像头，1个主</w:t>
            </w:r>
            <w:r>
              <w:rPr>
                <w:rFonts w:hint="eastAsia" w:ascii="宋体" w:hAnsi="宋体" w:eastAsia="宋体" w:cs="宋体"/>
                <w:bCs/>
                <w:kern w:val="2"/>
                <w:sz w:val="21"/>
                <w:szCs w:val="21"/>
                <w:highlight w:val="none"/>
                <w:lang w:val="en-US" w:eastAsia="zh-CN"/>
              </w:rPr>
              <w:t>拍</w:t>
            </w:r>
            <w:r>
              <w:rPr>
                <w:rFonts w:hint="eastAsia" w:ascii="宋体" w:hAnsi="宋体" w:eastAsia="宋体" w:cs="宋体"/>
                <w:bCs/>
                <w:kern w:val="2"/>
                <w:sz w:val="21"/>
                <w:szCs w:val="21"/>
                <w:highlight w:val="none"/>
                <w:lang w:val="ru-RU" w:eastAsia="zh-CN"/>
              </w:rPr>
              <w:t>摄像头</w:t>
            </w:r>
            <w:r>
              <w:rPr>
                <w:rFonts w:hint="eastAsia" w:ascii="宋体" w:hAnsi="宋体" w:eastAsia="宋体" w:cs="宋体"/>
                <w:bCs/>
                <w:kern w:val="2"/>
                <w:sz w:val="21"/>
                <w:szCs w:val="21"/>
                <w:highlight w:val="none"/>
                <w:lang w:val="en-US" w:eastAsia="zh-CN"/>
              </w:rPr>
              <w:t>1</w:t>
            </w:r>
            <w:r>
              <w:rPr>
                <w:rFonts w:hint="eastAsia" w:ascii="宋体" w:hAnsi="宋体" w:eastAsia="宋体" w:cs="宋体"/>
                <w:bCs/>
                <w:kern w:val="2"/>
                <w:sz w:val="21"/>
                <w:szCs w:val="21"/>
                <w:highlight w:val="none"/>
                <w:lang w:val="ru-RU" w:eastAsia="zh-CN"/>
              </w:rPr>
              <w:t>个</w:t>
            </w:r>
            <w:r>
              <w:rPr>
                <w:rFonts w:hint="eastAsia" w:ascii="宋体" w:hAnsi="宋体" w:eastAsia="宋体" w:cs="宋体"/>
                <w:bCs/>
                <w:kern w:val="2"/>
                <w:sz w:val="21"/>
                <w:szCs w:val="21"/>
                <w:highlight w:val="none"/>
                <w:lang w:val="en-US" w:eastAsia="zh-CN"/>
              </w:rPr>
              <w:t>侧拍</w:t>
            </w:r>
            <w:r>
              <w:rPr>
                <w:rFonts w:hint="eastAsia" w:ascii="宋体" w:hAnsi="宋体" w:eastAsia="宋体" w:cs="宋体"/>
                <w:bCs/>
                <w:kern w:val="2"/>
                <w:sz w:val="21"/>
                <w:szCs w:val="21"/>
                <w:highlight w:val="none"/>
                <w:lang w:val="ru-RU" w:eastAsia="zh-CN"/>
              </w:rPr>
              <w:t>摄像头，整机一体化设计，携带方便；</w:t>
            </w:r>
            <w:r>
              <w:rPr>
                <w:rFonts w:hint="eastAsia" w:ascii="宋体" w:hAnsi="宋体" w:eastAsia="宋体" w:cs="宋体"/>
                <w:bCs/>
                <w:kern w:val="2"/>
                <w:sz w:val="21"/>
                <w:szCs w:val="21"/>
                <w:highlight w:val="none"/>
                <w:lang w:val="ru-RU" w:eastAsia="zh-CN"/>
              </w:rPr>
              <w:br w:type="textWrapping"/>
            </w:r>
            <w:r>
              <w:rPr>
                <w:rFonts w:hint="eastAsia" w:ascii="宋体" w:hAnsi="宋体" w:eastAsia="宋体" w:cs="宋体"/>
                <w:bCs/>
                <w:kern w:val="2"/>
                <w:sz w:val="21"/>
                <w:szCs w:val="21"/>
                <w:highlight w:val="none"/>
                <w:lang w:val="en-US" w:eastAsia="zh-CN"/>
              </w:rPr>
              <w:t>2.</w:t>
            </w:r>
            <w:r>
              <w:rPr>
                <w:rFonts w:hint="eastAsia" w:ascii="宋体" w:hAnsi="宋体" w:eastAsia="宋体" w:cs="宋体"/>
                <w:bCs/>
                <w:kern w:val="2"/>
                <w:sz w:val="21"/>
                <w:szCs w:val="21"/>
                <w:highlight w:val="none"/>
                <w:lang w:val="ru-RU" w:eastAsia="zh-CN"/>
              </w:rPr>
              <w:t>演示多目仪主拍摄像和侧拍摄像可折叠，0</w:t>
            </w:r>
            <w:r>
              <w:rPr>
                <w:rFonts w:hint="eastAsia" w:ascii="宋体" w:hAnsi="宋体" w:eastAsia="宋体" w:cs="宋体"/>
                <w:bCs/>
                <w:kern w:val="2"/>
                <w:sz w:val="21"/>
                <w:szCs w:val="21"/>
                <w:highlight w:val="none"/>
                <w:lang w:val="en-US" w:eastAsia="zh-CN"/>
              </w:rPr>
              <w:t>~</w:t>
            </w:r>
            <w:r>
              <w:rPr>
                <w:rFonts w:hint="eastAsia" w:ascii="宋体" w:hAnsi="宋体" w:eastAsia="宋体" w:cs="宋体"/>
                <w:bCs/>
                <w:kern w:val="2"/>
                <w:sz w:val="21"/>
                <w:szCs w:val="21"/>
                <w:highlight w:val="none"/>
                <w:lang w:val="ru-RU" w:eastAsia="zh-CN"/>
              </w:rPr>
              <w:t>90°之间可任意停留，多级调光实验光源，需通过USB接入一体机或智慧黑板；</w:t>
            </w:r>
            <w:r>
              <w:rPr>
                <w:rFonts w:hint="eastAsia" w:ascii="宋体" w:hAnsi="宋体" w:eastAsia="宋体" w:cs="宋体"/>
                <w:bCs/>
                <w:kern w:val="2"/>
                <w:sz w:val="21"/>
                <w:szCs w:val="21"/>
                <w:highlight w:val="none"/>
                <w:lang w:val="ru-RU" w:eastAsia="zh-CN"/>
              </w:rPr>
              <w:br w:type="textWrapping"/>
            </w:r>
            <w:r>
              <w:rPr>
                <w:rFonts w:hint="eastAsia" w:ascii="宋体" w:hAnsi="宋体" w:eastAsia="宋体" w:cs="宋体"/>
                <w:bCs/>
                <w:kern w:val="2"/>
                <w:sz w:val="21"/>
                <w:szCs w:val="21"/>
                <w:highlight w:val="none"/>
                <w:lang w:val="en-US" w:eastAsia="zh-CN"/>
              </w:rPr>
              <w:t>3.演示多目仪</w:t>
            </w:r>
            <w:r>
              <w:rPr>
                <w:rFonts w:hint="eastAsia" w:ascii="宋体" w:hAnsi="宋体" w:eastAsia="宋体" w:cs="宋体"/>
                <w:bCs/>
                <w:kern w:val="2"/>
                <w:sz w:val="21"/>
                <w:szCs w:val="21"/>
                <w:highlight w:val="none"/>
                <w:lang w:val="ru-RU" w:eastAsia="zh-CN"/>
              </w:rPr>
              <w:t>直播画面自由组合切换成画中画、双画面、单镜头</w:t>
            </w:r>
            <w:r>
              <w:rPr>
                <w:rFonts w:hint="eastAsia" w:ascii="宋体" w:hAnsi="宋体" w:eastAsia="宋体" w:cs="宋体"/>
                <w:bCs/>
                <w:kern w:val="2"/>
                <w:sz w:val="21"/>
                <w:szCs w:val="21"/>
                <w:highlight w:val="none"/>
                <w:lang w:val="en-US" w:eastAsia="zh-CN"/>
              </w:rPr>
              <w:t>功能演示；</w:t>
            </w:r>
          </w:p>
          <w:p w14:paraId="48062AB7">
            <w:pPr>
              <w:keepNext w:val="0"/>
              <w:keepLines w:val="0"/>
              <w:pageBreakBefore w:val="0"/>
              <w:widowControl/>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bCs/>
                <w:kern w:val="2"/>
                <w:sz w:val="21"/>
                <w:szCs w:val="21"/>
                <w:highlight w:val="none"/>
                <w:lang w:val="ru-RU" w:eastAsia="zh-CN"/>
              </w:rPr>
            </w:pPr>
            <w:r>
              <w:rPr>
                <w:rFonts w:hint="eastAsia" w:ascii="宋体" w:hAnsi="宋体" w:eastAsia="宋体" w:cs="宋体"/>
                <w:bCs/>
                <w:kern w:val="2"/>
                <w:sz w:val="21"/>
                <w:szCs w:val="21"/>
                <w:highlight w:val="none"/>
                <w:lang w:val="en-US" w:eastAsia="zh-CN"/>
              </w:rPr>
              <w:t>4.演示多目仪支持同步录制教学音频、截取实验搭建视频画面为图片和支持打开本地视频进行播放功能演示；</w:t>
            </w:r>
          </w:p>
          <w:p w14:paraId="71A6D5F7">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Cs/>
                <w:kern w:val="2"/>
                <w:sz w:val="21"/>
                <w:szCs w:val="21"/>
                <w:highlight w:val="none"/>
                <w:lang w:val="ru-RU" w:eastAsia="zh-CN"/>
              </w:rPr>
            </w:pPr>
            <w:r>
              <w:rPr>
                <w:rFonts w:hint="eastAsia" w:ascii="宋体" w:hAnsi="宋体" w:eastAsia="宋体" w:cs="宋体"/>
                <w:bCs/>
                <w:kern w:val="2"/>
                <w:sz w:val="21"/>
                <w:szCs w:val="21"/>
                <w:highlight w:val="none"/>
                <w:lang w:val="en-US" w:eastAsia="zh-CN"/>
              </w:rPr>
              <w:t>5.</w:t>
            </w:r>
            <w:r>
              <w:rPr>
                <w:rFonts w:hint="eastAsia" w:ascii="宋体" w:hAnsi="宋体" w:eastAsia="宋体" w:cs="宋体"/>
                <w:bCs/>
                <w:kern w:val="2"/>
                <w:sz w:val="21"/>
                <w:szCs w:val="21"/>
                <w:highlight w:val="none"/>
                <w:lang w:val="ru-RU" w:eastAsia="zh-CN"/>
              </w:rPr>
              <w:t>演示多目仪的电子目镜接驳显微镜，使用多目仪可将显微镜观察画面直接展示在一体机或智慧黑板上，放大倍数：40～5000倍。</w:t>
            </w:r>
          </w:p>
          <w:p w14:paraId="41C2D437">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Cs/>
                <w:kern w:val="2"/>
                <w:sz w:val="21"/>
                <w:szCs w:val="21"/>
                <w:highlight w:val="none"/>
                <w:lang w:val="ru-RU" w:eastAsia="zh-CN"/>
              </w:rPr>
            </w:pPr>
            <w:r>
              <w:rPr>
                <w:rFonts w:hint="eastAsia" w:ascii="宋体" w:hAnsi="宋体" w:eastAsia="宋体" w:cs="宋体"/>
                <w:bCs/>
                <w:kern w:val="2"/>
                <w:sz w:val="21"/>
                <w:szCs w:val="21"/>
                <w:highlight w:val="none"/>
                <w:lang w:val="ru-RU" w:eastAsia="zh-CN"/>
              </w:rPr>
              <w:t>演示视频要求:</w:t>
            </w:r>
          </w:p>
          <w:p w14:paraId="49A8FCFD">
            <w:pPr>
              <w:pStyle w:val="50"/>
              <w:ind w:left="0" w:leftChars="0" w:firstLine="0" w:firstLineChars="0"/>
              <w:rPr>
                <w:rFonts w:hint="eastAsia"/>
                <w:highlight w:val="none"/>
                <w:lang w:val="en-US" w:eastAsia="zh-CN"/>
              </w:rPr>
            </w:pPr>
            <w:r>
              <w:rPr>
                <w:rFonts w:hint="eastAsia" w:ascii="宋体" w:hAnsi="宋体" w:eastAsia="宋体" w:cs="宋体"/>
                <w:bCs/>
                <w:kern w:val="2"/>
                <w:sz w:val="21"/>
                <w:szCs w:val="21"/>
                <w:highlight w:val="none"/>
                <w:lang w:val="ru-RU" w:eastAsia="zh-CN"/>
              </w:rPr>
              <w:t>要求单机位拍摄，不允许剪切、编辑;拍摄过程中只能通过移动镜头或拉伸镜头方式变换拍摄点，不得通过拼接方式编辑视频，演示视频不满足以上要求的不得分。</w:t>
            </w:r>
          </w:p>
        </w:tc>
        <w:tc>
          <w:tcPr>
            <w:tcW w:w="645" w:type="dxa"/>
            <w:vAlign w:val="center"/>
          </w:tcPr>
          <w:p w14:paraId="72B3673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cs="宋体"/>
                <w:color w:val="000000"/>
                <w:sz w:val="21"/>
                <w:szCs w:val="21"/>
                <w:highlight w:val="none"/>
                <w:lang w:val="en-US" w:eastAsia="zh-CN"/>
              </w:rPr>
            </w:pPr>
            <w:r>
              <w:rPr>
                <w:rFonts w:hint="eastAsia" w:ascii="宋体" w:hAnsi="宋体" w:cs="宋体"/>
                <w:bCs/>
                <w:kern w:val="2"/>
                <w:sz w:val="21"/>
                <w:szCs w:val="21"/>
                <w:highlight w:val="none"/>
                <w:lang w:val="en-US" w:eastAsia="zh-CN"/>
              </w:rPr>
              <w:t>10</w:t>
            </w:r>
          </w:p>
        </w:tc>
        <w:tc>
          <w:tcPr>
            <w:tcW w:w="723" w:type="dxa"/>
            <w:vAlign w:val="center"/>
          </w:tcPr>
          <w:p w14:paraId="2B248EA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cs="宋体"/>
                <w:bCs/>
                <w:kern w:val="2"/>
                <w:sz w:val="21"/>
                <w:szCs w:val="21"/>
                <w:highlight w:val="none"/>
                <w:lang w:val="en-US" w:eastAsia="zh-CN"/>
              </w:rPr>
            </w:pPr>
            <w:r>
              <w:rPr>
                <w:rFonts w:hint="eastAsia" w:ascii="宋体" w:hAnsi="宋体" w:cs="宋体"/>
                <w:bCs/>
                <w:kern w:val="2"/>
                <w:sz w:val="21"/>
                <w:szCs w:val="21"/>
                <w:highlight w:val="none"/>
                <w:lang w:val="en-US" w:eastAsia="zh-CN"/>
              </w:rPr>
              <w:t>客</w:t>
            </w:r>
            <w:r>
              <w:rPr>
                <w:rFonts w:hint="eastAsia" w:ascii="宋体" w:hAnsi="宋体" w:eastAsia="宋体" w:cs="宋体"/>
                <w:bCs/>
                <w:kern w:val="2"/>
                <w:sz w:val="21"/>
                <w:szCs w:val="21"/>
                <w:highlight w:val="none"/>
                <w:lang w:val="en-US" w:eastAsia="zh-CN"/>
              </w:rPr>
              <w:t>观分</w:t>
            </w:r>
          </w:p>
        </w:tc>
      </w:tr>
      <w:tr w14:paraId="206DF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01" w:type="dxa"/>
            <w:vMerge w:val="continue"/>
            <w:vAlign w:val="center"/>
          </w:tcPr>
          <w:p w14:paraId="4965F99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eastAsia="宋体" w:cs="宋体"/>
                <w:color w:val="000000"/>
                <w:sz w:val="21"/>
                <w:szCs w:val="21"/>
                <w:highlight w:val="none"/>
                <w:lang w:eastAsia="zh-CN"/>
              </w:rPr>
            </w:pPr>
          </w:p>
        </w:tc>
        <w:tc>
          <w:tcPr>
            <w:tcW w:w="658" w:type="dxa"/>
            <w:shd w:val="clear" w:color="auto" w:fill="auto"/>
            <w:vAlign w:val="center"/>
          </w:tcPr>
          <w:p w14:paraId="60AAB04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eastAsia="宋体" w:cs="宋体"/>
                <w:color w:val="000000"/>
                <w:sz w:val="22"/>
                <w:szCs w:val="22"/>
                <w:highlight w:val="none"/>
                <w:lang w:eastAsia="zh-CN"/>
              </w:rPr>
            </w:pPr>
            <w:r>
              <w:rPr>
                <w:rFonts w:hint="eastAsia" w:ascii="宋体" w:hAnsi="宋体" w:eastAsia="宋体" w:cs="宋体"/>
                <w:bCs/>
                <w:kern w:val="2"/>
                <w:sz w:val="21"/>
                <w:szCs w:val="21"/>
                <w:highlight w:val="none"/>
                <w:lang w:val="en-US" w:eastAsia="zh-CN"/>
              </w:rPr>
              <w:t>培训方案</w:t>
            </w:r>
          </w:p>
        </w:tc>
        <w:tc>
          <w:tcPr>
            <w:tcW w:w="6391" w:type="dxa"/>
            <w:vAlign w:val="center"/>
          </w:tcPr>
          <w:p w14:paraId="4796712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宋体" w:hAnsi="宋体" w:eastAsia="宋体" w:cs="宋体"/>
                <w:bCs/>
                <w:kern w:val="2"/>
                <w:sz w:val="21"/>
                <w:szCs w:val="21"/>
                <w:highlight w:val="none"/>
                <w:lang w:val="en-US" w:eastAsia="zh-CN"/>
              </w:rPr>
            </w:pPr>
            <w:r>
              <w:rPr>
                <w:rFonts w:hint="eastAsia" w:ascii="宋体" w:hAnsi="宋体" w:eastAsia="宋体" w:cs="宋体"/>
                <w:bCs/>
                <w:kern w:val="2"/>
                <w:sz w:val="21"/>
                <w:szCs w:val="21"/>
                <w:highlight w:val="none"/>
                <w:lang w:val="en-US" w:eastAsia="zh-CN"/>
              </w:rPr>
              <w:t>评标委员会根据投标人的培训方案（包括但不限于培训次数充足、每次培训人数、总人数合理、培训内容丰富有效等内容）进行综合评议：</w:t>
            </w:r>
          </w:p>
          <w:p w14:paraId="0F6538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宋体" w:hAnsi="宋体" w:eastAsia="宋体" w:cs="宋体"/>
                <w:bCs/>
                <w:kern w:val="2"/>
                <w:sz w:val="21"/>
                <w:szCs w:val="21"/>
                <w:highlight w:val="none"/>
                <w:lang w:val="en-US" w:eastAsia="zh-CN"/>
              </w:rPr>
            </w:pPr>
            <w:r>
              <w:rPr>
                <w:rFonts w:hint="eastAsia" w:ascii="宋体" w:hAnsi="宋体" w:cs="宋体"/>
                <w:bCs/>
                <w:kern w:val="2"/>
                <w:sz w:val="21"/>
                <w:szCs w:val="21"/>
                <w:highlight w:val="none"/>
                <w:lang w:val="en-US" w:eastAsia="zh-CN"/>
              </w:rPr>
              <w:t>1.</w:t>
            </w:r>
            <w:r>
              <w:rPr>
                <w:rFonts w:hint="eastAsia" w:ascii="宋体" w:hAnsi="宋体" w:eastAsia="宋体" w:cs="宋体"/>
                <w:bCs/>
                <w:kern w:val="2"/>
                <w:sz w:val="21"/>
                <w:szCs w:val="21"/>
                <w:highlight w:val="none"/>
                <w:lang w:val="en-US" w:eastAsia="zh-CN"/>
              </w:rPr>
              <w:t>培训方案内容全面完整、描述清晰，切实可行的得</w:t>
            </w:r>
            <w:r>
              <w:rPr>
                <w:rFonts w:hint="eastAsia" w:ascii="宋体" w:hAnsi="宋体" w:cs="宋体"/>
                <w:bCs/>
                <w:kern w:val="2"/>
                <w:sz w:val="21"/>
                <w:szCs w:val="21"/>
                <w:highlight w:val="none"/>
                <w:lang w:val="en-US" w:eastAsia="zh-CN"/>
              </w:rPr>
              <w:t>5</w:t>
            </w:r>
            <w:r>
              <w:rPr>
                <w:rFonts w:hint="eastAsia" w:ascii="宋体" w:hAnsi="宋体" w:eastAsia="宋体" w:cs="宋体"/>
                <w:bCs/>
                <w:kern w:val="2"/>
                <w:sz w:val="21"/>
                <w:szCs w:val="21"/>
                <w:highlight w:val="none"/>
                <w:lang w:val="en-US" w:eastAsia="zh-CN"/>
              </w:rPr>
              <w:t>分；</w:t>
            </w:r>
          </w:p>
          <w:p w14:paraId="11FFD92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宋体" w:hAnsi="宋体" w:eastAsia="宋体" w:cs="宋体"/>
                <w:bCs/>
                <w:kern w:val="2"/>
                <w:sz w:val="21"/>
                <w:szCs w:val="21"/>
                <w:highlight w:val="none"/>
                <w:lang w:val="en-US" w:eastAsia="zh-CN"/>
              </w:rPr>
            </w:pPr>
            <w:r>
              <w:rPr>
                <w:rFonts w:hint="eastAsia" w:ascii="宋体" w:hAnsi="宋体" w:cs="宋体"/>
                <w:bCs/>
                <w:kern w:val="2"/>
                <w:sz w:val="21"/>
                <w:szCs w:val="21"/>
                <w:highlight w:val="none"/>
                <w:lang w:val="en-US" w:eastAsia="zh-CN"/>
              </w:rPr>
              <w:t>2.</w:t>
            </w:r>
            <w:r>
              <w:rPr>
                <w:rFonts w:hint="eastAsia" w:ascii="宋体" w:hAnsi="宋体" w:eastAsia="宋体" w:cs="宋体"/>
                <w:bCs/>
                <w:kern w:val="2"/>
                <w:sz w:val="21"/>
                <w:szCs w:val="21"/>
                <w:highlight w:val="none"/>
                <w:lang w:val="en-US" w:eastAsia="zh-CN"/>
              </w:rPr>
              <w:t>培训方案内容较全面完整、较描述清晰，切实可行一般的得</w:t>
            </w:r>
            <w:r>
              <w:rPr>
                <w:rFonts w:hint="eastAsia" w:ascii="宋体" w:hAnsi="宋体" w:cs="宋体"/>
                <w:bCs/>
                <w:kern w:val="2"/>
                <w:sz w:val="21"/>
                <w:szCs w:val="21"/>
                <w:highlight w:val="none"/>
                <w:lang w:val="en-US" w:eastAsia="zh-CN"/>
              </w:rPr>
              <w:t>3</w:t>
            </w:r>
            <w:r>
              <w:rPr>
                <w:rFonts w:hint="eastAsia" w:ascii="宋体" w:hAnsi="宋体" w:eastAsia="宋体" w:cs="宋体"/>
                <w:bCs/>
                <w:kern w:val="2"/>
                <w:sz w:val="21"/>
                <w:szCs w:val="21"/>
                <w:highlight w:val="none"/>
                <w:lang w:val="en-US" w:eastAsia="zh-CN"/>
              </w:rPr>
              <w:t>分。</w:t>
            </w:r>
          </w:p>
          <w:p w14:paraId="12FACC1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宋体" w:hAnsi="宋体" w:eastAsia="宋体" w:cs="宋体"/>
                <w:bCs/>
                <w:kern w:val="2"/>
                <w:sz w:val="21"/>
                <w:szCs w:val="21"/>
                <w:highlight w:val="none"/>
                <w:lang w:val="en-US" w:eastAsia="zh-CN"/>
              </w:rPr>
            </w:pPr>
            <w:r>
              <w:rPr>
                <w:rFonts w:hint="eastAsia" w:ascii="宋体" w:hAnsi="宋体" w:cs="宋体"/>
                <w:bCs/>
                <w:kern w:val="2"/>
                <w:sz w:val="21"/>
                <w:szCs w:val="21"/>
                <w:highlight w:val="none"/>
                <w:lang w:val="en-US" w:eastAsia="zh-CN"/>
              </w:rPr>
              <w:t>3.</w:t>
            </w:r>
            <w:r>
              <w:rPr>
                <w:rFonts w:hint="eastAsia" w:ascii="宋体" w:hAnsi="宋体" w:eastAsia="宋体" w:cs="宋体"/>
                <w:bCs/>
                <w:kern w:val="2"/>
                <w:sz w:val="21"/>
                <w:szCs w:val="21"/>
                <w:highlight w:val="none"/>
                <w:lang w:val="en-US" w:eastAsia="zh-CN"/>
              </w:rPr>
              <w:t>培训方案内容简单笼统，细化程度不足，但基本能满足采购人要求的得1分；</w:t>
            </w:r>
          </w:p>
          <w:p w14:paraId="020D500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宋体" w:hAnsi="宋体" w:eastAsia="宋体" w:cs="宋体"/>
                <w:bCs/>
                <w:kern w:val="2"/>
                <w:sz w:val="21"/>
                <w:szCs w:val="21"/>
                <w:highlight w:val="none"/>
                <w:lang w:val="ru-RU" w:eastAsia="zh-CN"/>
              </w:rPr>
            </w:pPr>
            <w:r>
              <w:rPr>
                <w:rFonts w:hint="eastAsia" w:ascii="宋体" w:hAnsi="宋体" w:cs="宋体"/>
                <w:bCs/>
                <w:kern w:val="2"/>
                <w:sz w:val="21"/>
                <w:szCs w:val="21"/>
                <w:highlight w:val="none"/>
                <w:lang w:val="en-US" w:eastAsia="zh-CN"/>
              </w:rPr>
              <w:t>4.</w:t>
            </w:r>
            <w:r>
              <w:rPr>
                <w:rFonts w:hint="eastAsia" w:ascii="宋体" w:hAnsi="宋体" w:eastAsia="宋体" w:cs="宋体"/>
                <w:bCs/>
                <w:kern w:val="2"/>
                <w:sz w:val="21"/>
                <w:szCs w:val="21"/>
                <w:highlight w:val="none"/>
                <w:lang w:val="en-US" w:eastAsia="zh-CN"/>
              </w:rPr>
              <w:t>无方案不得分。</w:t>
            </w:r>
          </w:p>
        </w:tc>
        <w:tc>
          <w:tcPr>
            <w:tcW w:w="645" w:type="dxa"/>
            <w:vAlign w:val="center"/>
          </w:tcPr>
          <w:p w14:paraId="7D2A644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sz w:val="21"/>
                <w:szCs w:val="21"/>
                <w:highlight w:val="none"/>
                <w:lang w:val="ru-RU" w:eastAsia="zh-CN" w:bidi="ar-SA"/>
              </w:rPr>
            </w:pPr>
            <w:r>
              <w:rPr>
                <w:rFonts w:hint="eastAsia" w:ascii="宋体" w:hAnsi="宋体" w:cs="宋体"/>
                <w:bCs/>
                <w:kern w:val="2"/>
                <w:sz w:val="21"/>
                <w:szCs w:val="21"/>
                <w:highlight w:val="none"/>
                <w:lang w:val="en-US" w:eastAsia="zh-CN"/>
              </w:rPr>
              <w:t>5</w:t>
            </w:r>
          </w:p>
        </w:tc>
        <w:tc>
          <w:tcPr>
            <w:tcW w:w="723" w:type="dxa"/>
            <w:vAlign w:val="center"/>
          </w:tcPr>
          <w:p w14:paraId="4CD935E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2"/>
                <w:sz w:val="21"/>
                <w:szCs w:val="21"/>
                <w:highlight w:val="none"/>
                <w:lang w:val="ru-RU" w:eastAsia="zh-CN" w:bidi="ar-SA"/>
              </w:rPr>
            </w:pPr>
            <w:r>
              <w:rPr>
                <w:rFonts w:hint="eastAsia" w:ascii="宋体" w:hAnsi="宋体" w:eastAsia="宋体" w:cs="宋体"/>
                <w:bCs/>
                <w:kern w:val="2"/>
                <w:sz w:val="21"/>
                <w:szCs w:val="21"/>
                <w:highlight w:val="none"/>
                <w:lang w:val="en-US" w:eastAsia="zh-CN"/>
              </w:rPr>
              <w:t>主观分</w:t>
            </w:r>
          </w:p>
        </w:tc>
      </w:tr>
      <w:tr w14:paraId="6D73C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3" w:hRule="atLeast"/>
          <w:jc w:val="center"/>
        </w:trPr>
        <w:tc>
          <w:tcPr>
            <w:tcW w:w="701" w:type="dxa"/>
            <w:vMerge w:val="continue"/>
            <w:shd w:val="clear" w:color="auto" w:fill="auto"/>
            <w:vAlign w:val="center"/>
          </w:tcPr>
          <w:p w14:paraId="28ABD71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eastAsia="宋体" w:cs="宋体"/>
                <w:color w:val="000000"/>
                <w:sz w:val="21"/>
                <w:szCs w:val="21"/>
                <w:highlight w:val="none"/>
                <w:lang w:eastAsia="zh-CN"/>
              </w:rPr>
            </w:pPr>
          </w:p>
        </w:tc>
        <w:tc>
          <w:tcPr>
            <w:tcW w:w="658" w:type="dxa"/>
            <w:shd w:val="clear" w:color="auto" w:fill="auto"/>
            <w:vAlign w:val="center"/>
          </w:tcPr>
          <w:p w14:paraId="76D1968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sz w:val="22"/>
                <w:szCs w:val="22"/>
                <w:highlight w:val="none"/>
                <w:lang w:eastAsia="zh-CN"/>
              </w:rPr>
            </w:pPr>
            <w:r>
              <w:rPr>
                <w:rFonts w:hint="eastAsia" w:ascii="宋体" w:hAnsi="宋体" w:eastAsia="宋体" w:cs="宋体"/>
                <w:bCs/>
                <w:kern w:val="2"/>
                <w:sz w:val="21"/>
                <w:szCs w:val="21"/>
                <w:highlight w:val="none"/>
                <w:lang w:val="en-US" w:eastAsia="zh-CN"/>
              </w:rPr>
              <w:t>实施方案</w:t>
            </w:r>
          </w:p>
        </w:tc>
        <w:tc>
          <w:tcPr>
            <w:tcW w:w="6391" w:type="dxa"/>
            <w:vAlign w:val="center"/>
          </w:tcPr>
          <w:p w14:paraId="215C9C60">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Cs/>
                <w:kern w:val="2"/>
                <w:sz w:val="21"/>
                <w:szCs w:val="21"/>
                <w:highlight w:val="none"/>
                <w:lang w:val="ru-RU" w:eastAsia="zh-CN"/>
              </w:rPr>
            </w:pPr>
            <w:r>
              <w:rPr>
                <w:rFonts w:hint="eastAsia" w:ascii="宋体" w:hAnsi="宋体" w:eastAsia="宋体" w:cs="宋体"/>
                <w:bCs/>
                <w:kern w:val="2"/>
                <w:sz w:val="21"/>
                <w:szCs w:val="21"/>
                <w:highlight w:val="none"/>
                <w:lang w:val="ru-RU" w:eastAsia="zh-CN"/>
              </w:rPr>
              <w:t>由评标委员会根据投标人投标文件中实施方案的可操性、针对性、工艺性等方面进行综合评定，实施方案至少包括以下内容：设备安装调试、人员安排、实施进度控制、试运行方案、验收方案、验收文档目录、工艺设计等。</w:t>
            </w:r>
          </w:p>
          <w:p w14:paraId="0F51510C">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bCs/>
                <w:kern w:val="2"/>
                <w:sz w:val="21"/>
                <w:szCs w:val="21"/>
                <w:highlight w:val="none"/>
                <w:lang w:val="en-US" w:eastAsia="zh-CN"/>
              </w:rPr>
            </w:pPr>
            <w:r>
              <w:rPr>
                <w:rFonts w:hint="eastAsia" w:ascii="宋体" w:hAnsi="宋体" w:eastAsia="宋体" w:cs="宋体"/>
                <w:bCs/>
                <w:kern w:val="2"/>
                <w:sz w:val="21"/>
                <w:szCs w:val="21"/>
                <w:highlight w:val="none"/>
                <w:lang w:val="ru-RU" w:eastAsia="zh-CN"/>
              </w:rPr>
              <w:t>投标人的项目实施方案</w:t>
            </w:r>
            <w:r>
              <w:rPr>
                <w:rFonts w:hint="eastAsia" w:ascii="宋体" w:hAnsi="宋体" w:cs="宋体"/>
                <w:bCs/>
                <w:kern w:val="2"/>
                <w:sz w:val="21"/>
                <w:szCs w:val="21"/>
                <w:highlight w:val="none"/>
                <w:lang w:val="en-US" w:eastAsia="zh-CN"/>
              </w:rPr>
              <w:t>详细完整，可操作性强，有利于项目实施的</w:t>
            </w:r>
            <w:r>
              <w:rPr>
                <w:rFonts w:hint="eastAsia" w:ascii="宋体" w:hAnsi="宋体" w:eastAsia="宋体" w:cs="宋体"/>
                <w:bCs/>
                <w:kern w:val="2"/>
                <w:sz w:val="21"/>
                <w:szCs w:val="21"/>
                <w:highlight w:val="none"/>
                <w:lang w:val="en-US" w:eastAsia="zh-CN"/>
              </w:rPr>
              <w:t>得8分；</w:t>
            </w:r>
          </w:p>
          <w:p w14:paraId="0373F60F">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宋体" w:hAnsi="宋体" w:eastAsia="宋体" w:cs="宋体"/>
                <w:bCs/>
                <w:kern w:val="2"/>
                <w:sz w:val="21"/>
                <w:szCs w:val="21"/>
                <w:highlight w:val="none"/>
                <w:lang w:val="en-US" w:eastAsia="zh-CN"/>
              </w:rPr>
            </w:pPr>
            <w:r>
              <w:rPr>
                <w:rFonts w:hint="eastAsia" w:ascii="宋体" w:hAnsi="宋体" w:eastAsia="宋体" w:cs="宋体"/>
                <w:bCs/>
                <w:kern w:val="2"/>
                <w:sz w:val="21"/>
                <w:szCs w:val="21"/>
                <w:highlight w:val="none"/>
                <w:lang w:val="ru-RU" w:eastAsia="zh-CN"/>
              </w:rPr>
              <w:t>投标人的项目实施方案</w:t>
            </w:r>
            <w:r>
              <w:rPr>
                <w:rFonts w:hint="eastAsia" w:ascii="宋体" w:hAnsi="宋体" w:cs="宋体"/>
                <w:bCs/>
                <w:kern w:val="2"/>
                <w:sz w:val="21"/>
                <w:szCs w:val="21"/>
                <w:highlight w:val="none"/>
                <w:lang w:val="en-US" w:eastAsia="zh-CN"/>
              </w:rPr>
              <w:t>较详细完整，可操作性较强，较有利项目实施</w:t>
            </w:r>
            <w:r>
              <w:rPr>
                <w:rFonts w:hint="eastAsia" w:ascii="宋体" w:hAnsi="宋体" w:eastAsia="宋体" w:cs="宋体"/>
                <w:bCs/>
                <w:kern w:val="2"/>
                <w:sz w:val="21"/>
                <w:szCs w:val="21"/>
                <w:highlight w:val="none"/>
                <w:lang w:val="en-US" w:eastAsia="zh-CN"/>
              </w:rPr>
              <w:t>的得5分；</w:t>
            </w:r>
          </w:p>
          <w:p w14:paraId="62D30679">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宋体" w:hAnsi="宋体" w:eastAsia="宋体" w:cs="宋体"/>
                <w:bCs/>
                <w:kern w:val="2"/>
                <w:sz w:val="21"/>
                <w:szCs w:val="21"/>
                <w:highlight w:val="none"/>
                <w:lang w:val="en-US" w:eastAsia="zh-CN"/>
              </w:rPr>
            </w:pPr>
            <w:r>
              <w:rPr>
                <w:rFonts w:hint="eastAsia" w:ascii="宋体" w:hAnsi="宋体" w:eastAsia="宋体" w:cs="宋体"/>
                <w:bCs/>
                <w:kern w:val="2"/>
                <w:sz w:val="21"/>
                <w:szCs w:val="21"/>
                <w:highlight w:val="none"/>
                <w:lang w:val="ru-RU" w:eastAsia="zh-CN"/>
              </w:rPr>
              <w:t>投标人的项目实施方案描述单一，基本合理、实用性一般</w:t>
            </w:r>
            <w:r>
              <w:rPr>
                <w:rFonts w:hint="eastAsia" w:ascii="宋体" w:hAnsi="宋体" w:eastAsia="宋体" w:cs="宋体"/>
                <w:bCs/>
                <w:kern w:val="2"/>
                <w:sz w:val="21"/>
                <w:szCs w:val="21"/>
                <w:highlight w:val="none"/>
                <w:lang w:val="en-US" w:eastAsia="zh-CN"/>
              </w:rPr>
              <w:t>的得3分；</w:t>
            </w:r>
          </w:p>
          <w:p w14:paraId="2EBC59F7">
            <w:pPr>
              <w:keepNext w:val="0"/>
              <w:keepLines w:val="0"/>
              <w:pageBreakBefore w:val="0"/>
              <w:widowControl/>
              <w:kinsoku/>
              <w:wordWrap/>
              <w:overflowPunct/>
              <w:topLinePunct w:val="0"/>
              <w:autoSpaceDE/>
              <w:autoSpaceDN/>
              <w:bidi w:val="0"/>
              <w:adjustRightInd/>
              <w:snapToGrid/>
              <w:spacing w:line="300" w:lineRule="exact"/>
              <w:textAlignment w:val="auto"/>
              <w:rPr>
                <w:rFonts w:ascii="Calibri" w:hAnsi="Calibri" w:eastAsia="宋体" w:cs="Times New Roman"/>
                <w:sz w:val="18"/>
                <w:szCs w:val="18"/>
                <w:highlight w:val="none"/>
                <w:lang w:val="ru-RU" w:eastAsia="zh-CN" w:bidi="ar-SA"/>
              </w:rPr>
            </w:pPr>
            <w:r>
              <w:rPr>
                <w:rFonts w:hint="eastAsia" w:ascii="宋体" w:hAnsi="宋体" w:eastAsia="宋体" w:cs="宋体"/>
                <w:bCs/>
                <w:kern w:val="2"/>
                <w:sz w:val="21"/>
                <w:szCs w:val="21"/>
                <w:highlight w:val="none"/>
                <w:lang w:val="ru-RU" w:eastAsia="zh-CN"/>
              </w:rPr>
              <w:t>未提供项目实施方案或项目实施方案明显不符合本项目实际情况的，不得分。</w:t>
            </w:r>
          </w:p>
        </w:tc>
        <w:tc>
          <w:tcPr>
            <w:tcW w:w="645" w:type="dxa"/>
            <w:vAlign w:val="center"/>
          </w:tcPr>
          <w:p w14:paraId="4473DF9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8</w:t>
            </w:r>
          </w:p>
        </w:tc>
        <w:tc>
          <w:tcPr>
            <w:tcW w:w="723" w:type="dxa"/>
            <w:vAlign w:val="center"/>
          </w:tcPr>
          <w:p w14:paraId="3B6962B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cs="宋体"/>
                <w:bCs/>
                <w:kern w:val="2"/>
                <w:sz w:val="21"/>
                <w:szCs w:val="21"/>
                <w:highlight w:val="none"/>
                <w:lang w:val="en-US" w:eastAsia="zh-CN"/>
              </w:rPr>
              <w:t>主观分</w:t>
            </w:r>
          </w:p>
        </w:tc>
      </w:tr>
      <w:tr w14:paraId="6B3CA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3" w:hRule="atLeast"/>
          <w:jc w:val="center"/>
        </w:trPr>
        <w:tc>
          <w:tcPr>
            <w:tcW w:w="701" w:type="dxa"/>
            <w:vMerge w:val="continue"/>
            <w:shd w:val="clear" w:color="auto" w:fill="auto"/>
            <w:vAlign w:val="center"/>
          </w:tcPr>
          <w:p w14:paraId="1918247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eastAsia="宋体" w:cs="宋体"/>
                <w:color w:val="000000"/>
                <w:sz w:val="21"/>
                <w:szCs w:val="21"/>
                <w:highlight w:val="none"/>
                <w:lang w:eastAsia="zh-CN"/>
              </w:rPr>
            </w:pPr>
          </w:p>
        </w:tc>
        <w:tc>
          <w:tcPr>
            <w:tcW w:w="658" w:type="dxa"/>
            <w:shd w:val="clear" w:color="auto" w:fill="auto"/>
            <w:vAlign w:val="center"/>
          </w:tcPr>
          <w:p w14:paraId="12B44C1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sz w:val="24"/>
                <w:highlight w:val="none"/>
                <w:lang w:val="en-US" w:eastAsia="zh-CN" w:bidi="ar-SA"/>
              </w:rPr>
            </w:pPr>
            <w:r>
              <w:rPr>
                <w:rFonts w:hint="eastAsia" w:ascii="宋体" w:hAnsi="宋体" w:eastAsia="宋体" w:cs="宋体"/>
                <w:bCs/>
                <w:kern w:val="2"/>
                <w:sz w:val="21"/>
                <w:szCs w:val="21"/>
                <w:highlight w:val="none"/>
                <w:lang w:val="en-US" w:eastAsia="zh-CN"/>
              </w:rPr>
              <w:t>售后服务方案</w:t>
            </w:r>
          </w:p>
        </w:tc>
        <w:tc>
          <w:tcPr>
            <w:tcW w:w="6391" w:type="dxa"/>
            <w:vAlign w:val="center"/>
          </w:tcPr>
          <w:p w14:paraId="6CE3D884">
            <w:pPr>
              <w:keepNext w:val="0"/>
              <w:keepLines w:val="0"/>
              <w:pageBreakBefore w:val="0"/>
              <w:widowControl/>
              <w:tabs>
                <w:tab w:val="center" w:pos="4153"/>
                <w:tab w:val="right" w:pos="8306"/>
              </w:tabs>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ru-RU" w:eastAsia="zh-CN" w:bidi="ar-SA"/>
              </w:rPr>
            </w:pPr>
            <w:r>
              <w:rPr>
                <w:rFonts w:hint="eastAsia" w:ascii="宋体" w:hAnsi="宋体" w:eastAsia="宋体" w:cs="宋体"/>
                <w:kern w:val="2"/>
                <w:sz w:val="21"/>
                <w:szCs w:val="21"/>
                <w:highlight w:val="none"/>
                <w:lang w:val="ru-RU" w:eastAsia="zh-CN" w:bidi="ar-SA"/>
              </w:rPr>
              <w:t>由评标委员会根据投标文件中售后服务承诺书内容的完整性、可行性、到达故障现场时间、故障出现解决方案、定期维护、免费技术培训方案、保修期外维修方案、本地化售后服务措施、其他优惠措施、安装要求及方案等方面</w:t>
            </w:r>
            <w:r>
              <w:rPr>
                <w:rFonts w:hint="eastAsia" w:ascii="宋体" w:hAnsi="宋体" w:cs="宋体"/>
                <w:kern w:val="2"/>
                <w:sz w:val="21"/>
                <w:szCs w:val="21"/>
                <w:highlight w:val="none"/>
                <w:lang w:val="en-US" w:eastAsia="zh-CN" w:bidi="ar-SA"/>
              </w:rPr>
              <w:t>进行评议</w:t>
            </w:r>
            <w:r>
              <w:rPr>
                <w:rFonts w:hint="eastAsia" w:ascii="宋体" w:hAnsi="宋体" w:cs="宋体"/>
                <w:kern w:val="2"/>
                <w:sz w:val="21"/>
                <w:szCs w:val="21"/>
                <w:highlight w:val="none"/>
                <w:lang w:val="ru-RU" w:eastAsia="zh-CN" w:bidi="ar-SA"/>
              </w:rPr>
              <w:t>：</w:t>
            </w:r>
          </w:p>
          <w:p w14:paraId="4183EAB9">
            <w:pPr>
              <w:keepNext w:val="0"/>
              <w:keepLines w:val="0"/>
              <w:pageBreakBefore w:val="0"/>
              <w:widowControl/>
              <w:tabs>
                <w:tab w:val="center" w:pos="4153"/>
                <w:tab w:val="right" w:pos="8306"/>
              </w:tabs>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ru-RU" w:eastAsia="zh-CN" w:bidi="ar-SA"/>
              </w:rPr>
            </w:pPr>
            <w:r>
              <w:rPr>
                <w:rFonts w:hint="eastAsia" w:ascii="宋体" w:hAnsi="宋体" w:eastAsia="宋体" w:cs="宋体"/>
                <w:kern w:val="2"/>
                <w:sz w:val="21"/>
                <w:szCs w:val="21"/>
                <w:highlight w:val="none"/>
                <w:lang w:val="ru-RU" w:eastAsia="zh-CN" w:bidi="ar-SA"/>
              </w:rPr>
              <w:t>投标人所提供的项目服务方案，方案包含有项目售后维护、应急保障方案且描述了项目售后维护和应急保障方案的方法以及实现方式，服务承诺和保障措施考虑周全完整详细</w:t>
            </w:r>
            <w:r>
              <w:rPr>
                <w:rFonts w:hint="eastAsia" w:ascii="宋体" w:hAnsi="宋体" w:eastAsia="宋体" w:cs="宋体"/>
                <w:kern w:val="2"/>
                <w:sz w:val="21"/>
                <w:szCs w:val="21"/>
                <w:highlight w:val="none"/>
                <w:lang w:val="en-US" w:eastAsia="zh-CN" w:bidi="ar-SA"/>
              </w:rPr>
              <w:t>的得</w:t>
            </w:r>
            <w:r>
              <w:rPr>
                <w:rFonts w:hint="eastAsia" w:ascii="宋体" w:hAnsi="宋体" w:cs="宋体"/>
                <w:kern w:val="2"/>
                <w:sz w:val="21"/>
                <w:szCs w:val="21"/>
                <w:highlight w:val="none"/>
                <w:lang w:val="en-US" w:eastAsia="zh-CN" w:bidi="ar-SA"/>
              </w:rPr>
              <w:t>5</w:t>
            </w:r>
            <w:r>
              <w:rPr>
                <w:rFonts w:hint="eastAsia" w:ascii="宋体" w:hAnsi="宋体" w:eastAsia="宋体" w:cs="宋体"/>
                <w:kern w:val="2"/>
                <w:sz w:val="21"/>
                <w:szCs w:val="21"/>
                <w:highlight w:val="none"/>
                <w:lang w:val="en-US" w:eastAsia="zh-CN" w:bidi="ar-SA"/>
              </w:rPr>
              <w:t>分；</w:t>
            </w:r>
          </w:p>
          <w:p w14:paraId="35280453">
            <w:pPr>
              <w:keepNext w:val="0"/>
              <w:keepLines w:val="0"/>
              <w:pageBreakBefore w:val="0"/>
              <w:widowControl/>
              <w:tabs>
                <w:tab w:val="center" w:pos="4153"/>
                <w:tab w:val="right" w:pos="8306"/>
              </w:tabs>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ru-RU" w:eastAsia="zh-CN" w:bidi="ar-SA"/>
              </w:rPr>
              <w:t>投标人所提供的项目服务方案，方案包含有项目售后维护、应急保障方案等，且描述了项目售后维护和应急保障方案的方法以及实现方式，方案可行较详细</w:t>
            </w:r>
            <w:r>
              <w:rPr>
                <w:rFonts w:hint="eastAsia" w:ascii="宋体" w:hAnsi="宋体" w:eastAsia="宋体" w:cs="宋体"/>
                <w:kern w:val="2"/>
                <w:sz w:val="21"/>
                <w:szCs w:val="21"/>
                <w:highlight w:val="none"/>
                <w:lang w:val="en-US" w:eastAsia="zh-CN" w:bidi="ar-SA"/>
              </w:rPr>
              <w:t>的得</w:t>
            </w:r>
            <w:r>
              <w:rPr>
                <w:rFonts w:hint="eastAsia" w:ascii="宋体" w:hAnsi="宋体" w:cs="宋体"/>
                <w:kern w:val="2"/>
                <w:sz w:val="21"/>
                <w:szCs w:val="21"/>
                <w:highlight w:val="none"/>
                <w:lang w:val="en-US" w:eastAsia="zh-CN" w:bidi="ar-SA"/>
              </w:rPr>
              <w:t>3</w:t>
            </w:r>
            <w:r>
              <w:rPr>
                <w:rFonts w:hint="eastAsia" w:ascii="宋体" w:hAnsi="宋体" w:eastAsia="宋体" w:cs="宋体"/>
                <w:kern w:val="2"/>
                <w:sz w:val="21"/>
                <w:szCs w:val="21"/>
                <w:highlight w:val="none"/>
                <w:lang w:val="en-US" w:eastAsia="zh-CN" w:bidi="ar-SA"/>
              </w:rPr>
              <w:t>分；</w:t>
            </w:r>
          </w:p>
          <w:p w14:paraId="1F1B3E0E">
            <w:pPr>
              <w:keepNext w:val="0"/>
              <w:keepLines w:val="0"/>
              <w:pageBreakBefore w:val="0"/>
              <w:widowControl/>
              <w:tabs>
                <w:tab w:val="center" w:pos="4153"/>
                <w:tab w:val="right" w:pos="8306"/>
              </w:tabs>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ru-RU" w:eastAsia="zh-CN" w:bidi="ar-SA"/>
              </w:rPr>
            </w:pPr>
            <w:r>
              <w:rPr>
                <w:rFonts w:hint="eastAsia" w:ascii="宋体" w:hAnsi="宋体" w:eastAsia="宋体" w:cs="宋体"/>
                <w:kern w:val="2"/>
                <w:sz w:val="21"/>
                <w:szCs w:val="21"/>
                <w:highlight w:val="none"/>
                <w:lang w:val="ru-RU" w:eastAsia="zh-CN" w:bidi="ar-SA"/>
              </w:rPr>
              <w:t>投标人所提供的项目服务方案，方案包含有项目售后维护、应急保障方案等，且描述了项目售后维护和应急保障方案的方法以及实现方式，方案</w:t>
            </w:r>
            <w:r>
              <w:rPr>
                <w:rFonts w:hint="eastAsia" w:ascii="宋体" w:hAnsi="宋体" w:eastAsia="宋体" w:cs="宋体"/>
                <w:kern w:val="2"/>
                <w:sz w:val="21"/>
                <w:szCs w:val="21"/>
                <w:highlight w:val="none"/>
                <w:lang w:val="en-US" w:eastAsia="zh-CN" w:bidi="ar-SA"/>
              </w:rPr>
              <w:t>笼统</w:t>
            </w:r>
            <w:r>
              <w:rPr>
                <w:rFonts w:hint="eastAsia" w:ascii="宋体" w:hAnsi="宋体" w:eastAsia="宋体" w:cs="宋体"/>
                <w:kern w:val="2"/>
                <w:sz w:val="21"/>
                <w:szCs w:val="21"/>
                <w:highlight w:val="none"/>
                <w:lang w:val="ru-RU" w:eastAsia="zh-CN" w:bidi="ar-SA"/>
              </w:rPr>
              <w:t>可行</w:t>
            </w:r>
            <w:r>
              <w:rPr>
                <w:rFonts w:hint="eastAsia" w:ascii="宋体" w:hAnsi="宋体" w:eastAsia="宋体" w:cs="宋体"/>
                <w:kern w:val="2"/>
                <w:sz w:val="21"/>
                <w:szCs w:val="21"/>
                <w:highlight w:val="none"/>
                <w:lang w:val="en-US" w:eastAsia="zh-CN" w:bidi="ar-SA"/>
              </w:rPr>
              <w:t>一般的得</w:t>
            </w:r>
            <w:r>
              <w:rPr>
                <w:rFonts w:hint="eastAsia" w:ascii="宋体" w:hAnsi="宋体" w:cs="宋体"/>
                <w:kern w:val="2"/>
                <w:sz w:val="21"/>
                <w:szCs w:val="21"/>
                <w:highlight w:val="none"/>
                <w:lang w:val="en-US" w:eastAsia="zh-CN" w:bidi="ar-SA"/>
              </w:rPr>
              <w:t>1</w:t>
            </w:r>
            <w:r>
              <w:rPr>
                <w:rFonts w:hint="eastAsia" w:ascii="宋体" w:hAnsi="宋体" w:eastAsia="宋体" w:cs="宋体"/>
                <w:kern w:val="2"/>
                <w:sz w:val="21"/>
                <w:szCs w:val="21"/>
                <w:highlight w:val="none"/>
                <w:lang w:val="en-US" w:eastAsia="zh-CN" w:bidi="ar-SA"/>
              </w:rPr>
              <w:t>分</w:t>
            </w:r>
            <w:r>
              <w:rPr>
                <w:rFonts w:hint="eastAsia" w:ascii="宋体" w:hAnsi="宋体" w:cs="宋体"/>
                <w:kern w:val="2"/>
                <w:sz w:val="21"/>
                <w:szCs w:val="21"/>
                <w:highlight w:val="none"/>
                <w:lang w:val="en-US" w:eastAsia="zh-CN" w:bidi="ar-SA"/>
              </w:rPr>
              <w:t>；</w:t>
            </w:r>
          </w:p>
          <w:p w14:paraId="29A0C91C">
            <w:pPr>
              <w:keepNext w:val="0"/>
              <w:keepLines w:val="0"/>
              <w:pageBreakBefore w:val="0"/>
              <w:widowControl/>
              <w:tabs>
                <w:tab w:val="center" w:pos="4153"/>
                <w:tab w:val="right" w:pos="8306"/>
              </w:tabs>
              <w:kinsoku/>
              <w:wordWrap/>
              <w:overflowPunct/>
              <w:topLinePunct w:val="0"/>
              <w:autoSpaceDE/>
              <w:autoSpaceDN/>
              <w:bidi w:val="0"/>
              <w:adjustRightInd/>
              <w:snapToGrid/>
              <w:spacing w:line="300" w:lineRule="exact"/>
              <w:textAlignment w:val="auto"/>
              <w:rPr>
                <w:rFonts w:hint="eastAsia" w:ascii="Times New Roman" w:hAnsi="Times New Roman" w:eastAsia="宋体" w:cs="Times New Roman"/>
                <w:sz w:val="24"/>
                <w:highlight w:val="none"/>
                <w:lang w:val="ru-RU" w:eastAsia="zh-CN" w:bidi="ar-SA"/>
              </w:rPr>
            </w:pPr>
            <w:r>
              <w:rPr>
                <w:rFonts w:hint="eastAsia" w:ascii="宋体" w:hAnsi="宋体" w:eastAsia="宋体" w:cs="宋体"/>
                <w:kern w:val="2"/>
                <w:sz w:val="21"/>
                <w:szCs w:val="21"/>
                <w:highlight w:val="none"/>
                <w:lang w:val="ru-RU" w:eastAsia="zh-CN" w:bidi="ar-SA"/>
              </w:rPr>
              <w:t>未提供售后服务方案或售后服务方案明显不符合本项目实际情况的，不得分。</w:t>
            </w:r>
          </w:p>
        </w:tc>
        <w:tc>
          <w:tcPr>
            <w:tcW w:w="645" w:type="dxa"/>
            <w:vAlign w:val="center"/>
          </w:tcPr>
          <w:p w14:paraId="2585664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sz w:val="21"/>
                <w:szCs w:val="21"/>
                <w:highlight w:val="none"/>
                <w:lang w:val="en-US" w:eastAsia="zh-CN" w:bidi="ar-SA"/>
              </w:rPr>
            </w:pPr>
            <w:r>
              <w:rPr>
                <w:rFonts w:hint="eastAsia" w:ascii="宋体" w:hAnsi="宋体" w:cs="宋体"/>
                <w:color w:val="000000"/>
                <w:sz w:val="21"/>
                <w:szCs w:val="21"/>
                <w:highlight w:val="none"/>
                <w:lang w:val="en-US" w:eastAsia="zh-CN"/>
              </w:rPr>
              <w:t>5</w:t>
            </w:r>
          </w:p>
        </w:tc>
        <w:tc>
          <w:tcPr>
            <w:tcW w:w="723" w:type="dxa"/>
            <w:vAlign w:val="center"/>
          </w:tcPr>
          <w:p w14:paraId="775E5E2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s="宋体"/>
                <w:bCs/>
                <w:kern w:val="2"/>
                <w:sz w:val="21"/>
                <w:szCs w:val="21"/>
                <w:highlight w:val="none"/>
                <w:lang w:val="en-US" w:eastAsia="zh-CN" w:bidi="ar-SA"/>
              </w:rPr>
            </w:pPr>
            <w:r>
              <w:rPr>
                <w:rFonts w:hint="eastAsia" w:ascii="宋体" w:hAnsi="宋体" w:cs="宋体"/>
                <w:bCs/>
                <w:kern w:val="2"/>
                <w:sz w:val="21"/>
                <w:szCs w:val="21"/>
                <w:highlight w:val="none"/>
                <w:lang w:val="en-US" w:eastAsia="zh-CN"/>
              </w:rPr>
              <w:t>主观分</w:t>
            </w:r>
          </w:p>
        </w:tc>
      </w:tr>
      <w:tr w14:paraId="78FAA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3" w:hRule="atLeast"/>
          <w:jc w:val="center"/>
        </w:trPr>
        <w:tc>
          <w:tcPr>
            <w:tcW w:w="701" w:type="dxa"/>
            <w:vMerge w:val="continue"/>
            <w:shd w:val="clear" w:color="auto" w:fill="auto"/>
            <w:vAlign w:val="center"/>
          </w:tcPr>
          <w:p w14:paraId="3A4B224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eastAsia="宋体" w:cs="宋体"/>
                <w:color w:val="000000"/>
                <w:sz w:val="21"/>
                <w:szCs w:val="21"/>
                <w:highlight w:val="none"/>
                <w:lang w:eastAsia="zh-CN"/>
              </w:rPr>
            </w:pPr>
          </w:p>
        </w:tc>
        <w:tc>
          <w:tcPr>
            <w:tcW w:w="658" w:type="dxa"/>
            <w:shd w:val="clear" w:color="auto" w:fill="auto"/>
            <w:vAlign w:val="center"/>
          </w:tcPr>
          <w:p w14:paraId="7D621ED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宋体"/>
                <w:bCs/>
                <w:kern w:val="2"/>
                <w:sz w:val="21"/>
                <w:szCs w:val="21"/>
                <w:highlight w:val="none"/>
                <w:lang w:val="en-US" w:eastAsia="zh-CN"/>
              </w:rPr>
            </w:pPr>
            <w:r>
              <w:rPr>
                <w:rFonts w:hint="eastAsia" w:ascii="宋体" w:hAnsi="宋体" w:cs="宋体"/>
                <w:bCs/>
                <w:kern w:val="2"/>
                <w:sz w:val="21"/>
                <w:szCs w:val="21"/>
                <w:highlight w:val="none"/>
                <w:lang w:val="en-US" w:eastAsia="zh-CN"/>
              </w:rPr>
              <w:t>体系认证</w:t>
            </w:r>
          </w:p>
        </w:tc>
        <w:tc>
          <w:tcPr>
            <w:tcW w:w="6391" w:type="dxa"/>
            <w:vAlign w:val="center"/>
          </w:tcPr>
          <w:p w14:paraId="15E4955B">
            <w:pPr>
              <w:keepNext w:val="0"/>
              <w:keepLines w:val="0"/>
              <w:pageBreakBefore w:val="0"/>
              <w:widowControl/>
              <w:tabs>
                <w:tab w:val="center" w:pos="4153"/>
                <w:tab w:val="right" w:pos="8306"/>
              </w:tabs>
              <w:kinsoku/>
              <w:wordWrap/>
              <w:overflowPunct/>
              <w:topLinePunct w:val="0"/>
              <w:autoSpaceDE/>
              <w:autoSpaceDN/>
              <w:bidi w:val="0"/>
              <w:adjustRightInd/>
              <w:snapToGrid/>
              <w:spacing w:line="300" w:lineRule="exact"/>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ru-RU" w:eastAsia="zh-CN" w:bidi="ar-SA"/>
              </w:rPr>
              <w:t>投标人具备有效的 IS09001 质量管理体系、IS014001 环境管理体系、IS045001 职业健康安全管理体系，每提供一个得1分，</w:t>
            </w:r>
            <w:r>
              <w:rPr>
                <w:rFonts w:hint="eastAsia" w:ascii="宋体" w:hAnsi="宋体" w:cs="宋体"/>
                <w:kern w:val="2"/>
                <w:sz w:val="21"/>
                <w:szCs w:val="21"/>
                <w:highlight w:val="none"/>
                <w:lang w:val="en-US" w:eastAsia="zh-CN" w:bidi="ar-SA"/>
              </w:rPr>
              <w:t>最高得</w:t>
            </w:r>
            <w:r>
              <w:rPr>
                <w:rFonts w:hint="eastAsia" w:ascii="宋体" w:hAnsi="宋体" w:eastAsia="宋体" w:cs="宋体"/>
                <w:kern w:val="2"/>
                <w:sz w:val="21"/>
                <w:szCs w:val="21"/>
                <w:highlight w:val="none"/>
                <w:lang w:val="ru-RU" w:eastAsia="zh-CN" w:bidi="ar-SA"/>
              </w:rPr>
              <w:t>3分。</w:t>
            </w:r>
            <w:r>
              <w:rPr>
                <w:rFonts w:hint="eastAsia" w:ascii="宋体" w:hAnsi="宋体" w:cs="宋体"/>
                <w:kern w:val="2"/>
                <w:sz w:val="21"/>
                <w:szCs w:val="21"/>
                <w:highlight w:val="none"/>
                <w:lang w:val="en-US" w:eastAsia="zh-CN" w:bidi="ar-SA"/>
              </w:rPr>
              <w:t>注：投标文件中提供证书复印件。</w:t>
            </w:r>
          </w:p>
        </w:tc>
        <w:tc>
          <w:tcPr>
            <w:tcW w:w="645" w:type="dxa"/>
            <w:vAlign w:val="center"/>
          </w:tcPr>
          <w:p w14:paraId="4214AB3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3</w:t>
            </w:r>
          </w:p>
        </w:tc>
        <w:tc>
          <w:tcPr>
            <w:tcW w:w="723" w:type="dxa"/>
            <w:vAlign w:val="center"/>
          </w:tcPr>
          <w:p w14:paraId="4894661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cs="宋体"/>
                <w:bCs/>
                <w:kern w:val="2"/>
                <w:sz w:val="21"/>
                <w:szCs w:val="21"/>
                <w:highlight w:val="none"/>
                <w:lang w:val="en-US" w:eastAsia="zh-CN"/>
              </w:rPr>
            </w:pPr>
            <w:r>
              <w:rPr>
                <w:rFonts w:hint="eastAsia" w:ascii="宋体" w:hAnsi="宋体" w:cs="宋体"/>
                <w:bCs/>
                <w:kern w:val="2"/>
                <w:sz w:val="21"/>
                <w:szCs w:val="21"/>
                <w:highlight w:val="none"/>
                <w:lang w:val="en-US" w:eastAsia="zh-CN"/>
              </w:rPr>
              <w:t>客观分</w:t>
            </w:r>
          </w:p>
        </w:tc>
      </w:tr>
      <w:tr w14:paraId="401D0C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3" w:hRule="atLeast"/>
          <w:jc w:val="center"/>
        </w:trPr>
        <w:tc>
          <w:tcPr>
            <w:tcW w:w="701" w:type="dxa"/>
            <w:vMerge w:val="continue"/>
            <w:shd w:val="clear" w:color="auto" w:fill="auto"/>
            <w:vAlign w:val="center"/>
          </w:tcPr>
          <w:p w14:paraId="3E6BAB2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eastAsia="宋体" w:cs="宋体"/>
                <w:color w:val="000000"/>
                <w:sz w:val="21"/>
                <w:szCs w:val="21"/>
                <w:highlight w:val="none"/>
                <w:lang w:eastAsia="zh-CN"/>
              </w:rPr>
            </w:pPr>
          </w:p>
        </w:tc>
        <w:tc>
          <w:tcPr>
            <w:tcW w:w="658" w:type="dxa"/>
            <w:shd w:val="clear" w:color="auto" w:fill="auto"/>
            <w:vAlign w:val="center"/>
          </w:tcPr>
          <w:p w14:paraId="3BE6D53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宋体"/>
                <w:bCs/>
                <w:kern w:val="2"/>
                <w:sz w:val="21"/>
                <w:szCs w:val="21"/>
                <w:highlight w:val="none"/>
                <w:lang w:val="en-US" w:eastAsia="zh-CN"/>
              </w:rPr>
            </w:pPr>
            <w:r>
              <w:rPr>
                <w:rFonts w:hint="eastAsia" w:ascii="宋体" w:hAnsi="宋体" w:cs="宋体"/>
                <w:bCs/>
                <w:kern w:val="2"/>
                <w:sz w:val="21"/>
                <w:szCs w:val="21"/>
                <w:highlight w:val="none"/>
                <w:lang w:val="en-US" w:eastAsia="zh-CN"/>
              </w:rPr>
              <w:t>同类业绩</w:t>
            </w:r>
          </w:p>
        </w:tc>
        <w:tc>
          <w:tcPr>
            <w:tcW w:w="6391" w:type="dxa"/>
            <w:vAlign w:val="center"/>
          </w:tcPr>
          <w:p w14:paraId="2604FD55">
            <w:pPr>
              <w:keepNext w:val="0"/>
              <w:keepLines w:val="0"/>
              <w:pageBreakBefore w:val="0"/>
              <w:widowControl/>
              <w:tabs>
                <w:tab w:val="center" w:pos="4153"/>
                <w:tab w:val="right" w:pos="8306"/>
              </w:tabs>
              <w:kinsoku/>
              <w:wordWrap/>
              <w:overflowPunct/>
              <w:topLinePunct w:val="0"/>
              <w:autoSpaceDE/>
              <w:autoSpaceDN/>
              <w:bidi w:val="0"/>
              <w:adjustRightInd/>
              <w:snapToGrid/>
              <w:spacing w:line="300" w:lineRule="exact"/>
              <w:textAlignment w:val="auto"/>
              <w:rPr>
                <w:rFonts w:hint="eastAsia" w:ascii="宋体" w:hAnsi="宋体" w:eastAsia="宋体" w:cs="宋体"/>
                <w:kern w:val="2"/>
                <w:sz w:val="21"/>
                <w:szCs w:val="21"/>
                <w:highlight w:val="none"/>
                <w:lang w:val="ru-RU" w:eastAsia="zh-CN" w:bidi="ar-SA"/>
              </w:rPr>
            </w:pPr>
            <w:r>
              <w:rPr>
                <w:rFonts w:hint="eastAsia" w:ascii="宋体" w:hAnsi="宋体" w:cs="宋体"/>
                <w:color w:val="auto"/>
                <w:sz w:val="21"/>
                <w:szCs w:val="21"/>
                <w:highlight w:val="none"/>
              </w:rPr>
              <w:t>自2022年1月1日以来（以合同签订时间为准），</w:t>
            </w:r>
            <w:r>
              <w:rPr>
                <w:rFonts w:hint="eastAsia" w:ascii="宋体" w:hAnsi="宋体" w:cs="宋体"/>
                <w:color w:val="auto"/>
                <w:sz w:val="21"/>
                <w:szCs w:val="21"/>
                <w:highlight w:val="none"/>
                <w:lang w:val="en-US" w:eastAsia="zh-CN"/>
              </w:rPr>
              <w:t>投标人</w:t>
            </w:r>
            <w:r>
              <w:rPr>
                <w:rFonts w:hint="eastAsia" w:ascii="宋体" w:hAnsi="宋体" w:cs="宋体"/>
                <w:color w:val="auto"/>
                <w:sz w:val="21"/>
                <w:szCs w:val="21"/>
                <w:highlight w:val="none"/>
              </w:rPr>
              <w:t>具有独立承接并完成类似采购业绩。注：</w:t>
            </w:r>
            <w:r>
              <w:rPr>
                <w:rFonts w:hint="eastAsia" w:ascii="宋体" w:hAnsi="宋体" w:cs="宋体"/>
                <w:color w:val="auto"/>
                <w:sz w:val="21"/>
                <w:szCs w:val="21"/>
                <w:highlight w:val="none"/>
                <w:lang w:val="en-US" w:eastAsia="zh-CN"/>
              </w:rPr>
              <w:t>投标文件中</w:t>
            </w:r>
            <w:r>
              <w:rPr>
                <w:rFonts w:hint="eastAsia" w:ascii="宋体" w:hAnsi="宋体" w:cs="宋体"/>
                <w:color w:val="auto"/>
                <w:sz w:val="21"/>
                <w:szCs w:val="21"/>
                <w:highlight w:val="none"/>
              </w:rPr>
              <w:t>提供中标（成交）通知书、合同</w:t>
            </w:r>
            <w:r>
              <w:rPr>
                <w:rFonts w:hint="eastAsia" w:ascii="宋体" w:hAnsi="宋体" w:cs="宋体"/>
                <w:color w:val="auto"/>
                <w:sz w:val="21"/>
                <w:szCs w:val="21"/>
                <w:highlight w:val="none"/>
                <w:lang w:val="en-US" w:eastAsia="zh-CN"/>
              </w:rPr>
              <w:t>复印件</w:t>
            </w:r>
            <w:r>
              <w:rPr>
                <w:rFonts w:hint="eastAsia" w:ascii="宋体" w:hAnsi="宋体" w:cs="宋体"/>
                <w:color w:val="auto"/>
                <w:sz w:val="21"/>
                <w:szCs w:val="21"/>
                <w:highlight w:val="none"/>
              </w:rPr>
              <w:t>；业绩合同主要内容应当包含功能室或实验室设施设备采购的详细清单，内容需清晰可见</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每提供一个得1分，最高得3分。</w:t>
            </w:r>
          </w:p>
        </w:tc>
        <w:tc>
          <w:tcPr>
            <w:tcW w:w="645" w:type="dxa"/>
            <w:vAlign w:val="center"/>
          </w:tcPr>
          <w:p w14:paraId="5DFF70A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3</w:t>
            </w:r>
          </w:p>
        </w:tc>
        <w:tc>
          <w:tcPr>
            <w:tcW w:w="723" w:type="dxa"/>
            <w:vAlign w:val="center"/>
          </w:tcPr>
          <w:p w14:paraId="541A873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cs="宋体"/>
                <w:bCs/>
                <w:kern w:val="2"/>
                <w:sz w:val="21"/>
                <w:szCs w:val="21"/>
                <w:highlight w:val="none"/>
                <w:lang w:val="en-US" w:eastAsia="zh-CN"/>
              </w:rPr>
            </w:pPr>
            <w:r>
              <w:rPr>
                <w:rFonts w:hint="eastAsia" w:ascii="宋体" w:hAnsi="宋体" w:cs="宋体"/>
                <w:bCs/>
                <w:kern w:val="2"/>
                <w:sz w:val="21"/>
                <w:szCs w:val="21"/>
                <w:highlight w:val="none"/>
                <w:lang w:val="en-US" w:eastAsia="zh-CN"/>
              </w:rPr>
              <w:t>客观分</w:t>
            </w:r>
          </w:p>
        </w:tc>
      </w:tr>
      <w:tr w14:paraId="5B118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3" w:hRule="atLeast"/>
          <w:jc w:val="center"/>
        </w:trPr>
        <w:tc>
          <w:tcPr>
            <w:tcW w:w="701" w:type="dxa"/>
            <w:vMerge w:val="continue"/>
            <w:shd w:val="clear" w:color="auto" w:fill="auto"/>
            <w:vAlign w:val="center"/>
          </w:tcPr>
          <w:p w14:paraId="000E662D">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宋体" w:hAnsi="宋体" w:eastAsia="宋体" w:cs="宋体"/>
                <w:kern w:val="2"/>
                <w:sz w:val="21"/>
                <w:szCs w:val="21"/>
                <w:highlight w:val="none"/>
                <w:lang w:val="en-US" w:eastAsia="zh-CN" w:bidi="ar-SA"/>
              </w:rPr>
            </w:pPr>
          </w:p>
        </w:tc>
        <w:tc>
          <w:tcPr>
            <w:tcW w:w="658" w:type="dxa"/>
            <w:shd w:val="clear" w:color="auto" w:fill="auto"/>
            <w:vAlign w:val="center"/>
          </w:tcPr>
          <w:p w14:paraId="79E847B0">
            <w:pPr>
              <w:keepNext w:val="0"/>
              <w:keepLines w:val="0"/>
              <w:pageBreakBefore w:val="0"/>
              <w:widowControl/>
              <w:tabs>
                <w:tab w:val="center" w:pos="4153"/>
                <w:tab w:val="right" w:pos="8306"/>
              </w:tabs>
              <w:kinsoku/>
              <w:wordWrap/>
              <w:overflowPunct/>
              <w:topLinePunct w:val="0"/>
              <w:autoSpaceDE/>
              <w:autoSpaceDN/>
              <w:bidi w:val="0"/>
              <w:adjustRightInd/>
              <w:snapToGrid/>
              <w:spacing w:line="300" w:lineRule="exact"/>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ru-RU" w:eastAsia="zh-CN" w:bidi="ar-SA"/>
              </w:rPr>
              <w:t>政策</w:t>
            </w:r>
            <w:r>
              <w:rPr>
                <w:rFonts w:hint="eastAsia" w:ascii="宋体" w:hAnsi="宋体" w:eastAsia="宋体" w:cs="宋体"/>
                <w:kern w:val="2"/>
                <w:sz w:val="21"/>
                <w:szCs w:val="21"/>
                <w:highlight w:val="none"/>
                <w:lang w:val="ru-RU" w:eastAsia="zh-Hans" w:bidi="ar-SA"/>
              </w:rPr>
              <w:t>加分</w:t>
            </w:r>
            <w:r>
              <w:rPr>
                <w:rFonts w:hint="eastAsia" w:ascii="宋体" w:hAnsi="宋体" w:eastAsia="宋体" w:cs="宋体"/>
                <w:kern w:val="2"/>
                <w:sz w:val="21"/>
                <w:szCs w:val="21"/>
                <w:highlight w:val="none"/>
                <w:lang w:val="ru-RU" w:eastAsia="zh-CN" w:bidi="ar-SA"/>
              </w:rPr>
              <w:t>1分</w:t>
            </w:r>
          </w:p>
        </w:tc>
        <w:tc>
          <w:tcPr>
            <w:tcW w:w="6391" w:type="dxa"/>
            <w:shd w:val="clear" w:color="auto" w:fill="auto"/>
            <w:vAlign w:val="center"/>
          </w:tcPr>
          <w:p w14:paraId="24A877F7">
            <w:pPr>
              <w:tabs>
                <w:tab w:val="left" w:pos="4469"/>
              </w:tabs>
              <w:rPr>
                <w:rFonts w:hint="eastAsia" w:ascii="宋体" w:hAnsi="宋体" w:cs="宋体"/>
                <w:color w:val="auto"/>
                <w:sz w:val="21"/>
                <w:szCs w:val="21"/>
                <w:highlight w:val="none"/>
              </w:rPr>
            </w:pPr>
            <w:r>
              <w:rPr>
                <w:rFonts w:hint="eastAsia" w:ascii="宋体" w:hAnsi="宋体" w:cs="宋体"/>
                <w:color w:val="auto"/>
                <w:sz w:val="21"/>
                <w:szCs w:val="21"/>
                <w:highlight w:val="none"/>
              </w:rPr>
              <w:t>节能环保政策（1分）</w:t>
            </w:r>
          </w:p>
          <w:p w14:paraId="1B400D7B">
            <w:pPr>
              <w:tabs>
                <w:tab w:val="left" w:pos="4469"/>
              </w:tabs>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投标产品</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除三联水嘴外）</w:t>
            </w:r>
            <w:r>
              <w:rPr>
                <w:rFonts w:hint="eastAsia" w:ascii="宋体" w:hAnsi="宋体" w:cs="宋体"/>
                <w:color w:val="auto"/>
                <w:sz w:val="21"/>
                <w:szCs w:val="21"/>
                <w:highlight w:val="none"/>
              </w:rPr>
              <w:t>属于《节能产品政府采购品目清单》范围的且具有国家确定的认证机构出具的、处于有效期之内的节能产品认证证书的得0.5分；</w:t>
            </w:r>
          </w:p>
          <w:p w14:paraId="429B6735">
            <w:pPr>
              <w:tabs>
                <w:tab w:val="left" w:pos="4469"/>
              </w:tabs>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2</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投标产品属于《环境标志产品政府采购品目清单》范围的且具有国家确定的认证机构出具的、处于有效期之内的环境标志产品认证证书的得0.5分。</w:t>
            </w:r>
          </w:p>
          <w:p w14:paraId="2E161BF0">
            <w:pPr>
              <w:rPr>
                <w:rFonts w:hint="eastAsia" w:ascii="宋体" w:hAnsi="宋体" w:eastAsia="宋体" w:cs="宋体"/>
                <w:kern w:val="2"/>
                <w:sz w:val="21"/>
                <w:szCs w:val="21"/>
                <w:highlight w:val="none"/>
                <w:lang w:val="en-US" w:eastAsia="zh-CN" w:bidi="ar-SA"/>
              </w:rPr>
            </w:pPr>
            <w:r>
              <w:rPr>
                <w:rFonts w:hint="eastAsia" w:ascii="宋体" w:hAnsi="宋体" w:cs="宋体"/>
                <w:color w:val="auto"/>
                <w:sz w:val="21"/>
                <w:szCs w:val="21"/>
                <w:highlight w:val="none"/>
              </w:rPr>
              <w:t>注：投标文件中必须同时提供以下资料：（1）提供政府采购品目清单相关内容页（并对相关内容作圈记），采购品目清单详见《关于印发环境标志产品政府采购品目清单的通知》（财库〔2019〕18号）和《关于印发节能产品政府采购品目清单的通知》（财库〔2019〕19号）。（2）《市场监管总局关于发布参与实施政府采购节能产品、环境标志产品认证机构名录的公告》中的认证机构出具的、处于有效期之内的节能产品/环境标志产品认证证书复印件并加盖公章。</w:t>
            </w:r>
          </w:p>
        </w:tc>
        <w:tc>
          <w:tcPr>
            <w:tcW w:w="645" w:type="dxa"/>
            <w:vAlign w:val="center"/>
          </w:tcPr>
          <w:p w14:paraId="563C14A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w:t>
            </w:r>
          </w:p>
        </w:tc>
        <w:tc>
          <w:tcPr>
            <w:tcW w:w="723" w:type="dxa"/>
            <w:vAlign w:val="center"/>
          </w:tcPr>
          <w:p w14:paraId="1F33A39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cs="宋体"/>
                <w:bCs/>
                <w:kern w:val="2"/>
                <w:sz w:val="21"/>
                <w:szCs w:val="21"/>
                <w:highlight w:val="none"/>
                <w:lang w:val="en-US" w:eastAsia="zh-CN"/>
              </w:rPr>
            </w:pPr>
            <w:r>
              <w:rPr>
                <w:rFonts w:hint="eastAsia" w:ascii="宋体" w:hAnsi="宋体" w:cs="宋体"/>
                <w:bCs/>
                <w:kern w:val="2"/>
                <w:sz w:val="21"/>
                <w:szCs w:val="21"/>
                <w:highlight w:val="none"/>
                <w:lang w:val="en-US" w:eastAsia="zh-CN"/>
              </w:rPr>
              <w:t>客观分</w:t>
            </w:r>
          </w:p>
        </w:tc>
      </w:tr>
      <w:tr w14:paraId="51B98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3" w:hRule="atLeast"/>
          <w:jc w:val="center"/>
        </w:trPr>
        <w:tc>
          <w:tcPr>
            <w:tcW w:w="7750" w:type="dxa"/>
            <w:gridSpan w:val="3"/>
            <w:shd w:val="clear" w:color="auto" w:fill="auto"/>
            <w:vAlign w:val="center"/>
          </w:tcPr>
          <w:p w14:paraId="6E062291">
            <w:pPr>
              <w:keepNext w:val="0"/>
              <w:keepLines w:val="0"/>
              <w:pageBreakBefore w:val="0"/>
              <w:widowControl/>
              <w:tabs>
                <w:tab w:val="left" w:pos="1617"/>
              </w:tabs>
              <w:kinsoku/>
              <w:wordWrap/>
              <w:overflowPunct/>
              <w:topLinePunct w:val="0"/>
              <w:autoSpaceDE/>
              <w:autoSpaceDN/>
              <w:bidi w:val="0"/>
              <w:adjustRightInd/>
              <w:snapToGrid/>
              <w:spacing w:line="300" w:lineRule="exact"/>
              <w:jc w:val="center"/>
              <w:textAlignment w:val="auto"/>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合计</w:t>
            </w:r>
          </w:p>
        </w:tc>
        <w:tc>
          <w:tcPr>
            <w:tcW w:w="645" w:type="dxa"/>
            <w:vAlign w:val="center"/>
          </w:tcPr>
          <w:p w14:paraId="21D7FE27">
            <w:pPr>
              <w:keepNext w:val="0"/>
              <w:keepLines w:val="0"/>
              <w:pageBreakBefore w:val="0"/>
              <w:widowControl/>
              <w:tabs>
                <w:tab w:val="center" w:pos="4153"/>
                <w:tab w:val="right" w:pos="8306"/>
              </w:tabs>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100</w:t>
            </w:r>
          </w:p>
        </w:tc>
        <w:tc>
          <w:tcPr>
            <w:tcW w:w="723" w:type="dxa"/>
            <w:vAlign w:val="center"/>
          </w:tcPr>
          <w:p w14:paraId="225F9ED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cs="宋体"/>
                <w:bCs/>
                <w:kern w:val="2"/>
                <w:sz w:val="21"/>
                <w:szCs w:val="21"/>
                <w:highlight w:val="none"/>
                <w:lang w:val="en-US" w:eastAsia="zh-CN"/>
              </w:rPr>
            </w:pPr>
          </w:p>
        </w:tc>
      </w:tr>
    </w:tbl>
    <w:p w14:paraId="2BDA054A">
      <w:pPr>
        <w:pStyle w:val="18"/>
        <w:keepNext w:val="0"/>
        <w:keepLines w:val="0"/>
        <w:pageBreakBefore w:val="0"/>
        <w:widowControl w:val="0"/>
        <w:kinsoku/>
        <w:overflowPunct/>
        <w:topLinePunct w:val="0"/>
        <w:autoSpaceDE/>
        <w:autoSpaceDN/>
        <w:bidi w:val="0"/>
        <w:snapToGrid/>
        <w:spacing w:after="0" w:line="360" w:lineRule="auto"/>
        <w:ind w:left="0" w:leftChars="0" w:firstLine="0" w:firstLineChars="0"/>
        <w:rPr>
          <w:rFonts w:hint="eastAsia" w:ascii="宋体" w:hAnsi="宋体"/>
          <w:b/>
          <w:color w:val="auto"/>
          <w:sz w:val="21"/>
          <w:szCs w:val="21"/>
          <w:highlight w:val="none"/>
        </w:rPr>
      </w:pPr>
      <w:r>
        <w:rPr>
          <w:rFonts w:hint="eastAsia" w:ascii="宋体" w:hAnsi="宋体"/>
          <w:b/>
          <w:color w:val="auto"/>
          <w:sz w:val="21"/>
          <w:szCs w:val="21"/>
          <w:highlight w:val="none"/>
        </w:rPr>
        <w:t>注：1、各评委成员自行按以上参考分值评分，评分小数点后保留二位数。</w:t>
      </w:r>
    </w:p>
    <w:p w14:paraId="7C21D72E">
      <w:pPr>
        <w:pStyle w:val="18"/>
        <w:keepNext w:val="0"/>
        <w:keepLines w:val="0"/>
        <w:pageBreakBefore w:val="0"/>
        <w:widowControl w:val="0"/>
        <w:kinsoku/>
        <w:overflowPunct/>
        <w:topLinePunct w:val="0"/>
        <w:autoSpaceDE/>
        <w:autoSpaceDN/>
        <w:bidi w:val="0"/>
        <w:snapToGrid/>
        <w:spacing w:after="0" w:line="360" w:lineRule="auto"/>
        <w:ind w:left="0" w:leftChars="0" w:firstLine="422" w:firstLineChars="200"/>
        <w:rPr>
          <w:rFonts w:hint="eastAsia" w:ascii="宋体" w:hAnsi="宋体"/>
          <w:b/>
          <w:color w:val="auto"/>
          <w:sz w:val="21"/>
          <w:szCs w:val="21"/>
          <w:highlight w:val="none"/>
        </w:rPr>
      </w:pPr>
      <w:r>
        <w:rPr>
          <w:rFonts w:hint="eastAsia" w:ascii="宋体" w:hAnsi="宋体"/>
          <w:b/>
          <w:color w:val="auto"/>
          <w:sz w:val="21"/>
          <w:szCs w:val="21"/>
          <w:highlight w:val="none"/>
        </w:rPr>
        <w:t>2、表内要求提供的资料，未按要求提供的均不得分。</w:t>
      </w:r>
    </w:p>
    <w:p w14:paraId="5A0FF638">
      <w:pPr>
        <w:pStyle w:val="18"/>
        <w:keepNext w:val="0"/>
        <w:keepLines w:val="0"/>
        <w:pageBreakBefore w:val="0"/>
        <w:widowControl w:val="0"/>
        <w:kinsoku/>
        <w:overflowPunct/>
        <w:topLinePunct w:val="0"/>
        <w:autoSpaceDE/>
        <w:autoSpaceDN/>
        <w:bidi w:val="0"/>
        <w:snapToGrid/>
        <w:spacing w:after="0" w:line="360" w:lineRule="auto"/>
        <w:ind w:left="0" w:leftChars="0" w:firstLine="422" w:firstLineChars="200"/>
        <w:rPr>
          <w:rFonts w:hint="eastAsia" w:ascii="宋体" w:hAnsi="宋体"/>
          <w:b/>
          <w:color w:val="auto"/>
          <w:sz w:val="21"/>
          <w:szCs w:val="21"/>
          <w:highlight w:val="none"/>
        </w:rPr>
      </w:pPr>
      <w:r>
        <w:rPr>
          <w:rFonts w:hint="eastAsia" w:ascii="宋体" w:hAnsi="宋体"/>
          <w:b/>
          <w:color w:val="auto"/>
          <w:sz w:val="21"/>
          <w:szCs w:val="21"/>
          <w:highlight w:val="none"/>
          <w:lang w:val="en-US" w:eastAsia="zh-CN"/>
        </w:rPr>
        <w:t>3</w:t>
      </w:r>
      <w:r>
        <w:rPr>
          <w:rFonts w:hint="eastAsia" w:ascii="宋体" w:hAnsi="宋体"/>
          <w:b/>
          <w:color w:val="auto"/>
          <w:sz w:val="21"/>
          <w:szCs w:val="21"/>
          <w:highlight w:val="none"/>
        </w:rPr>
        <w:t>、本项目核心产品为</w:t>
      </w:r>
      <w:r>
        <w:rPr>
          <w:rFonts w:hint="eastAsia" w:ascii="宋体" w:hAnsi="宋体" w:cs="宋体"/>
          <w:b/>
          <w:bCs/>
          <w:color w:val="auto"/>
          <w:sz w:val="21"/>
          <w:szCs w:val="21"/>
          <w:highlight w:val="none"/>
          <w:u w:val="single"/>
          <w:lang w:val="en-US" w:eastAsia="zh-CN"/>
        </w:rPr>
        <w:t>实验桌（上通风化学实验室)</w:t>
      </w:r>
      <w:r>
        <w:rPr>
          <w:rFonts w:hint="eastAsia" w:ascii="宋体" w:hAnsi="宋体"/>
          <w:b/>
          <w:color w:val="auto"/>
          <w:sz w:val="21"/>
          <w:szCs w:val="21"/>
          <w:highlight w:val="none"/>
        </w:rPr>
        <w:t>，如多家投标人提供的核心产品品牌相同的，按一家投标人计算，评审后综合得分最高的同品牌投标人获得中标候选人推荐资格；综合得分相同的，由评标委员会采取随机抽取方式确定，其他同品牌供应商不作为中标候选人。</w:t>
      </w:r>
    </w:p>
    <w:p w14:paraId="6C8D7DDF">
      <w:pPr>
        <w:pStyle w:val="19"/>
        <w:ind w:left="0" w:leftChars="0" w:firstLine="0" w:firstLineChars="0"/>
        <w:rPr>
          <w:color w:val="auto"/>
          <w:highlight w:val="none"/>
        </w:rPr>
      </w:pPr>
    </w:p>
    <w:p w14:paraId="78855175">
      <w:pPr>
        <w:pStyle w:val="49"/>
        <w:ind w:firstLine="0"/>
        <w:rPr>
          <w:rFonts w:ascii="宋体" w:hAnsi="宋体"/>
          <w:b/>
          <w:color w:val="auto"/>
          <w:szCs w:val="21"/>
          <w:highlight w:val="none"/>
        </w:rPr>
      </w:pPr>
    </w:p>
    <w:p w14:paraId="0F68FA4A">
      <w:pPr>
        <w:rPr>
          <w:color w:val="auto"/>
          <w:highlight w:val="none"/>
        </w:rPr>
      </w:pPr>
    </w:p>
    <w:bookmarkEnd w:id="132"/>
    <w:p w14:paraId="7567DFF5">
      <w:pPr>
        <w:spacing w:line="480" w:lineRule="auto"/>
        <w:jc w:val="center"/>
        <w:rPr>
          <w:rStyle w:val="137"/>
          <w:color w:val="auto"/>
          <w:highlight w:val="none"/>
        </w:rPr>
        <w:sectPr>
          <w:pgSz w:w="11906" w:h="16838"/>
          <w:pgMar w:top="1417" w:right="1417" w:bottom="1587" w:left="1587" w:header="851" w:footer="850" w:gutter="0"/>
          <w:pgBorders>
            <w:top w:val="none" w:sz="0" w:space="0"/>
            <w:left w:val="none" w:sz="0" w:space="0"/>
            <w:bottom w:val="none" w:sz="0" w:space="0"/>
            <w:right w:val="none" w:sz="0" w:space="0"/>
          </w:pgBorders>
          <w:cols w:space="0" w:num="1"/>
          <w:docGrid w:linePitch="312" w:charSpace="0"/>
        </w:sectPr>
      </w:pPr>
      <w:bookmarkStart w:id="134" w:name="_Toc241827252"/>
      <w:bookmarkStart w:id="135" w:name="_Toc86202637"/>
      <w:bookmarkStart w:id="136" w:name="_Toc241827256"/>
    </w:p>
    <w:p w14:paraId="2899F290">
      <w:pPr>
        <w:spacing w:line="480" w:lineRule="auto"/>
        <w:jc w:val="center"/>
        <w:rPr>
          <w:rFonts w:ascii="宋体"/>
          <w:color w:val="auto"/>
          <w:sz w:val="32"/>
          <w:szCs w:val="32"/>
          <w:highlight w:val="none"/>
        </w:rPr>
      </w:pPr>
      <w:bookmarkStart w:id="137" w:name="_Toc32656"/>
      <w:r>
        <w:rPr>
          <w:rStyle w:val="137"/>
          <w:rFonts w:hint="eastAsia"/>
          <w:color w:val="auto"/>
          <w:highlight w:val="none"/>
        </w:rPr>
        <w:t xml:space="preserve">第六章  </w:t>
      </w:r>
      <w:bookmarkStart w:id="138" w:name="_Toc86202632"/>
      <w:r>
        <w:rPr>
          <w:rStyle w:val="137"/>
          <w:rFonts w:hint="eastAsia"/>
          <w:color w:val="auto"/>
          <w:highlight w:val="none"/>
        </w:rPr>
        <w:t>投标文件格式</w:t>
      </w:r>
      <w:bookmarkEnd w:id="134"/>
      <w:bookmarkEnd w:id="137"/>
      <w:bookmarkEnd w:id="138"/>
      <w:bookmarkStart w:id="139" w:name="_Toc86202633"/>
    </w:p>
    <w:bookmarkEnd w:id="139"/>
    <w:p w14:paraId="721FC218">
      <w:pPr>
        <w:rPr>
          <w:rFonts w:ascii="宋体"/>
          <w:color w:val="auto"/>
          <w:sz w:val="21"/>
          <w:szCs w:val="21"/>
          <w:highlight w:val="none"/>
        </w:rPr>
      </w:pPr>
    </w:p>
    <w:bookmarkEnd w:id="135"/>
    <w:bookmarkEnd w:id="136"/>
    <w:p w14:paraId="106A3CC5">
      <w:pPr>
        <w:spacing w:line="360" w:lineRule="auto"/>
        <w:rPr>
          <w:rFonts w:ascii="宋体"/>
          <w:b/>
          <w:color w:val="auto"/>
          <w:sz w:val="32"/>
          <w:szCs w:val="32"/>
          <w:highlight w:val="none"/>
        </w:rPr>
      </w:pPr>
      <w:r>
        <w:rPr>
          <w:rFonts w:hint="eastAsia" w:ascii="宋体"/>
          <w:b/>
          <w:color w:val="auto"/>
          <w:sz w:val="32"/>
          <w:szCs w:val="32"/>
          <w:highlight w:val="none"/>
        </w:rPr>
        <w:t xml:space="preserve">封面                                       </w:t>
      </w:r>
    </w:p>
    <w:p w14:paraId="13CF31E3">
      <w:pPr>
        <w:spacing w:line="360" w:lineRule="auto"/>
        <w:jc w:val="right"/>
        <w:rPr>
          <w:rFonts w:ascii="宋体"/>
          <w:b/>
          <w:color w:val="auto"/>
          <w:sz w:val="32"/>
          <w:szCs w:val="32"/>
          <w:highlight w:val="none"/>
        </w:rPr>
      </w:pPr>
    </w:p>
    <w:p w14:paraId="0BA6E935">
      <w:pPr>
        <w:spacing w:line="360" w:lineRule="auto"/>
        <w:rPr>
          <w:rFonts w:ascii="宋体"/>
          <w:color w:val="auto"/>
          <w:sz w:val="28"/>
          <w:szCs w:val="28"/>
          <w:highlight w:val="none"/>
        </w:rPr>
      </w:pPr>
    </w:p>
    <w:p w14:paraId="681BFBB7">
      <w:pPr>
        <w:spacing w:after="120" w:line="900" w:lineRule="exact"/>
        <w:jc w:val="center"/>
        <w:rPr>
          <w:rFonts w:hint="eastAsia" w:ascii="宋体" w:eastAsia="宋体"/>
          <w:color w:val="auto"/>
          <w:sz w:val="42"/>
          <w:szCs w:val="52"/>
          <w:highlight w:val="none"/>
          <w:u w:val="wave"/>
          <w:lang w:eastAsia="zh-CN"/>
        </w:rPr>
      </w:pPr>
      <w:r>
        <w:rPr>
          <w:rFonts w:hint="eastAsia" w:ascii="宋体" w:hAnsi="Times New Roman" w:eastAsia="宋体" w:cs="Times New Roman"/>
          <w:b/>
          <w:color w:val="auto"/>
          <w:sz w:val="44"/>
          <w:szCs w:val="50"/>
          <w:highlight w:val="none"/>
          <w:lang w:eastAsia="zh-CN"/>
        </w:rPr>
        <w:t>宁波高新区求精书院理化生实验室（初中部）设施设备采购项目（二期）</w:t>
      </w:r>
    </w:p>
    <w:p w14:paraId="13F51C43">
      <w:pPr>
        <w:spacing w:line="360" w:lineRule="auto"/>
        <w:jc w:val="center"/>
        <w:rPr>
          <w:rFonts w:hint="eastAsia" w:ascii="宋体"/>
          <w:color w:val="auto"/>
          <w:sz w:val="36"/>
          <w:szCs w:val="36"/>
          <w:highlight w:val="none"/>
        </w:rPr>
      </w:pPr>
    </w:p>
    <w:p w14:paraId="3515EBC7">
      <w:pPr>
        <w:spacing w:line="360" w:lineRule="auto"/>
        <w:jc w:val="center"/>
        <w:rPr>
          <w:rFonts w:hint="eastAsia" w:ascii="宋体" w:eastAsia="宋体"/>
          <w:color w:val="auto"/>
          <w:sz w:val="36"/>
          <w:szCs w:val="36"/>
          <w:highlight w:val="none"/>
          <w:lang w:eastAsia="zh-CN"/>
        </w:rPr>
      </w:pPr>
      <w:r>
        <w:rPr>
          <w:rFonts w:hint="eastAsia" w:ascii="宋体"/>
          <w:color w:val="auto"/>
          <w:sz w:val="36"/>
          <w:szCs w:val="36"/>
          <w:highlight w:val="none"/>
        </w:rPr>
        <w:t>采购编号：</w:t>
      </w:r>
      <w:r>
        <w:rPr>
          <w:rFonts w:hint="eastAsia" w:ascii="宋体"/>
          <w:color w:val="auto"/>
          <w:sz w:val="36"/>
          <w:szCs w:val="36"/>
          <w:highlight w:val="none"/>
          <w:u w:val="single"/>
          <w:lang w:eastAsia="zh-CN"/>
        </w:rPr>
        <w:t>NBITC-202530765G</w:t>
      </w:r>
    </w:p>
    <w:p w14:paraId="382F7EE3">
      <w:pPr>
        <w:spacing w:line="360" w:lineRule="auto"/>
        <w:jc w:val="center"/>
        <w:rPr>
          <w:rFonts w:ascii="宋体"/>
          <w:color w:val="auto"/>
          <w:sz w:val="36"/>
          <w:szCs w:val="36"/>
          <w:highlight w:val="none"/>
        </w:rPr>
      </w:pPr>
      <w:r>
        <w:rPr>
          <w:rFonts w:hint="eastAsia" w:ascii="宋体"/>
          <w:color w:val="auto"/>
          <w:sz w:val="36"/>
          <w:szCs w:val="36"/>
          <w:highlight w:val="none"/>
        </w:rPr>
        <w:t>子    包：</w:t>
      </w:r>
      <w:r>
        <w:rPr>
          <w:rFonts w:hint="eastAsia" w:ascii="宋体"/>
          <w:color w:val="auto"/>
          <w:sz w:val="36"/>
          <w:szCs w:val="36"/>
          <w:highlight w:val="none"/>
          <w:u w:val="single"/>
        </w:rPr>
        <w:t>（如有多个标项）</w:t>
      </w:r>
    </w:p>
    <w:p w14:paraId="7013F1E0">
      <w:pPr>
        <w:rPr>
          <w:rFonts w:ascii="宋体"/>
          <w:color w:val="auto"/>
          <w:sz w:val="28"/>
          <w:szCs w:val="28"/>
          <w:highlight w:val="none"/>
        </w:rPr>
      </w:pPr>
    </w:p>
    <w:p w14:paraId="006ADA58">
      <w:pPr>
        <w:spacing w:line="360" w:lineRule="auto"/>
        <w:jc w:val="center"/>
        <w:rPr>
          <w:rFonts w:ascii="宋体"/>
          <w:color w:val="auto"/>
          <w:sz w:val="36"/>
          <w:szCs w:val="36"/>
          <w:highlight w:val="none"/>
        </w:rPr>
      </w:pPr>
      <w:r>
        <w:rPr>
          <w:rFonts w:hint="eastAsia" w:ascii="宋体"/>
          <w:color w:val="auto"/>
          <w:sz w:val="36"/>
          <w:szCs w:val="36"/>
          <w:highlight w:val="none"/>
        </w:rPr>
        <w:t>（</w:t>
      </w:r>
      <w:r>
        <w:rPr>
          <w:rFonts w:hint="eastAsia" w:ascii="宋体"/>
          <w:color w:val="auto"/>
          <w:sz w:val="36"/>
          <w:szCs w:val="36"/>
          <w:highlight w:val="none"/>
          <w:lang w:eastAsia="zh-CN"/>
        </w:rPr>
        <w:t>资格文件</w:t>
      </w:r>
      <w:r>
        <w:rPr>
          <w:rFonts w:hint="eastAsia" w:ascii="宋体"/>
          <w:color w:val="auto"/>
          <w:sz w:val="36"/>
          <w:szCs w:val="36"/>
          <w:highlight w:val="none"/>
        </w:rPr>
        <w:t>）</w:t>
      </w:r>
    </w:p>
    <w:p w14:paraId="311A0CAC">
      <w:pPr>
        <w:jc w:val="center"/>
        <w:rPr>
          <w:rFonts w:ascii="宋体"/>
          <w:color w:val="auto"/>
          <w:sz w:val="28"/>
          <w:szCs w:val="28"/>
          <w:highlight w:val="none"/>
        </w:rPr>
      </w:pPr>
    </w:p>
    <w:p w14:paraId="2349D541">
      <w:pPr>
        <w:spacing w:line="360" w:lineRule="auto"/>
        <w:jc w:val="center"/>
        <w:rPr>
          <w:rFonts w:ascii="宋体"/>
          <w:b/>
          <w:color w:val="auto"/>
          <w:sz w:val="72"/>
          <w:szCs w:val="72"/>
          <w:highlight w:val="none"/>
        </w:rPr>
      </w:pPr>
      <w:r>
        <w:rPr>
          <w:rFonts w:hint="eastAsia" w:ascii="宋体"/>
          <w:b/>
          <w:color w:val="auto"/>
          <w:sz w:val="72"/>
          <w:szCs w:val="72"/>
          <w:highlight w:val="none"/>
        </w:rPr>
        <w:t>投标文件</w:t>
      </w:r>
    </w:p>
    <w:p w14:paraId="02728A43">
      <w:pPr>
        <w:spacing w:line="360" w:lineRule="auto"/>
        <w:jc w:val="center"/>
        <w:rPr>
          <w:rFonts w:ascii="宋体"/>
          <w:color w:val="auto"/>
          <w:sz w:val="36"/>
          <w:szCs w:val="36"/>
          <w:highlight w:val="none"/>
        </w:rPr>
      </w:pPr>
    </w:p>
    <w:p w14:paraId="692C8EAB">
      <w:pPr>
        <w:spacing w:line="360" w:lineRule="auto"/>
        <w:jc w:val="center"/>
        <w:rPr>
          <w:rFonts w:ascii="宋体"/>
          <w:color w:val="auto"/>
          <w:sz w:val="36"/>
          <w:szCs w:val="36"/>
          <w:highlight w:val="none"/>
        </w:rPr>
      </w:pPr>
    </w:p>
    <w:p w14:paraId="24AEF79E">
      <w:pPr>
        <w:spacing w:line="360" w:lineRule="auto"/>
        <w:jc w:val="center"/>
        <w:rPr>
          <w:rFonts w:ascii="宋体"/>
          <w:color w:val="auto"/>
          <w:sz w:val="36"/>
          <w:szCs w:val="36"/>
          <w:highlight w:val="none"/>
        </w:rPr>
      </w:pPr>
    </w:p>
    <w:p w14:paraId="1C5DF49E">
      <w:pPr>
        <w:spacing w:line="360" w:lineRule="auto"/>
        <w:jc w:val="center"/>
        <w:rPr>
          <w:rFonts w:ascii="宋体"/>
          <w:color w:val="auto"/>
          <w:sz w:val="36"/>
          <w:szCs w:val="36"/>
          <w:highlight w:val="none"/>
          <w:u w:val="single"/>
        </w:rPr>
      </w:pPr>
      <w:r>
        <w:rPr>
          <w:rFonts w:hint="eastAsia" w:ascii="宋体"/>
          <w:color w:val="auto"/>
          <w:sz w:val="36"/>
          <w:szCs w:val="36"/>
          <w:highlight w:val="none"/>
        </w:rPr>
        <w:t>投标人全称：</w:t>
      </w:r>
      <w:r>
        <w:rPr>
          <w:rFonts w:hint="eastAsia" w:ascii="宋体"/>
          <w:color w:val="auto"/>
          <w:sz w:val="36"/>
          <w:szCs w:val="36"/>
          <w:highlight w:val="none"/>
          <w:u w:val="single"/>
        </w:rPr>
        <w:t>（加盖单位公章）</w:t>
      </w:r>
    </w:p>
    <w:p w14:paraId="10379912">
      <w:pPr>
        <w:pStyle w:val="27"/>
        <w:ind w:left="115" w:leftChars="48" w:firstLine="1680" w:firstLineChars="800"/>
        <w:jc w:val="left"/>
        <w:rPr>
          <w:color w:val="auto"/>
          <w:szCs w:val="28"/>
          <w:highlight w:val="none"/>
          <w:u w:val="single"/>
        </w:rPr>
      </w:pPr>
    </w:p>
    <w:p w14:paraId="344985D5">
      <w:pPr>
        <w:spacing w:line="360" w:lineRule="auto"/>
        <w:jc w:val="center"/>
        <w:rPr>
          <w:rFonts w:ascii="宋体"/>
          <w:color w:val="auto"/>
          <w:sz w:val="36"/>
          <w:szCs w:val="36"/>
          <w:highlight w:val="none"/>
        </w:rPr>
      </w:pPr>
      <w:r>
        <w:rPr>
          <w:rFonts w:hint="eastAsia" w:ascii="宋体"/>
          <w:color w:val="auto"/>
          <w:sz w:val="36"/>
          <w:szCs w:val="36"/>
          <w:highlight w:val="none"/>
        </w:rPr>
        <w:t>年  月  日</w:t>
      </w:r>
    </w:p>
    <w:p w14:paraId="0E7D6CDE">
      <w:pPr>
        <w:spacing w:line="360" w:lineRule="auto"/>
        <w:rPr>
          <w:rStyle w:val="178"/>
          <w:rFonts w:ascii="宋体"/>
          <w:color w:val="auto"/>
          <w:szCs w:val="21"/>
          <w:highlight w:val="none"/>
        </w:rPr>
      </w:pPr>
      <w:r>
        <w:rPr>
          <w:rStyle w:val="178"/>
          <w:rFonts w:hint="eastAsia" w:ascii="宋体"/>
          <w:color w:val="auto"/>
          <w:szCs w:val="21"/>
          <w:highlight w:val="none"/>
        </w:rPr>
        <w:br w:type="page"/>
      </w:r>
    </w:p>
    <w:p w14:paraId="1F2B01EA">
      <w:pPr>
        <w:spacing w:line="400" w:lineRule="exact"/>
        <w:jc w:val="center"/>
        <w:rPr>
          <w:rFonts w:ascii="宋体"/>
          <w:b/>
          <w:color w:val="auto"/>
          <w:szCs w:val="21"/>
          <w:highlight w:val="none"/>
        </w:rPr>
      </w:pPr>
      <w:r>
        <w:rPr>
          <w:rFonts w:hint="eastAsia" w:ascii="宋体"/>
          <w:b/>
          <w:color w:val="auto"/>
          <w:szCs w:val="21"/>
          <w:highlight w:val="none"/>
        </w:rPr>
        <w:t>A1、</w:t>
      </w:r>
      <w:r>
        <w:rPr>
          <w:rStyle w:val="178"/>
          <w:rFonts w:hint="eastAsia" w:ascii="宋体"/>
          <w:color w:val="auto"/>
          <w:sz w:val="21"/>
          <w:szCs w:val="21"/>
          <w:highlight w:val="none"/>
        </w:rPr>
        <w:t>关于</w:t>
      </w:r>
      <w:r>
        <w:rPr>
          <w:rFonts w:hint="eastAsia" w:ascii="宋体"/>
          <w:b/>
          <w:color w:val="auto"/>
          <w:szCs w:val="21"/>
          <w:highlight w:val="none"/>
        </w:rPr>
        <w:t>资格的承诺函</w:t>
      </w:r>
    </w:p>
    <w:p w14:paraId="45C5576E">
      <w:pPr>
        <w:spacing w:line="400" w:lineRule="exact"/>
        <w:rPr>
          <w:rFonts w:ascii="宋体"/>
          <w:b/>
          <w:color w:val="auto"/>
          <w:szCs w:val="21"/>
          <w:highlight w:val="none"/>
        </w:rPr>
      </w:pPr>
      <w:r>
        <w:rPr>
          <w:rFonts w:hint="eastAsia" w:ascii="宋体"/>
          <w:color w:val="auto"/>
          <w:szCs w:val="21"/>
          <w:highlight w:val="none"/>
        </w:rPr>
        <w:t>致：采购人</w:t>
      </w:r>
    </w:p>
    <w:p w14:paraId="748FE5E8">
      <w:pPr>
        <w:spacing w:line="400" w:lineRule="exact"/>
        <w:ind w:firstLine="480" w:firstLineChars="200"/>
        <w:rPr>
          <w:rFonts w:ascii="宋体"/>
          <w:color w:val="auto"/>
          <w:szCs w:val="21"/>
          <w:highlight w:val="none"/>
        </w:rPr>
      </w:pPr>
      <w:r>
        <w:rPr>
          <w:rFonts w:hint="eastAsia" w:ascii="宋体"/>
          <w:bCs/>
          <w:color w:val="auto"/>
          <w:szCs w:val="21"/>
          <w:highlight w:val="none"/>
        </w:rPr>
        <w:t>我单位承诺：</w:t>
      </w:r>
    </w:p>
    <w:p w14:paraId="610907D1">
      <w:pPr>
        <w:spacing w:line="400" w:lineRule="exact"/>
        <w:ind w:firstLine="480" w:firstLineChars="200"/>
        <w:rPr>
          <w:rFonts w:ascii="宋体"/>
          <w:color w:val="auto"/>
          <w:szCs w:val="21"/>
          <w:highlight w:val="none"/>
        </w:rPr>
      </w:pPr>
      <w:r>
        <w:rPr>
          <w:rFonts w:hint="eastAsia" w:ascii="宋体"/>
          <w:color w:val="auto"/>
          <w:szCs w:val="21"/>
          <w:highlight w:val="none"/>
        </w:rPr>
        <w:t>我单位满足《中华人民共和国政府采购法》第二十二条 投标人参加政府采购活动应当具备的下列条件：</w:t>
      </w:r>
    </w:p>
    <w:p w14:paraId="2E5E9FBF">
      <w:pPr>
        <w:spacing w:line="400" w:lineRule="exact"/>
        <w:ind w:firstLine="480" w:firstLineChars="200"/>
        <w:rPr>
          <w:rFonts w:ascii="宋体"/>
          <w:color w:val="auto"/>
          <w:szCs w:val="21"/>
          <w:highlight w:val="none"/>
        </w:rPr>
      </w:pPr>
      <w:r>
        <w:rPr>
          <w:rFonts w:hint="eastAsia" w:ascii="宋体"/>
          <w:color w:val="auto"/>
          <w:szCs w:val="21"/>
          <w:highlight w:val="none"/>
        </w:rPr>
        <w:t>（一）具有独立承担民事责任的能力；</w:t>
      </w:r>
    </w:p>
    <w:p w14:paraId="17EC3508">
      <w:pPr>
        <w:spacing w:line="400" w:lineRule="exact"/>
        <w:ind w:firstLine="480" w:firstLineChars="200"/>
        <w:rPr>
          <w:rFonts w:ascii="宋体"/>
          <w:color w:val="auto"/>
          <w:szCs w:val="21"/>
          <w:highlight w:val="none"/>
        </w:rPr>
      </w:pPr>
      <w:r>
        <w:rPr>
          <w:rFonts w:hint="eastAsia" w:ascii="宋体"/>
          <w:color w:val="auto"/>
          <w:szCs w:val="21"/>
          <w:highlight w:val="none"/>
        </w:rPr>
        <w:t>（二）具有良好的商业信誉和健全的财务会计制度；</w:t>
      </w:r>
    </w:p>
    <w:p w14:paraId="380DA29C">
      <w:pPr>
        <w:spacing w:line="400" w:lineRule="exact"/>
        <w:ind w:firstLine="480" w:firstLineChars="200"/>
        <w:rPr>
          <w:rFonts w:ascii="宋体"/>
          <w:color w:val="auto"/>
          <w:szCs w:val="21"/>
          <w:highlight w:val="none"/>
        </w:rPr>
      </w:pPr>
      <w:r>
        <w:rPr>
          <w:rFonts w:hint="eastAsia" w:ascii="宋体"/>
          <w:color w:val="auto"/>
          <w:szCs w:val="21"/>
          <w:highlight w:val="none"/>
        </w:rPr>
        <w:t>（三）具有履行合同所必需的设备和专业技术能力；</w:t>
      </w:r>
    </w:p>
    <w:p w14:paraId="1D1310D2">
      <w:pPr>
        <w:spacing w:line="400" w:lineRule="exact"/>
        <w:ind w:firstLine="480" w:firstLineChars="200"/>
        <w:rPr>
          <w:rFonts w:ascii="宋体"/>
          <w:color w:val="auto"/>
          <w:szCs w:val="21"/>
          <w:highlight w:val="none"/>
        </w:rPr>
      </w:pPr>
      <w:r>
        <w:rPr>
          <w:rFonts w:hint="eastAsia" w:ascii="宋体"/>
          <w:color w:val="auto"/>
          <w:szCs w:val="21"/>
          <w:highlight w:val="none"/>
        </w:rPr>
        <w:t>（四）有依法缴纳税收和社会保障资金的良好记录；</w:t>
      </w:r>
    </w:p>
    <w:p w14:paraId="790B7E4F">
      <w:pPr>
        <w:spacing w:line="400" w:lineRule="exact"/>
        <w:ind w:firstLine="480" w:firstLineChars="200"/>
        <w:rPr>
          <w:rFonts w:ascii="宋体"/>
          <w:color w:val="auto"/>
          <w:szCs w:val="21"/>
          <w:highlight w:val="none"/>
        </w:rPr>
      </w:pPr>
      <w:r>
        <w:rPr>
          <w:rFonts w:hint="eastAsia" w:ascii="宋体"/>
          <w:color w:val="auto"/>
          <w:szCs w:val="21"/>
          <w:highlight w:val="none"/>
        </w:rPr>
        <w:t>（五）参加政府采购活动前三年内，在经营活动中没有重大违法记录；</w:t>
      </w:r>
    </w:p>
    <w:p w14:paraId="03722762">
      <w:pPr>
        <w:spacing w:line="400" w:lineRule="exact"/>
        <w:ind w:firstLine="480" w:firstLineChars="200"/>
        <w:rPr>
          <w:rFonts w:ascii="宋体"/>
          <w:color w:val="auto"/>
          <w:szCs w:val="21"/>
          <w:highlight w:val="none"/>
        </w:rPr>
      </w:pPr>
      <w:r>
        <w:rPr>
          <w:rFonts w:hint="eastAsia" w:ascii="宋体"/>
          <w:color w:val="auto"/>
          <w:szCs w:val="21"/>
          <w:highlight w:val="none"/>
        </w:rPr>
        <w:t>（六）法律、行政法规规定的其他条件。</w:t>
      </w:r>
    </w:p>
    <w:p w14:paraId="7D4ABB82">
      <w:pPr>
        <w:spacing w:line="400" w:lineRule="exact"/>
        <w:ind w:firstLine="480" w:firstLineChars="200"/>
        <w:rPr>
          <w:rFonts w:ascii="宋体"/>
          <w:color w:val="auto"/>
          <w:szCs w:val="21"/>
          <w:highlight w:val="none"/>
        </w:rPr>
      </w:pPr>
    </w:p>
    <w:p w14:paraId="2B9767B0">
      <w:pPr>
        <w:spacing w:line="400" w:lineRule="exact"/>
        <w:ind w:firstLine="480" w:firstLineChars="200"/>
        <w:rPr>
          <w:rFonts w:ascii="宋体"/>
          <w:color w:val="auto"/>
          <w:szCs w:val="21"/>
          <w:highlight w:val="none"/>
        </w:rPr>
      </w:pPr>
      <w:r>
        <w:rPr>
          <w:rFonts w:hint="eastAsia" w:ascii="宋体"/>
          <w:color w:val="auto"/>
          <w:szCs w:val="21"/>
          <w:highlight w:val="none"/>
        </w:rPr>
        <w:t>特此承诺。</w:t>
      </w:r>
    </w:p>
    <w:p w14:paraId="66E1959C">
      <w:pPr>
        <w:spacing w:line="400" w:lineRule="exact"/>
        <w:ind w:firstLine="480" w:firstLineChars="200"/>
        <w:rPr>
          <w:rFonts w:ascii="宋体"/>
          <w:color w:val="auto"/>
          <w:szCs w:val="21"/>
          <w:highlight w:val="none"/>
        </w:rPr>
      </w:pPr>
    </w:p>
    <w:p w14:paraId="4846282E">
      <w:pPr>
        <w:spacing w:line="400" w:lineRule="exact"/>
        <w:ind w:firstLine="480" w:firstLineChars="200"/>
        <w:rPr>
          <w:rFonts w:ascii="宋体"/>
          <w:color w:val="auto"/>
          <w:szCs w:val="21"/>
          <w:highlight w:val="none"/>
        </w:rPr>
      </w:pPr>
    </w:p>
    <w:p w14:paraId="60267098">
      <w:pPr>
        <w:spacing w:line="400" w:lineRule="exact"/>
        <w:ind w:firstLine="480" w:firstLineChars="200"/>
        <w:rPr>
          <w:rFonts w:ascii="宋体"/>
          <w:color w:val="auto"/>
          <w:szCs w:val="21"/>
          <w:highlight w:val="none"/>
        </w:rPr>
      </w:pPr>
    </w:p>
    <w:p w14:paraId="2D768A58">
      <w:pPr>
        <w:spacing w:line="400" w:lineRule="exact"/>
        <w:ind w:firstLine="480" w:firstLineChars="200"/>
        <w:rPr>
          <w:rFonts w:ascii="宋体"/>
          <w:color w:val="auto"/>
          <w:szCs w:val="21"/>
          <w:highlight w:val="none"/>
        </w:rPr>
      </w:pPr>
    </w:p>
    <w:p w14:paraId="06081058">
      <w:pPr>
        <w:spacing w:line="400" w:lineRule="exact"/>
        <w:ind w:firstLine="480" w:firstLineChars="200"/>
        <w:rPr>
          <w:rFonts w:ascii="宋体"/>
          <w:color w:val="auto"/>
          <w:szCs w:val="21"/>
          <w:highlight w:val="none"/>
        </w:rPr>
      </w:pPr>
    </w:p>
    <w:p w14:paraId="45A8AB5F">
      <w:pPr>
        <w:spacing w:line="400" w:lineRule="exact"/>
        <w:ind w:firstLine="480" w:firstLineChars="200"/>
        <w:rPr>
          <w:rFonts w:ascii="宋体"/>
          <w:color w:val="auto"/>
          <w:szCs w:val="21"/>
          <w:highlight w:val="none"/>
        </w:rPr>
      </w:pPr>
      <w:r>
        <w:rPr>
          <w:rFonts w:hint="eastAsia" w:ascii="宋体"/>
          <w:color w:val="auto"/>
          <w:szCs w:val="21"/>
          <w:highlight w:val="none"/>
        </w:rPr>
        <w:t xml:space="preserve">投标人（盖章）：          </w:t>
      </w:r>
    </w:p>
    <w:p w14:paraId="49706D7B">
      <w:pPr>
        <w:spacing w:line="400" w:lineRule="exact"/>
        <w:ind w:firstLine="480" w:firstLineChars="200"/>
        <w:rPr>
          <w:rFonts w:ascii="宋体"/>
          <w:color w:val="auto"/>
          <w:szCs w:val="21"/>
          <w:highlight w:val="none"/>
        </w:rPr>
      </w:pPr>
      <w:r>
        <w:rPr>
          <w:rFonts w:hint="eastAsia" w:ascii="宋体"/>
          <w:color w:val="auto"/>
          <w:szCs w:val="21"/>
          <w:highlight w:val="none"/>
        </w:rPr>
        <w:t>日          期：</w:t>
      </w:r>
    </w:p>
    <w:p w14:paraId="3B1FA467">
      <w:pPr>
        <w:spacing w:line="400" w:lineRule="exact"/>
        <w:jc w:val="center"/>
        <w:rPr>
          <w:rStyle w:val="178"/>
          <w:rFonts w:ascii="宋体"/>
          <w:color w:val="auto"/>
          <w:szCs w:val="21"/>
          <w:highlight w:val="none"/>
        </w:rPr>
      </w:pPr>
    </w:p>
    <w:p w14:paraId="566B2E8C">
      <w:pPr>
        <w:spacing w:line="440" w:lineRule="exact"/>
        <w:jc w:val="center"/>
        <w:rPr>
          <w:rStyle w:val="178"/>
          <w:rFonts w:ascii="宋体"/>
          <w:color w:val="auto"/>
          <w:szCs w:val="21"/>
          <w:highlight w:val="none"/>
        </w:rPr>
      </w:pPr>
    </w:p>
    <w:p w14:paraId="276CD365">
      <w:pPr>
        <w:spacing w:line="400" w:lineRule="exact"/>
        <w:rPr>
          <w:rFonts w:ascii="宋体"/>
          <w:b/>
          <w:color w:val="auto"/>
          <w:szCs w:val="21"/>
          <w:highlight w:val="none"/>
        </w:rPr>
      </w:pPr>
      <w:r>
        <w:rPr>
          <w:rStyle w:val="178"/>
          <w:rFonts w:ascii="宋体"/>
          <w:color w:val="auto"/>
          <w:sz w:val="28"/>
          <w:szCs w:val="28"/>
          <w:highlight w:val="none"/>
        </w:rPr>
        <w:br w:type="page"/>
      </w:r>
      <w:r>
        <w:rPr>
          <w:rFonts w:hint="eastAsia" w:ascii="宋体"/>
          <w:b/>
          <w:color w:val="auto"/>
          <w:szCs w:val="21"/>
          <w:highlight w:val="none"/>
        </w:rPr>
        <w:t>A2、营业执照副本（或事业法人登记证副本或其他登记证明材料）扫描件加盖投标人公章（投标人如果有名称变更的，应提供由行政主管部门出具的变更证明文件扫描件加盖投标人公章）；</w:t>
      </w:r>
    </w:p>
    <w:p w14:paraId="288D49C3">
      <w:pPr>
        <w:spacing w:line="400" w:lineRule="exact"/>
        <w:jc w:val="center"/>
        <w:rPr>
          <w:rFonts w:ascii="宋体"/>
          <w:b/>
          <w:color w:val="auto"/>
          <w:szCs w:val="21"/>
          <w:highlight w:val="none"/>
        </w:rPr>
      </w:pPr>
      <w:r>
        <w:rPr>
          <w:rFonts w:ascii="宋体"/>
          <w:b/>
          <w:color w:val="auto"/>
          <w:szCs w:val="21"/>
          <w:highlight w:val="none"/>
        </w:rPr>
        <w:br w:type="page"/>
      </w:r>
    </w:p>
    <w:p w14:paraId="3E816728">
      <w:pPr>
        <w:spacing w:line="400" w:lineRule="exact"/>
        <w:jc w:val="center"/>
        <w:rPr>
          <w:rFonts w:ascii="宋体" w:hAnsi="宋体"/>
          <w:b/>
          <w:color w:val="auto"/>
          <w:highlight w:val="none"/>
        </w:rPr>
      </w:pPr>
      <w:r>
        <w:rPr>
          <w:rFonts w:hint="eastAsia" w:ascii="宋体"/>
          <w:b/>
          <w:color w:val="auto"/>
          <w:kern w:val="2"/>
          <w:sz w:val="21"/>
          <w:szCs w:val="21"/>
          <w:highlight w:val="none"/>
          <w:lang w:val="en-US" w:eastAsia="zh-CN"/>
        </w:rPr>
        <w:t>A</w:t>
      </w:r>
      <w:r>
        <w:rPr>
          <w:rFonts w:ascii="宋体"/>
          <w:b/>
          <w:color w:val="auto"/>
          <w:kern w:val="2"/>
          <w:sz w:val="21"/>
          <w:szCs w:val="21"/>
          <w:highlight w:val="none"/>
        </w:rPr>
        <w:t>3、</w:t>
      </w:r>
      <w:r>
        <w:rPr>
          <w:rFonts w:hint="eastAsia" w:ascii="宋体"/>
          <w:b/>
          <w:color w:val="auto"/>
          <w:kern w:val="2"/>
          <w:sz w:val="21"/>
          <w:szCs w:val="21"/>
          <w:highlight w:val="none"/>
        </w:rPr>
        <w:t>中小企业声明函</w:t>
      </w:r>
    </w:p>
    <w:p w14:paraId="675865A8">
      <w:pPr>
        <w:rPr>
          <w:rFonts w:asciiTheme="minorEastAsia" w:hAnsiTheme="minorEastAsia" w:eastAsiaTheme="minorEastAsia"/>
          <w:color w:val="auto"/>
          <w:highlight w:val="none"/>
        </w:rPr>
      </w:pPr>
    </w:p>
    <w:p w14:paraId="276AF239">
      <w:pPr>
        <w:spacing w:line="360" w:lineRule="auto"/>
        <w:ind w:firstLine="444" w:firstLineChars="200"/>
        <w:rPr>
          <w:rFonts w:hint="eastAsia" w:asciiTheme="minorEastAsia" w:hAnsiTheme="minorEastAsia" w:eastAsiaTheme="minorEastAsia"/>
          <w:color w:val="auto"/>
          <w:spacing w:val="6"/>
          <w:sz w:val="21"/>
          <w:szCs w:val="21"/>
          <w:highlight w:val="none"/>
        </w:rPr>
      </w:pPr>
      <w:r>
        <w:rPr>
          <w:rFonts w:hint="eastAsia" w:asciiTheme="minorEastAsia" w:hAnsiTheme="minorEastAsia" w:eastAsiaTheme="minorEastAsia"/>
          <w:color w:val="auto"/>
          <w:spacing w:val="6"/>
          <w:sz w:val="21"/>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项目的采购活动，提供的货物全部由符合政策要求的中小企业制造。相关企业（含联合体中的中小企业、签订分包意向协议的中小企业）的具体情况如下：</w:t>
      </w:r>
    </w:p>
    <w:p w14:paraId="37AD158D">
      <w:pPr>
        <w:spacing w:line="360" w:lineRule="auto"/>
        <w:ind w:firstLine="446" w:firstLineChars="200"/>
        <w:rPr>
          <w:rFonts w:hint="eastAsia" w:cs="Times New Roman" w:asciiTheme="minorEastAsia" w:hAnsiTheme="minorEastAsia" w:eastAsiaTheme="minorEastAsia"/>
          <w:b/>
          <w:bCs/>
          <w:color w:val="auto"/>
          <w:spacing w:val="6"/>
          <w:sz w:val="21"/>
          <w:szCs w:val="21"/>
          <w:highlight w:val="none"/>
          <w:lang w:val="en-US" w:eastAsia="zh-CN"/>
        </w:rPr>
      </w:pPr>
      <w:r>
        <w:rPr>
          <w:rFonts w:hint="eastAsia" w:cs="Times New Roman" w:asciiTheme="minorEastAsia" w:hAnsiTheme="minorEastAsia" w:eastAsiaTheme="minorEastAsia"/>
          <w:b/>
          <w:bCs/>
          <w:color w:val="auto"/>
          <w:spacing w:val="6"/>
          <w:sz w:val="21"/>
          <w:szCs w:val="21"/>
          <w:highlight w:val="none"/>
          <w:lang w:val="en-US" w:eastAsia="zh-CN"/>
        </w:rPr>
        <w:t>一、物理实验室：</w:t>
      </w:r>
    </w:p>
    <w:p w14:paraId="4E4248EE">
      <w:pPr>
        <w:pStyle w:val="12"/>
        <w:numPr>
          <w:ilvl w:val="0"/>
          <w:numId w:val="15"/>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教师演示台</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29A63AC1">
      <w:pPr>
        <w:pStyle w:val="12"/>
        <w:numPr>
          <w:ilvl w:val="0"/>
          <w:numId w:val="15"/>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cs="Times New Roman" w:asciiTheme="minorEastAsia" w:hAnsiTheme="minorEastAsia" w:eastAsiaTheme="minorEastAsia"/>
          <w:color w:val="auto"/>
          <w:spacing w:val="6"/>
          <w:sz w:val="21"/>
          <w:szCs w:val="21"/>
          <w:highlight w:val="none"/>
          <w:u w:val="single"/>
        </w:rPr>
        <w:t>实验桌</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7F259B6B">
      <w:pPr>
        <w:pStyle w:val="12"/>
        <w:numPr>
          <w:ilvl w:val="0"/>
          <w:numId w:val="15"/>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功能柱</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52AF9CC6">
      <w:pPr>
        <w:pStyle w:val="12"/>
        <w:numPr>
          <w:ilvl w:val="0"/>
          <w:numId w:val="15"/>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学生安全电源</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41A91C12">
      <w:pPr>
        <w:pStyle w:val="12"/>
        <w:numPr>
          <w:ilvl w:val="0"/>
          <w:numId w:val="15"/>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教师总控电源</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71970C08">
      <w:pPr>
        <w:pStyle w:val="12"/>
        <w:numPr>
          <w:ilvl w:val="0"/>
          <w:numId w:val="15"/>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实验凳</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7EC673F5">
      <w:pPr>
        <w:pStyle w:val="12"/>
        <w:numPr>
          <w:ilvl w:val="0"/>
          <w:numId w:val="15"/>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教师椅</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451F2301">
      <w:pPr>
        <w:pStyle w:val="12"/>
        <w:numPr>
          <w:ilvl w:val="0"/>
          <w:numId w:val="15"/>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仪器柜</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30F86EB5">
      <w:pPr>
        <w:pStyle w:val="12"/>
        <w:numPr>
          <w:ilvl w:val="0"/>
          <w:numId w:val="15"/>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电气布线（地面以上部分）</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30CB8EA0">
      <w:pPr>
        <w:spacing w:line="360" w:lineRule="auto"/>
        <w:ind w:firstLine="446" w:firstLineChars="200"/>
        <w:rPr>
          <w:rFonts w:hint="eastAsia" w:cs="Times New Roman" w:asciiTheme="minorEastAsia" w:hAnsiTheme="minorEastAsia" w:eastAsiaTheme="minorEastAsia"/>
          <w:b/>
          <w:bCs/>
          <w:color w:val="auto"/>
          <w:spacing w:val="6"/>
          <w:sz w:val="21"/>
          <w:szCs w:val="21"/>
          <w:highlight w:val="none"/>
          <w:lang w:val="en-US" w:eastAsia="zh-CN"/>
        </w:rPr>
      </w:pPr>
    </w:p>
    <w:p w14:paraId="320ECD9C">
      <w:pPr>
        <w:spacing w:line="360" w:lineRule="auto"/>
        <w:ind w:firstLine="446" w:firstLineChars="200"/>
        <w:rPr>
          <w:rFonts w:hint="eastAsia" w:cs="Times New Roman" w:asciiTheme="minorEastAsia" w:hAnsiTheme="minorEastAsia" w:eastAsiaTheme="minorEastAsia"/>
          <w:b/>
          <w:bCs/>
          <w:color w:val="auto"/>
          <w:spacing w:val="6"/>
          <w:sz w:val="21"/>
          <w:szCs w:val="21"/>
          <w:highlight w:val="none"/>
          <w:lang w:val="en-US" w:eastAsia="zh-CN"/>
        </w:rPr>
      </w:pPr>
      <w:r>
        <w:rPr>
          <w:rFonts w:hint="eastAsia" w:cs="Times New Roman" w:asciiTheme="minorEastAsia" w:hAnsiTheme="minorEastAsia" w:eastAsiaTheme="minorEastAsia"/>
          <w:b/>
          <w:bCs/>
          <w:color w:val="auto"/>
          <w:spacing w:val="6"/>
          <w:sz w:val="21"/>
          <w:szCs w:val="21"/>
          <w:highlight w:val="none"/>
          <w:lang w:val="en-US" w:eastAsia="zh-CN"/>
        </w:rPr>
        <w:t>二、上通风化学实验室</w:t>
      </w:r>
    </w:p>
    <w:p w14:paraId="47ED1510">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教师演示台</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3E142FCB">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实验</w:t>
      </w:r>
      <w:r>
        <w:rPr>
          <w:rFonts w:hint="eastAsia" w:asciiTheme="minorEastAsia" w:hAnsiTheme="minorEastAsia" w:eastAsiaTheme="minorEastAsia"/>
          <w:color w:val="auto"/>
          <w:spacing w:val="6"/>
          <w:sz w:val="21"/>
          <w:szCs w:val="21"/>
          <w:highlight w:val="none"/>
          <w:u w:val="single"/>
          <w:lang w:val="en-US" w:eastAsia="zh-CN"/>
        </w:rPr>
        <w:t>桌</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319463E0">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功能柱</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18EAB8D0">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水槽柜</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4B8E4DBF">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上水装置</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220CD3E2">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下水装置</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4668E86D">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三联水嘴</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79F992DF">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学生安全电源</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2B69BDCD">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教师总控电源</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71194EBF">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实验凳</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131D0801">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教师椅</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13638078">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电气布线（地面以上部分）</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3C208AD3">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给、排水系统（地面以上部分）</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1239C20F">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风机</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098C06ED">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消音器</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63EBBA7E">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风机软连接</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5779B282">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变频器</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7A62D823">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万向吸风罩</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5942430A">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室内风管</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3095D327">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室外风管</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5D08D3FF">
      <w:pPr>
        <w:pStyle w:val="12"/>
        <w:numPr>
          <w:ilvl w:val="0"/>
          <w:numId w:val="16"/>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风机控制线</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29F30034">
      <w:pPr>
        <w:spacing w:line="360" w:lineRule="auto"/>
        <w:ind w:firstLine="446" w:firstLineChars="200"/>
        <w:rPr>
          <w:rFonts w:hint="eastAsia" w:cs="Times New Roman" w:asciiTheme="minorEastAsia" w:hAnsiTheme="minorEastAsia" w:eastAsiaTheme="minorEastAsia"/>
          <w:b/>
          <w:bCs/>
          <w:color w:val="auto"/>
          <w:spacing w:val="6"/>
          <w:sz w:val="21"/>
          <w:szCs w:val="21"/>
          <w:highlight w:val="none"/>
          <w:lang w:val="en-US" w:eastAsia="zh-CN"/>
        </w:rPr>
      </w:pPr>
    </w:p>
    <w:p w14:paraId="6E9796C5">
      <w:pPr>
        <w:spacing w:line="360" w:lineRule="auto"/>
        <w:ind w:firstLine="446" w:firstLineChars="200"/>
        <w:rPr>
          <w:rFonts w:hint="eastAsia" w:cs="Times New Roman" w:asciiTheme="minorEastAsia" w:hAnsiTheme="minorEastAsia" w:eastAsiaTheme="minorEastAsia"/>
          <w:b/>
          <w:bCs/>
          <w:color w:val="auto"/>
          <w:spacing w:val="6"/>
          <w:sz w:val="21"/>
          <w:szCs w:val="21"/>
          <w:highlight w:val="none"/>
          <w:lang w:val="en-US" w:eastAsia="zh-CN"/>
        </w:rPr>
      </w:pPr>
      <w:r>
        <w:rPr>
          <w:rFonts w:hint="eastAsia" w:cs="Times New Roman" w:asciiTheme="minorEastAsia" w:hAnsiTheme="minorEastAsia" w:eastAsiaTheme="minorEastAsia"/>
          <w:b/>
          <w:bCs/>
          <w:color w:val="auto"/>
          <w:spacing w:val="6"/>
          <w:sz w:val="21"/>
          <w:szCs w:val="21"/>
          <w:highlight w:val="none"/>
          <w:lang w:val="en-US" w:eastAsia="zh-CN"/>
        </w:rPr>
        <w:t>（三）生物实验室</w:t>
      </w:r>
    </w:p>
    <w:p w14:paraId="3B99F0BC">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教师演示台</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35927AA3">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实验演示多目仪</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2BD66F1E">
      <w:pPr>
        <w:rPr>
          <w:rFonts w:hint="eastAsia"/>
          <w:highlight w:val="none"/>
          <w:lang w:val="en-US" w:eastAsia="zh-CN"/>
        </w:rPr>
      </w:pPr>
    </w:p>
    <w:p w14:paraId="6C593E87">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实验</w:t>
      </w:r>
      <w:r>
        <w:rPr>
          <w:rFonts w:hint="eastAsia" w:asciiTheme="minorEastAsia" w:hAnsiTheme="minorEastAsia" w:eastAsiaTheme="minorEastAsia"/>
          <w:color w:val="auto"/>
          <w:spacing w:val="6"/>
          <w:sz w:val="21"/>
          <w:szCs w:val="21"/>
          <w:highlight w:val="none"/>
          <w:u w:val="single"/>
          <w:lang w:val="en-US" w:eastAsia="zh-CN"/>
        </w:rPr>
        <w:t>桌</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4B34CFD4">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功能柱</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1B096BF4">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水槽柜</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734A5555">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上水装置</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6D6D48D1">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下水装置</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3BFFF6B3">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三联水嘴</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129DB7AA">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学生安全电源</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020EFD79">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教师总控电源</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1D2147B4">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实验凳</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1489000E">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实验光源</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67C90E26">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教师椅</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14907800">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电气布线（地面以上部分）</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0A3986C0">
      <w:pPr>
        <w:pStyle w:val="12"/>
        <w:numPr>
          <w:ilvl w:val="0"/>
          <w:numId w:val="17"/>
        </w:numPr>
        <w:ind w:left="0" w:leftChars="0" w:firstLine="444" w:firstLineChars="200"/>
        <w:rPr>
          <w:rFonts w:hint="eastAsia" w:asciiTheme="minorEastAsia" w:hAnsiTheme="minorEastAsia" w:eastAsiaTheme="minorEastAsia"/>
          <w:color w:val="auto"/>
          <w:spacing w:val="6"/>
          <w:sz w:val="21"/>
          <w:szCs w:val="21"/>
          <w:highlight w:val="none"/>
          <w:lang w:val="en-US" w:eastAsia="zh-CN"/>
        </w:rPr>
      </w:pPr>
      <w:r>
        <w:rPr>
          <w:rFonts w:hint="eastAsia" w:asciiTheme="minorEastAsia" w:hAnsiTheme="minorEastAsia" w:eastAsiaTheme="minorEastAsia"/>
          <w:color w:val="auto"/>
          <w:spacing w:val="6"/>
          <w:sz w:val="21"/>
          <w:szCs w:val="21"/>
          <w:highlight w:val="none"/>
          <w:u w:val="single"/>
        </w:rPr>
        <w:t>给、排水系统（地面以上部分）</w:t>
      </w:r>
      <w:r>
        <w:rPr>
          <w:rFonts w:hint="eastAsia" w:asciiTheme="minorEastAsia" w:hAnsiTheme="minorEastAsia" w:eastAsiaTheme="minorEastAsia"/>
          <w:color w:val="auto"/>
          <w:spacing w:val="6"/>
          <w:sz w:val="21"/>
          <w:szCs w:val="21"/>
          <w:highlight w:val="none"/>
        </w:rPr>
        <w:t>，属于</w:t>
      </w:r>
      <w:r>
        <w:rPr>
          <w:rFonts w:hint="eastAsia" w:asciiTheme="minorEastAsia" w:hAnsiTheme="minorEastAsia" w:eastAsiaTheme="minorEastAsia"/>
          <w:b/>
          <w:bCs/>
          <w:color w:val="auto"/>
          <w:spacing w:val="6"/>
          <w:sz w:val="21"/>
          <w:szCs w:val="21"/>
          <w:highlight w:val="none"/>
          <w:u w:val="single"/>
          <w:lang w:val="en-US" w:eastAsia="zh-CN"/>
        </w:rPr>
        <w:t>工业行业</w:t>
      </w:r>
      <w:r>
        <w:rPr>
          <w:rFonts w:hint="eastAsia" w:asciiTheme="minorEastAsia" w:hAnsiTheme="minorEastAsia" w:eastAsiaTheme="minorEastAsia"/>
          <w:color w:val="auto"/>
          <w:spacing w:val="6"/>
          <w:sz w:val="21"/>
          <w:szCs w:val="21"/>
          <w:highlight w:val="none"/>
        </w:rPr>
        <w:t>；</w:t>
      </w:r>
      <w:r>
        <w:rPr>
          <w:rFonts w:hint="eastAsia" w:asciiTheme="minorEastAsia" w:hAnsiTheme="minorEastAsia" w:eastAsiaTheme="minorEastAsia"/>
          <w:color w:val="auto"/>
          <w:spacing w:val="6"/>
          <w:sz w:val="21"/>
          <w:szCs w:val="21"/>
          <w:highlight w:val="none"/>
          <w:lang w:eastAsia="zh-CN"/>
        </w:rPr>
        <w:t>制造商</w:t>
      </w:r>
      <w:r>
        <w:rPr>
          <w:rFonts w:hint="eastAsia" w:asciiTheme="minorEastAsia" w:hAnsiTheme="minorEastAsia" w:eastAsiaTheme="minorEastAsia"/>
          <w:color w:val="auto"/>
          <w:spacing w:val="6"/>
          <w:sz w:val="21"/>
          <w:szCs w:val="21"/>
          <w:highlight w:val="none"/>
        </w:rPr>
        <w:t>企业为</w:t>
      </w:r>
      <w:r>
        <w:rPr>
          <w:rFonts w:hint="eastAsia" w:asciiTheme="minorEastAsia" w:hAnsiTheme="minorEastAsia" w:eastAsiaTheme="minorEastAsia"/>
          <w:i/>
          <w:color w:val="auto"/>
          <w:spacing w:val="6"/>
          <w:sz w:val="21"/>
          <w:szCs w:val="21"/>
          <w:highlight w:val="none"/>
          <w:u w:val="single"/>
        </w:rPr>
        <w:t>（企业名称）</w:t>
      </w:r>
      <w:r>
        <w:rPr>
          <w:rFonts w:hint="eastAsia" w:asciiTheme="minorEastAsia" w:hAnsiTheme="minorEastAsia" w:eastAsiaTheme="minorEastAsia"/>
          <w:color w:val="auto"/>
          <w:spacing w:val="6"/>
          <w:sz w:val="21"/>
          <w:szCs w:val="21"/>
          <w:highlight w:val="none"/>
        </w:rPr>
        <w:t>，从业人员</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人，营业收入为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万元，资产总额为</w:t>
      </w:r>
      <w:r>
        <w:rPr>
          <w:rFonts w:hint="eastAsia" w:asciiTheme="minorEastAsia" w:hAnsiTheme="minorEastAsia" w:eastAsiaTheme="minorEastAsia"/>
          <w:color w:val="auto"/>
          <w:spacing w:val="6"/>
          <w:sz w:val="21"/>
          <w:szCs w:val="21"/>
          <w:highlight w:val="none"/>
          <w:u w:val="single"/>
        </w:rPr>
        <w:t xml:space="preserve">     </w:t>
      </w:r>
      <w:r>
        <w:rPr>
          <w:rFonts w:hint="eastAsia" w:asciiTheme="minorEastAsia" w:hAnsiTheme="minorEastAsia" w:eastAsiaTheme="minorEastAsia"/>
          <w:color w:val="auto"/>
          <w:spacing w:val="6"/>
          <w:sz w:val="21"/>
          <w:szCs w:val="21"/>
          <w:highlight w:val="none"/>
        </w:rPr>
        <w:t>万元，属于</w:t>
      </w:r>
      <w:r>
        <w:rPr>
          <w:rFonts w:hint="eastAsia" w:asciiTheme="minorEastAsia" w:hAnsiTheme="minorEastAsia" w:eastAsiaTheme="minorEastAsia"/>
          <w:i/>
          <w:color w:val="auto"/>
          <w:spacing w:val="6"/>
          <w:sz w:val="21"/>
          <w:szCs w:val="21"/>
          <w:highlight w:val="none"/>
          <w:u w:val="single"/>
        </w:rPr>
        <w:t>（中型企业、小型企业、微型企业）</w:t>
      </w:r>
      <w:r>
        <w:rPr>
          <w:rFonts w:hint="eastAsia" w:asciiTheme="minorEastAsia" w:hAnsiTheme="minorEastAsia" w:eastAsiaTheme="minorEastAsia"/>
          <w:color w:val="auto"/>
          <w:spacing w:val="6"/>
          <w:sz w:val="21"/>
          <w:szCs w:val="21"/>
          <w:highlight w:val="none"/>
          <w:lang w:val="en-US" w:eastAsia="zh-CN"/>
        </w:rPr>
        <w:t>。</w:t>
      </w:r>
    </w:p>
    <w:p w14:paraId="226BBC6E">
      <w:pPr>
        <w:spacing w:line="360" w:lineRule="auto"/>
        <w:ind w:firstLine="444" w:firstLineChars="200"/>
        <w:rPr>
          <w:rFonts w:hint="eastAsia" w:asciiTheme="minorEastAsia" w:hAnsiTheme="minorEastAsia" w:eastAsiaTheme="minorEastAsia"/>
          <w:color w:val="auto"/>
          <w:spacing w:val="6"/>
          <w:sz w:val="21"/>
          <w:szCs w:val="21"/>
          <w:highlight w:val="none"/>
        </w:rPr>
      </w:pPr>
    </w:p>
    <w:p w14:paraId="3A6FC2E3">
      <w:pPr>
        <w:spacing w:line="360" w:lineRule="auto"/>
        <w:ind w:firstLine="444" w:firstLineChars="200"/>
        <w:rPr>
          <w:rFonts w:hint="eastAsia" w:asciiTheme="minorEastAsia" w:hAnsiTheme="minorEastAsia" w:eastAsiaTheme="minorEastAsia"/>
          <w:color w:val="auto"/>
          <w:spacing w:val="6"/>
          <w:sz w:val="21"/>
          <w:szCs w:val="21"/>
          <w:highlight w:val="none"/>
        </w:rPr>
      </w:pPr>
    </w:p>
    <w:p w14:paraId="332950B2">
      <w:pPr>
        <w:spacing w:line="360" w:lineRule="auto"/>
        <w:ind w:firstLine="444" w:firstLineChars="200"/>
        <w:rPr>
          <w:rFonts w:asciiTheme="minorEastAsia" w:hAnsiTheme="minorEastAsia" w:eastAsiaTheme="minorEastAsia"/>
          <w:color w:val="auto"/>
          <w:spacing w:val="6"/>
          <w:sz w:val="21"/>
          <w:szCs w:val="21"/>
          <w:highlight w:val="none"/>
        </w:rPr>
      </w:pPr>
      <w:r>
        <w:rPr>
          <w:rFonts w:hint="eastAsia" w:asciiTheme="minorEastAsia" w:hAnsiTheme="minorEastAsia" w:eastAsiaTheme="minorEastAsia"/>
          <w:color w:val="auto"/>
          <w:spacing w:val="6"/>
          <w:sz w:val="21"/>
          <w:szCs w:val="21"/>
          <w:highlight w:val="none"/>
        </w:rPr>
        <w:t>以上企业，不属于大企业的分支机构，不存在控股股东为大企业的情形，也不存在与大企业的负责人为同一人的情形。</w:t>
      </w:r>
    </w:p>
    <w:p w14:paraId="6746E671">
      <w:pPr>
        <w:spacing w:line="360" w:lineRule="auto"/>
        <w:ind w:firstLine="444" w:firstLineChars="200"/>
        <w:rPr>
          <w:rFonts w:asciiTheme="minorEastAsia" w:hAnsiTheme="minorEastAsia" w:eastAsiaTheme="minorEastAsia"/>
          <w:color w:val="auto"/>
          <w:spacing w:val="6"/>
          <w:sz w:val="21"/>
          <w:szCs w:val="21"/>
          <w:highlight w:val="none"/>
        </w:rPr>
      </w:pPr>
      <w:r>
        <w:rPr>
          <w:rFonts w:hint="eastAsia" w:asciiTheme="minorEastAsia" w:hAnsiTheme="minorEastAsia" w:eastAsiaTheme="minorEastAsia"/>
          <w:color w:val="auto"/>
          <w:spacing w:val="6"/>
          <w:sz w:val="21"/>
          <w:szCs w:val="21"/>
          <w:highlight w:val="none"/>
        </w:rPr>
        <w:t>本企业对上述声明内容的真实性负责。如有虚假，将依法承担相应责任。</w:t>
      </w:r>
    </w:p>
    <w:p w14:paraId="7D161B0D">
      <w:pPr>
        <w:tabs>
          <w:tab w:val="left" w:pos="4860"/>
        </w:tabs>
        <w:spacing w:line="360" w:lineRule="auto"/>
        <w:ind w:right="-58" w:firstLine="999" w:firstLineChars="450"/>
        <w:rPr>
          <w:rFonts w:asciiTheme="minorEastAsia" w:hAnsiTheme="minorEastAsia" w:eastAsiaTheme="minorEastAsia"/>
          <w:color w:val="auto"/>
          <w:spacing w:val="6"/>
          <w:sz w:val="21"/>
          <w:szCs w:val="21"/>
          <w:highlight w:val="none"/>
        </w:rPr>
      </w:pPr>
    </w:p>
    <w:p w14:paraId="06F3A6AA">
      <w:pPr>
        <w:tabs>
          <w:tab w:val="left" w:pos="4860"/>
        </w:tabs>
        <w:spacing w:line="360" w:lineRule="auto"/>
        <w:ind w:right="-58" w:firstLine="4773" w:firstLineChars="2150"/>
        <w:rPr>
          <w:rFonts w:hint="eastAsia" w:asciiTheme="minorEastAsia" w:hAnsiTheme="minorEastAsia" w:eastAsiaTheme="minorEastAsia"/>
          <w:color w:val="auto"/>
          <w:spacing w:val="6"/>
          <w:sz w:val="21"/>
          <w:szCs w:val="21"/>
          <w:highlight w:val="none"/>
        </w:rPr>
      </w:pPr>
    </w:p>
    <w:p w14:paraId="7625C6FE">
      <w:pPr>
        <w:tabs>
          <w:tab w:val="left" w:pos="4860"/>
        </w:tabs>
        <w:spacing w:line="360" w:lineRule="auto"/>
        <w:ind w:right="-58" w:firstLine="4773" w:firstLineChars="2150"/>
        <w:rPr>
          <w:rFonts w:asciiTheme="minorEastAsia" w:hAnsiTheme="minorEastAsia" w:eastAsiaTheme="minorEastAsia"/>
          <w:color w:val="auto"/>
          <w:spacing w:val="6"/>
          <w:sz w:val="21"/>
          <w:szCs w:val="21"/>
          <w:highlight w:val="none"/>
        </w:rPr>
      </w:pPr>
      <w:r>
        <w:rPr>
          <w:rFonts w:hint="eastAsia" w:asciiTheme="minorEastAsia" w:hAnsiTheme="minorEastAsia" w:eastAsiaTheme="minorEastAsia"/>
          <w:color w:val="auto"/>
          <w:spacing w:val="6"/>
          <w:sz w:val="21"/>
          <w:szCs w:val="21"/>
          <w:highlight w:val="none"/>
        </w:rPr>
        <w:t xml:space="preserve">企业名称（公章）：                </w:t>
      </w:r>
    </w:p>
    <w:p w14:paraId="4B5F7EE4">
      <w:pPr>
        <w:tabs>
          <w:tab w:val="left" w:pos="4860"/>
        </w:tabs>
        <w:spacing w:line="360" w:lineRule="auto"/>
        <w:ind w:right="-58" w:firstLine="4773" w:firstLineChars="2150"/>
        <w:rPr>
          <w:rFonts w:asciiTheme="minorEastAsia" w:hAnsiTheme="minorEastAsia" w:eastAsiaTheme="minorEastAsia"/>
          <w:color w:val="auto"/>
          <w:spacing w:val="6"/>
          <w:sz w:val="21"/>
          <w:szCs w:val="21"/>
          <w:highlight w:val="none"/>
        </w:rPr>
      </w:pPr>
      <w:r>
        <w:rPr>
          <w:rFonts w:hint="eastAsia" w:asciiTheme="minorEastAsia" w:hAnsiTheme="minorEastAsia" w:eastAsiaTheme="minorEastAsia"/>
          <w:color w:val="auto"/>
          <w:spacing w:val="6"/>
          <w:sz w:val="21"/>
          <w:szCs w:val="21"/>
          <w:highlight w:val="none"/>
        </w:rPr>
        <w:t xml:space="preserve">日期：  </w:t>
      </w:r>
    </w:p>
    <w:p w14:paraId="533264F8">
      <w:pPr>
        <w:spacing w:line="360" w:lineRule="auto"/>
        <w:ind w:right="420" w:firstLine="444" w:firstLineChars="200"/>
        <w:rPr>
          <w:rFonts w:asciiTheme="minorEastAsia" w:hAnsiTheme="minorEastAsia" w:eastAsiaTheme="minorEastAsia"/>
          <w:color w:val="auto"/>
          <w:spacing w:val="6"/>
          <w:sz w:val="21"/>
          <w:szCs w:val="21"/>
          <w:highlight w:val="none"/>
        </w:rPr>
      </w:pPr>
    </w:p>
    <w:p w14:paraId="1F18C670">
      <w:pPr>
        <w:spacing w:line="360" w:lineRule="auto"/>
        <w:ind w:right="420" w:firstLine="444" w:firstLineChars="200"/>
        <w:rPr>
          <w:rFonts w:asciiTheme="minorEastAsia" w:hAnsiTheme="minorEastAsia" w:eastAsiaTheme="minorEastAsia"/>
          <w:color w:val="auto"/>
          <w:spacing w:val="6"/>
          <w:sz w:val="21"/>
          <w:szCs w:val="21"/>
          <w:highlight w:val="none"/>
        </w:rPr>
      </w:pPr>
      <w:r>
        <w:rPr>
          <w:rFonts w:hint="eastAsia" w:asciiTheme="minorEastAsia" w:hAnsiTheme="minorEastAsia" w:eastAsiaTheme="minorEastAsia"/>
          <w:color w:val="auto"/>
          <w:spacing w:val="6"/>
          <w:sz w:val="21"/>
          <w:szCs w:val="21"/>
          <w:highlight w:val="none"/>
        </w:rPr>
        <w:t>注：从业人员、营业收入、资产总额填报上一年度数据，无上一年度数据的新成立企业可不填报；</w:t>
      </w:r>
    </w:p>
    <w:p w14:paraId="4662D765">
      <w:pPr>
        <w:spacing w:line="588" w:lineRule="exact"/>
        <w:jc w:val="center"/>
        <w:rPr>
          <w:rFonts w:ascii="宋体"/>
          <w:b/>
          <w:color w:val="auto"/>
          <w:szCs w:val="21"/>
          <w:highlight w:val="none"/>
        </w:rPr>
      </w:pPr>
      <w:r>
        <w:rPr>
          <w:rFonts w:hint="eastAsia" w:ascii="宋体"/>
          <w:color w:val="auto"/>
          <w:szCs w:val="21"/>
          <w:highlight w:val="none"/>
        </w:rPr>
        <w:br w:type="page"/>
      </w:r>
      <w:r>
        <w:rPr>
          <w:rFonts w:hint="eastAsia" w:ascii="宋体"/>
          <w:b/>
          <w:color w:val="auto"/>
          <w:szCs w:val="21"/>
          <w:highlight w:val="none"/>
          <w:lang w:val="en-US" w:eastAsia="zh-CN"/>
        </w:rPr>
        <w:t>A</w:t>
      </w:r>
      <w:r>
        <w:rPr>
          <w:rFonts w:hint="eastAsia" w:ascii="宋体"/>
          <w:b/>
          <w:color w:val="auto"/>
          <w:szCs w:val="21"/>
          <w:highlight w:val="none"/>
        </w:rPr>
        <w:t>4、残疾人福利性单位声明函（如有需提供）</w:t>
      </w:r>
    </w:p>
    <w:p w14:paraId="62A96944">
      <w:pPr>
        <w:spacing w:line="588" w:lineRule="exact"/>
        <w:ind w:firstLine="480" w:firstLineChars="200"/>
        <w:rPr>
          <w:rFonts w:ascii="宋体"/>
          <w:color w:val="auto"/>
          <w:szCs w:val="21"/>
          <w:highlight w:val="none"/>
        </w:rPr>
      </w:pPr>
      <w:r>
        <w:rPr>
          <w:rFonts w:hint="eastAsia" w:ascii="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B731977">
      <w:pPr>
        <w:spacing w:line="588" w:lineRule="exact"/>
        <w:ind w:firstLine="480" w:firstLineChars="200"/>
        <w:rPr>
          <w:rFonts w:ascii="宋体"/>
          <w:color w:val="auto"/>
          <w:szCs w:val="21"/>
          <w:highlight w:val="none"/>
        </w:rPr>
      </w:pPr>
      <w:r>
        <w:rPr>
          <w:rFonts w:hint="eastAsia" w:ascii="宋体"/>
          <w:color w:val="auto"/>
          <w:szCs w:val="21"/>
          <w:highlight w:val="none"/>
        </w:rPr>
        <w:t>本单位对上述声明的真实性负责。如有虚假，将依法承担相应责任。</w:t>
      </w:r>
    </w:p>
    <w:p w14:paraId="5921B565">
      <w:pPr>
        <w:spacing w:line="588" w:lineRule="exact"/>
        <w:ind w:firstLine="480" w:firstLineChars="200"/>
        <w:rPr>
          <w:rFonts w:ascii="宋体"/>
          <w:color w:val="auto"/>
          <w:szCs w:val="21"/>
          <w:highlight w:val="none"/>
        </w:rPr>
      </w:pPr>
    </w:p>
    <w:p w14:paraId="25245A71">
      <w:pPr>
        <w:spacing w:line="588" w:lineRule="exact"/>
        <w:ind w:firstLine="480" w:firstLineChars="200"/>
        <w:rPr>
          <w:rFonts w:ascii="宋体"/>
          <w:color w:val="auto"/>
          <w:szCs w:val="21"/>
          <w:highlight w:val="none"/>
        </w:rPr>
      </w:pPr>
    </w:p>
    <w:p w14:paraId="461F80FC">
      <w:pPr>
        <w:tabs>
          <w:tab w:val="left" w:pos="4860"/>
        </w:tabs>
        <w:spacing w:line="588" w:lineRule="exact"/>
        <w:ind w:right="1560" w:firstLine="480" w:firstLineChars="200"/>
        <w:jc w:val="center"/>
        <w:rPr>
          <w:rFonts w:ascii="宋体"/>
          <w:color w:val="auto"/>
          <w:szCs w:val="21"/>
          <w:highlight w:val="none"/>
        </w:rPr>
      </w:pPr>
      <w:r>
        <w:rPr>
          <w:rFonts w:hint="eastAsia" w:ascii="宋体"/>
          <w:color w:val="auto"/>
          <w:szCs w:val="21"/>
          <w:highlight w:val="none"/>
        </w:rPr>
        <w:t xml:space="preserve">               单位名称（盖章）：</w:t>
      </w:r>
    </w:p>
    <w:p w14:paraId="0D587F23">
      <w:pPr>
        <w:tabs>
          <w:tab w:val="left" w:pos="4860"/>
        </w:tabs>
        <w:spacing w:line="588" w:lineRule="exact"/>
        <w:ind w:right="1560" w:firstLine="480" w:firstLineChars="200"/>
        <w:jc w:val="center"/>
        <w:rPr>
          <w:rFonts w:ascii="宋体"/>
          <w:color w:val="auto"/>
          <w:szCs w:val="21"/>
          <w:highlight w:val="none"/>
        </w:rPr>
      </w:pPr>
      <w:r>
        <w:rPr>
          <w:rFonts w:hint="eastAsia" w:ascii="宋体"/>
          <w:color w:val="auto"/>
          <w:szCs w:val="21"/>
          <w:highlight w:val="none"/>
        </w:rPr>
        <w:t xml:space="preserve">       日  期：</w:t>
      </w:r>
    </w:p>
    <w:p w14:paraId="42348C33">
      <w:pPr>
        <w:spacing w:line="400" w:lineRule="exact"/>
        <w:ind w:firstLine="482" w:firstLineChars="200"/>
        <w:rPr>
          <w:rFonts w:ascii="宋体"/>
          <w:b/>
          <w:color w:val="auto"/>
          <w:szCs w:val="21"/>
          <w:highlight w:val="none"/>
        </w:rPr>
      </w:pPr>
    </w:p>
    <w:p w14:paraId="128691C3">
      <w:pPr>
        <w:spacing w:line="400" w:lineRule="exact"/>
        <w:ind w:firstLine="480" w:firstLineChars="200"/>
        <w:rPr>
          <w:rFonts w:ascii="宋体"/>
          <w:color w:val="auto"/>
          <w:szCs w:val="21"/>
          <w:highlight w:val="none"/>
        </w:rPr>
      </w:pPr>
      <w:r>
        <w:rPr>
          <w:rFonts w:hint="eastAsia" w:ascii="宋体"/>
          <w:color w:val="auto"/>
          <w:szCs w:val="21"/>
          <w:highlight w:val="none"/>
        </w:rPr>
        <w:t>注：</w:t>
      </w:r>
    </w:p>
    <w:p w14:paraId="7C70218A">
      <w:pPr>
        <w:spacing w:line="400" w:lineRule="exact"/>
        <w:ind w:firstLine="480" w:firstLineChars="200"/>
        <w:rPr>
          <w:rFonts w:ascii="宋体"/>
          <w:color w:val="auto"/>
          <w:szCs w:val="21"/>
          <w:highlight w:val="none"/>
        </w:rPr>
      </w:pPr>
      <w:r>
        <w:rPr>
          <w:rFonts w:hint="eastAsia" w:ascii="宋体"/>
          <w:color w:val="auto"/>
          <w:szCs w:val="21"/>
          <w:highlight w:val="none"/>
        </w:rPr>
        <w:t>享受政府采购支持政策的残疾人福利性单位应当同时满足以下条件：</w:t>
      </w:r>
    </w:p>
    <w:p w14:paraId="6731EC57">
      <w:pPr>
        <w:spacing w:line="400" w:lineRule="exact"/>
        <w:ind w:firstLine="480" w:firstLineChars="200"/>
        <w:rPr>
          <w:rFonts w:ascii="宋体"/>
          <w:color w:val="auto"/>
          <w:szCs w:val="21"/>
          <w:highlight w:val="none"/>
        </w:rPr>
      </w:pPr>
      <w:r>
        <w:rPr>
          <w:rFonts w:hint="eastAsia" w:ascii="宋体"/>
          <w:color w:val="auto"/>
          <w:szCs w:val="21"/>
          <w:highlight w:val="none"/>
        </w:rPr>
        <w:t>（一）安置的残疾人占本单位在职职工人数的比例不低于25%（含25%），并且安置的残疾人人数不少于10人（含10人）；</w:t>
      </w:r>
    </w:p>
    <w:p w14:paraId="1FB72A8F">
      <w:pPr>
        <w:spacing w:line="400" w:lineRule="exact"/>
        <w:ind w:firstLine="480" w:firstLineChars="200"/>
        <w:rPr>
          <w:rFonts w:ascii="宋体"/>
          <w:color w:val="auto"/>
          <w:szCs w:val="21"/>
          <w:highlight w:val="none"/>
        </w:rPr>
      </w:pPr>
      <w:r>
        <w:rPr>
          <w:rFonts w:hint="eastAsia" w:ascii="宋体"/>
          <w:color w:val="auto"/>
          <w:szCs w:val="21"/>
          <w:highlight w:val="none"/>
        </w:rPr>
        <w:t>（二）依法与安置的每位残疾人签订了一年以上（含一年）的劳动合同或服务协议；</w:t>
      </w:r>
    </w:p>
    <w:p w14:paraId="1085FEDA">
      <w:pPr>
        <w:spacing w:line="400" w:lineRule="exact"/>
        <w:ind w:firstLine="480" w:firstLineChars="200"/>
        <w:rPr>
          <w:rFonts w:ascii="宋体"/>
          <w:color w:val="auto"/>
          <w:szCs w:val="21"/>
          <w:highlight w:val="none"/>
        </w:rPr>
      </w:pPr>
      <w:r>
        <w:rPr>
          <w:rFonts w:hint="eastAsia" w:ascii="宋体"/>
          <w:color w:val="auto"/>
          <w:szCs w:val="21"/>
          <w:highlight w:val="none"/>
        </w:rPr>
        <w:t>（三）为安置的每位残疾人按月足额缴纳了基本养老保险、基本医疗保险、失业保险、工伤保险和生育保险等社会保险费；</w:t>
      </w:r>
    </w:p>
    <w:p w14:paraId="42EB9BF3">
      <w:pPr>
        <w:spacing w:line="400" w:lineRule="exact"/>
        <w:ind w:firstLine="480" w:firstLineChars="200"/>
        <w:rPr>
          <w:rFonts w:ascii="宋体"/>
          <w:color w:val="auto"/>
          <w:szCs w:val="21"/>
          <w:highlight w:val="none"/>
        </w:rPr>
      </w:pPr>
      <w:r>
        <w:rPr>
          <w:rFonts w:hint="eastAsia" w:ascii="宋体"/>
          <w:color w:val="auto"/>
          <w:szCs w:val="21"/>
          <w:highlight w:val="none"/>
        </w:rPr>
        <w:t>（四）通过银行等金融机构向安置的每位残疾人，按月支付了不低于单位所在区县适用的经省级人民政府批准的月最低工资标准的工资；</w:t>
      </w:r>
    </w:p>
    <w:p w14:paraId="4FBB558F">
      <w:pPr>
        <w:spacing w:line="400" w:lineRule="exact"/>
        <w:ind w:firstLine="480" w:firstLineChars="200"/>
        <w:rPr>
          <w:rFonts w:ascii="宋体"/>
          <w:color w:val="auto"/>
          <w:szCs w:val="21"/>
          <w:highlight w:val="none"/>
        </w:rPr>
      </w:pPr>
      <w:r>
        <w:rPr>
          <w:rFonts w:hint="eastAsia" w:ascii="宋体"/>
          <w:color w:val="auto"/>
          <w:szCs w:val="21"/>
          <w:highlight w:val="none"/>
        </w:rPr>
        <w:t>（五）提供本单位制造的货物、承担的工程或者服务（以下简称产品），或者提供其他残疾人福利性单位制造的货物（不包括使用非残疾人福利性单位注册商标的货物）。</w:t>
      </w:r>
    </w:p>
    <w:p w14:paraId="47C2733E">
      <w:pPr>
        <w:spacing w:line="400" w:lineRule="exact"/>
        <w:ind w:firstLine="480" w:firstLineChars="200"/>
        <w:rPr>
          <w:rFonts w:ascii="宋体"/>
          <w:color w:val="auto"/>
          <w:szCs w:val="21"/>
          <w:highlight w:val="none"/>
        </w:rPr>
      </w:pPr>
      <w:r>
        <w:rPr>
          <w:rFonts w:hint="eastAsia" w:asci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5AB5915">
      <w:pPr>
        <w:pStyle w:val="18"/>
        <w:ind w:firstLine="0" w:firstLineChars="0"/>
        <w:rPr>
          <w:color w:val="auto"/>
          <w:highlight w:val="none"/>
        </w:rPr>
      </w:pPr>
    </w:p>
    <w:p w14:paraId="405DCE4D">
      <w:pPr>
        <w:pStyle w:val="27"/>
        <w:spacing w:line="360" w:lineRule="auto"/>
        <w:ind w:left="115" w:leftChars="48" w:firstLine="2880" w:firstLineChars="800"/>
        <w:jc w:val="left"/>
        <w:rPr>
          <w:color w:val="auto"/>
          <w:sz w:val="36"/>
          <w:szCs w:val="36"/>
          <w:highlight w:val="none"/>
        </w:rPr>
        <w:sectPr>
          <w:headerReference r:id="rId14" w:type="default"/>
          <w:footerReference r:id="rId15" w:type="default"/>
          <w:pgSz w:w="11907" w:h="16840"/>
          <w:pgMar w:top="1138" w:right="1588" w:bottom="1423" w:left="1339" w:header="285" w:footer="990" w:gutter="0"/>
          <w:pgBorders>
            <w:top w:val="none" w:sz="0" w:space="0"/>
            <w:left w:val="none" w:sz="0" w:space="0"/>
            <w:bottom w:val="none" w:sz="0" w:space="0"/>
            <w:right w:val="none" w:sz="0" w:space="0"/>
          </w:pgBorders>
          <w:cols w:space="720" w:num="1"/>
          <w:docGrid w:linePitch="285" w:charSpace="0"/>
        </w:sectPr>
      </w:pPr>
    </w:p>
    <w:tbl>
      <w:tblPr>
        <w:tblStyle w:val="42"/>
        <w:tblW w:w="0" w:type="auto"/>
        <w:tblInd w:w="-176" w:type="dxa"/>
        <w:tblLayout w:type="fixed"/>
        <w:tblCellMar>
          <w:top w:w="0" w:type="dxa"/>
          <w:left w:w="108" w:type="dxa"/>
          <w:bottom w:w="0" w:type="dxa"/>
          <w:right w:w="108" w:type="dxa"/>
        </w:tblCellMar>
      </w:tblPr>
      <w:tblGrid>
        <w:gridCol w:w="2003"/>
        <w:gridCol w:w="1512"/>
        <w:gridCol w:w="1779"/>
        <w:gridCol w:w="1677"/>
        <w:gridCol w:w="1252"/>
        <w:gridCol w:w="1494"/>
        <w:gridCol w:w="1536"/>
        <w:gridCol w:w="1297"/>
        <w:gridCol w:w="1287"/>
        <w:gridCol w:w="1234"/>
        <w:gridCol w:w="6"/>
      </w:tblGrid>
      <w:tr w14:paraId="467EC815">
        <w:tblPrEx>
          <w:tblCellMar>
            <w:top w:w="0" w:type="dxa"/>
            <w:left w:w="108" w:type="dxa"/>
            <w:bottom w:w="0" w:type="dxa"/>
            <w:right w:w="108" w:type="dxa"/>
          </w:tblCellMar>
        </w:tblPrEx>
        <w:trPr>
          <w:trHeight w:val="148" w:hRule="atLeast"/>
        </w:trPr>
        <w:tc>
          <w:tcPr>
            <w:tcW w:w="15077" w:type="dxa"/>
            <w:gridSpan w:val="11"/>
            <w:tcBorders>
              <w:top w:val="nil"/>
              <w:left w:val="nil"/>
              <w:bottom w:val="nil"/>
              <w:right w:val="nil"/>
            </w:tcBorders>
            <w:vAlign w:val="bottom"/>
          </w:tcPr>
          <w:p w14:paraId="674EE3C3">
            <w:pPr>
              <w:widowControl/>
              <w:spacing w:line="240" w:lineRule="auto"/>
              <w:jc w:val="center"/>
              <w:rPr>
                <w:rFonts w:ascii="宋体" w:cs="宋体"/>
                <w:b/>
                <w:bCs/>
                <w:color w:val="auto"/>
                <w:sz w:val="32"/>
                <w:szCs w:val="32"/>
                <w:highlight w:val="none"/>
              </w:rPr>
            </w:pPr>
            <w:r>
              <w:rPr>
                <w:rFonts w:hint="eastAsia" w:ascii="宋体" w:cs="宋体"/>
                <w:b/>
                <w:bCs/>
                <w:color w:val="auto"/>
                <w:highlight w:val="none"/>
              </w:rPr>
              <w:t>中小微行业划型标准规定（根据工信部联企业〔2011〕300号制定）</w:t>
            </w:r>
          </w:p>
        </w:tc>
      </w:tr>
      <w:tr w14:paraId="737F8D00">
        <w:tblPrEx>
          <w:tblCellMar>
            <w:top w:w="0" w:type="dxa"/>
            <w:left w:w="108" w:type="dxa"/>
            <w:bottom w:w="0" w:type="dxa"/>
            <w:right w:w="108" w:type="dxa"/>
          </w:tblCellMar>
        </w:tblPrEx>
        <w:trPr>
          <w:gridAfter w:val="1"/>
          <w:wAfter w:w="6" w:type="dxa"/>
          <w:trHeight w:val="459" w:hRule="atLeast"/>
        </w:trPr>
        <w:tc>
          <w:tcPr>
            <w:tcW w:w="2003" w:type="dxa"/>
            <w:vMerge w:val="restart"/>
            <w:tcBorders>
              <w:top w:val="single" w:color="auto" w:sz="8" w:space="0"/>
              <w:left w:val="single" w:color="auto" w:sz="8" w:space="0"/>
              <w:bottom w:val="single" w:color="000000" w:sz="4" w:space="0"/>
              <w:right w:val="single" w:color="auto" w:sz="8" w:space="0"/>
            </w:tcBorders>
            <w:vAlign w:val="center"/>
          </w:tcPr>
          <w:p w14:paraId="16020C5C">
            <w:pPr>
              <w:widowControl/>
              <w:spacing w:line="240" w:lineRule="auto"/>
              <w:jc w:val="center"/>
              <w:rPr>
                <w:rFonts w:ascii="宋体" w:cs="宋体"/>
                <w:b/>
                <w:bCs/>
                <w:color w:val="auto"/>
                <w:highlight w:val="none"/>
              </w:rPr>
            </w:pPr>
            <w:r>
              <w:rPr>
                <w:rFonts w:hint="eastAsia" w:ascii="宋体" w:cs="宋体"/>
                <w:b/>
                <w:bCs/>
                <w:color w:val="auto"/>
                <w:highlight w:val="none"/>
              </w:rPr>
              <w:t>行业</w:t>
            </w:r>
          </w:p>
        </w:tc>
        <w:tc>
          <w:tcPr>
            <w:tcW w:w="4968" w:type="dxa"/>
            <w:gridSpan w:val="3"/>
            <w:tcBorders>
              <w:top w:val="single" w:color="auto" w:sz="8" w:space="0"/>
              <w:left w:val="nil"/>
              <w:bottom w:val="single" w:color="auto" w:sz="4" w:space="0"/>
              <w:right w:val="single" w:color="000000" w:sz="8" w:space="0"/>
            </w:tcBorders>
            <w:vAlign w:val="bottom"/>
          </w:tcPr>
          <w:p w14:paraId="5F49C53E">
            <w:pPr>
              <w:widowControl/>
              <w:spacing w:line="240" w:lineRule="auto"/>
              <w:jc w:val="center"/>
              <w:rPr>
                <w:rFonts w:ascii="宋体" w:cs="宋体"/>
                <w:b/>
                <w:bCs/>
                <w:color w:val="auto"/>
                <w:highlight w:val="none"/>
              </w:rPr>
            </w:pPr>
            <w:r>
              <w:rPr>
                <w:rFonts w:hint="eastAsia" w:ascii="宋体" w:cs="宋体"/>
                <w:b/>
                <w:bCs/>
                <w:color w:val="auto"/>
                <w:highlight w:val="none"/>
              </w:rPr>
              <w:t>中型企业</w:t>
            </w:r>
          </w:p>
        </w:tc>
        <w:tc>
          <w:tcPr>
            <w:tcW w:w="4282" w:type="dxa"/>
            <w:gridSpan w:val="3"/>
            <w:tcBorders>
              <w:top w:val="single" w:color="auto" w:sz="8" w:space="0"/>
              <w:left w:val="nil"/>
              <w:bottom w:val="single" w:color="auto" w:sz="4" w:space="0"/>
              <w:right w:val="single" w:color="000000" w:sz="8" w:space="0"/>
            </w:tcBorders>
            <w:vAlign w:val="bottom"/>
          </w:tcPr>
          <w:p w14:paraId="0BF335D0">
            <w:pPr>
              <w:widowControl/>
              <w:spacing w:line="240" w:lineRule="auto"/>
              <w:jc w:val="center"/>
              <w:rPr>
                <w:rFonts w:ascii="宋体" w:cs="宋体"/>
                <w:b/>
                <w:bCs/>
                <w:color w:val="auto"/>
                <w:highlight w:val="none"/>
              </w:rPr>
            </w:pPr>
            <w:r>
              <w:rPr>
                <w:rFonts w:hint="eastAsia" w:ascii="宋体" w:cs="宋体"/>
                <w:b/>
                <w:bCs/>
                <w:color w:val="auto"/>
                <w:highlight w:val="none"/>
              </w:rPr>
              <w:t>小型企业</w:t>
            </w:r>
          </w:p>
        </w:tc>
        <w:tc>
          <w:tcPr>
            <w:tcW w:w="3818" w:type="dxa"/>
            <w:gridSpan w:val="3"/>
            <w:tcBorders>
              <w:top w:val="single" w:color="auto" w:sz="8" w:space="0"/>
              <w:left w:val="nil"/>
              <w:bottom w:val="single" w:color="auto" w:sz="4" w:space="0"/>
              <w:right w:val="single" w:color="000000" w:sz="8" w:space="0"/>
            </w:tcBorders>
            <w:vAlign w:val="bottom"/>
          </w:tcPr>
          <w:p w14:paraId="4861DD7A">
            <w:pPr>
              <w:widowControl/>
              <w:spacing w:line="240" w:lineRule="auto"/>
              <w:jc w:val="center"/>
              <w:rPr>
                <w:rFonts w:ascii="宋体" w:cs="宋体"/>
                <w:b/>
                <w:bCs/>
                <w:color w:val="auto"/>
                <w:highlight w:val="none"/>
              </w:rPr>
            </w:pPr>
            <w:r>
              <w:rPr>
                <w:rFonts w:hint="eastAsia" w:ascii="宋体" w:cs="宋体"/>
                <w:b/>
                <w:bCs/>
                <w:color w:val="auto"/>
                <w:highlight w:val="none"/>
              </w:rPr>
              <w:t>微型企业</w:t>
            </w:r>
          </w:p>
        </w:tc>
      </w:tr>
      <w:tr w14:paraId="0EE618C5">
        <w:tblPrEx>
          <w:tblCellMar>
            <w:top w:w="0" w:type="dxa"/>
            <w:left w:w="108" w:type="dxa"/>
            <w:bottom w:w="0" w:type="dxa"/>
            <w:right w:w="108" w:type="dxa"/>
          </w:tblCellMar>
        </w:tblPrEx>
        <w:trPr>
          <w:gridAfter w:val="1"/>
          <w:wAfter w:w="6" w:type="dxa"/>
          <w:trHeight w:val="518" w:hRule="atLeast"/>
        </w:trPr>
        <w:tc>
          <w:tcPr>
            <w:tcW w:w="2003" w:type="dxa"/>
            <w:vMerge w:val="continue"/>
            <w:tcBorders>
              <w:top w:val="single" w:color="auto" w:sz="8" w:space="0"/>
              <w:left w:val="single" w:color="auto" w:sz="8" w:space="0"/>
              <w:bottom w:val="single" w:color="000000" w:sz="4" w:space="0"/>
              <w:right w:val="single" w:color="auto" w:sz="8" w:space="0"/>
            </w:tcBorders>
            <w:vAlign w:val="center"/>
          </w:tcPr>
          <w:p w14:paraId="5295AC65">
            <w:pPr>
              <w:spacing w:line="240" w:lineRule="auto"/>
              <w:rPr>
                <w:color w:val="auto"/>
                <w:highlight w:val="none"/>
              </w:rPr>
            </w:pPr>
          </w:p>
        </w:tc>
        <w:tc>
          <w:tcPr>
            <w:tcW w:w="1512" w:type="dxa"/>
            <w:tcBorders>
              <w:top w:val="nil"/>
              <w:left w:val="nil"/>
              <w:bottom w:val="single" w:color="auto" w:sz="4" w:space="0"/>
              <w:right w:val="single" w:color="auto" w:sz="4" w:space="0"/>
            </w:tcBorders>
            <w:vAlign w:val="bottom"/>
          </w:tcPr>
          <w:p w14:paraId="219649DC">
            <w:pPr>
              <w:widowControl/>
              <w:spacing w:line="240" w:lineRule="auto"/>
              <w:jc w:val="center"/>
              <w:rPr>
                <w:rFonts w:ascii="宋体" w:cs="宋体"/>
                <w:color w:val="auto"/>
                <w:sz w:val="20"/>
                <w:highlight w:val="none"/>
              </w:rPr>
            </w:pPr>
            <w:r>
              <w:rPr>
                <w:rFonts w:hint="eastAsia" w:ascii="宋体" w:cs="宋体"/>
                <w:color w:val="auto"/>
                <w:sz w:val="20"/>
                <w:highlight w:val="none"/>
              </w:rPr>
              <w:t>从业人员X（人）</w:t>
            </w:r>
          </w:p>
        </w:tc>
        <w:tc>
          <w:tcPr>
            <w:tcW w:w="1779" w:type="dxa"/>
            <w:tcBorders>
              <w:top w:val="nil"/>
              <w:left w:val="nil"/>
              <w:bottom w:val="single" w:color="auto" w:sz="4" w:space="0"/>
              <w:right w:val="single" w:color="auto" w:sz="4" w:space="0"/>
            </w:tcBorders>
            <w:vAlign w:val="bottom"/>
          </w:tcPr>
          <w:p w14:paraId="29E540E5">
            <w:pPr>
              <w:widowControl/>
              <w:spacing w:line="240" w:lineRule="auto"/>
              <w:jc w:val="center"/>
              <w:rPr>
                <w:rFonts w:ascii="宋体" w:cs="宋体"/>
                <w:color w:val="auto"/>
                <w:sz w:val="20"/>
                <w:highlight w:val="none"/>
              </w:rPr>
            </w:pPr>
            <w:r>
              <w:rPr>
                <w:rFonts w:hint="eastAsia" w:ascii="宋体" w:cs="宋体"/>
                <w:color w:val="auto"/>
                <w:sz w:val="20"/>
                <w:highlight w:val="none"/>
              </w:rPr>
              <w:t>营业收入Y</w:t>
            </w:r>
          </w:p>
          <w:p w14:paraId="6CDA0CEC">
            <w:pPr>
              <w:widowControl/>
              <w:spacing w:line="240" w:lineRule="auto"/>
              <w:jc w:val="center"/>
              <w:rPr>
                <w:rFonts w:ascii="宋体" w:cs="宋体"/>
                <w:color w:val="auto"/>
                <w:sz w:val="20"/>
                <w:highlight w:val="none"/>
              </w:rPr>
            </w:pPr>
            <w:r>
              <w:rPr>
                <w:rFonts w:hint="eastAsia" w:ascii="宋体" w:cs="宋体"/>
                <w:color w:val="auto"/>
                <w:sz w:val="20"/>
                <w:highlight w:val="none"/>
              </w:rPr>
              <w:t>（万元）</w:t>
            </w:r>
          </w:p>
        </w:tc>
        <w:tc>
          <w:tcPr>
            <w:tcW w:w="1677" w:type="dxa"/>
            <w:tcBorders>
              <w:top w:val="nil"/>
              <w:left w:val="nil"/>
              <w:bottom w:val="single" w:color="auto" w:sz="4" w:space="0"/>
              <w:right w:val="single" w:color="auto" w:sz="8" w:space="0"/>
            </w:tcBorders>
            <w:vAlign w:val="bottom"/>
          </w:tcPr>
          <w:p w14:paraId="11C1D278">
            <w:pPr>
              <w:widowControl/>
              <w:spacing w:line="240" w:lineRule="auto"/>
              <w:jc w:val="center"/>
              <w:rPr>
                <w:rFonts w:ascii="宋体" w:cs="宋体"/>
                <w:color w:val="auto"/>
                <w:sz w:val="20"/>
                <w:highlight w:val="none"/>
              </w:rPr>
            </w:pPr>
            <w:r>
              <w:rPr>
                <w:rFonts w:hint="eastAsia" w:ascii="宋体" w:cs="宋体"/>
                <w:color w:val="auto"/>
                <w:sz w:val="20"/>
                <w:highlight w:val="none"/>
              </w:rPr>
              <w:t>资产总额Z</w:t>
            </w:r>
          </w:p>
          <w:p w14:paraId="63DB3153">
            <w:pPr>
              <w:widowControl/>
              <w:spacing w:line="240" w:lineRule="auto"/>
              <w:jc w:val="center"/>
              <w:rPr>
                <w:rFonts w:ascii="宋体" w:cs="宋体"/>
                <w:color w:val="auto"/>
                <w:sz w:val="20"/>
                <w:highlight w:val="none"/>
              </w:rPr>
            </w:pPr>
            <w:r>
              <w:rPr>
                <w:rFonts w:hint="eastAsia" w:ascii="宋体" w:cs="宋体"/>
                <w:color w:val="auto"/>
                <w:sz w:val="20"/>
                <w:highlight w:val="none"/>
              </w:rPr>
              <w:t>（万元）</w:t>
            </w:r>
          </w:p>
        </w:tc>
        <w:tc>
          <w:tcPr>
            <w:tcW w:w="1252" w:type="dxa"/>
            <w:tcBorders>
              <w:top w:val="nil"/>
              <w:left w:val="nil"/>
              <w:bottom w:val="single" w:color="auto" w:sz="4" w:space="0"/>
              <w:right w:val="single" w:color="auto" w:sz="4" w:space="0"/>
            </w:tcBorders>
            <w:vAlign w:val="bottom"/>
          </w:tcPr>
          <w:p w14:paraId="139B3EE5">
            <w:pPr>
              <w:widowControl/>
              <w:spacing w:line="240" w:lineRule="auto"/>
              <w:jc w:val="center"/>
              <w:rPr>
                <w:rFonts w:ascii="宋体" w:cs="宋体"/>
                <w:color w:val="auto"/>
                <w:sz w:val="20"/>
                <w:highlight w:val="none"/>
              </w:rPr>
            </w:pPr>
            <w:r>
              <w:rPr>
                <w:rFonts w:hint="eastAsia" w:ascii="宋体" w:cs="宋体"/>
                <w:color w:val="auto"/>
                <w:sz w:val="20"/>
                <w:highlight w:val="none"/>
              </w:rPr>
              <w:t>从业人员X（人）</w:t>
            </w:r>
          </w:p>
        </w:tc>
        <w:tc>
          <w:tcPr>
            <w:tcW w:w="1494" w:type="dxa"/>
            <w:tcBorders>
              <w:top w:val="nil"/>
              <w:left w:val="nil"/>
              <w:bottom w:val="single" w:color="auto" w:sz="4" w:space="0"/>
              <w:right w:val="single" w:color="auto" w:sz="4" w:space="0"/>
            </w:tcBorders>
            <w:vAlign w:val="bottom"/>
          </w:tcPr>
          <w:p w14:paraId="25DF57CC">
            <w:pPr>
              <w:widowControl/>
              <w:spacing w:line="240" w:lineRule="auto"/>
              <w:jc w:val="center"/>
              <w:rPr>
                <w:rFonts w:ascii="宋体" w:cs="宋体"/>
                <w:color w:val="auto"/>
                <w:sz w:val="20"/>
                <w:highlight w:val="none"/>
              </w:rPr>
            </w:pPr>
            <w:r>
              <w:rPr>
                <w:rFonts w:hint="eastAsia" w:ascii="宋体" w:cs="宋体"/>
                <w:color w:val="auto"/>
                <w:sz w:val="20"/>
                <w:highlight w:val="none"/>
              </w:rPr>
              <w:t>营业收入Y</w:t>
            </w:r>
          </w:p>
          <w:p w14:paraId="0F7CE862">
            <w:pPr>
              <w:widowControl/>
              <w:spacing w:line="240" w:lineRule="auto"/>
              <w:jc w:val="center"/>
              <w:rPr>
                <w:rFonts w:ascii="宋体" w:cs="宋体"/>
                <w:color w:val="auto"/>
                <w:sz w:val="20"/>
                <w:highlight w:val="none"/>
              </w:rPr>
            </w:pPr>
            <w:r>
              <w:rPr>
                <w:rFonts w:hint="eastAsia" w:ascii="宋体" w:cs="宋体"/>
                <w:color w:val="auto"/>
                <w:sz w:val="20"/>
                <w:highlight w:val="none"/>
              </w:rPr>
              <w:t>（万元）</w:t>
            </w:r>
          </w:p>
        </w:tc>
        <w:tc>
          <w:tcPr>
            <w:tcW w:w="1536" w:type="dxa"/>
            <w:tcBorders>
              <w:top w:val="nil"/>
              <w:left w:val="nil"/>
              <w:bottom w:val="single" w:color="auto" w:sz="4" w:space="0"/>
              <w:right w:val="single" w:color="auto" w:sz="8" w:space="0"/>
            </w:tcBorders>
            <w:vAlign w:val="bottom"/>
          </w:tcPr>
          <w:p w14:paraId="04884BDB">
            <w:pPr>
              <w:widowControl/>
              <w:spacing w:line="240" w:lineRule="auto"/>
              <w:jc w:val="center"/>
              <w:rPr>
                <w:rFonts w:ascii="宋体" w:cs="宋体"/>
                <w:color w:val="auto"/>
                <w:sz w:val="20"/>
                <w:highlight w:val="none"/>
              </w:rPr>
            </w:pPr>
            <w:r>
              <w:rPr>
                <w:rFonts w:hint="eastAsia" w:ascii="宋体" w:cs="宋体"/>
                <w:color w:val="auto"/>
                <w:sz w:val="20"/>
                <w:highlight w:val="none"/>
              </w:rPr>
              <w:t>资产总额Z</w:t>
            </w:r>
          </w:p>
          <w:p w14:paraId="67825888">
            <w:pPr>
              <w:widowControl/>
              <w:spacing w:line="240" w:lineRule="auto"/>
              <w:jc w:val="center"/>
              <w:rPr>
                <w:rFonts w:ascii="宋体" w:cs="宋体"/>
                <w:color w:val="auto"/>
                <w:sz w:val="20"/>
                <w:highlight w:val="none"/>
              </w:rPr>
            </w:pPr>
            <w:r>
              <w:rPr>
                <w:rFonts w:hint="eastAsia" w:ascii="宋体" w:cs="宋体"/>
                <w:color w:val="auto"/>
                <w:sz w:val="20"/>
                <w:highlight w:val="none"/>
              </w:rPr>
              <w:t>（万元）</w:t>
            </w:r>
          </w:p>
        </w:tc>
        <w:tc>
          <w:tcPr>
            <w:tcW w:w="1297" w:type="dxa"/>
            <w:tcBorders>
              <w:top w:val="nil"/>
              <w:left w:val="nil"/>
              <w:bottom w:val="single" w:color="auto" w:sz="4" w:space="0"/>
              <w:right w:val="single" w:color="auto" w:sz="4" w:space="0"/>
            </w:tcBorders>
            <w:vAlign w:val="bottom"/>
          </w:tcPr>
          <w:p w14:paraId="5170E68B">
            <w:pPr>
              <w:widowControl/>
              <w:spacing w:line="240" w:lineRule="auto"/>
              <w:jc w:val="center"/>
              <w:rPr>
                <w:rFonts w:ascii="宋体" w:cs="宋体"/>
                <w:color w:val="auto"/>
                <w:sz w:val="20"/>
                <w:highlight w:val="none"/>
              </w:rPr>
            </w:pPr>
            <w:r>
              <w:rPr>
                <w:rFonts w:hint="eastAsia" w:ascii="宋体" w:cs="宋体"/>
                <w:color w:val="auto"/>
                <w:sz w:val="20"/>
                <w:highlight w:val="none"/>
              </w:rPr>
              <w:t>从业人员X（人）</w:t>
            </w:r>
          </w:p>
        </w:tc>
        <w:tc>
          <w:tcPr>
            <w:tcW w:w="1287" w:type="dxa"/>
            <w:tcBorders>
              <w:top w:val="nil"/>
              <w:left w:val="nil"/>
              <w:bottom w:val="single" w:color="auto" w:sz="4" w:space="0"/>
              <w:right w:val="single" w:color="auto" w:sz="4" w:space="0"/>
            </w:tcBorders>
            <w:vAlign w:val="bottom"/>
          </w:tcPr>
          <w:p w14:paraId="1B4340D7">
            <w:pPr>
              <w:widowControl/>
              <w:spacing w:line="240" w:lineRule="auto"/>
              <w:jc w:val="center"/>
              <w:rPr>
                <w:rFonts w:ascii="宋体" w:cs="宋体"/>
                <w:color w:val="auto"/>
                <w:sz w:val="20"/>
                <w:highlight w:val="none"/>
              </w:rPr>
            </w:pPr>
            <w:r>
              <w:rPr>
                <w:rFonts w:hint="eastAsia" w:ascii="宋体" w:cs="宋体"/>
                <w:color w:val="auto"/>
                <w:sz w:val="20"/>
                <w:highlight w:val="none"/>
              </w:rPr>
              <w:t>营业收入Y（万元）</w:t>
            </w:r>
          </w:p>
        </w:tc>
        <w:tc>
          <w:tcPr>
            <w:tcW w:w="1234" w:type="dxa"/>
            <w:tcBorders>
              <w:top w:val="nil"/>
              <w:left w:val="nil"/>
              <w:bottom w:val="single" w:color="auto" w:sz="4" w:space="0"/>
              <w:right w:val="single" w:color="auto" w:sz="8" w:space="0"/>
            </w:tcBorders>
            <w:vAlign w:val="bottom"/>
          </w:tcPr>
          <w:p w14:paraId="7CF0F51C">
            <w:pPr>
              <w:widowControl/>
              <w:spacing w:line="240" w:lineRule="auto"/>
              <w:jc w:val="center"/>
              <w:rPr>
                <w:rFonts w:ascii="宋体" w:cs="宋体"/>
                <w:color w:val="auto"/>
                <w:sz w:val="20"/>
                <w:highlight w:val="none"/>
              </w:rPr>
            </w:pPr>
            <w:r>
              <w:rPr>
                <w:rFonts w:hint="eastAsia" w:ascii="宋体" w:cs="宋体"/>
                <w:color w:val="auto"/>
                <w:sz w:val="20"/>
                <w:highlight w:val="none"/>
              </w:rPr>
              <w:t>资产总额Z（万元）</w:t>
            </w:r>
          </w:p>
        </w:tc>
      </w:tr>
      <w:tr w14:paraId="73FCCE25">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620C2F29">
            <w:pPr>
              <w:widowControl/>
              <w:spacing w:line="240" w:lineRule="auto"/>
              <w:rPr>
                <w:rFonts w:ascii="宋体" w:cs="宋体"/>
                <w:color w:val="auto"/>
                <w:sz w:val="20"/>
                <w:highlight w:val="none"/>
              </w:rPr>
            </w:pPr>
            <w:r>
              <w:rPr>
                <w:rFonts w:hint="eastAsia" w:ascii="宋体" w:cs="宋体"/>
                <w:color w:val="auto"/>
                <w:sz w:val="20"/>
                <w:highlight w:val="none"/>
              </w:rPr>
              <w:t xml:space="preserve"> 1、农林牧渔业</w:t>
            </w:r>
          </w:p>
        </w:tc>
        <w:tc>
          <w:tcPr>
            <w:tcW w:w="1512" w:type="dxa"/>
            <w:tcBorders>
              <w:top w:val="nil"/>
              <w:left w:val="nil"/>
              <w:bottom w:val="single" w:color="auto" w:sz="4" w:space="0"/>
              <w:right w:val="single" w:color="auto" w:sz="4" w:space="0"/>
            </w:tcBorders>
            <w:vAlign w:val="center"/>
          </w:tcPr>
          <w:p w14:paraId="14381601">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779" w:type="dxa"/>
            <w:tcBorders>
              <w:top w:val="nil"/>
              <w:left w:val="nil"/>
              <w:bottom w:val="single" w:color="auto" w:sz="4" w:space="0"/>
              <w:right w:val="single" w:color="auto" w:sz="4" w:space="0"/>
            </w:tcBorders>
            <w:vAlign w:val="center"/>
          </w:tcPr>
          <w:p w14:paraId="01F765FE">
            <w:pPr>
              <w:widowControl/>
              <w:spacing w:line="240" w:lineRule="auto"/>
              <w:rPr>
                <w:rFonts w:ascii="宋体" w:cs="宋体"/>
                <w:color w:val="auto"/>
                <w:sz w:val="20"/>
                <w:highlight w:val="none"/>
              </w:rPr>
            </w:pPr>
            <w:r>
              <w:rPr>
                <w:rFonts w:hint="eastAsia" w:ascii="宋体" w:cs="宋体"/>
                <w:color w:val="auto"/>
                <w:sz w:val="20"/>
                <w:highlight w:val="none"/>
              </w:rPr>
              <w:t xml:space="preserve"> 500≤Y＜20000</w:t>
            </w:r>
          </w:p>
        </w:tc>
        <w:tc>
          <w:tcPr>
            <w:tcW w:w="1677" w:type="dxa"/>
            <w:tcBorders>
              <w:top w:val="nil"/>
              <w:left w:val="nil"/>
              <w:bottom w:val="single" w:color="auto" w:sz="4" w:space="0"/>
              <w:right w:val="single" w:color="auto" w:sz="8" w:space="0"/>
            </w:tcBorders>
            <w:vAlign w:val="center"/>
          </w:tcPr>
          <w:p w14:paraId="7F86F0A5">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14:paraId="54677440">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494" w:type="dxa"/>
            <w:tcBorders>
              <w:top w:val="nil"/>
              <w:left w:val="nil"/>
              <w:bottom w:val="single" w:color="auto" w:sz="4" w:space="0"/>
              <w:right w:val="single" w:color="auto" w:sz="4" w:space="0"/>
            </w:tcBorders>
            <w:vAlign w:val="center"/>
          </w:tcPr>
          <w:p w14:paraId="3C29A2AB">
            <w:pPr>
              <w:widowControl/>
              <w:spacing w:line="240" w:lineRule="auto"/>
              <w:rPr>
                <w:rFonts w:ascii="宋体" w:cs="宋体"/>
                <w:color w:val="auto"/>
                <w:sz w:val="20"/>
                <w:highlight w:val="none"/>
              </w:rPr>
            </w:pPr>
            <w:r>
              <w:rPr>
                <w:rFonts w:hint="eastAsia" w:ascii="宋体" w:cs="宋体"/>
                <w:color w:val="auto"/>
                <w:sz w:val="20"/>
                <w:highlight w:val="none"/>
              </w:rPr>
              <w:t xml:space="preserve"> 50≤Y＜500</w:t>
            </w:r>
          </w:p>
        </w:tc>
        <w:tc>
          <w:tcPr>
            <w:tcW w:w="1536" w:type="dxa"/>
            <w:tcBorders>
              <w:top w:val="nil"/>
              <w:left w:val="nil"/>
              <w:bottom w:val="single" w:color="auto" w:sz="4" w:space="0"/>
              <w:right w:val="single" w:color="auto" w:sz="8" w:space="0"/>
            </w:tcBorders>
            <w:vAlign w:val="center"/>
          </w:tcPr>
          <w:p w14:paraId="032E26D4">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14:paraId="555BE358">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87" w:type="dxa"/>
            <w:tcBorders>
              <w:top w:val="nil"/>
              <w:left w:val="nil"/>
              <w:bottom w:val="single" w:color="auto" w:sz="4" w:space="0"/>
              <w:right w:val="single" w:color="auto" w:sz="4" w:space="0"/>
            </w:tcBorders>
            <w:vAlign w:val="center"/>
          </w:tcPr>
          <w:p w14:paraId="720C8DE3">
            <w:pPr>
              <w:widowControl/>
              <w:spacing w:line="240" w:lineRule="auto"/>
              <w:rPr>
                <w:rFonts w:ascii="宋体" w:cs="宋体"/>
                <w:color w:val="auto"/>
                <w:sz w:val="20"/>
                <w:highlight w:val="none"/>
              </w:rPr>
            </w:pPr>
            <w:r>
              <w:rPr>
                <w:rFonts w:hint="eastAsia" w:ascii="宋体" w:cs="宋体"/>
                <w:color w:val="auto"/>
                <w:sz w:val="20"/>
                <w:highlight w:val="none"/>
              </w:rPr>
              <w:t>Y＜50</w:t>
            </w:r>
          </w:p>
        </w:tc>
        <w:tc>
          <w:tcPr>
            <w:tcW w:w="1234" w:type="dxa"/>
            <w:tcBorders>
              <w:top w:val="nil"/>
              <w:left w:val="nil"/>
              <w:bottom w:val="single" w:color="auto" w:sz="4" w:space="0"/>
              <w:right w:val="single" w:color="auto" w:sz="8" w:space="0"/>
            </w:tcBorders>
            <w:vAlign w:val="center"/>
          </w:tcPr>
          <w:p w14:paraId="2800A4F6">
            <w:pPr>
              <w:widowControl/>
              <w:spacing w:line="240" w:lineRule="auto"/>
              <w:rPr>
                <w:rFonts w:ascii="宋体" w:cs="宋体"/>
                <w:color w:val="auto"/>
                <w:sz w:val="20"/>
                <w:highlight w:val="none"/>
              </w:rPr>
            </w:pPr>
            <w:r>
              <w:rPr>
                <w:rFonts w:hint="eastAsia" w:ascii="宋体" w:cs="宋体"/>
                <w:color w:val="auto"/>
                <w:sz w:val="20"/>
                <w:highlight w:val="none"/>
              </w:rPr>
              <w:t>　</w:t>
            </w:r>
          </w:p>
        </w:tc>
      </w:tr>
      <w:tr w14:paraId="341ED7E5">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7D37455F">
            <w:pPr>
              <w:widowControl/>
              <w:spacing w:line="240" w:lineRule="auto"/>
              <w:rPr>
                <w:rFonts w:ascii="宋体" w:cs="宋体"/>
                <w:color w:val="auto"/>
                <w:sz w:val="20"/>
                <w:highlight w:val="none"/>
              </w:rPr>
            </w:pPr>
            <w:r>
              <w:rPr>
                <w:rFonts w:hint="eastAsia" w:ascii="宋体" w:cs="宋体"/>
                <w:color w:val="auto"/>
                <w:sz w:val="20"/>
                <w:highlight w:val="none"/>
              </w:rPr>
              <w:t xml:space="preserve"> 2、工业</w:t>
            </w:r>
          </w:p>
        </w:tc>
        <w:tc>
          <w:tcPr>
            <w:tcW w:w="1512" w:type="dxa"/>
            <w:tcBorders>
              <w:top w:val="nil"/>
              <w:left w:val="nil"/>
              <w:bottom w:val="single" w:color="auto" w:sz="4" w:space="0"/>
              <w:right w:val="single" w:color="auto" w:sz="4" w:space="0"/>
            </w:tcBorders>
            <w:vAlign w:val="center"/>
          </w:tcPr>
          <w:p w14:paraId="2E404C6F">
            <w:pPr>
              <w:widowControl/>
              <w:spacing w:line="240" w:lineRule="auto"/>
              <w:rPr>
                <w:rFonts w:ascii="宋体" w:cs="宋体"/>
                <w:color w:val="auto"/>
                <w:sz w:val="20"/>
                <w:highlight w:val="none"/>
              </w:rPr>
            </w:pPr>
            <w:r>
              <w:rPr>
                <w:rFonts w:hint="eastAsia" w:ascii="宋体" w:cs="宋体"/>
                <w:color w:val="auto"/>
                <w:sz w:val="20"/>
                <w:highlight w:val="none"/>
              </w:rPr>
              <w:t>300≤X＜1000</w:t>
            </w:r>
          </w:p>
        </w:tc>
        <w:tc>
          <w:tcPr>
            <w:tcW w:w="1779" w:type="dxa"/>
            <w:tcBorders>
              <w:top w:val="nil"/>
              <w:left w:val="nil"/>
              <w:bottom w:val="single" w:color="auto" w:sz="4" w:space="0"/>
              <w:right w:val="single" w:color="auto" w:sz="4" w:space="0"/>
            </w:tcBorders>
            <w:vAlign w:val="center"/>
          </w:tcPr>
          <w:p w14:paraId="35A35EEF">
            <w:pPr>
              <w:widowControl/>
              <w:spacing w:line="240" w:lineRule="auto"/>
              <w:rPr>
                <w:rFonts w:ascii="宋体" w:cs="宋体"/>
                <w:color w:val="auto"/>
                <w:sz w:val="20"/>
                <w:highlight w:val="none"/>
              </w:rPr>
            </w:pPr>
            <w:r>
              <w:rPr>
                <w:rFonts w:hint="eastAsia" w:ascii="宋体" w:cs="宋体"/>
                <w:color w:val="auto"/>
                <w:sz w:val="20"/>
                <w:highlight w:val="none"/>
              </w:rPr>
              <w:t>2000≤Y＜40000</w:t>
            </w:r>
          </w:p>
        </w:tc>
        <w:tc>
          <w:tcPr>
            <w:tcW w:w="1677" w:type="dxa"/>
            <w:tcBorders>
              <w:top w:val="nil"/>
              <w:left w:val="nil"/>
              <w:bottom w:val="single" w:color="auto" w:sz="4" w:space="0"/>
              <w:right w:val="single" w:color="auto" w:sz="8" w:space="0"/>
            </w:tcBorders>
            <w:vAlign w:val="center"/>
          </w:tcPr>
          <w:p w14:paraId="7E325424">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14:paraId="5F6638CF">
            <w:pPr>
              <w:widowControl/>
              <w:spacing w:line="240" w:lineRule="auto"/>
              <w:rPr>
                <w:rFonts w:ascii="宋体" w:cs="宋体"/>
                <w:color w:val="auto"/>
                <w:sz w:val="20"/>
                <w:highlight w:val="none"/>
              </w:rPr>
            </w:pPr>
            <w:r>
              <w:rPr>
                <w:rFonts w:hint="eastAsia" w:ascii="宋体" w:cs="宋体"/>
                <w:color w:val="auto"/>
                <w:sz w:val="20"/>
                <w:highlight w:val="none"/>
              </w:rPr>
              <w:t>20≤X＜300</w:t>
            </w:r>
          </w:p>
        </w:tc>
        <w:tc>
          <w:tcPr>
            <w:tcW w:w="1494" w:type="dxa"/>
            <w:tcBorders>
              <w:top w:val="nil"/>
              <w:left w:val="nil"/>
              <w:bottom w:val="single" w:color="auto" w:sz="4" w:space="0"/>
              <w:right w:val="single" w:color="auto" w:sz="4" w:space="0"/>
            </w:tcBorders>
            <w:vAlign w:val="center"/>
          </w:tcPr>
          <w:p w14:paraId="0238273B">
            <w:pPr>
              <w:widowControl/>
              <w:spacing w:line="240" w:lineRule="auto"/>
              <w:rPr>
                <w:rFonts w:ascii="宋体" w:cs="宋体"/>
                <w:color w:val="auto"/>
                <w:sz w:val="20"/>
                <w:highlight w:val="none"/>
              </w:rPr>
            </w:pPr>
            <w:r>
              <w:rPr>
                <w:rFonts w:hint="eastAsia" w:ascii="宋体" w:cs="宋体"/>
                <w:color w:val="auto"/>
                <w:sz w:val="20"/>
                <w:highlight w:val="none"/>
              </w:rPr>
              <w:t>300≤Y＜2000</w:t>
            </w:r>
          </w:p>
        </w:tc>
        <w:tc>
          <w:tcPr>
            <w:tcW w:w="1536" w:type="dxa"/>
            <w:tcBorders>
              <w:top w:val="nil"/>
              <w:left w:val="nil"/>
              <w:bottom w:val="single" w:color="auto" w:sz="4" w:space="0"/>
              <w:right w:val="single" w:color="auto" w:sz="8" w:space="0"/>
            </w:tcBorders>
            <w:vAlign w:val="center"/>
          </w:tcPr>
          <w:p w14:paraId="202AB8EB">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14:paraId="114D266C">
            <w:pPr>
              <w:widowControl/>
              <w:spacing w:line="240" w:lineRule="auto"/>
              <w:rPr>
                <w:rFonts w:ascii="宋体" w:cs="宋体"/>
                <w:color w:val="auto"/>
                <w:sz w:val="20"/>
                <w:highlight w:val="none"/>
              </w:rPr>
            </w:pPr>
            <w:r>
              <w:rPr>
                <w:rFonts w:hint="eastAsia" w:ascii="宋体" w:cs="宋体"/>
                <w:color w:val="auto"/>
                <w:sz w:val="20"/>
                <w:highlight w:val="none"/>
              </w:rPr>
              <w:t>X＜20</w:t>
            </w:r>
          </w:p>
        </w:tc>
        <w:tc>
          <w:tcPr>
            <w:tcW w:w="1287" w:type="dxa"/>
            <w:tcBorders>
              <w:top w:val="nil"/>
              <w:left w:val="nil"/>
              <w:bottom w:val="single" w:color="auto" w:sz="4" w:space="0"/>
              <w:right w:val="single" w:color="auto" w:sz="4" w:space="0"/>
            </w:tcBorders>
            <w:vAlign w:val="center"/>
          </w:tcPr>
          <w:p w14:paraId="6266724E">
            <w:pPr>
              <w:widowControl/>
              <w:spacing w:line="240" w:lineRule="auto"/>
              <w:rPr>
                <w:rFonts w:ascii="宋体" w:cs="宋体"/>
                <w:color w:val="auto"/>
                <w:sz w:val="20"/>
                <w:highlight w:val="none"/>
              </w:rPr>
            </w:pPr>
            <w:r>
              <w:rPr>
                <w:rFonts w:hint="eastAsia" w:ascii="宋体" w:cs="宋体"/>
                <w:color w:val="auto"/>
                <w:sz w:val="20"/>
                <w:highlight w:val="none"/>
              </w:rPr>
              <w:t>Y＜300</w:t>
            </w:r>
          </w:p>
        </w:tc>
        <w:tc>
          <w:tcPr>
            <w:tcW w:w="1234" w:type="dxa"/>
            <w:tcBorders>
              <w:top w:val="nil"/>
              <w:left w:val="nil"/>
              <w:bottom w:val="single" w:color="auto" w:sz="4" w:space="0"/>
              <w:right w:val="single" w:color="auto" w:sz="8" w:space="0"/>
            </w:tcBorders>
            <w:vAlign w:val="center"/>
          </w:tcPr>
          <w:p w14:paraId="5F981D89">
            <w:pPr>
              <w:widowControl/>
              <w:spacing w:line="240" w:lineRule="auto"/>
              <w:rPr>
                <w:rFonts w:ascii="宋体" w:cs="宋体"/>
                <w:color w:val="auto"/>
                <w:sz w:val="20"/>
                <w:highlight w:val="none"/>
              </w:rPr>
            </w:pPr>
            <w:r>
              <w:rPr>
                <w:rFonts w:hint="eastAsia" w:ascii="宋体" w:cs="宋体"/>
                <w:color w:val="auto"/>
                <w:sz w:val="20"/>
                <w:highlight w:val="none"/>
              </w:rPr>
              <w:t>　</w:t>
            </w:r>
          </w:p>
        </w:tc>
      </w:tr>
      <w:tr w14:paraId="4CE4A81F">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3857E5E0">
            <w:pPr>
              <w:widowControl/>
              <w:spacing w:line="240" w:lineRule="auto"/>
              <w:rPr>
                <w:rFonts w:ascii="宋体" w:cs="宋体"/>
                <w:color w:val="auto"/>
                <w:sz w:val="20"/>
                <w:highlight w:val="none"/>
              </w:rPr>
            </w:pPr>
            <w:r>
              <w:rPr>
                <w:rFonts w:hint="eastAsia" w:ascii="宋体" w:cs="宋体"/>
                <w:color w:val="auto"/>
                <w:sz w:val="20"/>
                <w:highlight w:val="none"/>
              </w:rPr>
              <w:t xml:space="preserve"> 3、建筑业</w:t>
            </w:r>
          </w:p>
        </w:tc>
        <w:tc>
          <w:tcPr>
            <w:tcW w:w="1512" w:type="dxa"/>
            <w:tcBorders>
              <w:top w:val="nil"/>
              <w:left w:val="nil"/>
              <w:bottom w:val="single" w:color="auto" w:sz="4" w:space="0"/>
              <w:right w:val="single" w:color="auto" w:sz="4" w:space="0"/>
            </w:tcBorders>
            <w:vAlign w:val="center"/>
          </w:tcPr>
          <w:p w14:paraId="2BDA9D5C">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779" w:type="dxa"/>
            <w:tcBorders>
              <w:top w:val="nil"/>
              <w:left w:val="nil"/>
              <w:bottom w:val="single" w:color="auto" w:sz="4" w:space="0"/>
              <w:right w:val="single" w:color="auto" w:sz="4" w:space="0"/>
            </w:tcBorders>
            <w:vAlign w:val="center"/>
          </w:tcPr>
          <w:p w14:paraId="5C5B7284">
            <w:pPr>
              <w:widowControl/>
              <w:spacing w:line="240" w:lineRule="auto"/>
              <w:rPr>
                <w:rFonts w:ascii="宋体" w:cs="宋体"/>
                <w:color w:val="auto"/>
                <w:sz w:val="20"/>
                <w:highlight w:val="none"/>
              </w:rPr>
            </w:pPr>
            <w:r>
              <w:rPr>
                <w:rFonts w:hint="eastAsia" w:ascii="宋体" w:cs="宋体"/>
                <w:color w:val="auto"/>
                <w:sz w:val="20"/>
                <w:highlight w:val="none"/>
              </w:rPr>
              <w:t>9400≤Y＜80000</w:t>
            </w:r>
          </w:p>
        </w:tc>
        <w:tc>
          <w:tcPr>
            <w:tcW w:w="1677" w:type="dxa"/>
            <w:tcBorders>
              <w:top w:val="nil"/>
              <w:left w:val="nil"/>
              <w:bottom w:val="single" w:color="auto" w:sz="4" w:space="0"/>
              <w:right w:val="single" w:color="auto" w:sz="8" w:space="0"/>
            </w:tcBorders>
            <w:vAlign w:val="center"/>
          </w:tcPr>
          <w:p w14:paraId="7A18775C">
            <w:pPr>
              <w:widowControl/>
              <w:spacing w:line="240" w:lineRule="auto"/>
              <w:rPr>
                <w:rFonts w:ascii="宋体" w:cs="宋体"/>
                <w:color w:val="auto"/>
                <w:sz w:val="20"/>
                <w:highlight w:val="none"/>
              </w:rPr>
            </w:pPr>
            <w:r>
              <w:rPr>
                <w:rFonts w:hint="eastAsia" w:ascii="宋体" w:cs="宋体"/>
                <w:color w:val="auto"/>
                <w:sz w:val="20"/>
                <w:highlight w:val="none"/>
              </w:rPr>
              <w:t>5000≤Z＜80000</w:t>
            </w:r>
          </w:p>
        </w:tc>
        <w:tc>
          <w:tcPr>
            <w:tcW w:w="1252" w:type="dxa"/>
            <w:tcBorders>
              <w:top w:val="nil"/>
              <w:left w:val="nil"/>
              <w:bottom w:val="single" w:color="auto" w:sz="4" w:space="0"/>
              <w:right w:val="single" w:color="auto" w:sz="4" w:space="0"/>
            </w:tcBorders>
            <w:vAlign w:val="center"/>
          </w:tcPr>
          <w:p w14:paraId="28DDD530">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494" w:type="dxa"/>
            <w:tcBorders>
              <w:top w:val="nil"/>
              <w:left w:val="nil"/>
              <w:bottom w:val="single" w:color="auto" w:sz="4" w:space="0"/>
              <w:right w:val="single" w:color="auto" w:sz="4" w:space="0"/>
            </w:tcBorders>
            <w:vAlign w:val="center"/>
          </w:tcPr>
          <w:p w14:paraId="3E00EB78">
            <w:pPr>
              <w:widowControl/>
              <w:spacing w:line="240" w:lineRule="auto"/>
              <w:rPr>
                <w:rFonts w:ascii="宋体" w:cs="宋体"/>
                <w:color w:val="auto"/>
                <w:sz w:val="20"/>
                <w:highlight w:val="none"/>
              </w:rPr>
            </w:pPr>
            <w:r>
              <w:rPr>
                <w:rFonts w:hint="eastAsia" w:ascii="宋体" w:cs="宋体"/>
                <w:color w:val="auto"/>
                <w:sz w:val="20"/>
                <w:highlight w:val="none"/>
              </w:rPr>
              <w:t>300≤Y＜9400</w:t>
            </w:r>
          </w:p>
        </w:tc>
        <w:tc>
          <w:tcPr>
            <w:tcW w:w="1536" w:type="dxa"/>
            <w:tcBorders>
              <w:top w:val="nil"/>
              <w:left w:val="nil"/>
              <w:bottom w:val="single" w:color="auto" w:sz="4" w:space="0"/>
              <w:right w:val="single" w:color="auto" w:sz="8" w:space="0"/>
            </w:tcBorders>
            <w:vAlign w:val="center"/>
          </w:tcPr>
          <w:p w14:paraId="5FB7EADB">
            <w:pPr>
              <w:widowControl/>
              <w:spacing w:line="240" w:lineRule="auto"/>
              <w:rPr>
                <w:rFonts w:ascii="宋体" w:cs="宋体"/>
                <w:color w:val="auto"/>
                <w:sz w:val="20"/>
                <w:highlight w:val="none"/>
              </w:rPr>
            </w:pPr>
            <w:r>
              <w:rPr>
                <w:rFonts w:hint="eastAsia" w:ascii="宋体" w:cs="宋体"/>
                <w:color w:val="auto"/>
                <w:sz w:val="20"/>
                <w:highlight w:val="none"/>
              </w:rPr>
              <w:t xml:space="preserve"> 300≤Z＜5000</w:t>
            </w:r>
          </w:p>
        </w:tc>
        <w:tc>
          <w:tcPr>
            <w:tcW w:w="1297" w:type="dxa"/>
            <w:tcBorders>
              <w:top w:val="nil"/>
              <w:left w:val="nil"/>
              <w:bottom w:val="single" w:color="auto" w:sz="4" w:space="0"/>
              <w:right w:val="single" w:color="auto" w:sz="4" w:space="0"/>
            </w:tcBorders>
            <w:vAlign w:val="center"/>
          </w:tcPr>
          <w:p w14:paraId="32DA7321">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87" w:type="dxa"/>
            <w:tcBorders>
              <w:top w:val="nil"/>
              <w:left w:val="nil"/>
              <w:bottom w:val="single" w:color="auto" w:sz="4" w:space="0"/>
              <w:right w:val="single" w:color="auto" w:sz="4" w:space="0"/>
            </w:tcBorders>
            <w:vAlign w:val="center"/>
          </w:tcPr>
          <w:p w14:paraId="2F3D79E2">
            <w:pPr>
              <w:widowControl/>
              <w:spacing w:line="240" w:lineRule="auto"/>
              <w:rPr>
                <w:rFonts w:ascii="宋体" w:cs="宋体"/>
                <w:color w:val="auto"/>
                <w:sz w:val="20"/>
                <w:highlight w:val="none"/>
              </w:rPr>
            </w:pPr>
            <w:r>
              <w:rPr>
                <w:rFonts w:hint="eastAsia" w:ascii="宋体" w:cs="宋体"/>
                <w:color w:val="auto"/>
                <w:sz w:val="20"/>
                <w:highlight w:val="none"/>
              </w:rPr>
              <w:t>Y＜300</w:t>
            </w:r>
          </w:p>
        </w:tc>
        <w:tc>
          <w:tcPr>
            <w:tcW w:w="1234" w:type="dxa"/>
            <w:tcBorders>
              <w:top w:val="nil"/>
              <w:left w:val="nil"/>
              <w:bottom w:val="single" w:color="auto" w:sz="4" w:space="0"/>
              <w:right w:val="single" w:color="auto" w:sz="8" w:space="0"/>
            </w:tcBorders>
            <w:vAlign w:val="center"/>
          </w:tcPr>
          <w:p w14:paraId="4EF3B35A">
            <w:pPr>
              <w:widowControl/>
              <w:spacing w:line="240" w:lineRule="auto"/>
              <w:rPr>
                <w:rFonts w:ascii="宋体" w:cs="宋体"/>
                <w:color w:val="auto"/>
                <w:sz w:val="20"/>
                <w:highlight w:val="none"/>
              </w:rPr>
            </w:pPr>
            <w:r>
              <w:rPr>
                <w:rFonts w:hint="eastAsia" w:ascii="宋体" w:cs="宋体"/>
                <w:color w:val="auto"/>
                <w:sz w:val="20"/>
                <w:highlight w:val="none"/>
              </w:rPr>
              <w:t>Z＜300</w:t>
            </w:r>
          </w:p>
        </w:tc>
      </w:tr>
      <w:tr w14:paraId="26297370">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710D750C">
            <w:pPr>
              <w:widowControl/>
              <w:spacing w:line="240" w:lineRule="auto"/>
              <w:rPr>
                <w:rFonts w:ascii="宋体" w:cs="宋体"/>
                <w:color w:val="auto"/>
                <w:sz w:val="20"/>
                <w:highlight w:val="none"/>
              </w:rPr>
            </w:pPr>
            <w:r>
              <w:rPr>
                <w:rFonts w:hint="eastAsia" w:ascii="宋体" w:cs="宋体"/>
                <w:color w:val="auto"/>
                <w:sz w:val="20"/>
                <w:highlight w:val="none"/>
              </w:rPr>
              <w:t xml:space="preserve"> 4、批发业</w:t>
            </w:r>
          </w:p>
        </w:tc>
        <w:tc>
          <w:tcPr>
            <w:tcW w:w="1512" w:type="dxa"/>
            <w:tcBorders>
              <w:top w:val="nil"/>
              <w:left w:val="nil"/>
              <w:bottom w:val="single" w:color="auto" w:sz="4" w:space="0"/>
              <w:right w:val="single" w:color="auto" w:sz="4" w:space="0"/>
            </w:tcBorders>
            <w:vAlign w:val="center"/>
          </w:tcPr>
          <w:p w14:paraId="69A0A929">
            <w:pPr>
              <w:widowControl/>
              <w:spacing w:line="240" w:lineRule="auto"/>
              <w:rPr>
                <w:rFonts w:ascii="宋体" w:cs="宋体"/>
                <w:color w:val="auto"/>
                <w:sz w:val="20"/>
                <w:highlight w:val="none"/>
              </w:rPr>
            </w:pPr>
            <w:r>
              <w:rPr>
                <w:rFonts w:hint="eastAsia" w:ascii="宋体" w:cs="宋体"/>
                <w:color w:val="auto"/>
                <w:sz w:val="20"/>
                <w:highlight w:val="none"/>
              </w:rPr>
              <w:t xml:space="preserve"> 20≤X＜200</w:t>
            </w:r>
          </w:p>
        </w:tc>
        <w:tc>
          <w:tcPr>
            <w:tcW w:w="1779" w:type="dxa"/>
            <w:tcBorders>
              <w:top w:val="nil"/>
              <w:left w:val="nil"/>
              <w:bottom w:val="single" w:color="auto" w:sz="4" w:space="0"/>
              <w:right w:val="single" w:color="auto" w:sz="4" w:space="0"/>
            </w:tcBorders>
            <w:vAlign w:val="center"/>
          </w:tcPr>
          <w:p w14:paraId="36A9BFA4">
            <w:pPr>
              <w:widowControl/>
              <w:spacing w:line="240" w:lineRule="auto"/>
              <w:rPr>
                <w:rFonts w:ascii="宋体" w:cs="宋体"/>
                <w:color w:val="auto"/>
                <w:sz w:val="20"/>
                <w:highlight w:val="none"/>
              </w:rPr>
            </w:pPr>
            <w:r>
              <w:rPr>
                <w:rFonts w:hint="eastAsia" w:ascii="宋体" w:cs="宋体"/>
                <w:color w:val="auto"/>
                <w:sz w:val="20"/>
                <w:highlight w:val="none"/>
              </w:rPr>
              <w:t>5000≤Y＜40000</w:t>
            </w:r>
          </w:p>
        </w:tc>
        <w:tc>
          <w:tcPr>
            <w:tcW w:w="1677" w:type="dxa"/>
            <w:tcBorders>
              <w:top w:val="nil"/>
              <w:left w:val="nil"/>
              <w:bottom w:val="single" w:color="auto" w:sz="4" w:space="0"/>
              <w:right w:val="single" w:color="auto" w:sz="8" w:space="0"/>
            </w:tcBorders>
            <w:vAlign w:val="center"/>
          </w:tcPr>
          <w:p w14:paraId="13C27300">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14:paraId="1CC0811A">
            <w:pPr>
              <w:widowControl/>
              <w:spacing w:line="240" w:lineRule="auto"/>
              <w:rPr>
                <w:rFonts w:ascii="宋体" w:cs="宋体"/>
                <w:color w:val="auto"/>
                <w:sz w:val="20"/>
                <w:highlight w:val="none"/>
              </w:rPr>
            </w:pPr>
            <w:r>
              <w:rPr>
                <w:rFonts w:hint="eastAsia" w:ascii="宋体" w:cs="宋体"/>
                <w:color w:val="auto"/>
                <w:sz w:val="20"/>
                <w:highlight w:val="none"/>
              </w:rPr>
              <w:t xml:space="preserve"> 5≤X＜20</w:t>
            </w:r>
          </w:p>
        </w:tc>
        <w:tc>
          <w:tcPr>
            <w:tcW w:w="1494" w:type="dxa"/>
            <w:tcBorders>
              <w:top w:val="nil"/>
              <w:left w:val="nil"/>
              <w:bottom w:val="single" w:color="auto" w:sz="4" w:space="0"/>
              <w:right w:val="single" w:color="auto" w:sz="4" w:space="0"/>
            </w:tcBorders>
            <w:vAlign w:val="center"/>
          </w:tcPr>
          <w:p w14:paraId="048805CF">
            <w:pPr>
              <w:widowControl/>
              <w:spacing w:line="240" w:lineRule="auto"/>
              <w:rPr>
                <w:rFonts w:ascii="宋体" w:cs="宋体"/>
                <w:color w:val="auto"/>
                <w:sz w:val="20"/>
                <w:highlight w:val="none"/>
              </w:rPr>
            </w:pPr>
            <w:r>
              <w:rPr>
                <w:rFonts w:hint="eastAsia" w:ascii="宋体" w:cs="宋体"/>
                <w:color w:val="auto"/>
                <w:sz w:val="20"/>
                <w:highlight w:val="none"/>
              </w:rPr>
              <w:t>1000≤Y＜5000</w:t>
            </w:r>
          </w:p>
        </w:tc>
        <w:tc>
          <w:tcPr>
            <w:tcW w:w="1536" w:type="dxa"/>
            <w:tcBorders>
              <w:top w:val="nil"/>
              <w:left w:val="nil"/>
              <w:bottom w:val="single" w:color="auto" w:sz="4" w:space="0"/>
              <w:right w:val="single" w:color="auto" w:sz="8" w:space="0"/>
            </w:tcBorders>
            <w:vAlign w:val="center"/>
          </w:tcPr>
          <w:p w14:paraId="23CD9EB5">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14:paraId="07EADB4B">
            <w:pPr>
              <w:widowControl/>
              <w:spacing w:line="240" w:lineRule="auto"/>
              <w:rPr>
                <w:rFonts w:ascii="宋体" w:cs="宋体"/>
                <w:color w:val="auto"/>
                <w:sz w:val="20"/>
                <w:highlight w:val="none"/>
              </w:rPr>
            </w:pPr>
            <w:r>
              <w:rPr>
                <w:rFonts w:hint="eastAsia" w:ascii="宋体" w:cs="宋体"/>
                <w:color w:val="auto"/>
                <w:sz w:val="20"/>
                <w:highlight w:val="none"/>
              </w:rPr>
              <w:t>X＜5</w:t>
            </w:r>
          </w:p>
        </w:tc>
        <w:tc>
          <w:tcPr>
            <w:tcW w:w="1287" w:type="dxa"/>
            <w:tcBorders>
              <w:top w:val="nil"/>
              <w:left w:val="nil"/>
              <w:bottom w:val="single" w:color="auto" w:sz="4" w:space="0"/>
              <w:right w:val="single" w:color="auto" w:sz="4" w:space="0"/>
            </w:tcBorders>
            <w:vAlign w:val="center"/>
          </w:tcPr>
          <w:p w14:paraId="2645A8F7">
            <w:pPr>
              <w:widowControl/>
              <w:spacing w:line="240" w:lineRule="auto"/>
              <w:rPr>
                <w:rFonts w:ascii="宋体" w:cs="宋体"/>
                <w:color w:val="auto"/>
                <w:sz w:val="20"/>
                <w:highlight w:val="none"/>
              </w:rPr>
            </w:pPr>
            <w:r>
              <w:rPr>
                <w:rFonts w:hint="eastAsia" w:ascii="宋体" w:cs="宋体"/>
                <w:color w:val="auto"/>
                <w:sz w:val="20"/>
                <w:highlight w:val="none"/>
              </w:rPr>
              <w:t>Y＜1000</w:t>
            </w:r>
          </w:p>
        </w:tc>
        <w:tc>
          <w:tcPr>
            <w:tcW w:w="1234" w:type="dxa"/>
            <w:tcBorders>
              <w:top w:val="nil"/>
              <w:left w:val="nil"/>
              <w:bottom w:val="single" w:color="auto" w:sz="4" w:space="0"/>
              <w:right w:val="single" w:color="auto" w:sz="8" w:space="0"/>
            </w:tcBorders>
            <w:vAlign w:val="center"/>
          </w:tcPr>
          <w:p w14:paraId="336413B3">
            <w:pPr>
              <w:widowControl/>
              <w:spacing w:line="240" w:lineRule="auto"/>
              <w:rPr>
                <w:rFonts w:ascii="宋体" w:cs="宋体"/>
                <w:color w:val="auto"/>
                <w:sz w:val="20"/>
                <w:highlight w:val="none"/>
              </w:rPr>
            </w:pPr>
            <w:r>
              <w:rPr>
                <w:rFonts w:hint="eastAsia" w:ascii="宋体" w:cs="宋体"/>
                <w:color w:val="auto"/>
                <w:sz w:val="20"/>
                <w:highlight w:val="none"/>
              </w:rPr>
              <w:t>　</w:t>
            </w:r>
          </w:p>
        </w:tc>
      </w:tr>
      <w:tr w14:paraId="47925CEB">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6CF8004E">
            <w:pPr>
              <w:widowControl/>
              <w:spacing w:line="240" w:lineRule="auto"/>
              <w:rPr>
                <w:rFonts w:ascii="宋体" w:cs="宋体"/>
                <w:color w:val="auto"/>
                <w:sz w:val="20"/>
                <w:highlight w:val="none"/>
              </w:rPr>
            </w:pPr>
            <w:r>
              <w:rPr>
                <w:rFonts w:hint="eastAsia" w:ascii="宋体" w:cs="宋体"/>
                <w:color w:val="auto"/>
                <w:sz w:val="20"/>
                <w:highlight w:val="none"/>
              </w:rPr>
              <w:t xml:space="preserve"> 5、零售业</w:t>
            </w:r>
          </w:p>
        </w:tc>
        <w:tc>
          <w:tcPr>
            <w:tcW w:w="1512" w:type="dxa"/>
            <w:tcBorders>
              <w:top w:val="nil"/>
              <w:left w:val="nil"/>
              <w:bottom w:val="single" w:color="auto" w:sz="4" w:space="0"/>
              <w:right w:val="single" w:color="auto" w:sz="4" w:space="0"/>
            </w:tcBorders>
            <w:vAlign w:val="center"/>
          </w:tcPr>
          <w:p w14:paraId="17252BAC">
            <w:pPr>
              <w:widowControl/>
              <w:spacing w:line="240" w:lineRule="auto"/>
              <w:rPr>
                <w:rFonts w:ascii="宋体" w:cs="宋体"/>
                <w:color w:val="auto"/>
                <w:sz w:val="20"/>
                <w:highlight w:val="none"/>
              </w:rPr>
            </w:pPr>
            <w:r>
              <w:rPr>
                <w:rFonts w:hint="eastAsia" w:ascii="宋体" w:cs="宋体"/>
                <w:color w:val="auto"/>
                <w:sz w:val="20"/>
                <w:highlight w:val="none"/>
              </w:rPr>
              <w:t xml:space="preserve"> 50≤X＜300</w:t>
            </w:r>
          </w:p>
        </w:tc>
        <w:tc>
          <w:tcPr>
            <w:tcW w:w="1779" w:type="dxa"/>
            <w:tcBorders>
              <w:top w:val="nil"/>
              <w:left w:val="nil"/>
              <w:bottom w:val="single" w:color="auto" w:sz="4" w:space="0"/>
              <w:right w:val="single" w:color="auto" w:sz="4" w:space="0"/>
            </w:tcBorders>
            <w:vAlign w:val="center"/>
          </w:tcPr>
          <w:p w14:paraId="5BAA1175">
            <w:pPr>
              <w:widowControl/>
              <w:spacing w:line="240" w:lineRule="auto"/>
              <w:rPr>
                <w:rFonts w:ascii="宋体" w:cs="宋体"/>
                <w:color w:val="auto"/>
                <w:sz w:val="20"/>
                <w:highlight w:val="none"/>
              </w:rPr>
            </w:pPr>
            <w:r>
              <w:rPr>
                <w:rFonts w:hint="eastAsia" w:ascii="宋体" w:cs="宋体"/>
                <w:color w:val="auto"/>
                <w:sz w:val="20"/>
                <w:highlight w:val="none"/>
              </w:rPr>
              <w:t xml:space="preserve"> 500≤Y＜20000</w:t>
            </w:r>
          </w:p>
        </w:tc>
        <w:tc>
          <w:tcPr>
            <w:tcW w:w="1677" w:type="dxa"/>
            <w:tcBorders>
              <w:top w:val="nil"/>
              <w:left w:val="nil"/>
              <w:bottom w:val="single" w:color="auto" w:sz="4" w:space="0"/>
              <w:right w:val="single" w:color="auto" w:sz="8" w:space="0"/>
            </w:tcBorders>
            <w:vAlign w:val="center"/>
          </w:tcPr>
          <w:p w14:paraId="49AFA010">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14:paraId="2D2F60F9">
            <w:pPr>
              <w:widowControl/>
              <w:spacing w:line="240" w:lineRule="auto"/>
              <w:rPr>
                <w:rFonts w:ascii="宋体" w:cs="宋体"/>
                <w:color w:val="auto"/>
                <w:sz w:val="20"/>
                <w:highlight w:val="none"/>
              </w:rPr>
            </w:pPr>
            <w:r>
              <w:rPr>
                <w:rFonts w:hint="eastAsia" w:ascii="宋体" w:cs="宋体"/>
                <w:color w:val="auto"/>
                <w:sz w:val="20"/>
                <w:highlight w:val="none"/>
              </w:rPr>
              <w:t>10≤X＜50</w:t>
            </w:r>
          </w:p>
        </w:tc>
        <w:tc>
          <w:tcPr>
            <w:tcW w:w="1494" w:type="dxa"/>
            <w:tcBorders>
              <w:top w:val="nil"/>
              <w:left w:val="nil"/>
              <w:bottom w:val="single" w:color="auto" w:sz="4" w:space="0"/>
              <w:right w:val="single" w:color="auto" w:sz="4" w:space="0"/>
            </w:tcBorders>
            <w:vAlign w:val="center"/>
          </w:tcPr>
          <w:p w14:paraId="12EF708D">
            <w:pPr>
              <w:widowControl/>
              <w:spacing w:line="240" w:lineRule="auto"/>
              <w:rPr>
                <w:rFonts w:ascii="宋体" w:cs="宋体"/>
                <w:color w:val="auto"/>
                <w:sz w:val="20"/>
                <w:highlight w:val="none"/>
              </w:rPr>
            </w:pPr>
            <w:r>
              <w:rPr>
                <w:rFonts w:hint="eastAsia" w:ascii="宋体" w:cs="宋体"/>
                <w:color w:val="auto"/>
                <w:sz w:val="20"/>
                <w:highlight w:val="none"/>
              </w:rPr>
              <w:t>100≤Y＜500</w:t>
            </w:r>
          </w:p>
        </w:tc>
        <w:tc>
          <w:tcPr>
            <w:tcW w:w="1536" w:type="dxa"/>
            <w:tcBorders>
              <w:top w:val="nil"/>
              <w:left w:val="nil"/>
              <w:bottom w:val="single" w:color="auto" w:sz="4" w:space="0"/>
              <w:right w:val="single" w:color="auto" w:sz="8" w:space="0"/>
            </w:tcBorders>
            <w:vAlign w:val="center"/>
          </w:tcPr>
          <w:p w14:paraId="3899EC7C">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14:paraId="3788A33A">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4" w:space="0"/>
              <w:right w:val="single" w:color="auto" w:sz="4" w:space="0"/>
            </w:tcBorders>
            <w:vAlign w:val="center"/>
          </w:tcPr>
          <w:p w14:paraId="7E9360F9">
            <w:pPr>
              <w:widowControl/>
              <w:spacing w:line="240" w:lineRule="auto"/>
              <w:rPr>
                <w:rFonts w:ascii="宋体" w:cs="宋体"/>
                <w:color w:val="auto"/>
                <w:sz w:val="20"/>
                <w:highlight w:val="none"/>
              </w:rPr>
            </w:pPr>
            <w:r>
              <w:rPr>
                <w:rFonts w:hint="eastAsia" w:ascii="宋体" w:cs="宋体"/>
                <w:color w:val="auto"/>
                <w:sz w:val="20"/>
                <w:highlight w:val="none"/>
              </w:rPr>
              <w:t>Y＜100</w:t>
            </w:r>
          </w:p>
        </w:tc>
        <w:tc>
          <w:tcPr>
            <w:tcW w:w="1234" w:type="dxa"/>
            <w:tcBorders>
              <w:top w:val="nil"/>
              <w:left w:val="nil"/>
              <w:bottom w:val="single" w:color="auto" w:sz="4" w:space="0"/>
              <w:right w:val="single" w:color="auto" w:sz="8" w:space="0"/>
            </w:tcBorders>
            <w:vAlign w:val="center"/>
          </w:tcPr>
          <w:p w14:paraId="7248E34D">
            <w:pPr>
              <w:widowControl/>
              <w:spacing w:line="240" w:lineRule="auto"/>
              <w:rPr>
                <w:rFonts w:ascii="宋体" w:cs="宋体"/>
                <w:color w:val="auto"/>
                <w:sz w:val="20"/>
                <w:highlight w:val="none"/>
              </w:rPr>
            </w:pPr>
            <w:r>
              <w:rPr>
                <w:rFonts w:hint="eastAsia" w:ascii="宋体" w:cs="宋体"/>
                <w:color w:val="auto"/>
                <w:sz w:val="20"/>
                <w:highlight w:val="none"/>
              </w:rPr>
              <w:t>　</w:t>
            </w:r>
          </w:p>
        </w:tc>
      </w:tr>
      <w:tr w14:paraId="1D7EFAB3">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1764CE06">
            <w:pPr>
              <w:widowControl/>
              <w:spacing w:line="240" w:lineRule="auto"/>
              <w:rPr>
                <w:rFonts w:ascii="宋体" w:cs="宋体"/>
                <w:color w:val="auto"/>
                <w:sz w:val="20"/>
                <w:highlight w:val="none"/>
              </w:rPr>
            </w:pPr>
            <w:r>
              <w:rPr>
                <w:rFonts w:hint="eastAsia" w:ascii="宋体" w:cs="宋体"/>
                <w:color w:val="auto"/>
                <w:sz w:val="20"/>
                <w:highlight w:val="none"/>
              </w:rPr>
              <w:t xml:space="preserve"> 6、交通运输业</w:t>
            </w:r>
          </w:p>
        </w:tc>
        <w:tc>
          <w:tcPr>
            <w:tcW w:w="1512" w:type="dxa"/>
            <w:tcBorders>
              <w:top w:val="nil"/>
              <w:left w:val="nil"/>
              <w:bottom w:val="single" w:color="auto" w:sz="4" w:space="0"/>
              <w:right w:val="single" w:color="auto" w:sz="4" w:space="0"/>
            </w:tcBorders>
            <w:vAlign w:val="center"/>
          </w:tcPr>
          <w:p w14:paraId="1088DCF6">
            <w:pPr>
              <w:widowControl/>
              <w:spacing w:line="240" w:lineRule="auto"/>
              <w:rPr>
                <w:rFonts w:ascii="宋体" w:cs="宋体"/>
                <w:color w:val="auto"/>
                <w:sz w:val="20"/>
                <w:highlight w:val="none"/>
              </w:rPr>
            </w:pPr>
            <w:r>
              <w:rPr>
                <w:rFonts w:hint="eastAsia" w:ascii="宋体" w:cs="宋体"/>
                <w:color w:val="auto"/>
                <w:sz w:val="20"/>
                <w:highlight w:val="none"/>
              </w:rPr>
              <w:t>300≤X＜1000</w:t>
            </w:r>
          </w:p>
        </w:tc>
        <w:tc>
          <w:tcPr>
            <w:tcW w:w="1779" w:type="dxa"/>
            <w:tcBorders>
              <w:top w:val="nil"/>
              <w:left w:val="nil"/>
              <w:bottom w:val="single" w:color="auto" w:sz="4" w:space="0"/>
              <w:right w:val="single" w:color="auto" w:sz="4" w:space="0"/>
            </w:tcBorders>
            <w:vAlign w:val="center"/>
          </w:tcPr>
          <w:p w14:paraId="150F93FC">
            <w:pPr>
              <w:widowControl/>
              <w:spacing w:line="240" w:lineRule="auto"/>
              <w:rPr>
                <w:rFonts w:ascii="宋体" w:cs="宋体"/>
                <w:color w:val="auto"/>
                <w:sz w:val="20"/>
                <w:highlight w:val="none"/>
              </w:rPr>
            </w:pPr>
            <w:r>
              <w:rPr>
                <w:rFonts w:hint="eastAsia" w:ascii="宋体" w:cs="宋体"/>
                <w:color w:val="auto"/>
                <w:sz w:val="20"/>
                <w:highlight w:val="none"/>
              </w:rPr>
              <w:t>3000≤Y＜30000</w:t>
            </w:r>
          </w:p>
        </w:tc>
        <w:tc>
          <w:tcPr>
            <w:tcW w:w="1677" w:type="dxa"/>
            <w:tcBorders>
              <w:top w:val="nil"/>
              <w:left w:val="nil"/>
              <w:bottom w:val="single" w:color="auto" w:sz="4" w:space="0"/>
              <w:right w:val="single" w:color="auto" w:sz="8" w:space="0"/>
            </w:tcBorders>
            <w:vAlign w:val="center"/>
          </w:tcPr>
          <w:p w14:paraId="1CAED53A">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14:paraId="081C42AF">
            <w:pPr>
              <w:widowControl/>
              <w:spacing w:line="240" w:lineRule="auto"/>
              <w:rPr>
                <w:rFonts w:ascii="宋体" w:cs="宋体"/>
                <w:color w:val="auto"/>
                <w:sz w:val="20"/>
                <w:highlight w:val="none"/>
              </w:rPr>
            </w:pPr>
            <w:r>
              <w:rPr>
                <w:rFonts w:hint="eastAsia" w:ascii="宋体" w:cs="宋体"/>
                <w:color w:val="auto"/>
                <w:sz w:val="20"/>
                <w:highlight w:val="none"/>
              </w:rPr>
              <w:t>20≤X＜300</w:t>
            </w:r>
          </w:p>
        </w:tc>
        <w:tc>
          <w:tcPr>
            <w:tcW w:w="1494" w:type="dxa"/>
            <w:tcBorders>
              <w:top w:val="nil"/>
              <w:left w:val="nil"/>
              <w:bottom w:val="single" w:color="auto" w:sz="4" w:space="0"/>
              <w:right w:val="single" w:color="auto" w:sz="4" w:space="0"/>
            </w:tcBorders>
            <w:vAlign w:val="center"/>
          </w:tcPr>
          <w:p w14:paraId="7E9CBE63">
            <w:pPr>
              <w:widowControl/>
              <w:spacing w:line="240" w:lineRule="auto"/>
              <w:rPr>
                <w:rFonts w:ascii="宋体" w:cs="宋体"/>
                <w:color w:val="auto"/>
                <w:sz w:val="20"/>
                <w:highlight w:val="none"/>
              </w:rPr>
            </w:pPr>
            <w:r>
              <w:rPr>
                <w:rFonts w:hint="eastAsia" w:ascii="宋体" w:cs="宋体"/>
                <w:color w:val="auto"/>
                <w:sz w:val="20"/>
                <w:highlight w:val="none"/>
              </w:rPr>
              <w:t>200≤Y＜3000</w:t>
            </w:r>
          </w:p>
        </w:tc>
        <w:tc>
          <w:tcPr>
            <w:tcW w:w="1536" w:type="dxa"/>
            <w:tcBorders>
              <w:top w:val="nil"/>
              <w:left w:val="nil"/>
              <w:bottom w:val="single" w:color="auto" w:sz="4" w:space="0"/>
              <w:right w:val="single" w:color="auto" w:sz="8" w:space="0"/>
            </w:tcBorders>
            <w:vAlign w:val="center"/>
          </w:tcPr>
          <w:p w14:paraId="2E27A321">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14:paraId="46E8A8C5">
            <w:pPr>
              <w:widowControl/>
              <w:spacing w:line="240" w:lineRule="auto"/>
              <w:rPr>
                <w:rFonts w:ascii="宋体" w:cs="宋体"/>
                <w:color w:val="auto"/>
                <w:sz w:val="20"/>
                <w:highlight w:val="none"/>
              </w:rPr>
            </w:pPr>
            <w:r>
              <w:rPr>
                <w:rFonts w:hint="eastAsia" w:ascii="宋体" w:cs="宋体"/>
                <w:color w:val="auto"/>
                <w:sz w:val="20"/>
                <w:highlight w:val="none"/>
              </w:rPr>
              <w:t>X＜20</w:t>
            </w:r>
          </w:p>
        </w:tc>
        <w:tc>
          <w:tcPr>
            <w:tcW w:w="1287" w:type="dxa"/>
            <w:tcBorders>
              <w:top w:val="nil"/>
              <w:left w:val="nil"/>
              <w:bottom w:val="single" w:color="auto" w:sz="4" w:space="0"/>
              <w:right w:val="single" w:color="auto" w:sz="4" w:space="0"/>
            </w:tcBorders>
            <w:vAlign w:val="center"/>
          </w:tcPr>
          <w:p w14:paraId="305E5D18">
            <w:pPr>
              <w:widowControl/>
              <w:spacing w:line="240" w:lineRule="auto"/>
              <w:rPr>
                <w:rFonts w:ascii="宋体" w:cs="宋体"/>
                <w:color w:val="auto"/>
                <w:sz w:val="20"/>
                <w:highlight w:val="none"/>
              </w:rPr>
            </w:pPr>
            <w:r>
              <w:rPr>
                <w:rFonts w:hint="eastAsia" w:ascii="宋体" w:cs="宋体"/>
                <w:color w:val="auto"/>
                <w:sz w:val="20"/>
                <w:highlight w:val="none"/>
              </w:rPr>
              <w:t>V＜200</w:t>
            </w:r>
          </w:p>
        </w:tc>
        <w:tc>
          <w:tcPr>
            <w:tcW w:w="1234" w:type="dxa"/>
            <w:tcBorders>
              <w:top w:val="nil"/>
              <w:left w:val="nil"/>
              <w:bottom w:val="single" w:color="auto" w:sz="4" w:space="0"/>
              <w:right w:val="single" w:color="auto" w:sz="8" w:space="0"/>
            </w:tcBorders>
            <w:vAlign w:val="center"/>
          </w:tcPr>
          <w:p w14:paraId="75A4902E">
            <w:pPr>
              <w:widowControl/>
              <w:spacing w:line="240" w:lineRule="auto"/>
              <w:rPr>
                <w:rFonts w:ascii="宋体" w:cs="宋体"/>
                <w:color w:val="auto"/>
                <w:sz w:val="20"/>
                <w:highlight w:val="none"/>
              </w:rPr>
            </w:pPr>
            <w:r>
              <w:rPr>
                <w:rFonts w:hint="eastAsia" w:ascii="宋体" w:cs="宋体"/>
                <w:color w:val="auto"/>
                <w:sz w:val="20"/>
                <w:highlight w:val="none"/>
              </w:rPr>
              <w:t>　</w:t>
            </w:r>
          </w:p>
        </w:tc>
      </w:tr>
      <w:tr w14:paraId="2A8BC450">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0052D049">
            <w:pPr>
              <w:widowControl/>
              <w:spacing w:line="240" w:lineRule="auto"/>
              <w:rPr>
                <w:rFonts w:ascii="宋体" w:cs="宋体"/>
                <w:color w:val="auto"/>
                <w:sz w:val="20"/>
                <w:highlight w:val="none"/>
              </w:rPr>
            </w:pPr>
            <w:r>
              <w:rPr>
                <w:rFonts w:hint="eastAsia" w:ascii="宋体" w:cs="宋体"/>
                <w:color w:val="auto"/>
                <w:sz w:val="20"/>
                <w:highlight w:val="none"/>
              </w:rPr>
              <w:t xml:space="preserve"> 7、仓储业</w:t>
            </w:r>
          </w:p>
        </w:tc>
        <w:tc>
          <w:tcPr>
            <w:tcW w:w="1512" w:type="dxa"/>
            <w:tcBorders>
              <w:top w:val="nil"/>
              <w:left w:val="nil"/>
              <w:bottom w:val="single" w:color="auto" w:sz="4" w:space="0"/>
              <w:right w:val="single" w:color="auto" w:sz="4" w:space="0"/>
            </w:tcBorders>
            <w:vAlign w:val="center"/>
          </w:tcPr>
          <w:p w14:paraId="27A8B665">
            <w:pPr>
              <w:widowControl/>
              <w:spacing w:line="240" w:lineRule="auto"/>
              <w:rPr>
                <w:rFonts w:ascii="宋体" w:cs="宋体"/>
                <w:color w:val="auto"/>
                <w:sz w:val="20"/>
                <w:highlight w:val="none"/>
              </w:rPr>
            </w:pPr>
            <w:r>
              <w:rPr>
                <w:rFonts w:hint="eastAsia" w:ascii="宋体" w:cs="宋体"/>
                <w:color w:val="auto"/>
                <w:sz w:val="20"/>
                <w:highlight w:val="none"/>
              </w:rPr>
              <w:t>100≤X＜200</w:t>
            </w:r>
          </w:p>
        </w:tc>
        <w:tc>
          <w:tcPr>
            <w:tcW w:w="1779" w:type="dxa"/>
            <w:tcBorders>
              <w:top w:val="nil"/>
              <w:left w:val="nil"/>
              <w:bottom w:val="single" w:color="auto" w:sz="4" w:space="0"/>
              <w:right w:val="single" w:color="auto" w:sz="4" w:space="0"/>
            </w:tcBorders>
            <w:vAlign w:val="center"/>
          </w:tcPr>
          <w:p w14:paraId="5AD4314C">
            <w:pPr>
              <w:widowControl/>
              <w:spacing w:line="240" w:lineRule="auto"/>
              <w:rPr>
                <w:rFonts w:ascii="宋体" w:cs="宋体"/>
                <w:color w:val="auto"/>
                <w:sz w:val="20"/>
                <w:highlight w:val="none"/>
              </w:rPr>
            </w:pPr>
            <w:r>
              <w:rPr>
                <w:rFonts w:hint="eastAsia" w:ascii="宋体" w:cs="宋体"/>
                <w:color w:val="auto"/>
                <w:sz w:val="20"/>
                <w:highlight w:val="none"/>
              </w:rPr>
              <w:t>1000≤Y＜30000</w:t>
            </w:r>
          </w:p>
        </w:tc>
        <w:tc>
          <w:tcPr>
            <w:tcW w:w="1677" w:type="dxa"/>
            <w:tcBorders>
              <w:top w:val="nil"/>
              <w:left w:val="nil"/>
              <w:bottom w:val="single" w:color="auto" w:sz="4" w:space="0"/>
              <w:right w:val="single" w:color="auto" w:sz="8" w:space="0"/>
            </w:tcBorders>
            <w:vAlign w:val="center"/>
          </w:tcPr>
          <w:p w14:paraId="00013E44">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14:paraId="186CB924">
            <w:pPr>
              <w:widowControl/>
              <w:spacing w:line="240" w:lineRule="auto"/>
              <w:rPr>
                <w:rFonts w:ascii="宋体" w:cs="宋体"/>
                <w:color w:val="auto"/>
                <w:sz w:val="20"/>
                <w:highlight w:val="none"/>
              </w:rPr>
            </w:pPr>
            <w:r>
              <w:rPr>
                <w:rFonts w:hint="eastAsia" w:ascii="宋体" w:cs="宋体"/>
                <w:color w:val="auto"/>
                <w:sz w:val="20"/>
                <w:highlight w:val="none"/>
              </w:rPr>
              <w:t>20≤X＜100</w:t>
            </w:r>
          </w:p>
        </w:tc>
        <w:tc>
          <w:tcPr>
            <w:tcW w:w="1494" w:type="dxa"/>
            <w:tcBorders>
              <w:top w:val="nil"/>
              <w:left w:val="nil"/>
              <w:bottom w:val="single" w:color="auto" w:sz="4" w:space="0"/>
              <w:right w:val="single" w:color="auto" w:sz="4" w:space="0"/>
            </w:tcBorders>
            <w:vAlign w:val="center"/>
          </w:tcPr>
          <w:p w14:paraId="4CEE718D">
            <w:pPr>
              <w:widowControl/>
              <w:spacing w:line="240" w:lineRule="auto"/>
              <w:rPr>
                <w:rFonts w:ascii="宋体" w:cs="宋体"/>
                <w:color w:val="auto"/>
                <w:sz w:val="20"/>
                <w:highlight w:val="none"/>
              </w:rPr>
            </w:pPr>
            <w:r>
              <w:rPr>
                <w:rFonts w:hint="eastAsia" w:ascii="宋体" w:cs="宋体"/>
                <w:color w:val="auto"/>
                <w:sz w:val="20"/>
                <w:highlight w:val="none"/>
              </w:rPr>
              <w:t>100≤Y＜1000</w:t>
            </w:r>
          </w:p>
        </w:tc>
        <w:tc>
          <w:tcPr>
            <w:tcW w:w="1536" w:type="dxa"/>
            <w:tcBorders>
              <w:top w:val="nil"/>
              <w:left w:val="nil"/>
              <w:bottom w:val="single" w:color="auto" w:sz="4" w:space="0"/>
              <w:right w:val="single" w:color="auto" w:sz="8" w:space="0"/>
            </w:tcBorders>
            <w:vAlign w:val="center"/>
          </w:tcPr>
          <w:p w14:paraId="549B1217">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14:paraId="3FA075F0">
            <w:pPr>
              <w:widowControl/>
              <w:spacing w:line="240" w:lineRule="auto"/>
              <w:rPr>
                <w:rFonts w:ascii="宋体" w:cs="宋体"/>
                <w:color w:val="auto"/>
                <w:sz w:val="20"/>
                <w:highlight w:val="none"/>
              </w:rPr>
            </w:pPr>
            <w:r>
              <w:rPr>
                <w:rFonts w:hint="eastAsia" w:ascii="宋体" w:cs="宋体"/>
                <w:color w:val="auto"/>
                <w:sz w:val="20"/>
                <w:highlight w:val="none"/>
              </w:rPr>
              <w:t>X＜20</w:t>
            </w:r>
          </w:p>
        </w:tc>
        <w:tc>
          <w:tcPr>
            <w:tcW w:w="1287" w:type="dxa"/>
            <w:tcBorders>
              <w:top w:val="nil"/>
              <w:left w:val="nil"/>
              <w:bottom w:val="single" w:color="auto" w:sz="4" w:space="0"/>
              <w:right w:val="single" w:color="auto" w:sz="4" w:space="0"/>
            </w:tcBorders>
            <w:vAlign w:val="center"/>
          </w:tcPr>
          <w:p w14:paraId="3ACEC342">
            <w:pPr>
              <w:widowControl/>
              <w:spacing w:line="240" w:lineRule="auto"/>
              <w:rPr>
                <w:rFonts w:ascii="宋体" w:cs="宋体"/>
                <w:color w:val="auto"/>
                <w:sz w:val="20"/>
                <w:highlight w:val="none"/>
              </w:rPr>
            </w:pPr>
            <w:r>
              <w:rPr>
                <w:rFonts w:hint="eastAsia" w:ascii="宋体" w:cs="宋体"/>
                <w:color w:val="auto"/>
                <w:sz w:val="20"/>
                <w:highlight w:val="none"/>
              </w:rPr>
              <w:t>Y＜100</w:t>
            </w:r>
          </w:p>
        </w:tc>
        <w:tc>
          <w:tcPr>
            <w:tcW w:w="1234" w:type="dxa"/>
            <w:tcBorders>
              <w:top w:val="nil"/>
              <w:left w:val="nil"/>
              <w:bottom w:val="single" w:color="auto" w:sz="4" w:space="0"/>
              <w:right w:val="single" w:color="auto" w:sz="8" w:space="0"/>
            </w:tcBorders>
            <w:vAlign w:val="center"/>
          </w:tcPr>
          <w:p w14:paraId="75A76EEC">
            <w:pPr>
              <w:widowControl/>
              <w:spacing w:line="240" w:lineRule="auto"/>
              <w:rPr>
                <w:rFonts w:ascii="宋体" w:cs="宋体"/>
                <w:color w:val="auto"/>
                <w:sz w:val="20"/>
                <w:highlight w:val="none"/>
              </w:rPr>
            </w:pPr>
            <w:r>
              <w:rPr>
                <w:rFonts w:hint="eastAsia" w:ascii="宋体" w:cs="宋体"/>
                <w:color w:val="auto"/>
                <w:sz w:val="20"/>
                <w:highlight w:val="none"/>
              </w:rPr>
              <w:t>　</w:t>
            </w:r>
          </w:p>
        </w:tc>
      </w:tr>
      <w:tr w14:paraId="7A5186B7">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796E8C2E">
            <w:pPr>
              <w:widowControl/>
              <w:spacing w:line="240" w:lineRule="auto"/>
              <w:rPr>
                <w:rFonts w:ascii="宋体" w:cs="宋体"/>
                <w:color w:val="auto"/>
                <w:sz w:val="20"/>
                <w:highlight w:val="none"/>
              </w:rPr>
            </w:pPr>
            <w:r>
              <w:rPr>
                <w:rFonts w:hint="eastAsia" w:ascii="宋体" w:cs="宋体"/>
                <w:color w:val="auto"/>
                <w:sz w:val="20"/>
                <w:highlight w:val="none"/>
              </w:rPr>
              <w:t xml:space="preserve"> 8、邮政业</w:t>
            </w:r>
          </w:p>
        </w:tc>
        <w:tc>
          <w:tcPr>
            <w:tcW w:w="1512" w:type="dxa"/>
            <w:tcBorders>
              <w:top w:val="nil"/>
              <w:left w:val="nil"/>
              <w:bottom w:val="single" w:color="auto" w:sz="4" w:space="0"/>
              <w:right w:val="single" w:color="auto" w:sz="4" w:space="0"/>
            </w:tcBorders>
            <w:vAlign w:val="center"/>
          </w:tcPr>
          <w:p w14:paraId="6B2947B9">
            <w:pPr>
              <w:widowControl/>
              <w:spacing w:line="240" w:lineRule="auto"/>
              <w:rPr>
                <w:rFonts w:ascii="宋体" w:cs="宋体"/>
                <w:color w:val="auto"/>
                <w:sz w:val="20"/>
                <w:highlight w:val="none"/>
              </w:rPr>
            </w:pPr>
            <w:r>
              <w:rPr>
                <w:rFonts w:hint="eastAsia" w:ascii="宋体" w:cs="宋体"/>
                <w:color w:val="auto"/>
                <w:sz w:val="20"/>
                <w:highlight w:val="none"/>
              </w:rPr>
              <w:t>300≤X＜1000</w:t>
            </w:r>
          </w:p>
        </w:tc>
        <w:tc>
          <w:tcPr>
            <w:tcW w:w="1779" w:type="dxa"/>
            <w:tcBorders>
              <w:top w:val="nil"/>
              <w:left w:val="nil"/>
              <w:bottom w:val="single" w:color="auto" w:sz="4" w:space="0"/>
              <w:right w:val="single" w:color="auto" w:sz="4" w:space="0"/>
            </w:tcBorders>
            <w:vAlign w:val="center"/>
          </w:tcPr>
          <w:p w14:paraId="42957DEF">
            <w:pPr>
              <w:widowControl/>
              <w:spacing w:line="240" w:lineRule="auto"/>
              <w:rPr>
                <w:rFonts w:ascii="宋体" w:cs="宋体"/>
                <w:color w:val="auto"/>
                <w:sz w:val="20"/>
                <w:highlight w:val="none"/>
              </w:rPr>
            </w:pPr>
            <w:r>
              <w:rPr>
                <w:rFonts w:hint="eastAsia" w:ascii="宋体" w:cs="宋体"/>
                <w:color w:val="auto"/>
                <w:sz w:val="20"/>
                <w:highlight w:val="none"/>
              </w:rPr>
              <w:t>2000≤Y＜30000</w:t>
            </w:r>
          </w:p>
        </w:tc>
        <w:tc>
          <w:tcPr>
            <w:tcW w:w="1677" w:type="dxa"/>
            <w:tcBorders>
              <w:top w:val="nil"/>
              <w:left w:val="nil"/>
              <w:bottom w:val="single" w:color="auto" w:sz="4" w:space="0"/>
              <w:right w:val="single" w:color="auto" w:sz="8" w:space="0"/>
            </w:tcBorders>
            <w:vAlign w:val="center"/>
          </w:tcPr>
          <w:p w14:paraId="6933D8E8">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14:paraId="658E942B">
            <w:pPr>
              <w:widowControl/>
              <w:spacing w:line="240" w:lineRule="auto"/>
              <w:rPr>
                <w:rFonts w:ascii="宋体" w:cs="宋体"/>
                <w:color w:val="auto"/>
                <w:sz w:val="20"/>
                <w:highlight w:val="none"/>
              </w:rPr>
            </w:pPr>
            <w:r>
              <w:rPr>
                <w:rFonts w:hint="eastAsia" w:ascii="宋体" w:cs="宋体"/>
                <w:color w:val="auto"/>
                <w:sz w:val="20"/>
                <w:highlight w:val="none"/>
              </w:rPr>
              <w:t>20≤X＜300</w:t>
            </w:r>
          </w:p>
        </w:tc>
        <w:tc>
          <w:tcPr>
            <w:tcW w:w="1494" w:type="dxa"/>
            <w:tcBorders>
              <w:top w:val="nil"/>
              <w:left w:val="nil"/>
              <w:bottom w:val="single" w:color="auto" w:sz="4" w:space="0"/>
              <w:right w:val="single" w:color="auto" w:sz="4" w:space="0"/>
            </w:tcBorders>
            <w:vAlign w:val="center"/>
          </w:tcPr>
          <w:p w14:paraId="6EF7B547">
            <w:pPr>
              <w:widowControl/>
              <w:spacing w:line="240" w:lineRule="auto"/>
              <w:rPr>
                <w:rFonts w:ascii="宋体" w:cs="宋体"/>
                <w:color w:val="auto"/>
                <w:sz w:val="20"/>
                <w:highlight w:val="none"/>
              </w:rPr>
            </w:pPr>
            <w:r>
              <w:rPr>
                <w:rFonts w:hint="eastAsia" w:ascii="宋体" w:cs="宋体"/>
                <w:color w:val="auto"/>
                <w:sz w:val="20"/>
                <w:highlight w:val="none"/>
              </w:rPr>
              <w:t>100≤Y＜2000</w:t>
            </w:r>
          </w:p>
        </w:tc>
        <w:tc>
          <w:tcPr>
            <w:tcW w:w="1536" w:type="dxa"/>
            <w:tcBorders>
              <w:top w:val="nil"/>
              <w:left w:val="nil"/>
              <w:bottom w:val="single" w:color="auto" w:sz="4" w:space="0"/>
              <w:right w:val="single" w:color="auto" w:sz="8" w:space="0"/>
            </w:tcBorders>
            <w:vAlign w:val="center"/>
          </w:tcPr>
          <w:p w14:paraId="282BDCBB">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14:paraId="7E9C25C2">
            <w:pPr>
              <w:widowControl/>
              <w:spacing w:line="240" w:lineRule="auto"/>
              <w:rPr>
                <w:rFonts w:ascii="宋体" w:cs="宋体"/>
                <w:color w:val="auto"/>
                <w:sz w:val="20"/>
                <w:highlight w:val="none"/>
              </w:rPr>
            </w:pPr>
            <w:r>
              <w:rPr>
                <w:rFonts w:hint="eastAsia" w:ascii="宋体" w:cs="宋体"/>
                <w:color w:val="auto"/>
                <w:sz w:val="20"/>
                <w:highlight w:val="none"/>
              </w:rPr>
              <w:t>X＜20</w:t>
            </w:r>
          </w:p>
        </w:tc>
        <w:tc>
          <w:tcPr>
            <w:tcW w:w="1287" w:type="dxa"/>
            <w:tcBorders>
              <w:top w:val="nil"/>
              <w:left w:val="nil"/>
              <w:bottom w:val="single" w:color="auto" w:sz="4" w:space="0"/>
              <w:right w:val="single" w:color="auto" w:sz="4" w:space="0"/>
            </w:tcBorders>
            <w:vAlign w:val="center"/>
          </w:tcPr>
          <w:p w14:paraId="3B3C2FD0">
            <w:pPr>
              <w:widowControl/>
              <w:spacing w:line="240" w:lineRule="auto"/>
              <w:rPr>
                <w:rFonts w:ascii="宋体" w:cs="宋体"/>
                <w:color w:val="auto"/>
                <w:sz w:val="20"/>
                <w:highlight w:val="none"/>
              </w:rPr>
            </w:pPr>
            <w:r>
              <w:rPr>
                <w:rFonts w:hint="eastAsia" w:ascii="宋体" w:cs="宋体"/>
                <w:color w:val="auto"/>
                <w:sz w:val="20"/>
                <w:highlight w:val="none"/>
              </w:rPr>
              <w:t>Y＜100</w:t>
            </w:r>
          </w:p>
        </w:tc>
        <w:tc>
          <w:tcPr>
            <w:tcW w:w="1234" w:type="dxa"/>
            <w:tcBorders>
              <w:top w:val="nil"/>
              <w:left w:val="nil"/>
              <w:bottom w:val="single" w:color="auto" w:sz="4" w:space="0"/>
              <w:right w:val="single" w:color="auto" w:sz="8" w:space="0"/>
            </w:tcBorders>
            <w:vAlign w:val="center"/>
          </w:tcPr>
          <w:p w14:paraId="7F23188A">
            <w:pPr>
              <w:widowControl/>
              <w:spacing w:line="240" w:lineRule="auto"/>
              <w:rPr>
                <w:rFonts w:ascii="宋体" w:cs="宋体"/>
                <w:color w:val="auto"/>
                <w:sz w:val="20"/>
                <w:highlight w:val="none"/>
              </w:rPr>
            </w:pPr>
            <w:r>
              <w:rPr>
                <w:rFonts w:hint="eastAsia" w:ascii="宋体" w:cs="宋体"/>
                <w:color w:val="auto"/>
                <w:sz w:val="20"/>
                <w:highlight w:val="none"/>
              </w:rPr>
              <w:t>　</w:t>
            </w:r>
          </w:p>
        </w:tc>
      </w:tr>
      <w:tr w14:paraId="6B9DF5A1">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296495CD">
            <w:pPr>
              <w:widowControl/>
              <w:spacing w:line="240" w:lineRule="auto"/>
              <w:rPr>
                <w:rFonts w:ascii="宋体" w:cs="宋体"/>
                <w:color w:val="auto"/>
                <w:sz w:val="20"/>
                <w:highlight w:val="none"/>
              </w:rPr>
            </w:pPr>
            <w:r>
              <w:rPr>
                <w:rFonts w:hint="eastAsia" w:ascii="宋体" w:cs="宋体"/>
                <w:color w:val="auto"/>
                <w:sz w:val="20"/>
                <w:highlight w:val="none"/>
              </w:rPr>
              <w:t xml:space="preserve"> 9、住宿业</w:t>
            </w:r>
          </w:p>
        </w:tc>
        <w:tc>
          <w:tcPr>
            <w:tcW w:w="1512" w:type="dxa"/>
            <w:tcBorders>
              <w:top w:val="nil"/>
              <w:left w:val="nil"/>
              <w:bottom w:val="single" w:color="auto" w:sz="4" w:space="0"/>
              <w:right w:val="single" w:color="auto" w:sz="4" w:space="0"/>
            </w:tcBorders>
            <w:vAlign w:val="center"/>
          </w:tcPr>
          <w:p w14:paraId="3D5D5411">
            <w:pPr>
              <w:widowControl/>
              <w:spacing w:line="240" w:lineRule="auto"/>
              <w:rPr>
                <w:rFonts w:ascii="宋体" w:cs="宋体"/>
                <w:color w:val="auto"/>
                <w:sz w:val="20"/>
                <w:highlight w:val="none"/>
              </w:rPr>
            </w:pPr>
            <w:r>
              <w:rPr>
                <w:rFonts w:hint="eastAsia" w:ascii="宋体" w:cs="宋体"/>
                <w:color w:val="auto"/>
                <w:sz w:val="20"/>
                <w:highlight w:val="none"/>
              </w:rPr>
              <w:t>100≤X＜300</w:t>
            </w:r>
          </w:p>
        </w:tc>
        <w:tc>
          <w:tcPr>
            <w:tcW w:w="1779" w:type="dxa"/>
            <w:tcBorders>
              <w:top w:val="nil"/>
              <w:left w:val="nil"/>
              <w:bottom w:val="single" w:color="auto" w:sz="4" w:space="0"/>
              <w:right w:val="single" w:color="auto" w:sz="4" w:space="0"/>
            </w:tcBorders>
            <w:vAlign w:val="center"/>
          </w:tcPr>
          <w:p w14:paraId="566E853F">
            <w:pPr>
              <w:widowControl/>
              <w:spacing w:line="240" w:lineRule="auto"/>
              <w:rPr>
                <w:rFonts w:ascii="宋体" w:cs="宋体"/>
                <w:color w:val="auto"/>
                <w:sz w:val="20"/>
                <w:highlight w:val="none"/>
              </w:rPr>
            </w:pPr>
            <w:r>
              <w:rPr>
                <w:rFonts w:hint="eastAsia" w:ascii="宋体" w:cs="宋体"/>
                <w:color w:val="auto"/>
                <w:sz w:val="20"/>
                <w:highlight w:val="none"/>
              </w:rPr>
              <w:t>2000≤Y＜10000</w:t>
            </w:r>
          </w:p>
        </w:tc>
        <w:tc>
          <w:tcPr>
            <w:tcW w:w="1677" w:type="dxa"/>
            <w:tcBorders>
              <w:top w:val="nil"/>
              <w:left w:val="nil"/>
              <w:bottom w:val="single" w:color="auto" w:sz="4" w:space="0"/>
              <w:right w:val="single" w:color="auto" w:sz="8" w:space="0"/>
            </w:tcBorders>
            <w:vAlign w:val="center"/>
          </w:tcPr>
          <w:p w14:paraId="7BEB314C">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14:paraId="4FA466F2">
            <w:pPr>
              <w:widowControl/>
              <w:spacing w:line="240" w:lineRule="auto"/>
              <w:rPr>
                <w:rFonts w:ascii="宋体" w:cs="宋体"/>
                <w:color w:val="auto"/>
                <w:sz w:val="20"/>
                <w:highlight w:val="none"/>
              </w:rPr>
            </w:pPr>
            <w:r>
              <w:rPr>
                <w:rFonts w:hint="eastAsia" w:ascii="宋体" w:cs="宋体"/>
                <w:color w:val="auto"/>
                <w:sz w:val="20"/>
                <w:highlight w:val="none"/>
              </w:rPr>
              <w:t>10≤X＜100</w:t>
            </w:r>
          </w:p>
        </w:tc>
        <w:tc>
          <w:tcPr>
            <w:tcW w:w="1494" w:type="dxa"/>
            <w:tcBorders>
              <w:top w:val="nil"/>
              <w:left w:val="nil"/>
              <w:bottom w:val="single" w:color="auto" w:sz="4" w:space="0"/>
              <w:right w:val="single" w:color="auto" w:sz="4" w:space="0"/>
            </w:tcBorders>
            <w:vAlign w:val="center"/>
          </w:tcPr>
          <w:p w14:paraId="7CE799C5">
            <w:pPr>
              <w:widowControl/>
              <w:spacing w:line="240" w:lineRule="auto"/>
              <w:rPr>
                <w:rFonts w:ascii="宋体" w:cs="宋体"/>
                <w:color w:val="auto"/>
                <w:sz w:val="20"/>
                <w:highlight w:val="none"/>
              </w:rPr>
            </w:pPr>
            <w:r>
              <w:rPr>
                <w:rFonts w:hint="eastAsia" w:ascii="宋体" w:cs="宋体"/>
                <w:color w:val="auto"/>
                <w:sz w:val="20"/>
                <w:highlight w:val="none"/>
              </w:rPr>
              <w:t>100≤Y＜2000</w:t>
            </w:r>
          </w:p>
        </w:tc>
        <w:tc>
          <w:tcPr>
            <w:tcW w:w="1536" w:type="dxa"/>
            <w:tcBorders>
              <w:top w:val="nil"/>
              <w:left w:val="nil"/>
              <w:bottom w:val="single" w:color="auto" w:sz="4" w:space="0"/>
              <w:right w:val="single" w:color="auto" w:sz="8" w:space="0"/>
            </w:tcBorders>
            <w:vAlign w:val="center"/>
          </w:tcPr>
          <w:p w14:paraId="26459C14">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14:paraId="7F32878C">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4" w:space="0"/>
              <w:right w:val="single" w:color="auto" w:sz="4" w:space="0"/>
            </w:tcBorders>
            <w:vAlign w:val="center"/>
          </w:tcPr>
          <w:p w14:paraId="46116E2D">
            <w:pPr>
              <w:widowControl/>
              <w:spacing w:line="240" w:lineRule="auto"/>
              <w:rPr>
                <w:rFonts w:ascii="宋体" w:cs="宋体"/>
                <w:color w:val="auto"/>
                <w:sz w:val="20"/>
                <w:highlight w:val="none"/>
              </w:rPr>
            </w:pPr>
            <w:r>
              <w:rPr>
                <w:rFonts w:hint="eastAsia" w:ascii="宋体" w:cs="宋体"/>
                <w:color w:val="auto"/>
                <w:sz w:val="20"/>
                <w:highlight w:val="none"/>
              </w:rPr>
              <w:t>Y＜100</w:t>
            </w:r>
          </w:p>
        </w:tc>
        <w:tc>
          <w:tcPr>
            <w:tcW w:w="1234" w:type="dxa"/>
            <w:tcBorders>
              <w:top w:val="nil"/>
              <w:left w:val="nil"/>
              <w:bottom w:val="single" w:color="auto" w:sz="4" w:space="0"/>
              <w:right w:val="single" w:color="auto" w:sz="8" w:space="0"/>
            </w:tcBorders>
            <w:vAlign w:val="center"/>
          </w:tcPr>
          <w:p w14:paraId="55E7CB5B">
            <w:pPr>
              <w:widowControl/>
              <w:spacing w:line="240" w:lineRule="auto"/>
              <w:rPr>
                <w:rFonts w:ascii="宋体" w:cs="宋体"/>
                <w:color w:val="auto"/>
                <w:sz w:val="20"/>
                <w:highlight w:val="none"/>
              </w:rPr>
            </w:pPr>
            <w:r>
              <w:rPr>
                <w:rFonts w:hint="eastAsia" w:ascii="宋体" w:cs="宋体"/>
                <w:color w:val="auto"/>
                <w:sz w:val="20"/>
                <w:highlight w:val="none"/>
              </w:rPr>
              <w:t>　</w:t>
            </w:r>
          </w:p>
        </w:tc>
      </w:tr>
      <w:tr w14:paraId="310998E4">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2097E507">
            <w:pPr>
              <w:widowControl/>
              <w:spacing w:line="240" w:lineRule="auto"/>
              <w:rPr>
                <w:rFonts w:ascii="宋体" w:cs="宋体"/>
                <w:color w:val="auto"/>
                <w:sz w:val="20"/>
                <w:highlight w:val="none"/>
              </w:rPr>
            </w:pPr>
            <w:r>
              <w:rPr>
                <w:rFonts w:hint="eastAsia" w:ascii="宋体" w:cs="宋体"/>
                <w:color w:val="auto"/>
                <w:sz w:val="20"/>
                <w:highlight w:val="none"/>
              </w:rPr>
              <w:t>10、餐饮业</w:t>
            </w:r>
          </w:p>
        </w:tc>
        <w:tc>
          <w:tcPr>
            <w:tcW w:w="1512" w:type="dxa"/>
            <w:tcBorders>
              <w:top w:val="nil"/>
              <w:left w:val="nil"/>
              <w:bottom w:val="single" w:color="auto" w:sz="4" w:space="0"/>
              <w:right w:val="single" w:color="auto" w:sz="4" w:space="0"/>
            </w:tcBorders>
            <w:vAlign w:val="center"/>
          </w:tcPr>
          <w:p w14:paraId="0F232FBE">
            <w:pPr>
              <w:widowControl/>
              <w:spacing w:line="240" w:lineRule="auto"/>
              <w:rPr>
                <w:rFonts w:ascii="宋体" w:cs="宋体"/>
                <w:color w:val="auto"/>
                <w:sz w:val="20"/>
                <w:highlight w:val="none"/>
              </w:rPr>
            </w:pPr>
            <w:r>
              <w:rPr>
                <w:rFonts w:hint="eastAsia" w:ascii="宋体" w:cs="宋体"/>
                <w:color w:val="auto"/>
                <w:sz w:val="20"/>
                <w:highlight w:val="none"/>
              </w:rPr>
              <w:t>100≤X＜300</w:t>
            </w:r>
          </w:p>
        </w:tc>
        <w:tc>
          <w:tcPr>
            <w:tcW w:w="1779" w:type="dxa"/>
            <w:tcBorders>
              <w:top w:val="nil"/>
              <w:left w:val="nil"/>
              <w:bottom w:val="single" w:color="auto" w:sz="4" w:space="0"/>
              <w:right w:val="single" w:color="auto" w:sz="4" w:space="0"/>
            </w:tcBorders>
            <w:vAlign w:val="center"/>
          </w:tcPr>
          <w:p w14:paraId="20F02408">
            <w:pPr>
              <w:widowControl/>
              <w:spacing w:line="240" w:lineRule="auto"/>
              <w:rPr>
                <w:rFonts w:ascii="宋体" w:cs="宋体"/>
                <w:color w:val="auto"/>
                <w:sz w:val="20"/>
                <w:highlight w:val="none"/>
              </w:rPr>
            </w:pPr>
            <w:r>
              <w:rPr>
                <w:rFonts w:hint="eastAsia" w:ascii="宋体" w:cs="宋体"/>
                <w:color w:val="auto"/>
                <w:sz w:val="20"/>
                <w:highlight w:val="none"/>
              </w:rPr>
              <w:t>2000≤Y＜10000</w:t>
            </w:r>
          </w:p>
        </w:tc>
        <w:tc>
          <w:tcPr>
            <w:tcW w:w="1677" w:type="dxa"/>
            <w:tcBorders>
              <w:top w:val="nil"/>
              <w:left w:val="nil"/>
              <w:bottom w:val="single" w:color="auto" w:sz="4" w:space="0"/>
              <w:right w:val="single" w:color="auto" w:sz="8" w:space="0"/>
            </w:tcBorders>
            <w:vAlign w:val="center"/>
          </w:tcPr>
          <w:p w14:paraId="04B72C4B">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14:paraId="44BE3CC3">
            <w:pPr>
              <w:widowControl/>
              <w:spacing w:line="240" w:lineRule="auto"/>
              <w:rPr>
                <w:rFonts w:ascii="宋体" w:cs="宋体"/>
                <w:color w:val="auto"/>
                <w:sz w:val="20"/>
                <w:highlight w:val="none"/>
              </w:rPr>
            </w:pPr>
            <w:r>
              <w:rPr>
                <w:rFonts w:hint="eastAsia" w:ascii="宋体" w:cs="宋体"/>
                <w:color w:val="auto"/>
                <w:sz w:val="20"/>
                <w:highlight w:val="none"/>
              </w:rPr>
              <w:t>10≤X＜100</w:t>
            </w:r>
          </w:p>
        </w:tc>
        <w:tc>
          <w:tcPr>
            <w:tcW w:w="1494" w:type="dxa"/>
            <w:tcBorders>
              <w:top w:val="nil"/>
              <w:left w:val="nil"/>
              <w:bottom w:val="single" w:color="auto" w:sz="4" w:space="0"/>
              <w:right w:val="single" w:color="auto" w:sz="4" w:space="0"/>
            </w:tcBorders>
            <w:vAlign w:val="center"/>
          </w:tcPr>
          <w:p w14:paraId="74D0AFB0">
            <w:pPr>
              <w:widowControl/>
              <w:spacing w:line="240" w:lineRule="auto"/>
              <w:rPr>
                <w:rFonts w:ascii="宋体" w:cs="宋体"/>
                <w:color w:val="auto"/>
                <w:sz w:val="20"/>
                <w:highlight w:val="none"/>
              </w:rPr>
            </w:pPr>
            <w:r>
              <w:rPr>
                <w:rFonts w:hint="eastAsia" w:ascii="宋体" w:cs="宋体"/>
                <w:color w:val="auto"/>
                <w:sz w:val="20"/>
                <w:highlight w:val="none"/>
              </w:rPr>
              <w:t>100≤Y＜2000</w:t>
            </w:r>
          </w:p>
        </w:tc>
        <w:tc>
          <w:tcPr>
            <w:tcW w:w="1536" w:type="dxa"/>
            <w:tcBorders>
              <w:top w:val="nil"/>
              <w:left w:val="nil"/>
              <w:bottom w:val="single" w:color="auto" w:sz="4" w:space="0"/>
              <w:right w:val="single" w:color="auto" w:sz="8" w:space="0"/>
            </w:tcBorders>
            <w:vAlign w:val="center"/>
          </w:tcPr>
          <w:p w14:paraId="561AD4C1">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14:paraId="01DDB455">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4" w:space="0"/>
              <w:right w:val="single" w:color="auto" w:sz="4" w:space="0"/>
            </w:tcBorders>
            <w:vAlign w:val="center"/>
          </w:tcPr>
          <w:p w14:paraId="3BE8FC27">
            <w:pPr>
              <w:widowControl/>
              <w:spacing w:line="240" w:lineRule="auto"/>
              <w:rPr>
                <w:rFonts w:ascii="宋体" w:cs="宋体"/>
                <w:color w:val="auto"/>
                <w:sz w:val="20"/>
                <w:highlight w:val="none"/>
              </w:rPr>
            </w:pPr>
            <w:r>
              <w:rPr>
                <w:rFonts w:hint="eastAsia" w:ascii="宋体" w:cs="宋体"/>
                <w:color w:val="auto"/>
                <w:sz w:val="20"/>
                <w:highlight w:val="none"/>
              </w:rPr>
              <w:t>V＜100</w:t>
            </w:r>
          </w:p>
        </w:tc>
        <w:tc>
          <w:tcPr>
            <w:tcW w:w="1234" w:type="dxa"/>
            <w:tcBorders>
              <w:top w:val="nil"/>
              <w:left w:val="nil"/>
              <w:bottom w:val="single" w:color="auto" w:sz="4" w:space="0"/>
              <w:right w:val="single" w:color="auto" w:sz="8" w:space="0"/>
            </w:tcBorders>
            <w:vAlign w:val="center"/>
          </w:tcPr>
          <w:p w14:paraId="10D61702">
            <w:pPr>
              <w:widowControl/>
              <w:spacing w:line="240" w:lineRule="auto"/>
              <w:rPr>
                <w:rFonts w:ascii="宋体" w:cs="宋体"/>
                <w:color w:val="auto"/>
                <w:sz w:val="20"/>
                <w:highlight w:val="none"/>
              </w:rPr>
            </w:pPr>
            <w:r>
              <w:rPr>
                <w:rFonts w:hint="eastAsia" w:ascii="宋体" w:cs="宋体"/>
                <w:color w:val="auto"/>
                <w:sz w:val="20"/>
                <w:highlight w:val="none"/>
              </w:rPr>
              <w:t>　</w:t>
            </w:r>
          </w:p>
        </w:tc>
      </w:tr>
      <w:tr w14:paraId="3C2430C2">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68EFC309">
            <w:pPr>
              <w:widowControl/>
              <w:spacing w:line="240" w:lineRule="auto"/>
              <w:rPr>
                <w:rFonts w:ascii="宋体" w:cs="宋体"/>
                <w:color w:val="auto"/>
                <w:sz w:val="20"/>
                <w:highlight w:val="none"/>
              </w:rPr>
            </w:pPr>
            <w:r>
              <w:rPr>
                <w:rFonts w:hint="eastAsia" w:ascii="宋体" w:cs="宋体"/>
                <w:color w:val="auto"/>
                <w:sz w:val="20"/>
                <w:highlight w:val="none"/>
              </w:rPr>
              <w:t>11、信息传输业</w:t>
            </w:r>
          </w:p>
        </w:tc>
        <w:tc>
          <w:tcPr>
            <w:tcW w:w="1512" w:type="dxa"/>
            <w:tcBorders>
              <w:top w:val="nil"/>
              <w:left w:val="nil"/>
              <w:bottom w:val="single" w:color="auto" w:sz="4" w:space="0"/>
              <w:right w:val="single" w:color="auto" w:sz="4" w:space="0"/>
            </w:tcBorders>
            <w:vAlign w:val="center"/>
          </w:tcPr>
          <w:p w14:paraId="0341CFB1">
            <w:pPr>
              <w:widowControl/>
              <w:spacing w:line="240" w:lineRule="auto"/>
              <w:rPr>
                <w:rFonts w:ascii="宋体" w:cs="宋体"/>
                <w:color w:val="auto"/>
                <w:sz w:val="20"/>
                <w:highlight w:val="none"/>
              </w:rPr>
            </w:pPr>
            <w:r>
              <w:rPr>
                <w:rFonts w:hint="eastAsia" w:ascii="宋体" w:cs="宋体"/>
                <w:color w:val="auto"/>
                <w:sz w:val="20"/>
                <w:highlight w:val="none"/>
              </w:rPr>
              <w:t>100≤X＜2000</w:t>
            </w:r>
          </w:p>
        </w:tc>
        <w:tc>
          <w:tcPr>
            <w:tcW w:w="1779" w:type="dxa"/>
            <w:tcBorders>
              <w:top w:val="nil"/>
              <w:left w:val="nil"/>
              <w:bottom w:val="single" w:color="auto" w:sz="4" w:space="0"/>
              <w:right w:val="single" w:color="auto" w:sz="4" w:space="0"/>
            </w:tcBorders>
            <w:vAlign w:val="center"/>
          </w:tcPr>
          <w:p w14:paraId="29A41548">
            <w:pPr>
              <w:widowControl/>
              <w:spacing w:line="240" w:lineRule="auto"/>
              <w:rPr>
                <w:rFonts w:ascii="宋体" w:cs="宋体"/>
                <w:color w:val="auto"/>
                <w:sz w:val="20"/>
                <w:highlight w:val="none"/>
              </w:rPr>
            </w:pPr>
            <w:r>
              <w:rPr>
                <w:rFonts w:hint="eastAsia" w:ascii="宋体" w:cs="宋体"/>
                <w:color w:val="auto"/>
                <w:sz w:val="20"/>
                <w:highlight w:val="none"/>
              </w:rPr>
              <w:t>1000≤Y＜100000</w:t>
            </w:r>
          </w:p>
        </w:tc>
        <w:tc>
          <w:tcPr>
            <w:tcW w:w="1677" w:type="dxa"/>
            <w:tcBorders>
              <w:top w:val="nil"/>
              <w:left w:val="nil"/>
              <w:bottom w:val="single" w:color="auto" w:sz="4" w:space="0"/>
              <w:right w:val="single" w:color="auto" w:sz="8" w:space="0"/>
            </w:tcBorders>
            <w:vAlign w:val="center"/>
          </w:tcPr>
          <w:p w14:paraId="75A2BB2A">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14:paraId="70ED63D1">
            <w:pPr>
              <w:widowControl/>
              <w:spacing w:line="240" w:lineRule="auto"/>
              <w:rPr>
                <w:rFonts w:ascii="宋体" w:cs="宋体"/>
                <w:color w:val="auto"/>
                <w:sz w:val="20"/>
                <w:highlight w:val="none"/>
              </w:rPr>
            </w:pPr>
            <w:r>
              <w:rPr>
                <w:rFonts w:hint="eastAsia" w:ascii="宋体" w:cs="宋体"/>
                <w:color w:val="auto"/>
                <w:sz w:val="20"/>
                <w:highlight w:val="none"/>
              </w:rPr>
              <w:t>10≤X＜100</w:t>
            </w:r>
          </w:p>
        </w:tc>
        <w:tc>
          <w:tcPr>
            <w:tcW w:w="1494" w:type="dxa"/>
            <w:tcBorders>
              <w:top w:val="nil"/>
              <w:left w:val="nil"/>
              <w:bottom w:val="single" w:color="auto" w:sz="4" w:space="0"/>
              <w:right w:val="single" w:color="auto" w:sz="4" w:space="0"/>
            </w:tcBorders>
            <w:vAlign w:val="center"/>
          </w:tcPr>
          <w:p w14:paraId="5EAB70C5">
            <w:pPr>
              <w:widowControl/>
              <w:spacing w:line="240" w:lineRule="auto"/>
              <w:rPr>
                <w:rFonts w:ascii="宋体" w:cs="宋体"/>
                <w:color w:val="auto"/>
                <w:sz w:val="20"/>
                <w:highlight w:val="none"/>
              </w:rPr>
            </w:pPr>
            <w:r>
              <w:rPr>
                <w:rFonts w:hint="eastAsia" w:ascii="宋体" w:cs="宋体"/>
                <w:color w:val="auto"/>
                <w:sz w:val="20"/>
                <w:highlight w:val="none"/>
              </w:rPr>
              <w:t>100≤Y＜1000</w:t>
            </w:r>
          </w:p>
        </w:tc>
        <w:tc>
          <w:tcPr>
            <w:tcW w:w="1536" w:type="dxa"/>
            <w:tcBorders>
              <w:top w:val="nil"/>
              <w:left w:val="nil"/>
              <w:bottom w:val="single" w:color="auto" w:sz="4" w:space="0"/>
              <w:right w:val="single" w:color="auto" w:sz="8" w:space="0"/>
            </w:tcBorders>
            <w:vAlign w:val="center"/>
          </w:tcPr>
          <w:p w14:paraId="198CDA31">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14:paraId="19204AAD">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4" w:space="0"/>
              <w:right w:val="single" w:color="auto" w:sz="4" w:space="0"/>
            </w:tcBorders>
            <w:vAlign w:val="center"/>
          </w:tcPr>
          <w:p w14:paraId="222E0558">
            <w:pPr>
              <w:widowControl/>
              <w:spacing w:line="240" w:lineRule="auto"/>
              <w:rPr>
                <w:rFonts w:ascii="宋体" w:cs="宋体"/>
                <w:color w:val="auto"/>
                <w:sz w:val="20"/>
                <w:highlight w:val="none"/>
              </w:rPr>
            </w:pPr>
            <w:r>
              <w:rPr>
                <w:rFonts w:hint="eastAsia" w:ascii="宋体" w:cs="宋体"/>
                <w:color w:val="auto"/>
                <w:sz w:val="20"/>
                <w:highlight w:val="none"/>
              </w:rPr>
              <w:t>Y＜100</w:t>
            </w:r>
          </w:p>
        </w:tc>
        <w:tc>
          <w:tcPr>
            <w:tcW w:w="1234" w:type="dxa"/>
            <w:tcBorders>
              <w:top w:val="nil"/>
              <w:left w:val="nil"/>
              <w:bottom w:val="single" w:color="auto" w:sz="4" w:space="0"/>
              <w:right w:val="single" w:color="auto" w:sz="8" w:space="0"/>
            </w:tcBorders>
            <w:vAlign w:val="center"/>
          </w:tcPr>
          <w:p w14:paraId="3A0F7160">
            <w:pPr>
              <w:widowControl/>
              <w:spacing w:line="240" w:lineRule="auto"/>
              <w:rPr>
                <w:rFonts w:ascii="宋体" w:cs="宋体"/>
                <w:color w:val="auto"/>
                <w:sz w:val="20"/>
                <w:highlight w:val="none"/>
              </w:rPr>
            </w:pPr>
            <w:r>
              <w:rPr>
                <w:rFonts w:hint="eastAsia" w:ascii="宋体" w:cs="宋体"/>
                <w:color w:val="auto"/>
                <w:sz w:val="20"/>
                <w:highlight w:val="none"/>
              </w:rPr>
              <w:t>　</w:t>
            </w:r>
          </w:p>
        </w:tc>
      </w:tr>
      <w:tr w14:paraId="01D88D9D">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3B0EAB33">
            <w:pPr>
              <w:widowControl/>
              <w:spacing w:line="240" w:lineRule="auto"/>
              <w:rPr>
                <w:rFonts w:ascii="宋体" w:cs="宋体"/>
                <w:color w:val="auto"/>
                <w:sz w:val="20"/>
                <w:highlight w:val="none"/>
              </w:rPr>
            </w:pPr>
            <w:r>
              <w:rPr>
                <w:rFonts w:hint="eastAsia" w:ascii="宋体" w:cs="宋体"/>
                <w:color w:val="auto"/>
                <w:sz w:val="20"/>
                <w:highlight w:val="none"/>
              </w:rPr>
              <w:t>12、软件和信息技术服务业</w:t>
            </w:r>
          </w:p>
        </w:tc>
        <w:tc>
          <w:tcPr>
            <w:tcW w:w="1512" w:type="dxa"/>
            <w:tcBorders>
              <w:top w:val="nil"/>
              <w:left w:val="nil"/>
              <w:bottom w:val="single" w:color="auto" w:sz="4" w:space="0"/>
              <w:right w:val="single" w:color="auto" w:sz="4" w:space="0"/>
            </w:tcBorders>
            <w:vAlign w:val="center"/>
          </w:tcPr>
          <w:p w14:paraId="79A3F76D">
            <w:pPr>
              <w:widowControl/>
              <w:spacing w:line="240" w:lineRule="auto"/>
              <w:rPr>
                <w:rFonts w:ascii="宋体" w:cs="宋体"/>
                <w:color w:val="auto"/>
                <w:sz w:val="20"/>
                <w:highlight w:val="none"/>
              </w:rPr>
            </w:pPr>
            <w:r>
              <w:rPr>
                <w:rFonts w:hint="eastAsia" w:ascii="宋体" w:cs="宋体"/>
                <w:color w:val="auto"/>
                <w:sz w:val="20"/>
                <w:highlight w:val="none"/>
              </w:rPr>
              <w:t>100≤X＜300</w:t>
            </w:r>
          </w:p>
        </w:tc>
        <w:tc>
          <w:tcPr>
            <w:tcW w:w="1779" w:type="dxa"/>
            <w:tcBorders>
              <w:top w:val="nil"/>
              <w:left w:val="nil"/>
              <w:bottom w:val="single" w:color="auto" w:sz="4" w:space="0"/>
              <w:right w:val="single" w:color="auto" w:sz="4" w:space="0"/>
            </w:tcBorders>
            <w:vAlign w:val="center"/>
          </w:tcPr>
          <w:p w14:paraId="10853480">
            <w:pPr>
              <w:widowControl/>
              <w:spacing w:line="240" w:lineRule="auto"/>
              <w:rPr>
                <w:rFonts w:ascii="宋体" w:cs="宋体"/>
                <w:color w:val="auto"/>
                <w:sz w:val="20"/>
                <w:highlight w:val="none"/>
              </w:rPr>
            </w:pPr>
            <w:r>
              <w:rPr>
                <w:rFonts w:hint="eastAsia" w:ascii="宋体" w:cs="宋体"/>
                <w:color w:val="auto"/>
                <w:sz w:val="20"/>
                <w:highlight w:val="none"/>
              </w:rPr>
              <w:t>1000≤Y＜10000</w:t>
            </w:r>
          </w:p>
        </w:tc>
        <w:tc>
          <w:tcPr>
            <w:tcW w:w="1677" w:type="dxa"/>
            <w:tcBorders>
              <w:top w:val="nil"/>
              <w:left w:val="nil"/>
              <w:bottom w:val="single" w:color="auto" w:sz="4" w:space="0"/>
              <w:right w:val="single" w:color="auto" w:sz="8" w:space="0"/>
            </w:tcBorders>
            <w:vAlign w:val="center"/>
          </w:tcPr>
          <w:p w14:paraId="69252905">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14:paraId="52E79E52">
            <w:pPr>
              <w:widowControl/>
              <w:spacing w:line="240" w:lineRule="auto"/>
              <w:rPr>
                <w:rFonts w:ascii="宋体" w:cs="宋体"/>
                <w:color w:val="auto"/>
                <w:sz w:val="20"/>
                <w:highlight w:val="none"/>
              </w:rPr>
            </w:pPr>
            <w:r>
              <w:rPr>
                <w:rFonts w:hint="eastAsia" w:ascii="宋体" w:cs="宋体"/>
                <w:color w:val="auto"/>
                <w:sz w:val="20"/>
                <w:highlight w:val="none"/>
              </w:rPr>
              <w:t>10≤X＜100</w:t>
            </w:r>
          </w:p>
        </w:tc>
        <w:tc>
          <w:tcPr>
            <w:tcW w:w="1494" w:type="dxa"/>
            <w:tcBorders>
              <w:top w:val="nil"/>
              <w:left w:val="nil"/>
              <w:bottom w:val="single" w:color="auto" w:sz="4" w:space="0"/>
              <w:right w:val="single" w:color="auto" w:sz="4" w:space="0"/>
            </w:tcBorders>
            <w:vAlign w:val="center"/>
          </w:tcPr>
          <w:p w14:paraId="5AB92F99">
            <w:pPr>
              <w:widowControl/>
              <w:spacing w:line="240" w:lineRule="auto"/>
              <w:rPr>
                <w:rFonts w:ascii="宋体" w:cs="宋体"/>
                <w:color w:val="auto"/>
                <w:sz w:val="20"/>
                <w:highlight w:val="none"/>
              </w:rPr>
            </w:pPr>
            <w:r>
              <w:rPr>
                <w:rFonts w:hint="eastAsia" w:ascii="宋体" w:cs="宋体"/>
                <w:color w:val="auto"/>
                <w:sz w:val="20"/>
                <w:highlight w:val="none"/>
              </w:rPr>
              <w:t xml:space="preserve"> 50≤Y＜1000</w:t>
            </w:r>
          </w:p>
        </w:tc>
        <w:tc>
          <w:tcPr>
            <w:tcW w:w="1536" w:type="dxa"/>
            <w:tcBorders>
              <w:top w:val="nil"/>
              <w:left w:val="nil"/>
              <w:bottom w:val="single" w:color="auto" w:sz="4" w:space="0"/>
              <w:right w:val="single" w:color="auto" w:sz="8" w:space="0"/>
            </w:tcBorders>
            <w:vAlign w:val="center"/>
          </w:tcPr>
          <w:p w14:paraId="69C797D0">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14:paraId="4D35C684">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4" w:space="0"/>
              <w:right w:val="single" w:color="auto" w:sz="4" w:space="0"/>
            </w:tcBorders>
            <w:vAlign w:val="center"/>
          </w:tcPr>
          <w:p w14:paraId="31D963E5">
            <w:pPr>
              <w:widowControl/>
              <w:spacing w:line="240" w:lineRule="auto"/>
              <w:rPr>
                <w:rFonts w:ascii="宋体" w:cs="宋体"/>
                <w:color w:val="auto"/>
                <w:sz w:val="20"/>
                <w:highlight w:val="none"/>
              </w:rPr>
            </w:pPr>
            <w:r>
              <w:rPr>
                <w:rFonts w:hint="eastAsia" w:ascii="宋体" w:cs="宋体"/>
                <w:color w:val="auto"/>
                <w:sz w:val="20"/>
                <w:highlight w:val="none"/>
              </w:rPr>
              <w:t>Y＜50</w:t>
            </w:r>
          </w:p>
        </w:tc>
        <w:tc>
          <w:tcPr>
            <w:tcW w:w="1234" w:type="dxa"/>
            <w:tcBorders>
              <w:top w:val="nil"/>
              <w:left w:val="nil"/>
              <w:bottom w:val="single" w:color="auto" w:sz="4" w:space="0"/>
              <w:right w:val="single" w:color="auto" w:sz="8" w:space="0"/>
            </w:tcBorders>
            <w:vAlign w:val="center"/>
          </w:tcPr>
          <w:p w14:paraId="4F52FD35">
            <w:pPr>
              <w:widowControl/>
              <w:spacing w:line="240" w:lineRule="auto"/>
              <w:rPr>
                <w:rFonts w:ascii="宋体" w:cs="宋体"/>
                <w:color w:val="auto"/>
                <w:sz w:val="20"/>
                <w:highlight w:val="none"/>
              </w:rPr>
            </w:pPr>
            <w:r>
              <w:rPr>
                <w:rFonts w:hint="eastAsia" w:ascii="宋体" w:cs="宋体"/>
                <w:color w:val="auto"/>
                <w:sz w:val="20"/>
                <w:highlight w:val="none"/>
              </w:rPr>
              <w:t>　</w:t>
            </w:r>
          </w:p>
        </w:tc>
      </w:tr>
      <w:tr w14:paraId="1C546DFD">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57ED7A8A">
            <w:pPr>
              <w:widowControl/>
              <w:spacing w:line="240" w:lineRule="auto"/>
              <w:rPr>
                <w:rFonts w:ascii="宋体" w:cs="宋体"/>
                <w:color w:val="auto"/>
                <w:sz w:val="20"/>
                <w:highlight w:val="none"/>
              </w:rPr>
            </w:pPr>
            <w:r>
              <w:rPr>
                <w:rFonts w:hint="eastAsia" w:ascii="宋体" w:cs="宋体"/>
                <w:color w:val="auto"/>
                <w:sz w:val="20"/>
                <w:highlight w:val="none"/>
              </w:rPr>
              <w:t>13、房地产开发经营</w:t>
            </w:r>
          </w:p>
        </w:tc>
        <w:tc>
          <w:tcPr>
            <w:tcW w:w="1512" w:type="dxa"/>
            <w:tcBorders>
              <w:top w:val="nil"/>
              <w:left w:val="nil"/>
              <w:bottom w:val="single" w:color="auto" w:sz="4" w:space="0"/>
              <w:right w:val="single" w:color="auto" w:sz="4" w:space="0"/>
            </w:tcBorders>
            <w:vAlign w:val="center"/>
          </w:tcPr>
          <w:p w14:paraId="2761FA8A">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779" w:type="dxa"/>
            <w:tcBorders>
              <w:top w:val="nil"/>
              <w:left w:val="nil"/>
              <w:bottom w:val="single" w:color="auto" w:sz="4" w:space="0"/>
              <w:right w:val="single" w:color="auto" w:sz="4" w:space="0"/>
            </w:tcBorders>
            <w:vAlign w:val="center"/>
          </w:tcPr>
          <w:p w14:paraId="539D7B9C">
            <w:pPr>
              <w:widowControl/>
              <w:spacing w:line="240" w:lineRule="auto"/>
              <w:rPr>
                <w:rFonts w:ascii="宋体" w:cs="宋体"/>
                <w:color w:val="auto"/>
                <w:sz w:val="20"/>
                <w:highlight w:val="none"/>
              </w:rPr>
            </w:pPr>
            <w:r>
              <w:rPr>
                <w:rFonts w:hint="eastAsia" w:ascii="宋体" w:cs="宋体"/>
                <w:color w:val="auto"/>
                <w:sz w:val="20"/>
                <w:highlight w:val="none"/>
              </w:rPr>
              <w:t>1000≤Y＜200000</w:t>
            </w:r>
          </w:p>
        </w:tc>
        <w:tc>
          <w:tcPr>
            <w:tcW w:w="1677" w:type="dxa"/>
            <w:tcBorders>
              <w:top w:val="nil"/>
              <w:left w:val="nil"/>
              <w:bottom w:val="single" w:color="auto" w:sz="4" w:space="0"/>
              <w:right w:val="single" w:color="auto" w:sz="8" w:space="0"/>
            </w:tcBorders>
            <w:vAlign w:val="center"/>
          </w:tcPr>
          <w:p w14:paraId="24A31798">
            <w:pPr>
              <w:widowControl/>
              <w:spacing w:line="240" w:lineRule="auto"/>
              <w:rPr>
                <w:rFonts w:ascii="宋体" w:cs="宋体"/>
                <w:color w:val="auto"/>
                <w:sz w:val="20"/>
                <w:highlight w:val="none"/>
              </w:rPr>
            </w:pPr>
            <w:r>
              <w:rPr>
                <w:rFonts w:hint="eastAsia" w:ascii="宋体" w:cs="宋体"/>
                <w:color w:val="auto"/>
                <w:sz w:val="20"/>
                <w:highlight w:val="none"/>
              </w:rPr>
              <w:t>5000≤Z＜10000</w:t>
            </w:r>
          </w:p>
        </w:tc>
        <w:tc>
          <w:tcPr>
            <w:tcW w:w="1252" w:type="dxa"/>
            <w:tcBorders>
              <w:top w:val="nil"/>
              <w:left w:val="nil"/>
              <w:bottom w:val="single" w:color="auto" w:sz="4" w:space="0"/>
              <w:right w:val="single" w:color="auto" w:sz="4" w:space="0"/>
            </w:tcBorders>
            <w:vAlign w:val="center"/>
          </w:tcPr>
          <w:p w14:paraId="30E92ED1">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494" w:type="dxa"/>
            <w:tcBorders>
              <w:top w:val="nil"/>
              <w:left w:val="nil"/>
              <w:bottom w:val="single" w:color="auto" w:sz="4" w:space="0"/>
              <w:right w:val="single" w:color="auto" w:sz="4" w:space="0"/>
            </w:tcBorders>
            <w:vAlign w:val="center"/>
          </w:tcPr>
          <w:p w14:paraId="591B0B12">
            <w:pPr>
              <w:widowControl/>
              <w:spacing w:line="240" w:lineRule="auto"/>
              <w:rPr>
                <w:rFonts w:ascii="宋体" w:cs="宋体"/>
                <w:color w:val="auto"/>
                <w:sz w:val="20"/>
                <w:highlight w:val="none"/>
              </w:rPr>
            </w:pPr>
            <w:r>
              <w:rPr>
                <w:rFonts w:hint="eastAsia" w:ascii="宋体" w:cs="宋体"/>
                <w:color w:val="auto"/>
                <w:sz w:val="20"/>
                <w:highlight w:val="none"/>
              </w:rPr>
              <w:t>100≤Y＜1000</w:t>
            </w:r>
          </w:p>
        </w:tc>
        <w:tc>
          <w:tcPr>
            <w:tcW w:w="1536" w:type="dxa"/>
            <w:tcBorders>
              <w:top w:val="nil"/>
              <w:left w:val="nil"/>
              <w:bottom w:val="single" w:color="auto" w:sz="4" w:space="0"/>
              <w:right w:val="single" w:color="auto" w:sz="8" w:space="0"/>
            </w:tcBorders>
            <w:vAlign w:val="center"/>
          </w:tcPr>
          <w:p w14:paraId="06408B88">
            <w:pPr>
              <w:widowControl/>
              <w:spacing w:line="240" w:lineRule="auto"/>
              <w:rPr>
                <w:rFonts w:ascii="宋体" w:cs="宋体"/>
                <w:color w:val="auto"/>
                <w:sz w:val="20"/>
                <w:highlight w:val="none"/>
              </w:rPr>
            </w:pPr>
            <w:r>
              <w:rPr>
                <w:rFonts w:hint="eastAsia" w:ascii="宋体" w:cs="宋体"/>
                <w:color w:val="auto"/>
                <w:sz w:val="20"/>
                <w:highlight w:val="none"/>
              </w:rPr>
              <w:t>2000≤Z＜5000</w:t>
            </w:r>
          </w:p>
        </w:tc>
        <w:tc>
          <w:tcPr>
            <w:tcW w:w="1297" w:type="dxa"/>
            <w:tcBorders>
              <w:top w:val="nil"/>
              <w:left w:val="nil"/>
              <w:bottom w:val="single" w:color="auto" w:sz="4" w:space="0"/>
              <w:right w:val="single" w:color="auto" w:sz="4" w:space="0"/>
            </w:tcBorders>
            <w:vAlign w:val="center"/>
          </w:tcPr>
          <w:p w14:paraId="63CB6AE1">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87" w:type="dxa"/>
            <w:tcBorders>
              <w:top w:val="nil"/>
              <w:left w:val="nil"/>
              <w:bottom w:val="single" w:color="auto" w:sz="4" w:space="0"/>
              <w:right w:val="single" w:color="auto" w:sz="4" w:space="0"/>
            </w:tcBorders>
            <w:vAlign w:val="center"/>
          </w:tcPr>
          <w:p w14:paraId="041D3B71">
            <w:pPr>
              <w:widowControl/>
              <w:spacing w:line="240" w:lineRule="auto"/>
              <w:rPr>
                <w:rFonts w:ascii="宋体" w:cs="宋体"/>
                <w:color w:val="auto"/>
                <w:sz w:val="20"/>
                <w:highlight w:val="none"/>
              </w:rPr>
            </w:pPr>
            <w:r>
              <w:rPr>
                <w:rFonts w:hint="eastAsia" w:ascii="宋体" w:cs="宋体"/>
                <w:color w:val="auto"/>
                <w:sz w:val="20"/>
                <w:highlight w:val="none"/>
              </w:rPr>
              <w:t>Y＜100</w:t>
            </w:r>
          </w:p>
        </w:tc>
        <w:tc>
          <w:tcPr>
            <w:tcW w:w="1234" w:type="dxa"/>
            <w:tcBorders>
              <w:top w:val="nil"/>
              <w:left w:val="nil"/>
              <w:bottom w:val="single" w:color="auto" w:sz="4" w:space="0"/>
              <w:right w:val="single" w:color="auto" w:sz="8" w:space="0"/>
            </w:tcBorders>
            <w:vAlign w:val="center"/>
          </w:tcPr>
          <w:p w14:paraId="6EEE1B05">
            <w:pPr>
              <w:widowControl/>
              <w:spacing w:line="240" w:lineRule="auto"/>
              <w:rPr>
                <w:rFonts w:ascii="宋体" w:cs="宋体"/>
                <w:color w:val="auto"/>
                <w:sz w:val="20"/>
                <w:highlight w:val="none"/>
              </w:rPr>
            </w:pPr>
            <w:r>
              <w:rPr>
                <w:rFonts w:hint="eastAsia" w:ascii="宋体" w:cs="宋体"/>
                <w:color w:val="auto"/>
                <w:sz w:val="20"/>
                <w:highlight w:val="none"/>
              </w:rPr>
              <w:t>Z＜2000</w:t>
            </w:r>
          </w:p>
        </w:tc>
      </w:tr>
      <w:tr w14:paraId="667B32AC">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6CB9BBA7">
            <w:pPr>
              <w:widowControl/>
              <w:spacing w:line="240" w:lineRule="auto"/>
              <w:rPr>
                <w:rFonts w:ascii="宋体" w:cs="宋体"/>
                <w:color w:val="auto"/>
                <w:sz w:val="20"/>
                <w:highlight w:val="none"/>
              </w:rPr>
            </w:pPr>
            <w:r>
              <w:rPr>
                <w:rFonts w:hint="eastAsia" w:ascii="宋体" w:cs="宋体"/>
                <w:color w:val="auto"/>
                <w:sz w:val="20"/>
                <w:highlight w:val="none"/>
              </w:rPr>
              <w:t>14、物业管理</w:t>
            </w:r>
          </w:p>
        </w:tc>
        <w:tc>
          <w:tcPr>
            <w:tcW w:w="1512" w:type="dxa"/>
            <w:tcBorders>
              <w:top w:val="nil"/>
              <w:left w:val="nil"/>
              <w:bottom w:val="single" w:color="auto" w:sz="4" w:space="0"/>
              <w:right w:val="single" w:color="auto" w:sz="4" w:space="0"/>
            </w:tcBorders>
            <w:vAlign w:val="center"/>
          </w:tcPr>
          <w:p w14:paraId="24957CCB">
            <w:pPr>
              <w:widowControl/>
              <w:spacing w:line="240" w:lineRule="auto"/>
              <w:rPr>
                <w:rFonts w:ascii="宋体" w:cs="宋体"/>
                <w:color w:val="auto"/>
                <w:sz w:val="20"/>
                <w:highlight w:val="none"/>
              </w:rPr>
            </w:pPr>
            <w:r>
              <w:rPr>
                <w:rFonts w:hint="eastAsia" w:ascii="宋体" w:cs="宋体"/>
                <w:color w:val="auto"/>
                <w:sz w:val="20"/>
                <w:highlight w:val="none"/>
              </w:rPr>
              <w:t>300≤X＜1000</w:t>
            </w:r>
          </w:p>
        </w:tc>
        <w:tc>
          <w:tcPr>
            <w:tcW w:w="1779" w:type="dxa"/>
            <w:tcBorders>
              <w:top w:val="nil"/>
              <w:left w:val="nil"/>
              <w:bottom w:val="single" w:color="auto" w:sz="4" w:space="0"/>
              <w:right w:val="single" w:color="auto" w:sz="4" w:space="0"/>
            </w:tcBorders>
            <w:vAlign w:val="center"/>
          </w:tcPr>
          <w:p w14:paraId="13B98AAC">
            <w:pPr>
              <w:widowControl/>
              <w:spacing w:line="240" w:lineRule="auto"/>
              <w:rPr>
                <w:rFonts w:ascii="宋体" w:cs="宋体"/>
                <w:color w:val="auto"/>
                <w:sz w:val="20"/>
                <w:highlight w:val="none"/>
              </w:rPr>
            </w:pPr>
            <w:r>
              <w:rPr>
                <w:rFonts w:hint="eastAsia" w:ascii="宋体" w:cs="宋体"/>
                <w:color w:val="auto"/>
                <w:sz w:val="20"/>
                <w:highlight w:val="none"/>
              </w:rPr>
              <w:t>1000≤Y＜5000</w:t>
            </w:r>
          </w:p>
        </w:tc>
        <w:tc>
          <w:tcPr>
            <w:tcW w:w="1677" w:type="dxa"/>
            <w:tcBorders>
              <w:top w:val="nil"/>
              <w:left w:val="nil"/>
              <w:bottom w:val="single" w:color="auto" w:sz="4" w:space="0"/>
              <w:right w:val="single" w:color="auto" w:sz="8" w:space="0"/>
            </w:tcBorders>
            <w:vAlign w:val="center"/>
          </w:tcPr>
          <w:p w14:paraId="43D63CBF">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4" w:space="0"/>
              <w:right w:val="single" w:color="auto" w:sz="4" w:space="0"/>
            </w:tcBorders>
            <w:vAlign w:val="center"/>
          </w:tcPr>
          <w:p w14:paraId="6BF1B626">
            <w:pPr>
              <w:widowControl/>
              <w:spacing w:line="240" w:lineRule="auto"/>
              <w:rPr>
                <w:rFonts w:ascii="宋体" w:cs="宋体"/>
                <w:color w:val="auto"/>
                <w:sz w:val="20"/>
                <w:highlight w:val="none"/>
              </w:rPr>
            </w:pPr>
            <w:r>
              <w:rPr>
                <w:rFonts w:hint="eastAsia" w:ascii="宋体" w:cs="宋体"/>
                <w:color w:val="auto"/>
                <w:sz w:val="20"/>
                <w:highlight w:val="none"/>
              </w:rPr>
              <w:t>100≤X＜300</w:t>
            </w:r>
          </w:p>
        </w:tc>
        <w:tc>
          <w:tcPr>
            <w:tcW w:w="1494" w:type="dxa"/>
            <w:tcBorders>
              <w:top w:val="nil"/>
              <w:left w:val="nil"/>
              <w:bottom w:val="single" w:color="auto" w:sz="4" w:space="0"/>
              <w:right w:val="single" w:color="auto" w:sz="4" w:space="0"/>
            </w:tcBorders>
            <w:vAlign w:val="center"/>
          </w:tcPr>
          <w:p w14:paraId="261D7DA0">
            <w:pPr>
              <w:widowControl/>
              <w:spacing w:line="240" w:lineRule="auto"/>
              <w:rPr>
                <w:rFonts w:ascii="宋体" w:cs="宋体"/>
                <w:color w:val="auto"/>
                <w:sz w:val="20"/>
                <w:highlight w:val="none"/>
              </w:rPr>
            </w:pPr>
            <w:r>
              <w:rPr>
                <w:rFonts w:hint="eastAsia" w:ascii="宋体" w:cs="宋体"/>
                <w:color w:val="auto"/>
                <w:sz w:val="20"/>
                <w:highlight w:val="none"/>
              </w:rPr>
              <w:t>500≤Y＜1000</w:t>
            </w:r>
          </w:p>
        </w:tc>
        <w:tc>
          <w:tcPr>
            <w:tcW w:w="1536" w:type="dxa"/>
            <w:tcBorders>
              <w:top w:val="nil"/>
              <w:left w:val="nil"/>
              <w:bottom w:val="single" w:color="auto" w:sz="4" w:space="0"/>
              <w:right w:val="single" w:color="auto" w:sz="8" w:space="0"/>
            </w:tcBorders>
            <w:vAlign w:val="center"/>
          </w:tcPr>
          <w:p w14:paraId="138C52FF">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4" w:space="0"/>
              <w:right w:val="single" w:color="auto" w:sz="4" w:space="0"/>
            </w:tcBorders>
            <w:vAlign w:val="center"/>
          </w:tcPr>
          <w:p w14:paraId="07EFE980">
            <w:pPr>
              <w:widowControl/>
              <w:spacing w:line="240" w:lineRule="auto"/>
              <w:rPr>
                <w:rFonts w:ascii="宋体" w:cs="宋体"/>
                <w:color w:val="auto"/>
                <w:sz w:val="20"/>
                <w:highlight w:val="none"/>
              </w:rPr>
            </w:pPr>
            <w:r>
              <w:rPr>
                <w:rFonts w:hint="eastAsia" w:ascii="宋体" w:cs="宋体"/>
                <w:color w:val="auto"/>
                <w:sz w:val="20"/>
                <w:highlight w:val="none"/>
              </w:rPr>
              <w:t>X＜100</w:t>
            </w:r>
          </w:p>
        </w:tc>
        <w:tc>
          <w:tcPr>
            <w:tcW w:w="1287" w:type="dxa"/>
            <w:tcBorders>
              <w:top w:val="nil"/>
              <w:left w:val="nil"/>
              <w:bottom w:val="single" w:color="auto" w:sz="4" w:space="0"/>
              <w:right w:val="single" w:color="auto" w:sz="4" w:space="0"/>
            </w:tcBorders>
            <w:vAlign w:val="center"/>
          </w:tcPr>
          <w:p w14:paraId="4DF9DF00">
            <w:pPr>
              <w:widowControl/>
              <w:spacing w:line="240" w:lineRule="auto"/>
              <w:rPr>
                <w:rFonts w:ascii="宋体" w:cs="宋体"/>
                <w:color w:val="auto"/>
                <w:sz w:val="20"/>
                <w:highlight w:val="none"/>
              </w:rPr>
            </w:pPr>
            <w:r>
              <w:rPr>
                <w:rFonts w:hint="eastAsia" w:ascii="宋体" w:cs="宋体"/>
                <w:color w:val="auto"/>
                <w:sz w:val="20"/>
                <w:highlight w:val="none"/>
              </w:rPr>
              <w:t>Y＜500</w:t>
            </w:r>
          </w:p>
        </w:tc>
        <w:tc>
          <w:tcPr>
            <w:tcW w:w="1234" w:type="dxa"/>
            <w:tcBorders>
              <w:top w:val="nil"/>
              <w:left w:val="nil"/>
              <w:bottom w:val="single" w:color="auto" w:sz="4" w:space="0"/>
              <w:right w:val="single" w:color="auto" w:sz="8" w:space="0"/>
            </w:tcBorders>
            <w:vAlign w:val="center"/>
          </w:tcPr>
          <w:p w14:paraId="517E8CD1">
            <w:pPr>
              <w:widowControl/>
              <w:spacing w:line="240" w:lineRule="auto"/>
              <w:rPr>
                <w:rFonts w:ascii="宋体" w:cs="宋体"/>
                <w:color w:val="auto"/>
                <w:sz w:val="20"/>
                <w:highlight w:val="none"/>
              </w:rPr>
            </w:pPr>
            <w:r>
              <w:rPr>
                <w:rFonts w:hint="eastAsia" w:ascii="宋体" w:cs="宋体"/>
                <w:color w:val="auto"/>
                <w:sz w:val="20"/>
                <w:highlight w:val="none"/>
              </w:rPr>
              <w:t>　</w:t>
            </w:r>
          </w:p>
        </w:tc>
      </w:tr>
      <w:tr w14:paraId="47A28D5B">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4" w:space="0"/>
              <w:right w:val="single" w:color="auto" w:sz="8" w:space="0"/>
            </w:tcBorders>
            <w:vAlign w:val="bottom"/>
          </w:tcPr>
          <w:p w14:paraId="4D99D858">
            <w:pPr>
              <w:widowControl/>
              <w:spacing w:line="240" w:lineRule="auto"/>
              <w:rPr>
                <w:rFonts w:ascii="宋体" w:cs="宋体"/>
                <w:color w:val="auto"/>
                <w:sz w:val="20"/>
                <w:highlight w:val="none"/>
              </w:rPr>
            </w:pPr>
            <w:r>
              <w:rPr>
                <w:rFonts w:hint="eastAsia" w:ascii="宋体" w:cs="宋体"/>
                <w:color w:val="auto"/>
                <w:sz w:val="20"/>
                <w:highlight w:val="none"/>
              </w:rPr>
              <w:t>15、租赁和商务服务业</w:t>
            </w:r>
          </w:p>
        </w:tc>
        <w:tc>
          <w:tcPr>
            <w:tcW w:w="1512" w:type="dxa"/>
            <w:tcBorders>
              <w:top w:val="nil"/>
              <w:left w:val="nil"/>
              <w:bottom w:val="single" w:color="auto" w:sz="4" w:space="0"/>
              <w:right w:val="single" w:color="auto" w:sz="4" w:space="0"/>
            </w:tcBorders>
            <w:vAlign w:val="center"/>
          </w:tcPr>
          <w:p w14:paraId="26929D48">
            <w:pPr>
              <w:widowControl/>
              <w:spacing w:line="240" w:lineRule="auto"/>
              <w:rPr>
                <w:rFonts w:ascii="宋体" w:cs="宋体"/>
                <w:color w:val="auto"/>
                <w:sz w:val="20"/>
                <w:highlight w:val="none"/>
              </w:rPr>
            </w:pPr>
            <w:r>
              <w:rPr>
                <w:rFonts w:hint="eastAsia" w:ascii="宋体" w:cs="宋体"/>
                <w:color w:val="auto"/>
                <w:sz w:val="20"/>
                <w:highlight w:val="none"/>
              </w:rPr>
              <w:t>100≤X＜300</w:t>
            </w:r>
          </w:p>
        </w:tc>
        <w:tc>
          <w:tcPr>
            <w:tcW w:w="1779" w:type="dxa"/>
            <w:tcBorders>
              <w:top w:val="nil"/>
              <w:left w:val="nil"/>
              <w:bottom w:val="single" w:color="auto" w:sz="4" w:space="0"/>
              <w:right w:val="single" w:color="auto" w:sz="4" w:space="0"/>
            </w:tcBorders>
            <w:vAlign w:val="center"/>
          </w:tcPr>
          <w:p w14:paraId="5CA024BA">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677" w:type="dxa"/>
            <w:tcBorders>
              <w:top w:val="nil"/>
              <w:left w:val="nil"/>
              <w:bottom w:val="single" w:color="auto" w:sz="4" w:space="0"/>
              <w:right w:val="single" w:color="auto" w:sz="8" w:space="0"/>
            </w:tcBorders>
            <w:vAlign w:val="center"/>
          </w:tcPr>
          <w:p w14:paraId="0231D99E">
            <w:pPr>
              <w:widowControl/>
              <w:spacing w:line="240" w:lineRule="auto"/>
              <w:rPr>
                <w:rFonts w:ascii="宋体" w:cs="宋体"/>
                <w:color w:val="auto"/>
                <w:sz w:val="20"/>
                <w:highlight w:val="none"/>
              </w:rPr>
            </w:pPr>
            <w:r>
              <w:rPr>
                <w:rFonts w:hint="eastAsia" w:ascii="宋体" w:cs="宋体"/>
                <w:color w:val="auto"/>
                <w:sz w:val="20"/>
                <w:highlight w:val="none"/>
              </w:rPr>
              <w:t>8000≤Z＜120000</w:t>
            </w:r>
          </w:p>
        </w:tc>
        <w:tc>
          <w:tcPr>
            <w:tcW w:w="1252" w:type="dxa"/>
            <w:tcBorders>
              <w:top w:val="nil"/>
              <w:left w:val="nil"/>
              <w:bottom w:val="single" w:color="auto" w:sz="4" w:space="0"/>
              <w:right w:val="single" w:color="auto" w:sz="4" w:space="0"/>
            </w:tcBorders>
            <w:vAlign w:val="center"/>
          </w:tcPr>
          <w:p w14:paraId="3290C155">
            <w:pPr>
              <w:widowControl/>
              <w:spacing w:line="240" w:lineRule="auto"/>
              <w:rPr>
                <w:rFonts w:ascii="宋体" w:cs="宋体"/>
                <w:color w:val="auto"/>
                <w:sz w:val="20"/>
                <w:highlight w:val="none"/>
              </w:rPr>
            </w:pPr>
            <w:r>
              <w:rPr>
                <w:rFonts w:hint="eastAsia" w:ascii="宋体" w:cs="宋体"/>
                <w:color w:val="auto"/>
                <w:sz w:val="20"/>
                <w:highlight w:val="none"/>
              </w:rPr>
              <w:t>10≤X＜100</w:t>
            </w:r>
          </w:p>
        </w:tc>
        <w:tc>
          <w:tcPr>
            <w:tcW w:w="1494" w:type="dxa"/>
            <w:tcBorders>
              <w:top w:val="nil"/>
              <w:left w:val="nil"/>
              <w:bottom w:val="single" w:color="auto" w:sz="4" w:space="0"/>
              <w:right w:val="single" w:color="auto" w:sz="4" w:space="0"/>
            </w:tcBorders>
            <w:vAlign w:val="center"/>
          </w:tcPr>
          <w:p w14:paraId="53012A4E">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536" w:type="dxa"/>
            <w:tcBorders>
              <w:top w:val="nil"/>
              <w:left w:val="nil"/>
              <w:bottom w:val="single" w:color="auto" w:sz="4" w:space="0"/>
              <w:right w:val="single" w:color="auto" w:sz="8" w:space="0"/>
            </w:tcBorders>
            <w:vAlign w:val="center"/>
          </w:tcPr>
          <w:p w14:paraId="094A75EC">
            <w:pPr>
              <w:widowControl/>
              <w:spacing w:line="240" w:lineRule="auto"/>
              <w:rPr>
                <w:rFonts w:ascii="宋体" w:cs="宋体"/>
                <w:color w:val="auto"/>
                <w:sz w:val="20"/>
                <w:highlight w:val="none"/>
              </w:rPr>
            </w:pPr>
            <w:r>
              <w:rPr>
                <w:rFonts w:hint="eastAsia" w:ascii="宋体" w:cs="宋体"/>
                <w:color w:val="auto"/>
                <w:sz w:val="20"/>
                <w:highlight w:val="none"/>
              </w:rPr>
              <w:t xml:space="preserve"> 100≤Z＜8000</w:t>
            </w:r>
          </w:p>
        </w:tc>
        <w:tc>
          <w:tcPr>
            <w:tcW w:w="1297" w:type="dxa"/>
            <w:tcBorders>
              <w:top w:val="nil"/>
              <w:left w:val="nil"/>
              <w:bottom w:val="single" w:color="auto" w:sz="4" w:space="0"/>
              <w:right w:val="single" w:color="auto" w:sz="4" w:space="0"/>
            </w:tcBorders>
            <w:vAlign w:val="center"/>
          </w:tcPr>
          <w:p w14:paraId="02D2E6E3">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4" w:space="0"/>
              <w:right w:val="single" w:color="auto" w:sz="4" w:space="0"/>
            </w:tcBorders>
            <w:vAlign w:val="center"/>
          </w:tcPr>
          <w:p w14:paraId="0E83886C">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34" w:type="dxa"/>
            <w:tcBorders>
              <w:top w:val="nil"/>
              <w:left w:val="nil"/>
              <w:bottom w:val="single" w:color="auto" w:sz="4" w:space="0"/>
              <w:right w:val="single" w:color="auto" w:sz="8" w:space="0"/>
            </w:tcBorders>
            <w:vAlign w:val="center"/>
          </w:tcPr>
          <w:p w14:paraId="46421E11">
            <w:pPr>
              <w:widowControl/>
              <w:spacing w:line="240" w:lineRule="auto"/>
              <w:rPr>
                <w:rFonts w:ascii="宋体" w:cs="宋体"/>
                <w:color w:val="auto"/>
                <w:sz w:val="20"/>
                <w:highlight w:val="none"/>
              </w:rPr>
            </w:pPr>
            <w:r>
              <w:rPr>
                <w:rFonts w:hint="eastAsia" w:ascii="宋体" w:cs="宋体"/>
                <w:color w:val="auto"/>
                <w:sz w:val="20"/>
                <w:highlight w:val="none"/>
              </w:rPr>
              <w:t>Z＜100</w:t>
            </w:r>
          </w:p>
        </w:tc>
      </w:tr>
      <w:tr w14:paraId="2942ADBE">
        <w:tblPrEx>
          <w:tblCellMar>
            <w:top w:w="0" w:type="dxa"/>
            <w:left w:w="108" w:type="dxa"/>
            <w:bottom w:w="0" w:type="dxa"/>
            <w:right w:w="108" w:type="dxa"/>
          </w:tblCellMar>
        </w:tblPrEx>
        <w:trPr>
          <w:gridAfter w:val="1"/>
          <w:wAfter w:w="6" w:type="dxa"/>
          <w:trHeight w:val="355" w:hRule="atLeast"/>
        </w:trPr>
        <w:tc>
          <w:tcPr>
            <w:tcW w:w="2003" w:type="dxa"/>
            <w:tcBorders>
              <w:top w:val="nil"/>
              <w:left w:val="single" w:color="auto" w:sz="8" w:space="0"/>
              <w:bottom w:val="single" w:color="auto" w:sz="8" w:space="0"/>
              <w:right w:val="single" w:color="auto" w:sz="8" w:space="0"/>
            </w:tcBorders>
            <w:vAlign w:val="bottom"/>
          </w:tcPr>
          <w:p w14:paraId="415EB90C">
            <w:pPr>
              <w:widowControl/>
              <w:spacing w:line="240" w:lineRule="auto"/>
              <w:rPr>
                <w:rFonts w:ascii="宋体" w:cs="宋体"/>
                <w:color w:val="auto"/>
                <w:sz w:val="20"/>
                <w:highlight w:val="none"/>
              </w:rPr>
            </w:pPr>
            <w:r>
              <w:rPr>
                <w:rFonts w:hint="eastAsia" w:ascii="宋体" w:cs="宋体"/>
                <w:color w:val="auto"/>
                <w:sz w:val="20"/>
                <w:highlight w:val="none"/>
              </w:rPr>
              <w:t>16、其他未列明行业</w:t>
            </w:r>
          </w:p>
        </w:tc>
        <w:tc>
          <w:tcPr>
            <w:tcW w:w="1512" w:type="dxa"/>
            <w:tcBorders>
              <w:top w:val="nil"/>
              <w:left w:val="nil"/>
              <w:bottom w:val="single" w:color="auto" w:sz="8" w:space="0"/>
              <w:right w:val="single" w:color="auto" w:sz="4" w:space="0"/>
            </w:tcBorders>
            <w:vAlign w:val="center"/>
          </w:tcPr>
          <w:p w14:paraId="712D279B">
            <w:pPr>
              <w:widowControl/>
              <w:spacing w:line="240" w:lineRule="auto"/>
              <w:rPr>
                <w:rFonts w:ascii="宋体" w:cs="宋体"/>
                <w:color w:val="auto"/>
                <w:sz w:val="20"/>
                <w:highlight w:val="none"/>
              </w:rPr>
            </w:pPr>
            <w:r>
              <w:rPr>
                <w:rFonts w:hint="eastAsia" w:ascii="宋体" w:cs="宋体"/>
                <w:color w:val="auto"/>
                <w:sz w:val="20"/>
                <w:highlight w:val="none"/>
              </w:rPr>
              <w:t>100≤X＜300</w:t>
            </w:r>
          </w:p>
        </w:tc>
        <w:tc>
          <w:tcPr>
            <w:tcW w:w="1779" w:type="dxa"/>
            <w:tcBorders>
              <w:top w:val="nil"/>
              <w:left w:val="nil"/>
              <w:bottom w:val="single" w:color="auto" w:sz="8" w:space="0"/>
              <w:right w:val="single" w:color="auto" w:sz="4" w:space="0"/>
            </w:tcBorders>
            <w:vAlign w:val="center"/>
          </w:tcPr>
          <w:p w14:paraId="0611424A">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677" w:type="dxa"/>
            <w:tcBorders>
              <w:top w:val="nil"/>
              <w:left w:val="nil"/>
              <w:bottom w:val="single" w:color="auto" w:sz="8" w:space="0"/>
              <w:right w:val="single" w:color="auto" w:sz="8" w:space="0"/>
            </w:tcBorders>
            <w:vAlign w:val="center"/>
          </w:tcPr>
          <w:p w14:paraId="12BABC24">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52" w:type="dxa"/>
            <w:tcBorders>
              <w:top w:val="nil"/>
              <w:left w:val="nil"/>
              <w:bottom w:val="single" w:color="auto" w:sz="8" w:space="0"/>
              <w:right w:val="single" w:color="auto" w:sz="4" w:space="0"/>
            </w:tcBorders>
            <w:vAlign w:val="center"/>
          </w:tcPr>
          <w:p w14:paraId="4DB3906A">
            <w:pPr>
              <w:widowControl/>
              <w:spacing w:line="240" w:lineRule="auto"/>
              <w:rPr>
                <w:rFonts w:ascii="宋体" w:cs="宋体"/>
                <w:color w:val="auto"/>
                <w:sz w:val="20"/>
                <w:highlight w:val="none"/>
              </w:rPr>
            </w:pPr>
            <w:r>
              <w:rPr>
                <w:rFonts w:hint="eastAsia" w:ascii="宋体" w:cs="宋体"/>
                <w:color w:val="auto"/>
                <w:sz w:val="20"/>
                <w:highlight w:val="none"/>
              </w:rPr>
              <w:t>10≤X＜100</w:t>
            </w:r>
          </w:p>
        </w:tc>
        <w:tc>
          <w:tcPr>
            <w:tcW w:w="1494" w:type="dxa"/>
            <w:tcBorders>
              <w:top w:val="nil"/>
              <w:left w:val="nil"/>
              <w:bottom w:val="single" w:color="auto" w:sz="8" w:space="0"/>
              <w:right w:val="single" w:color="auto" w:sz="4" w:space="0"/>
            </w:tcBorders>
            <w:vAlign w:val="center"/>
          </w:tcPr>
          <w:p w14:paraId="7EB00516">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536" w:type="dxa"/>
            <w:tcBorders>
              <w:top w:val="nil"/>
              <w:left w:val="nil"/>
              <w:bottom w:val="single" w:color="auto" w:sz="8" w:space="0"/>
              <w:right w:val="single" w:color="auto" w:sz="8" w:space="0"/>
            </w:tcBorders>
            <w:vAlign w:val="center"/>
          </w:tcPr>
          <w:p w14:paraId="0B3AC81C">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97" w:type="dxa"/>
            <w:tcBorders>
              <w:top w:val="nil"/>
              <w:left w:val="nil"/>
              <w:bottom w:val="single" w:color="auto" w:sz="8" w:space="0"/>
              <w:right w:val="single" w:color="auto" w:sz="4" w:space="0"/>
            </w:tcBorders>
            <w:vAlign w:val="center"/>
          </w:tcPr>
          <w:p w14:paraId="4C735FF7">
            <w:pPr>
              <w:widowControl/>
              <w:spacing w:line="240" w:lineRule="auto"/>
              <w:rPr>
                <w:rFonts w:ascii="宋体" w:cs="宋体"/>
                <w:color w:val="auto"/>
                <w:sz w:val="20"/>
                <w:highlight w:val="none"/>
              </w:rPr>
            </w:pPr>
            <w:r>
              <w:rPr>
                <w:rFonts w:hint="eastAsia" w:ascii="宋体" w:cs="宋体"/>
                <w:color w:val="auto"/>
                <w:sz w:val="20"/>
                <w:highlight w:val="none"/>
              </w:rPr>
              <w:t>X＜10</w:t>
            </w:r>
          </w:p>
        </w:tc>
        <w:tc>
          <w:tcPr>
            <w:tcW w:w="1287" w:type="dxa"/>
            <w:tcBorders>
              <w:top w:val="nil"/>
              <w:left w:val="nil"/>
              <w:bottom w:val="single" w:color="auto" w:sz="8" w:space="0"/>
              <w:right w:val="single" w:color="auto" w:sz="4" w:space="0"/>
            </w:tcBorders>
            <w:vAlign w:val="center"/>
          </w:tcPr>
          <w:p w14:paraId="5DACE8D9">
            <w:pPr>
              <w:widowControl/>
              <w:spacing w:line="240" w:lineRule="auto"/>
              <w:rPr>
                <w:rFonts w:ascii="宋体" w:cs="宋体"/>
                <w:color w:val="auto"/>
                <w:sz w:val="20"/>
                <w:highlight w:val="none"/>
              </w:rPr>
            </w:pPr>
            <w:r>
              <w:rPr>
                <w:rFonts w:hint="eastAsia" w:ascii="宋体" w:cs="宋体"/>
                <w:color w:val="auto"/>
                <w:sz w:val="20"/>
                <w:highlight w:val="none"/>
              </w:rPr>
              <w:t>　</w:t>
            </w:r>
          </w:p>
        </w:tc>
        <w:tc>
          <w:tcPr>
            <w:tcW w:w="1234" w:type="dxa"/>
            <w:tcBorders>
              <w:top w:val="nil"/>
              <w:left w:val="nil"/>
              <w:bottom w:val="single" w:color="auto" w:sz="8" w:space="0"/>
              <w:right w:val="single" w:color="auto" w:sz="8" w:space="0"/>
            </w:tcBorders>
            <w:vAlign w:val="center"/>
          </w:tcPr>
          <w:p w14:paraId="1F49EC28">
            <w:pPr>
              <w:widowControl/>
              <w:spacing w:line="240" w:lineRule="auto"/>
              <w:rPr>
                <w:rFonts w:ascii="宋体" w:cs="宋体"/>
                <w:color w:val="auto"/>
                <w:sz w:val="20"/>
                <w:highlight w:val="none"/>
              </w:rPr>
            </w:pPr>
            <w:r>
              <w:rPr>
                <w:rFonts w:hint="eastAsia" w:ascii="宋体" w:cs="宋体"/>
                <w:color w:val="auto"/>
                <w:sz w:val="20"/>
                <w:highlight w:val="none"/>
              </w:rPr>
              <w:t>　</w:t>
            </w:r>
          </w:p>
        </w:tc>
      </w:tr>
      <w:tr w14:paraId="2AA3EF83">
        <w:tblPrEx>
          <w:tblCellMar>
            <w:top w:w="0" w:type="dxa"/>
            <w:left w:w="108" w:type="dxa"/>
            <w:bottom w:w="0" w:type="dxa"/>
            <w:right w:w="108" w:type="dxa"/>
          </w:tblCellMar>
        </w:tblPrEx>
        <w:trPr>
          <w:trHeight w:val="1124" w:hRule="atLeast"/>
        </w:trPr>
        <w:tc>
          <w:tcPr>
            <w:tcW w:w="15077" w:type="dxa"/>
            <w:gridSpan w:val="11"/>
            <w:tcBorders>
              <w:top w:val="nil"/>
              <w:left w:val="nil"/>
              <w:bottom w:val="nil"/>
              <w:right w:val="nil"/>
            </w:tcBorders>
            <w:vAlign w:val="bottom"/>
          </w:tcPr>
          <w:p w14:paraId="6BFB3BF3">
            <w:pPr>
              <w:widowControl/>
              <w:spacing w:line="240" w:lineRule="auto"/>
              <w:rPr>
                <w:rFonts w:ascii="宋体" w:cs="宋体"/>
                <w:color w:val="auto"/>
                <w:sz w:val="20"/>
                <w:highlight w:val="none"/>
              </w:rPr>
            </w:pPr>
            <w:r>
              <w:rPr>
                <w:rFonts w:hint="eastAsia" w:ascii="宋体" w:cs="宋体"/>
                <w:color w:val="auto"/>
                <w:sz w:val="20"/>
                <w:highlight w:val="none"/>
              </w:rPr>
              <w:t>说明　1、企业类型的划分以统计部门的统计数据为依据。</w:t>
            </w:r>
          </w:p>
          <w:p w14:paraId="16DDFC29">
            <w:pPr>
              <w:widowControl/>
              <w:spacing w:line="240" w:lineRule="auto"/>
              <w:ind w:firstLine="600" w:firstLineChars="300"/>
              <w:rPr>
                <w:rFonts w:ascii="宋体" w:cs="宋体"/>
                <w:color w:val="auto"/>
                <w:sz w:val="20"/>
                <w:highlight w:val="none"/>
              </w:rPr>
            </w:pPr>
            <w:r>
              <w:rPr>
                <w:rFonts w:hint="eastAsia" w:ascii="宋体" w:cs="宋体"/>
                <w:color w:val="auto"/>
                <w:sz w:val="20"/>
                <w:highlight w:val="none"/>
              </w:rPr>
              <w:t>2、个体工商户和本规定以外的行业，参照本规定进行划型。</w:t>
            </w:r>
          </w:p>
          <w:p w14:paraId="36952F3A">
            <w:pPr>
              <w:widowControl/>
              <w:spacing w:line="240" w:lineRule="auto"/>
              <w:ind w:firstLine="600" w:firstLineChars="300"/>
              <w:rPr>
                <w:rFonts w:ascii="宋体" w:cs="宋体"/>
                <w:color w:val="auto"/>
                <w:sz w:val="20"/>
                <w:highlight w:val="none"/>
              </w:rPr>
            </w:pPr>
            <w:r>
              <w:rPr>
                <w:rFonts w:hint="eastAsia" w:ascii="宋体" w:cs="宋体"/>
                <w:color w:val="auto"/>
                <w:sz w:val="20"/>
                <w:highlight w:val="none"/>
              </w:rPr>
              <w:t>3、本规定的中型企业标准上限即为大型企业标准的下限。</w:t>
            </w:r>
          </w:p>
        </w:tc>
      </w:tr>
    </w:tbl>
    <w:p w14:paraId="499A87C8">
      <w:pPr>
        <w:spacing w:line="400" w:lineRule="exact"/>
        <w:jc w:val="center"/>
        <w:rPr>
          <w:rFonts w:hint="eastAsia" w:ascii="宋体"/>
          <w:b/>
          <w:color w:val="auto"/>
          <w:szCs w:val="21"/>
          <w:highlight w:val="none"/>
        </w:rPr>
        <w:sectPr>
          <w:headerReference r:id="rId16" w:type="default"/>
          <w:footerReference r:id="rId17" w:type="default"/>
          <w:pgSz w:w="16840" w:h="11907" w:orient="landscape"/>
          <w:pgMar w:top="1338" w:right="1140" w:bottom="1112" w:left="1423" w:header="285" w:footer="992" w:gutter="0"/>
          <w:pgBorders>
            <w:top w:val="none" w:sz="0" w:space="0"/>
            <w:left w:val="none" w:sz="0" w:space="0"/>
            <w:bottom w:val="none" w:sz="0" w:space="0"/>
            <w:right w:val="none" w:sz="0" w:space="0"/>
          </w:pgBorders>
          <w:cols w:space="0" w:num="1"/>
          <w:rtlGutter w:val="0"/>
          <w:docGrid w:linePitch="285" w:charSpace="0"/>
        </w:sectPr>
      </w:pPr>
    </w:p>
    <w:p w14:paraId="7A4E5BB6">
      <w:pPr>
        <w:spacing w:line="400" w:lineRule="exact"/>
        <w:jc w:val="center"/>
        <w:rPr>
          <w:rStyle w:val="178"/>
          <w:rFonts w:ascii="宋体"/>
          <w:color w:val="auto"/>
          <w:sz w:val="28"/>
          <w:szCs w:val="28"/>
          <w:highlight w:val="none"/>
        </w:rPr>
      </w:pPr>
      <w:r>
        <w:rPr>
          <w:rFonts w:hint="eastAsia" w:ascii="宋体"/>
          <w:b/>
          <w:color w:val="auto"/>
          <w:szCs w:val="21"/>
          <w:highlight w:val="none"/>
        </w:rPr>
        <w:t>A</w:t>
      </w:r>
      <w:r>
        <w:rPr>
          <w:rFonts w:hint="eastAsia" w:ascii="宋体"/>
          <w:b/>
          <w:color w:val="auto"/>
          <w:szCs w:val="21"/>
          <w:highlight w:val="none"/>
          <w:lang w:val="en-US" w:eastAsia="zh-CN"/>
        </w:rPr>
        <w:t xml:space="preserve">5 </w:t>
      </w:r>
      <w:r>
        <w:rPr>
          <w:rFonts w:hint="eastAsia" w:ascii="宋体"/>
          <w:b/>
          <w:color w:val="auto"/>
          <w:szCs w:val="21"/>
          <w:highlight w:val="none"/>
        </w:rPr>
        <w:t xml:space="preserve"> 招标文件要求的其他资格条件证明材料（如有）</w:t>
      </w:r>
      <w:r>
        <w:rPr>
          <w:rFonts w:hint="eastAsia" w:ascii="宋体"/>
          <w:b/>
          <w:color w:val="auto"/>
          <w:szCs w:val="21"/>
          <w:highlight w:val="none"/>
        </w:rPr>
        <w:br w:type="page"/>
      </w:r>
    </w:p>
    <w:p w14:paraId="16642085">
      <w:pPr>
        <w:pStyle w:val="205"/>
        <w:jc w:val="center"/>
        <w:rPr>
          <w:rStyle w:val="178"/>
          <w:rFonts w:ascii="宋体"/>
          <w:color w:val="auto"/>
          <w:sz w:val="32"/>
          <w:szCs w:val="32"/>
          <w:highlight w:val="none"/>
        </w:rPr>
      </w:pPr>
      <w:bookmarkStart w:id="140" w:name="_Toc21541026"/>
      <w:bookmarkStart w:id="141" w:name="_Toc44162157"/>
      <w:bookmarkStart w:id="142" w:name="_Toc16913"/>
      <w:r>
        <w:rPr>
          <w:rStyle w:val="178"/>
          <w:rFonts w:hint="eastAsia" w:ascii="宋体"/>
          <w:color w:val="auto"/>
          <w:sz w:val="32"/>
          <w:szCs w:val="32"/>
          <w:highlight w:val="none"/>
        </w:rPr>
        <w:t>B.商务和技术文件</w:t>
      </w:r>
      <w:bookmarkEnd w:id="140"/>
      <w:bookmarkEnd w:id="141"/>
      <w:bookmarkEnd w:id="142"/>
    </w:p>
    <w:p w14:paraId="0D570A9C">
      <w:pPr>
        <w:autoSpaceDE w:val="0"/>
        <w:autoSpaceDN w:val="0"/>
        <w:spacing w:line="420" w:lineRule="exact"/>
        <w:rPr>
          <w:rStyle w:val="178"/>
          <w:rFonts w:ascii="宋体"/>
          <w:b w:val="0"/>
          <w:color w:val="auto"/>
          <w:highlight w:val="none"/>
          <w:lang w:val="zh-CN"/>
        </w:rPr>
      </w:pPr>
      <w:r>
        <w:rPr>
          <w:rStyle w:val="178"/>
          <w:rFonts w:hint="eastAsia" w:ascii="宋体"/>
          <w:color w:val="auto"/>
          <w:sz w:val="32"/>
          <w:szCs w:val="32"/>
          <w:highlight w:val="none"/>
        </w:rPr>
        <w:br w:type="page"/>
      </w:r>
      <w:r>
        <w:rPr>
          <w:rStyle w:val="178"/>
          <w:rFonts w:hint="eastAsia" w:ascii="宋体"/>
          <w:color w:val="auto"/>
          <w:szCs w:val="21"/>
          <w:highlight w:val="none"/>
        </w:rPr>
        <w:t>封面</w:t>
      </w:r>
    </w:p>
    <w:p w14:paraId="4EBAE162">
      <w:pPr>
        <w:spacing w:line="360" w:lineRule="auto"/>
        <w:ind w:firstLine="1285" w:firstLineChars="400"/>
        <w:jc w:val="right"/>
        <w:rPr>
          <w:rFonts w:ascii="宋体"/>
          <w:b/>
          <w:color w:val="auto"/>
          <w:sz w:val="32"/>
          <w:szCs w:val="32"/>
          <w:highlight w:val="none"/>
        </w:rPr>
      </w:pPr>
    </w:p>
    <w:p w14:paraId="1C70FE8C">
      <w:pPr>
        <w:spacing w:after="120" w:line="900" w:lineRule="exact"/>
        <w:jc w:val="center"/>
        <w:rPr>
          <w:rFonts w:hint="eastAsia" w:ascii="宋体" w:eastAsia="宋体"/>
          <w:b/>
          <w:color w:val="auto"/>
          <w:sz w:val="44"/>
          <w:szCs w:val="50"/>
          <w:highlight w:val="none"/>
          <w:lang w:eastAsia="zh-CN"/>
        </w:rPr>
      </w:pPr>
      <w:r>
        <w:rPr>
          <w:rFonts w:hint="eastAsia" w:ascii="宋体"/>
          <w:b/>
          <w:color w:val="auto"/>
          <w:sz w:val="44"/>
          <w:szCs w:val="50"/>
          <w:highlight w:val="none"/>
          <w:lang w:eastAsia="zh-CN"/>
        </w:rPr>
        <w:t>宁波高新区求精书院理化生实验室（初中部）设施设备采购项目（二期）</w:t>
      </w:r>
    </w:p>
    <w:p w14:paraId="2417B3E8">
      <w:pPr>
        <w:spacing w:after="120" w:line="900" w:lineRule="exact"/>
        <w:jc w:val="center"/>
        <w:rPr>
          <w:rFonts w:ascii="宋体"/>
          <w:b/>
          <w:color w:val="auto"/>
          <w:sz w:val="44"/>
          <w:szCs w:val="50"/>
          <w:highlight w:val="none"/>
        </w:rPr>
      </w:pPr>
    </w:p>
    <w:p w14:paraId="50DCB5A2">
      <w:pPr>
        <w:spacing w:line="360" w:lineRule="auto"/>
        <w:jc w:val="center"/>
        <w:rPr>
          <w:rFonts w:hint="eastAsia" w:ascii="宋体" w:eastAsia="宋体"/>
          <w:color w:val="auto"/>
          <w:sz w:val="36"/>
          <w:szCs w:val="36"/>
          <w:highlight w:val="none"/>
          <w:u w:val="single"/>
          <w:lang w:eastAsia="zh-CN"/>
        </w:rPr>
      </w:pPr>
      <w:r>
        <w:rPr>
          <w:rFonts w:hint="eastAsia" w:ascii="宋体"/>
          <w:color w:val="auto"/>
          <w:sz w:val="36"/>
          <w:szCs w:val="36"/>
          <w:highlight w:val="none"/>
          <w:u w:val="single"/>
        </w:rPr>
        <w:t>采购编号：</w:t>
      </w:r>
      <w:r>
        <w:rPr>
          <w:rFonts w:hint="eastAsia" w:ascii="宋体"/>
          <w:color w:val="auto"/>
          <w:sz w:val="36"/>
          <w:szCs w:val="36"/>
          <w:highlight w:val="none"/>
          <w:u w:val="single"/>
          <w:lang w:eastAsia="zh-CN"/>
        </w:rPr>
        <w:t>NBITC-202530765G</w:t>
      </w:r>
    </w:p>
    <w:p w14:paraId="4FF84FB5">
      <w:pPr>
        <w:spacing w:line="360" w:lineRule="auto"/>
        <w:ind w:firstLine="2340" w:firstLineChars="650"/>
        <w:rPr>
          <w:rFonts w:ascii="宋体"/>
          <w:color w:val="auto"/>
          <w:sz w:val="36"/>
          <w:szCs w:val="36"/>
          <w:highlight w:val="none"/>
        </w:rPr>
      </w:pPr>
      <w:r>
        <w:rPr>
          <w:rFonts w:hint="eastAsia" w:ascii="宋体"/>
          <w:color w:val="auto"/>
          <w:sz w:val="36"/>
          <w:szCs w:val="36"/>
          <w:highlight w:val="none"/>
          <w:u w:val="single"/>
        </w:rPr>
        <w:t>子    包：（如有多个标项）</w:t>
      </w:r>
    </w:p>
    <w:p w14:paraId="194AADBA">
      <w:pPr>
        <w:rPr>
          <w:rFonts w:ascii="宋体"/>
          <w:color w:val="auto"/>
          <w:sz w:val="28"/>
          <w:szCs w:val="28"/>
          <w:highlight w:val="none"/>
        </w:rPr>
      </w:pPr>
    </w:p>
    <w:p w14:paraId="77FFBF9F">
      <w:pPr>
        <w:spacing w:line="360" w:lineRule="auto"/>
        <w:jc w:val="center"/>
        <w:rPr>
          <w:rFonts w:ascii="宋体"/>
          <w:color w:val="auto"/>
          <w:sz w:val="36"/>
          <w:szCs w:val="36"/>
          <w:highlight w:val="none"/>
        </w:rPr>
      </w:pPr>
      <w:r>
        <w:rPr>
          <w:rFonts w:hint="eastAsia" w:ascii="宋体"/>
          <w:color w:val="auto"/>
          <w:sz w:val="36"/>
          <w:szCs w:val="36"/>
          <w:highlight w:val="none"/>
        </w:rPr>
        <w:t>（商务和技术文件）</w:t>
      </w:r>
    </w:p>
    <w:p w14:paraId="0F266A07">
      <w:pPr>
        <w:jc w:val="center"/>
        <w:rPr>
          <w:rFonts w:ascii="宋体"/>
          <w:color w:val="auto"/>
          <w:sz w:val="28"/>
          <w:szCs w:val="28"/>
          <w:highlight w:val="none"/>
        </w:rPr>
      </w:pPr>
    </w:p>
    <w:p w14:paraId="02B8B6DF">
      <w:pPr>
        <w:spacing w:line="360" w:lineRule="auto"/>
        <w:jc w:val="center"/>
        <w:rPr>
          <w:rFonts w:ascii="宋体"/>
          <w:b/>
          <w:color w:val="auto"/>
          <w:sz w:val="72"/>
          <w:szCs w:val="72"/>
          <w:highlight w:val="none"/>
        </w:rPr>
      </w:pPr>
    </w:p>
    <w:p w14:paraId="57A1F2C0">
      <w:pPr>
        <w:spacing w:line="360" w:lineRule="auto"/>
        <w:jc w:val="center"/>
        <w:rPr>
          <w:rFonts w:ascii="宋体"/>
          <w:b/>
          <w:color w:val="auto"/>
          <w:sz w:val="72"/>
          <w:szCs w:val="72"/>
          <w:highlight w:val="none"/>
        </w:rPr>
      </w:pPr>
      <w:r>
        <w:rPr>
          <w:rFonts w:hint="eastAsia" w:ascii="宋体"/>
          <w:b/>
          <w:color w:val="auto"/>
          <w:sz w:val="72"/>
          <w:szCs w:val="72"/>
          <w:highlight w:val="none"/>
        </w:rPr>
        <w:t>投标文件</w:t>
      </w:r>
    </w:p>
    <w:p w14:paraId="129ACC1E">
      <w:pPr>
        <w:spacing w:line="360" w:lineRule="auto"/>
        <w:jc w:val="center"/>
        <w:rPr>
          <w:rFonts w:ascii="宋体"/>
          <w:color w:val="auto"/>
          <w:sz w:val="36"/>
          <w:szCs w:val="36"/>
          <w:highlight w:val="none"/>
        </w:rPr>
      </w:pPr>
    </w:p>
    <w:p w14:paraId="2EE5FA50">
      <w:pPr>
        <w:spacing w:line="360" w:lineRule="auto"/>
        <w:jc w:val="center"/>
        <w:rPr>
          <w:rFonts w:ascii="宋体"/>
          <w:color w:val="auto"/>
          <w:sz w:val="36"/>
          <w:szCs w:val="36"/>
          <w:highlight w:val="none"/>
        </w:rPr>
      </w:pPr>
    </w:p>
    <w:p w14:paraId="27F53111">
      <w:pPr>
        <w:spacing w:line="360" w:lineRule="auto"/>
        <w:jc w:val="center"/>
        <w:rPr>
          <w:rFonts w:ascii="宋体"/>
          <w:color w:val="auto"/>
          <w:sz w:val="36"/>
          <w:szCs w:val="36"/>
          <w:highlight w:val="none"/>
        </w:rPr>
      </w:pPr>
    </w:p>
    <w:p w14:paraId="4F1C307C">
      <w:pPr>
        <w:spacing w:line="360" w:lineRule="auto"/>
        <w:jc w:val="center"/>
        <w:rPr>
          <w:rFonts w:ascii="宋体"/>
          <w:color w:val="auto"/>
          <w:sz w:val="36"/>
          <w:szCs w:val="36"/>
          <w:highlight w:val="none"/>
        </w:rPr>
      </w:pPr>
    </w:p>
    <w:p w14:paraId="0E280834">
      <w:pPr>
        <w:spacing w:line="360" w:lineRule="auto"/>
        <w:jc w:val="center"/>
        <w:rPr>
          <w:rFonts w:ascii="宋体"/>
          <w:color w:val="auto"/>
          <w:sz w:val="36"/>
          <w:szCs w:val="36"/>
          <w:highlight w:val="none"/>
          <w:u w:val="single"/>
        </w:rPr>
      </w:pPr>
      <w:r>
        <w:rPr>
          <w:rFonts w:hint="eastAsia" w:ascii="宋体"/>
          <w:color w:val="auto"/>
          <w:sz w:val="36"/>
          <w:szCs w:val="36"/>
          <w:highlight w:val="none"/>
        </w:rPr>
        <w:t>投标人全称：</w:t>
      </w:r>
      <w:r>
        <w:rPr>
          <w:rFonts w:hint="eastAsia" w:ascii="宋体"/>
          <w:color w:val="auto"/>
          <w:sz w:val="36"/>
          <w:szCs w:val="36"/>
          <w:highlight w:val="none"/>
          <w:u w:val="single"/>
        </w:rPr>
        <w:t>（加盖单位公章）</w:t>
      </w:r>
    </w:p>
    <w:p w14:paraId="045C0E1B">
      <w:pPr>
        <w:pStyle w:val="27"/>
        <w:ind w:left="115" w:leftChars="48" w:firstLine="1680" w:firstLineChars="800"/>
        <w:jc w:val="left"/>
        <w:rPr>
          <w:color w:val="auto"/>
          <w:szCs w:val="28"/>
          <w:highlight w:val="none"/>
          <w:u w:val="single"/>
        </w:rPr>
      </w:pPr>
    </w:p>
    <w:p w14:paraId="2D6F7A0F">
      <w:pPr>
        <w:pStyle w:val="205"/>
        <w:jc w:val="center"/>
        <w:rPr>
          <w:rStyle w:val="178"/>
          <w:rFonts w:ascii="宋体"/>
          <w:b w:val="0"/>
          <w:color w:val="auto"/>
          <w:sz w:val="28"/>
          <w:szCs w:val="28"/>
          <w:highlight w:val="none"/>
        </w:rPr>
      </w:pPr>
      <w:bookmarkStart w:id="143" w:name="_Toc44162158"/>
      <w:bookmarkStart w:id="144" w:name="_Toc12534"/>
      <w:bookmarkStart w:id="145" w:name="_Toc21541027"/>
      <w:r>
        <w:rPr>
          <w:rStyle w:val="178"/>
          <w:rFonts w:hint="eastAsia"/>
          <w:b w:val="0"/>
          <w:color w:val="auto"/>
          <w:sz w:val="32"/>
          <w:szCs w:val="32"/>
          <w:highlight w:val="none"/>
        </w:rPr>
        <w:t>年</w:t>
      </w:r>
      <w:r>
        <w:rPr>
          <w:rStyle w:val="178"/>
          <w:b w:val="0"/>
          <w:color w:val="auto"/>
          <w:sz w:val="32"/>
          <w:szCs w:val="32"/>
          <w:highlight w:val="none"/>
        </w:rPr>
        <w:t xml:space="preserve">  </w:t>
      </w:r>
      <w:r>
        <w:rPr>
          <w:rStyle w:val="178"/>
          <w:rFonts w:hint="eastAsia"/>
          <w:b w:val="0"/>
          <w:color w:val="auto"/>
          <w:sz w:val="32"/>
          <w:szCs w:val="32"/>
          <w:highlight w:val="none"/>
        </w:rPr>
        <w:t>月</w:t>
      </w:r>
      <w:r>
        <w:rPr>
          <w:rStyle w:val="178"/>
          <w:b w:val="0"/>
          <w:color w:val="auto"/>
          <w:sz w:val="32"/>
          <w:szCs w:val="32"/>
          <w:highlight w:val="none"/>
        </w:rPr>
        <w:t xml:space="preserve">  </w:t>
      </w:r>
      <w:r>
        <w:rPr>
          <w:rStyle w:val="178"/>
          <w:rFonts w:hint="eastAsia"/>
          <w:b w:val="0"/>
          <w:color w:val="auto"/>
          <w:sz w:val="32"/>
          <w:szCs w:val="32"/>
          <w:highlight w:val="none"/>
        </w:rPr>
        <w:t>日</w:t>
      </w:r>
      <w:bookmarkEnd w:id="143"/>
      <w:bookmarkEnd w:id="144"/>
      <w:bookmarkEnd w:id="145"/>
    </w:p>
    <w:p w14:paraId="0371FBC1">
      <w:pPr>
        <w:wordWrap w:val="0"/>
        <w:spacing w:line="360" w:lineRule="auto"/>
        <w:jc w:val="center"/>
        <w:rPr>
          <w:rFonts w:hint="eastAsia" w:ascii="宋体" w:hAnsi="宋体"/>
          <w:b/>
          <w:color w:val="auto"/>
          <w:szCs w:val="21"/>
          <w:highlight w:val="none"/>
        </w:rPr>
      </w:pPr>
      <w:r>
        <w:rPr>
          <w:rFonts w:hint="eastAsia" w:ascii="宋体" w:hAnsi="宋体"/>
          <w:b/>
          <w:color w:val="auto"/>
          <w:sz w:val="24"/>
          <w:szCs w:val="24"/>
          <w:highlight w:val="none"/>
        </w:rPr>
        <w:t>自评分表</w:t>
      </w:r>
    </w:p>
    <w:p w14:paraId="3A620FA7">
      <w:pPr>
        <w:wordWrap w:val="0"/>
        <w:spacing w:line="360" w:lineRule="auto"/>
        <w:jc w:val="center"/>
        <w:rPr>
          <w:rStyle w:val="178"/>
          <w:rFonts w:hint="eastAsia" w:ascii="宋体" w:hAnsi="宋体"/>
          <w:color w:val="auto"/>
          <w:szCs w:val="21"/>
          <w:highlight w:val="none"/>
        </w:rPr>
      </w:pPr>
      <w:r>
        <w:rPr>
          <w:rStyle w:val="178"/>
          <w:rFonts w:hint="eastAsia" w:ascii="宋体" w:hAnsi="宋体"/>
          <w:color w:val="auto"/>
          <w:szCs w:val="21"/>
          <w:highlight w:val="none"/>
        </w:rPr>
        <w:t>商务和技术评分表</w:t>
      </w:r>
    </w:p>
    <w:tbl>
      <w:tblPr>
        <w:tblStyle w:val="42"/>
        <w:tblW w:w="951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3"/>
        <w:gridCol w:w="6238"/>
        <w:gridCol w:w="851"/>
        <w:gridCol w:w="992"/>
        <w:gridCol w:w="709"/>
      </w:tblGrid>
      <w:tr w14:paraId="237345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tcBorders>
              <w:right w:val="single" w:color="auto" w:sz="4" w:space="0"/>
            </w:tcBorders>
            <w:noWrap w:val="0"/>
            <w:vAlign w:val="center"/>
          </w:tcPr>
          <w:p w14:paraId="0C1D260B">
            <w:pPr>
              <w:widowControl/>
              <w:wordWrap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评标项目</w:t>
            </w:r>
          </w:p>
        </w:tc>
        <w:tc>
          <w:tcPr>
            <w:tcW w:w="6238" w:type="dxa"/>
            <w:tcBorders>
              <w:right w:val="single" w:color="auto" w:sz="4" w:space="0"/>
            </w:tcBorders>
            <w:noWrap w:val="0"/>
            <w:vAlign w:val="center"/>
          </w:tcPr>
          <w:p w14:paraId="20BBFEF2">
            <w:pPr>
              <w:widowControl/>
              <w:wordWrap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评分内容</w:t>
            </w:r>
          </w:p>
        </w:tc>
        <w:tc>
          <w:tcPr>
            <w:tcW w:w="851" w:type="dxa"/>
            <w:tcBorders>
              <w:left w:val="single" w:color="auto" w:sz="4" w:space="0"/>
              <w:right w:val="single" w:color="auto" w:sz="4" w:space="0"/>
            </w:tcBorders>
            <w:noWrap w:val="0"/>
            <w:vAlign w:val="center"/>
          </w:tcPr>
          <w:p w14:paraId="2E2AFB01">
            <w:pPr>
              <w:widowControl/>
              <w:wordWrap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分值</w:t>
            </w:r>
          </w:p>
        </w:tc>
        <w:tc>
          <w:tcPr>
            <w:tcW w:w="992" w:type="dxa"/>
            <w:tcBorders>
              <w:left w:val="single" w:color="auto" w:sz="4" w:space="0"/>
              <w:right w:val="single" w:color="auto" w:sz="4" w:space="0"/>
            </w:tcBorders>
            <w:noWrap w:val="0"/>
            <w:vAlign w:val="center"/>
          </w:tcPr>
          <w:p w14:paraId="33E8BFA1">
            <w:pPr>
              <w:widowControl/>
              <w:wordWrap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自评分</w:t>
            </w:r>
          </w:p>
        </w:tc>
        <w:tc>
          <w:tcPr>
            <w:tcW w:w="709" w:type="dxa"/>
            <w:tcBorders>
              <w:left w:val="single" w:color="auto" w:sz="4" w:space="0"/>
            </w:tcBorders>
            <w:noWrap w:val="0"/>
            <w:vAlign w:val="center"/>
          </w:tcPr>
          <w:p w14:paraId="08FF9148">
            <w:pPr>
              <w:widowControl/>
              <w:wordWrap w:val="0"/>
              <w:jc w:val="center"/>
              <w:rPr>
                <w:rFonts w:ascii="宋体" w:hAnsi="宋体" w:cs="宋体"/>
                <w:b/>
                <w:color w:val="auto"/>
                <w:kern w:val="0"/>
                <w:szCs w:val="21"/>
                <w:highlight w:val="none"/>
              </w:rPr>
            </w:pPr>
            <w:r>
              <w:rPr>
                <w:rFonts w:hint="eastAsia" w:ascii="宋体" w:hAnsi="宋体" w:cs="宋体"/>
                <w:b/>
                <w:color w:val="auto"/>
                <w:kern w:val="0"/>
                <w:szCs w:val="21"/>
                <w:highlight w:val="none"/>
              </w:rPr>
              <w:t>页码</w:t>
            </w:r>
          </w:p>
        </w:tc>
      </w:tr>
      <w:tr w14:paraId="3EC496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restart"/>
            <w:tcBorders>
              <w:right w:val="single" w:color="auto" w:sz="4" w:space="0"/>
            </w:tcBorders>
            <w:noWrap w:val="0"/>
            <w:vAlign w:val="center"/>
          </w:tcPr>
          <w:p w14:paraId="53737B9A">
            <w:pPr>
              <w:wordWrap w:val="0"/>
              <w:jc w:val="center"/>
              <w:rPr>
                <w:rFonts w:hint="eastAsia" w:ascii="宋体" w:hAnsi="宋体"/>
                <w:color w:val="auto"/>
                <w:szCs w:val="21"/>
                <w:highlight w:val="none"/>
              </w:rPr>
            </w:pPr>
            <w:r>
              <w:rPr>
                <w:rFonts w:ascii="宋体" w:hAnsi="宋体"/>
                <w:color w:val="auto"/>
                <w:szCs w:val="21"/>
                <w:highlight w:val="none"/>
              </w:rPr>
              <w:t>商务技术分</w:t>
            </w:r>
          </w:p>
        </w:tc>
        <w:tc>
          <w:tcPr>
            <w:tcW w:w="6238" w:type="dxa"/>
            <w:tcBorders>
              <w:right w:val="single" w:color="auto" w:sz="4" w:space="0"/>
            </w:tcBorders>
            <w:noWrap w:val="0"/>
            <w:vAlign w:val="center"/>
          </w:tcPr>
          <w:p w14:paraId="6E204FED">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14:paraId="055E51B9">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14:paraId="272B48F6">
            <w:pPr>
              <w:rPr>
                <w:rFonts w:hint="eastAsia" w:ascii="宋体" w:hAnsi="宋体" w:cs="宋体"/>
                <w:color w:val="auto"/>
                <w:szCs w:val="21"/>
                <w:highlight w:val="none"/>
              </w:rPr>
            </w:pPr>
          </w:p>
        </w:tc>
        <w:tc>
          <w:tcPr>
            <w:tcW w:w="709" w:type="dxa"/>
            <w:tcBorders>
              <w:left w:val="single" w:color="auto" w:sz="4" w:space="0"/>
            </w:tcBorders>
            <w:noWrap w:val="0"/>
            <w:vAlign w:val="center"/>
          </w:tcPr>
          <w:p w14:paraId="384CC149">
            <w:pPr>
              <w:widowControl/>
              <w:wordWrap w:val="0"/>
              <w:jc w:val="center"/>
              <w:rPr>
                <w:rFonts w:ascii="宋体" w:hAnsi="宋体" w:cs="宋体"/>
                <w:color w:val="auto"/>
                <w:kern w:val="0"/>
                <w:szCs w:val="21"/>
                <w:highlight w:val="none"/>
              </w:rPr>
            </w:pPr>
          </w:p>
        </w:tc>
      </w:tr>
      <w:tr w14:paraId="411BBD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14:paraId="7EBC7700">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14:paraId="1F0D9221">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14:paraId="1F10CF4B">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14:paraId="207B95F3">
            <w:pPr>
              <w:rPr>
                <w:rFonts w:hint="eastAsia" w:ascii="宋体" w:hAnsi="宋体" w:cs="宋体"/>
                <w:color w:val="auto"/>
                <w:szCs w:val="21"/>
                <w:highlight w:val="none"/>
              </w:rPr>
            </w:pPr>
          </w:p>
        </w:tc>
        <w:tc>
          <w:tcPr>
            <w:tcW w:w="709" w:type="dxa"/>
            <w:tcBorders>
              <w:left w:val="single" w:color="auto" w:sz="4" w:space="0"/>
            </w:tcBorders>
            <w:noWrap w:val="0"/>
            <w:vAlign w:val="center"/>
          </w:tcPr>
          <w:p w14:paraId="23FA98ED">
            <w:pPr>
              <w:widowControl/>
              <w:wordWrap w:val="0"/>
              <w:jc w:val="center"/>
              <w:rPr>
                <w:rFonts w:ascii="宋体" w:hAnsi="宋体" w:cs="宋体"/>
                <w:color w:val="auto"/>
                <w:kern w:val="0"/>
                <w:szCs w:val="21"/>
                <w:highlight w:val="none"/>
              </w:rPr>
            </w:pPr>
          </w:p>
        </w:tc>
      </w:tr>
      <w:tr w14:paraId="767411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14:paraId="4A753A7B">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14:paraId="06875A34">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14:paraId="3CE3D1D1">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14:paraId="251AF31A">
            <w:pPr>
              <w:rPr>
                <w:rFonts w:hint="eastAsia" w:ascii="宋体" w:hAnsi="宋体" w:cs="宋体"/>
                <w:color w:val="auto"/>
                <w:szCs w:val="21"/>
                <w:highlight w:val="none"/>
              </w:rPr>
            </w:pPr>
          </w:p>
        </w:tc>
        <w:tc>
          <w:tcPr>
            <w:tcW w:w="709" w:type="dxa"/>
            <w:tcBorders>
              <w:left w:val="single" w:color="auto" w:sz="4" w:space="0"/>
            </w:tcBorders>
            <w:noWrap w:val="0"/>
            <w:vAlign w:val="center"/>
          </w:tcPr>
          <w:p w14:paraId="3D694C91">
            <w:pPr>
              <w:widowControl/>
              <w:wordWrap w:val="0"/>
              <w:jc w:val="center"/>
              <w:rPr>
                <w:rFonts w:ascii="宋体" w:hAnsi="宋体" w:cs="宋体"/>
                <w:color w:val="auto"/>
                <w:kern w:val="0"/>
                <w:szCs w:val="21"/>
                <w:highlight w:val="none"/>
              </w:rPr>
            </w:pPr>
          </w:p>
        </w:tc>
      </w:tr>
      <w:tr w14:paraId="5F8416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14:paraId="5CC2E37D">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14:paraId="58FE401C">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14:paraId="7ECCBA7F">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14:paraId="48CB292E">
            <w:pPr>
              <w:rPr>
                <w:rFonts w:hint="eastAsia" w:ascii="宋体" w:hAnsi="宋体" w:cs="宋体"/>
                <w:color w:val="auto"/>
                <w:szCs w:val="21"/>
                <w:highlight w:val="none"/>
              </w:rPr>
            </w:pPr>
          </w:p>
        </w:tc>
        <w:tc>
          <w:tcPr>
            <w:tcW w:w="709" w:type="dxa"/>
            <w:tcBorders>
              <w:left w:val="single" w:color="auto" w:sz="4" w:space="0"/>
            </w:tcBorders>
            <w:noWrap w:val="0"/>
            <w:vAlign w:val="center"/>
          </w:tcPr>
          <w:p w14:paraId="4FCF5A72">
            <w:pPr>
              <w:widowControl/>
              <w:wordWrap w:val="0"/>
              <w:jc w:val="center"/>
              <w:rPr>
                <w:rFonts w:ascii="宋体" w:hAnsi="宋体" w:cs="宋体"/>
                <w:color w:val="auto"/>
                <w:kern w:val="0"/>
                <w:szCs w:val="21"/>
                <w:highlight w:val="none"/>
              </w:rPr>
            </w:pPr>
          </w:p>
        </w:tc>
      </w:tr>
      <w:tr w14:paraId="294032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14:paraId="702D1BB4">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14:paraId="17D53362">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14:paraId="55B9B43C">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14:paraId="013A4F39">
            <w:pPr>
              <w:rPr>
                <w:rFonts w:hint="eastAsia" w:ascii="宋体" w:hAnsi="宋体" w:cs="宋体"/>
                <w:color w:val="auto"/>
                <w:szCs w:val="21"/>
                <w:highlight w:val="none"/>
              </w:rPr>
            </w:pPr>
          </w:p>
        </w:tc>
        <w:tc>
          <w:tcPr>
            <w:tcW w:w="709" w:type="dxa"/>
            <w:tcBorders>
              <w:left w:val="single" w:color="auto" w:sz="4" w:space="0"/>
            </w:tcBorders>
            <w:noWrap w:val="0"/>
            <w:vAlign w:val="center"/>
          </w:tcPr>
          <w:p w14:paraId="773798AF">
            <w:pPr>
              <w:widowControl/>
              <w:wordWrap w:val="0"/>
              <w:jc w:val="center"/>
              <w:rPr>
                <w:rFonts w:ascii="宋体" w:hAnsi="宋体" w:cs="宋体"/>
                <w:color w:val="auto"/>
                <w:kern w:val="0"/>
                <w:szCs w:val="21"/>
                <w:highlight w:val="none"/>
              </w:rPr>
            </w:pPr>
          </w:p>
        </w:tc>
      </w:tr>
      <w:tr w14:paraId="7A45FF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14:paraId="2CD8883F">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14:paraId="232F1440">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14:paraId="09F179CF">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14:paraId="433CCC46">
            <w:pPr>
              <w:rPr>
                <w:rFonts w:hint="eastAsia" w:ascii="宋体" w:hAnsi="宋体" w:cs="宋体"/>
                <w:color w:val="auto"/>
                <w:szCs w:val="21"/>
                <w:highlight w:val="none"/>
              </w:rPr>
            </w:pPr>
          </w:p>
        </w:tc>
        <w:tc>
          <w:tcPr>
            <w:tcW w:w="709" w:type="dxa"/>
            <w:tcBorders>
              <w:left w:val="single" w:color="auto" w:sz="4" w:space="0"/>
            </w:tcBorders>
            <w:noWrap w:val="0"/>
            <w:vAlign w:val="center"/>
          </w:tcPr>
          <w:p w14:paraId="324E4DBE">
            <w:pPr>
              <w:widowControl/>
              <w:wordWrap w:val="0"/>
              <w:jc w:val="center"/>
              <w:rPr>
                <w:rFonts w:ascii="宋体" w:hAnsi="宋体" w:cs="宋体"/>
                <w:color w:val="auto"/>
                <w:kern w:val="0"/>
                <w:szCs w:val="21"/>
                <w:highlight w:val="none"/>
              </w:rPr>
            </w:pPr>
          </w:p>
        </w:tc>
      </w:tr>
      <w:tr w14:paraId="39EE10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14:paraId="71648EBB">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14:paraId="2005E52B">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14:paraId="5D3FBE0E">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14:paraId="412621E7">
            <w:pPr>
              <w:rPr>
                <w:rFonts w:hint="eastAsia" w:ascii="宋体" w:hAnsi="宋体" w:cs="宋体"/>
                <w:color w:val="auto"/>
                <w:szCs w:val="21"/>
                <w:highlight w:val="none"/>
              </w:rPr>
            </w:pPr>
          </w:p>
        </w:tc>
        <w:tc>
          <w:tcPr>
            <w:tcW w:w="709" w:type="dxa"/>
            <w:tcBorders>
              <w:left w:val="single" w:color="auto" w:sz="4" w:space="0"/>
            </w:tcBorders>
            <w:noWrap w:val="0"/>
            <w:vAlign w:val="center"/>
          </w:tcPr>
          <w:p w14:paraId="6EF66A82">
            <w:pPr>
              <w:widowControl/>
              <w:wordWrap w:val="0"/>
              <w:jc w:val="center"/>
              <w:rPr>
                <w:rFonts w:ascii="宋体" w:hAnsi="宋体" w:cs="宋体"/>
                <w:color w:val="auto"/>
                <w:kern w:val="0"/>
                <w:szCs w:val="21"/>
                <w:highlight w:val="none"/>
              </w:rPr>
            </w:pPr>
          </w:p>
        </w:tc>
      </w:tr>
      <w:tr w14:paraId="0C1B51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14:paraId="58C910F0">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14:paraId="3085D8EB">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14:paraId="210611FD">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14:paraId="0756F8E1">
            <w:pPr>
              <w:rPr>
                <w:rFonts w:hint="eastAsia" w:ascii="宋体" w:hAnsi="宋体" w:cs="宋体"/>
                <w:color w:val="auto"/>
                <w:szCs w:val="21"/>
                <w:highlight w:val="none"/>
              </w:rPr>
            </w:pPr>
          </w:p>
        </w:tc>
        <w:tc>
          <w:tcPr>
            <w:tcW w:w="709" w:type="dxa"/>
            <w:tcBorders>
              <w:left w:val="single" w:color="auto" w:sz="4" w:space="0"/>
            </w:tcBorders>
            <w:noWrap w:val="0"/>
            <w:vAlign w:val="center"/>
          </w:tcPr>
          <w:p w14:paraId="0D1DF5C0">
            <w:pPr>
              <w:widowControl/>
              <w:wordWrap w:val="0"/>
              <w:jc w:val="center"/>
              <w:rPr>
                <w:rFonts w:ascii="宋体" w:hAnsi="宋体" w:cs="宋体"/>
                <w:color w:val="auto"/>
                <w:kern w:val="0"/>
                <w:szCs w:val="21"/>
                <w:highlight w:val="none"/>
              </w:rPr>
            </w:pPr>
          </w:p>
        </w:tc>
      </w:tr>
      <w:tr w14:paraId="3DFAD9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14:paraId="782530AD">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14:paraId="55C5C29B">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14:paraId="4C0B74D9">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14:paraId="10138A7A">
            <w:pPr>
              <w:rPr>
                <w:rFonts w:hint="eastAsia" w:ascii="宋体" w:hAnsi="宋体" w:cs="宋体"/>
                <w:color w:val="auto"/>
                <w:szCs w:val="21"/>
                <w:highlight w:val="none"/>
              </w:rPr>
            </w:pPr>
          </w:p>
        </w:tc>
        <w:tc>
          <w:tcPr>
            <w:tcW w:w="709" w:type="dxa"/>
            <w:tcBorders>
              <w:left w:val="single" w:color="auto" w:sz="4" w:space="0"/>
            </w:tcBorders>
            <w:noWrap w:val="0"/>
            <w:vAlign w:val="center"/>
          </w:tcPr>
          <w:p w14:paraId="5B88DD25">
            <w:pPr>
              <w:widowControl/>
              <w:wordWrap w:val="0"/>
              <w:jc w:val="center"/>
              <w:rPr>
                <w:rFonts w:ascii="宋体" w:hAnsi="宋体" w:cs="宋体"/>
                <w:color w:val="auto"/>
                <w:kern w:val="0"/>
                <w:szCs w:val="21"/>
                <w:highlight w:val="none"/>
              </w:rPr>
            </w:pPr>
          </w:p>
        </w:tc>
      </w:tr>
      <w:tr w14:paraId="40BE93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14:paraId="40262462">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14:paraId="78F61BBF">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14:paraId="186FF466">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14:paraId="17AD6B92">
            <w:pPr>
              <w:rPr>
                <w:rFonts w:hint="eastAsia" w:ascii="宋体" w:hAnsi="宋体" w:cs="宋体"/>
                <w:color w:val="auto"/>
                <w:szCs w:val="21"/>
                <w:highlight w:val="none"/>
              </w:rPr>
            </w:pPr>
          </w:p>
        </w:tc>
        <w:tc>
          <w:tcPr>
            <w:tcW w:w="709" w:type="dxa"/>
            <w:tcBorders>
              <w:left w:val="single" w:color="auto" w:sz="4" w:space="0"/>
            </w:tcBorders>
            <w:noWrap w:val="0"/>
            <w:vAlign w:val="center"/>
          </w:tcPr>
          <w:p w14:paraId="04CA910E">
            <w:pPr>
              <w:widowControl/>
              <w:wordWrap w:val="0"/>
              <w:jc w:val="center"/>
              <w:rPr>
                <w:rFonts w:ascii="宋体" w:hAnsi="宋体" w:cs="宋体"/>
                <w:color w:val="auto"/>
                <w:kern w:val="0"/>
                <w:szCs w:val="21"/>
                <w:highlight w:val="none"/>
              </w:rPr>
            </w:pPr>
          </w:p>
        </w:tc>
      </w:tr>
      <w:tr w14:paraId="46F455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14:paraId="701D5283">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14:paraId="4CD4AEAD">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14:paraId="6CE69F99">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14:paraId="56E71D6D">
            <w:pPr>
              <w:rPr>
                <w:rFonts w:hint="eastAsia" w:ascii="宋体" w:hAnsi="宋体" w:cs="宋体"/>
                <w:color w:val="auto"/>
                <w:szCs w:val="21"/>
                <w:highlight w:val="none"/>
              </w:rPr>
            </w:pPr>
          </w:p>
        </w:tc>
        <w:tc>
          <w:tcPr>
            <w:tcW w:w="709" w:type="dxa"/>
            <w:tcBorders>
              <w:left w:val="single" w:color="auto" w:sz="4" w:space="0"/>
            </w:tcBorders>
            <w:noWrap w:val="0"/>
            <w:vAlign w:val="center"/>
          </w:tcPr>
          <w:p w14:paraId="2C139E0A">
            <w:pPr>
              <w:widowControl/>
              <w:wordWrap w:val="0"/>
              <w:jc w:val="center"/>
              <w:rPr>
                <w:rFonts w:ascii="宋体" w:hAnsi="宋体" w:cs="宋体"/>
                <w:color w:val="auto"/>
                <w:kern w:val="0"/>
                <w:szCs w:val="21"/>
                <w:highlight w:val="none"/>
              </w:rPr>
            </w:pPr>
          </w:p>
        </w:tc>
      </w:tr>
      <w:tr w14:paraId="66F93E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723" w:type="dxa"/>
            <w:vMerge w:val="continue"/>
            <w:tcBorders>
              <w:right w:val="single" w:color="auto" w:sz="4" w:space="0"/>
            </w:tcBorders>
            <w:noWrap w:val="0"/>
            <w:vAlign w:val="center"/>
          </w:tcPr>
          <w:p w14:paraId="2C7EB838">
            <w:pPr>
              <w:wordWrap w:val="0"/>
              <w:jc w:val="center"/>
              <w:rPr>
                <w:rFonts w:ascii="宋体" w:hAnsi="宋体"/>
                <w:color w:val="auto"/>
                <w:szCs w:val="21"/>
                <w:highlight w:val="none"/>
              </w:rPr>
            </w:pPr>
          </w:p>
        </w:tc>
        <w:tc>
          <w:tcPr>
            <w:tcW w:w="6238" w:type="dxa"/>
            <w:tcBorders>
              <w:right w:val="single" w:color="auto" w:sz="4" w:space="0"/>
            </w:tcBorders>
            <w:noWrap w:val="0"/>
            <w:vAlign w:val="center"/>
          </w:tcPr>
          <w:p w14:paraId="08880B1F">
            <w:pPr>
              <w:rPr>
                <w:rFonts w:hint="eastAsia" w:ascii="宋体" w:hAnsi="宋体" w:cs="宋体"/>
                <w:color w:val="auto"/>
                <w:szCs w:val="21"/>
                <w:highlight w:val="none"/>
              </w:rPr>
            </w:pPr>
          </w:p>
        </w:tc>
        <w:tc>
          <w:tcPr>
            <w:tcW w:w="851" w:type="dxa"/>
            <w:tcBorders>
              <w:left w:val="single" w:color="auto" w:sz="4" w:space="0"/>
              <w:right w:val="single" w:color="auto" w:sz="4" w:space="0"/>
            </w:tcBorders>
            <w:noWrap w:val="0"/>
            <w:vAlign w:val="center"/>
          </w:tcPr>
          <w:p w14:paraId="58DAC595">
            <w:pPr>
              <w:rPr>
                <w:rFonts w:hint="eastAsia" w:ascii="宋体" w:hAnsi="宋体" w:cs="宋体"/>
                <w:color w:val="auto"/>
                <w:szCs w:val="21"/>
                <w:highlight w:val="none"/>
              </w:rPr>
            </w:pPr>
          </w:p>
        </w:tc>
        <w:tc>
          <w:tcPr>
            <w:tcW w:w="992" w:type="dxa"/>
            <w:tcBorders>
              <w:left w:val="single" w:color="auto" w:sz="4" w:space="0"/>
              <w:right w:val="single" w:color="auto" w:sz="4" w:space="0"/>
            </w:tcBorders>
            <w:noWrap w:val="0"/>
            <w:vAlign w:val="center"/>
          </w:tcPr>
          <w:p w14:paraId="45A08B23">
            <w:pPr>
              <w:rPr>
                <w:rFonts w:hint="eastAsia" w:ascii="宋体" w:hAnsi="宋体" w:cs="宋体"/>
                <w:color w:val="auto"/>
                <w:szCs w:val="21"/>
                <w:highlight w:val="none"/>
              </w:rPr>
            </w:pPr>
          </w:p>
        </w:tc>
        <w:tc>
          <w:tcPr>
            <w:tcW w:w="709" w:type="dxa"/>
            <w:tcBorders>
              <w:left w:val="single" w:color="auto" w:sz="4" w:space="0"/>
            </w:tcBorders>
            <w:noWrap w:val="0"/>
            <w:vAlign w:val="center"/>
          </w:tcPr>
          <w:p w14:paraId="63C84CE0">
            <w:pPr>
              <w:widowControl/>
              <w:wordWrap w:val="0"/>
              <w:jc w:val="center"/>
              <w:rPr>
                <w:rFonts w:ascii="宋体" w:hAnsi="宋体" w:cs="宋体"/>
                <w:color w:val="auto"/>
                <w:kern w:val="0"/>
                <w:szCs w:val="21"/>
                <w:highlight w:val="none"/>
              </w:rPr>
            </w:pPr>
          </w:p>
        </w:tc>
      </w:tr>
    </w:tbl>
    <w:p w14:paraId="73139B83">
      <w:pPr>
        <w:wordWrap w:val="0"/>
        <w:spacing w:line="360" w:lineRule="auto"/>
        <w:rPr>
          <w:rStyle w:val="178"/>
          <w:rFonts w:ascii="宋体" w:hAnsi="宋体"/>
          <w:color w:val="auto"/>
          <w:szCs w:val="21"/>
          <w:highlight w:val="none"/>
        </w:rPr>
      </w:pPr>
    </w:p>
    <w:p w14:paraId="6952474C">
      <w:pPr>
        <w:rPr>
          <w:rStyle w:val="178"/>
          <w:rFonts w:hint="eastAsia" w:ascii="宋体"/>
          <w:color w:val="auto"/>
          <w:szCs w:val="21"/>
          <w:highlight w:val="none"/>
        </w:rPr>
      </w:pPr>
      <w:r>
        <w:rPr>
          <w:rStyle w:val="178"/>
          <w:rFonts w:hint="eastAsia" w:ascii="宋体" w:hAnsi="宋体"/>
          <w:color w:val="auto"/>
          <w:szCs w:val="21"/>
          <w:highlight w:val="none"/>
        </w:rPr>
        <w:t>注：具体评分内容详见第五章评标办法。</w:t>
      </w:r>
      <w:r>
        <w:rPr>
          <w:rStyle w:val="178"/>
          <w:rFonts w:hint="eastAsia" w:ascii="宋体"/>
          <w:color w:val="auto"/>
          <w:szCs w:val="21"/>
          <w:highlight w:val="none"/>
        </w:rPr>
        <w:br w:type="page"/>
      </w:r>
    </w:p>
    <w:p w14:paraId="43A2E19C">
      <w:pPr>
        <w:pStyle w:val="12"/>
        <w:rPr>
          <w:rFonts w:hint="eastAsia"/>
          <w:color w:val="auto"/>
          <w:highlight w:val="none"/>
        </w:rPr>
      </w:pPr>
    </w:p>
    <w:p w14:paraId="5C01EEB5">
      <w:pPr>
        <w:spacing w:line="360" w:lineRule="auto"/>
        <w:jc w:val="center"/>
        <w:rPr>
          <w:rFonts w:ascii="宋体"/>
          <w:b/>
          <w:color w:val="auto"/>
          <w:szCs w:val="21"/>
          <w:highlight w:val="none"/>
        </w:rPr>
      </w:pPr>
      <w:r>
        <w:rPr>
          <w:rFonts w:hint="eastAsia" w:ascii="宋体"/>
          <w:b/>
          <w:color w:val="auto"/>
          <w:szCs w:val="21"/>
          <w:highlight w:val="none"/>
        </w:rPr>
        <w:t>B1投标书</w:t>
      </w:r>
    </w:p>
    <w:p w14:paraId="36FFA678">
      <w:pPr>
        <w:spacing w:line="400" w:lineRule="exact"/>
        <w:rPr>
          <w:rFonts w:ascii="宋体"/>
          <w:color w:val="auto"/>
          <w:szCs w:val="21"/>
          <w:highlight w:val="none"/>
        </w:rPr>
      </w:pPr>
      <w:r>
        <w:rPr>
          <w:rFonts w:hint="eastAsia" w:ascii="宋体"/>
          <w:color w:val="auto"/>
          <w:szCs w:val="21"/>
          <w:highlight w:val="none"/>
        </w:rPr>
        <w:t>致：宁波市国际招标有限公司</w:t>
      </w:r>
    </w:p>
    <w:p w14:paraId="76847147">
      <w:pPr>
        <w:spacing w:line="400" w:lineRule="exact"/>
        <w:ind w:firstLine="480" w:firstLineChars="200"/>
        <w:rPr>
          <w:rFonts w:ascii="宋体"/>
          <w:color w:val="auto"/>
          <w:szCs w:val="21"/>
          <w:highlight w:val="none"/>
        </w:rPr>
      </w:pPr>
      <w:r>
        <w:rPr>
          <w:rFonts w:hint="eastAsia" w:ascii="宋体"/>
          <w:color w:val="auto"/>
          <w:szCs w:val="21"/>
          <w:highlight w:val="none"/>
          <w:u w:val="single"/>
        </w:rPr>
        <w:t>（投标人全称）　</w:t>
      </w:r>
      <w:r>
        <w:rPr>
          <w:rFonts w:hint="eastAsia" w:ascii="宋体"/>
          <w:color w:val="auto"/>
          <w:szCs w:val="21"/>
          <w:highlight w:val="none"/>
        </w:rPr>
        <w:t>授权</w:t>
      </w:r>
      <w:r>
        <w:rPr>
          <w:rFonts w:hint="eastAsia" w:ascii="宋体"/>
          <w:color w:val="auto"/>
          <w:szCs w:val="21"/>
          <w:highlight w:val="none"/>
          <w:u w:val="single"/>
        </w:rPr>
        <w:t xml:space="preserve">  （全名、职务）  </w:t>
      </w:r>
      <w:r>
        <w:rPr>
          <w:rFonts w:hint="eastAsia" w:ascii="宋体"/>
          <w:color w:val="auto"/>
          <w:szCs w:val="21"/>
          <w:highlight w:val="none"/>
        </w:rPr>
        <w:t>为全权代表，</w:t>
      </w:r>
      <w:r>
        <w:rPr>
          <w:rFonts w:hint="eastAsia" w:ascii="宋体"/>
          <w:color w:val="auto"/>
          <w:szCs w:val="21"/>
          <w:highlight w:val="none"/>
          <w:u w:val="single"/>
        </w:rPr>
        <w:t>参加贵方组织的</w:t>
      </w:r>
      <w:r>
        <w:rPr>
          <w:rFonts w:hint="eastAsia" w:ascii="宋体"/>
          <w:color w:val="auto"/>
          <w:szCs w:val="21"/>
          <w:highlight w:val="none"/>
          <w:u w:val="single"/>
          <w:lang w:eastAsia="zh-CN"/>
        </w:rPr>
        <w:t>宁波高新区求精书院理化生实验室（初中部）设施设备采购项目（二期）</w:t>
      </w:r>
      <w:r>
        <w:rPr>
          <w:rFonts w:hint="eastAsia" w:ascii="宋体"/>
          <w:color w:val="auto"/>
          <w:szCs w:val="21"/>
          <w:highlight w:val="none"/>
        </w:rPr>
        <w:t>招标活动并投标，为便于采购人公正、择优地确定</w:t>
      </w:r>
      <w:r>
        <w:rPr>
          <w:rFonts w:hint="eastAsia" w:ascii="宋体"/>
          <w:color w:val="auto"/>
          <w:szCs w:val="21"/>
          <w:highlight w:val="none"/>
          <w:lang w:eastAsia="zh-CN"/>
        </w:rPr>
        <w:t>中标供应商</w:t>
      </w:r>
      <w:r>
        <w:rPr>
          <w:rFonts w:hint="eastAsia" w:ascii="宋体"/>
          <w:color w:val="auto"/>
          <w:szCs w:val="21"/>
          <w:highlight w:val="none"/>
        </w:rPr>
        <w:t>及其服务，我方就本次投标有关事项郑重声明如下：</w:t>
      </w:r>
    </w:p>
    <w:p w14:paraId="42D5C951">
      <w:pPr>
        <w:snapToGrid w:val="0"/>
        <w:spacing w:line="400" w:lineRule="exact"/>
        <w:ind w:firstLine="480" w:firstLineChars="200"/>
        <w:rPr>
          <w:rFonts w:ascii="宋体"/>
          <w:color w:val="auto"/>
          <w:szCs w:val="21"/>
          <w:highlight w:val="none"/>
        </w:rPr>
      </w:pPr>
      <w:r>
        <w:rPr>
          <w:rFonts w:hint="eastAsia" w:ascii="宋体"/>
          <w:color w:val="auto"/>
          <w:szCs w:val="21"/>
          <w:highlight w:val="none"/>
        </w:rPr>
        <w:t>1、我方提交的所有投标文件、资料都是准确的和真实的。如有虚假或隐瞒，我方愿意承担一切后果，并不再寻求任何旨在减轻或免除法律责任的辩解。</w:t>
      </w:r>
    </w:p>
    <w:p w14:paraId="15828C26">
      <w:pPr>
        <w:snapToGrid w:val="0"/>
        <w:spacing w:line="400" w:lineRule="exact"/>
        <w:ind w:firstLine="480" w:firstLineChars="200"/>
        <w:rPr>
          <w:rFonts w:ascii="宋体"/>
          <w:color w:val="auto"/>
          <w:szCs w:val="21"/>
          <w:highlight w:val="none"/>
        </w:rPr>
      </w:pPr>
      <w:r>
        <w:rPr>
          <w:rFonts w:hint="eastAsia" w:ascii="宋体"/>
          <w:color w:val="auto"/>
          <w:szCs w:val="21"/>
          <w:highlight w:val="none"/>
        </w:rPr>
        <w:t>2、我方不是为本项目提供整体设计、规范编制或者项目管理、监理、检测等服务的投标人。</w:t>
      </w:r>
    </w:p>
    <w:p w14:paraId="29E9A6E2">
      <w:pPr>
        <w:snapToGrid w:val="0"/>
        <w:spacing w:line="400" w:lineRule="exact"/>
        <w:ind w:firstLine="480" w:firstLineChars="200"/>
        <w:rPr>
          <w:rFonts w:ascii="宋体"/>
          <w:color w:val="auto"/>
          <w:szCs w:val="21"/>
          <w:highlight w:val="none"/>
        </w:rPr>
      </w:pPr>
      <w:r>
        <w:rPr>
          <w:rFonts w:hint="eastAsia" w:ascii="宋体"/>
          <w:color w:val="auto"/>
          <w:szCs w:val="21"/>
          <w:highlight w:val="none"/>
        </w:rPr>
        <w:t>3、我们已详细审查全部招标文件及有关的澄清/修改文件（若有），我们完全理解并同意放弃对这方面提出任何异议的权利。</w:t>
      </w:r>
    </w:p>
    <w:p w14:paraId="7B2D7208">
      <w:pPr>
        <w:snapToGrid w:val="0"/>
        <w:spacing w:line="400" w:lineRule="exact"/>
        <w:ind w:firstLine="480" w:firstLineChars="200"/>
        <w:rPr>
          <w:rFonts w:ascii="宋体"/>
          <w:color w:val="auto"/>
          <w:szCs w:val="21"/>
          <w:highlight w:val="none"/>
        </w:rPr>
      </w:pPr>
      <w:r>
        <w:rPr>
          <w:rFonts w:hint="eastAsia" w:ascii="宋体"/>
          <w:color w:val="auto"/>
          <w:szCs w:val="21"/>
          <w:highlight w:val="none"/>
        </w:rPr>
        <w:t>4、</w:t>
      </w:r>
      <w:r>
        <w:rPr>
          <w:rFonts w:hint="eastAsia" w:ascii="宋体"/>
          <w:color w:val="auto"/>
          <w:highlight w:val="none"/>
        </w:rPr>
        <w:t>保证遵守招标文件有关条款规定。</w:t>
      </w:r>
    </w:p>
    <w:p w14:paraId="6EC9C003">
      <w:pPr>
        <w:snapToGrid w:val="0"/>
        <w:spacing w:line="400" w:lineRule="exact"/>
        <w:ind w:firstLine="480" w:firstLineChars="200"/>
        <w:rPr>
          <w:rFonts w:ascii="宋体"/>
          <w:color w:val="auto"/>
          <w:szCs w:val="21"/>
          <w:highlight w:val="none"/>
        </w:rPr>
      </w:pPr>
      <w:r>
        <w:rPr>
          <w:rFonts w:hint="eastAsia" w:ascii="宋体"/>
          <w:color w:val="auto"/>
          <w:szCs w:val="21"/>
          <w:highlight w:val="none"/>
        </w:rPr>
        <w:t>5、本项目的投标报价详见“开标一览表”。</w:t>
      </w:r>
    </w:p>
    <w:p w14:paraId="2F726EF5">
      <w:pPr>
        <w:spacing w:line="400" w:lineRule="exact"/>
        <w:ind w:firstLine="480" w:firstLineChars="200"/>
        <w:rPr>
          <w:rFonts w:ascii="宋体"/>
          <w:color w:val="auto"/>
          <w:szCs w:val="21"/>
          <w:highlight w:val="none"/>
        </w:rPr>
      </w:pPr>
      <w:r>
        <w:rPr>
          <w:rFonts w:hint="eastAsia" w:ascii="宋体"/>
          <w:color w:val="auto"/>
          <w:szCs w:val="21"/>
          <w:highlight w:val="none"/>
        </w:rPr>
        <w:t>6、投标文件有效期为自开标之日起</w:t>
      </w:r>
      <w:r>
        <w:rPr>
          <w:rFonts w:hint="eastAsia" w:ascii="宋体"/>
          <w:color w:val="auto"/>
          <w:szCs w:val="21"/>
          <w:highlight w:val="none"/>
          <w:u w:val="single"/>
        </w:rPr>
        <w:t xml:space="preserve"> 90 </w:t>
      </w:r>
      <w:r>
        <w:rPr>
          <w:rFonts w:hint="eastAsia" w:ascii="宋体"/>
          <w:color w:val="auto"/>
          <w:szCs w:val="21"/>
          <w:highlight w:val="none"/>
        </w:rPr>
        <w:t>个日历日。</w:t>
      </w:r>
    </w:p>
    <w:p w14:paraId="6C4E0247">
      <w:pPr>
        <w:spacing w:line="400" w:lineRule="exact"/>
        <w:ind w:firstLine="480" w:firstLineChars="200"/>
        <w:rPr>
          <w:rFonts w:ascii="宋体"/>
          <w:color w:val="auto"/>
          <w:highlight w:val="none"/>
        </w:rPr>
      </w:pPr>
      <w:r>
        <w:rPr>
          <w:rFonts w:hint="eastAsia" w:ascii="宋体"/>
          <w:color w:val="auto"/>
          <w:szCs w:val="21"/>
          <w:highlight w:val="none"/>
        </w:rPr>
        <w:t>7、</w:t>
      </w:r>
      <w:r>
        <w:rPr>
          <w:rFonts w:hint="eastAsia" w:ascii="宋体"/>
          <w:color w:val="auto"/>
          <w:highlight w:val="none"/>
        </w:rPr>
        <w:t>保证在中标后忠实地执行与采购人所签署的合同，并承担合同规定的责任义务。</w:t>
      </w:r>
    </w:p>
    <w:p w14:paraId="58328C1F">
      <w:pPr>
        <w:spacing w:line="400" w:lineRule="exact"/>
        <w:ind w:firstLine="480" w:firstLineChars="200"/>
        <w:rPr>
          <w:rFonts w:ascii="宋体"/>
          <w:color w:val="auto"/>
          <w:szCs w:val="21"/>
          <w:highlight w:val="none"/>
        </w:rPr>
      </w:pPr>
      <w:r>
        <w:rPr>
          <w:rFonts w:hint="eastAsia" w:ascii="宋体"/>
          <w:color w:val="auto"/>
          <w:highlight w:val="none"/>
        </w:rPr>
        <w:t>8、同意招标（采购）文件中有关招标代理服务费的条款，如有异议在投标前会以书面方式向招标代理机构提出，保证在中标后按照招标（采购）文件规定的金额、时间和方式，向招标代理机构一次性交纳招标代理服务费。我方如逾期未交纳（含未足额）的，愿凭招标代理机构开出的违约通知，按上述规定应交纳金额（含欠交纳）的200%交纳违约金和滞纳的银行利息。对招标代理服务费交纳的异议，我方服从招标（采购）人的协调。</w:t>
      </w:r>
    </w:p>
    <w:p w14:paraId="5FAE2C47">
      <w:pPr>
        <w:spacing w:line="400" w:lineRule="exact"/>
        <w:ind w:firstLine="480" w:firstLineChars="200"/>
        <w:rPr>
          <w:rFonts w:ascii="宋体"/>
          <w:color w:val="auto"/>
          <w:szCs w:val="21"/>
          <w:highlight w:val="none"/>
        </w:rPr>
      </w:pPr>
      <w:r>
        <w:rPr>
          <w:rFonts w:hint="eastAsia" w:ascii="宋体"/>
          <w:color w:val="auto"/>
          <w:szCs w:val="21"/>
          <w:highlight w:val="none"/>
        </w:rPr>
        <w:t>9、与本投标有关的一切正式来往通讯请寄：</w:t>
      </w:r>
    </w:p>
    <w:p w14:paraId="3390EF0D">
      <w:pPr>
        <w:spacing w:line="400" w:lineRule="exact"/>
        <w:ind w:firstLine="480" w:firstLineChars="200"/>
        <w:rPr>
          <w:rFonts w:ascii="宋体"/>
          <w:color w:val="auto"/>
          <w:szCs w:val="21"/>
          <w:highlight w:val="none"/>
        </w:rPr>
      </w:pPr>
      <w:r>
        <w:rPr>
          <w:rFonts w:hint="eastAsia" w:ascii="宋体"/>
          <w:color w:val="auto"/>
          <w:szCs w:val="21"/>
          <w:highlight w:val="none"/>
        </w:rPr>
        <w:t>地址：</w:t>
      </w:r>
      <w:r>
        <w:rPr>
          <w:rFonts w:hint="eastAsia" w:ascii="宋体"/>
          <w:color w:val="auto"/>
          <w:szCs w:val="21"/>
          <w:highlight w:val="none"/>
          <w:u w:val="single"/>
        </w:rPr>
        <w:t xml:space="preserve">                    </w:t>
      </w:r>
      <w:r>
        <w:rPr>
          <w:rFonts w:hint="eastAsia" w:ascii="宋体"/>
          <w:color w:val="auto"/>
          <w:szCs w:val="21"/>
          <w:highlight w:val="none"/>
        </w:rPr>
        <w:t>邮编：</w:t>
      </w:r>
      <w:r>
        <w:rPr>
          <w:rFonts w:hint="eastAsia" w:ascii="宋体"/>
          <w:color w:val="auto"/>
          <w:szCs w:val="21"/>
          <w:highlight w:val="none"/>
          <w:u w:val="single"/>
        </w:rPr>
        <w:t xml:space="preserve">                 </w:t>
      </w:r>
      <w:r>
        <w:rPr>
          <w:rFonts w:hint="eastAsia" w:ascii="宋体"/>
          <w:color w:val="auto"/>
          <w:szCs w:val="21"/>
          <w:highlight w:val="none"/>
        </w:rPr>
        <w:t>。</w:t>
      </w:r>
    </w:p>
    <w:p w14:paraId="07FB3E86">
      <w:pPr>
        <w:spacing w:line="400" w:lineRule="exact"/>
        <w:ind w:firstLine="480" w:firstLineChars="200"/>
        <w:rPr>
          <w:rFonts w:ascii="宋体"/>
          <w:color w:val="auto"/>
          <w:szCs w:val="21"/>
          <w:highlight w:val="none"/>
        </w:rPr>
      </w:pPr>
      <w:r>
        <w:rPr>
          <w:rFonts w:hint="eastAsia" w:ascii="宋体"/>
          <w:color w:val="auto"/>
          <w:szCs w:val="21"/>
          <w:highlight w:val="none"/>
        </w:rPr>
        <w:t>电话：</w:t>
      </w:r>
      <w:r>
        <w:rPr>
          <w:rFonts w:hint="eastAsia" w:ascii="宋体"/>
          <w:color w:val="auto"/>
          <w:szCs w:val="21"/>
          <w:highlight w:val="none"/>
          <w:u w:val="single"/>
        </w:rPr>
        <w:t xml:space="preserve">                    </w:t>
      </w:r>
      <w:r>
        <w:rPr>
          <w:rFonts w:hint="eastAsia" w:ascii="宋体"/>
          <w:color w:val="auto"/>
          <w:szCs w:val="21"/>
          <w:highlight w:val="none"/>
        </w:rPr>
        <w:t>传真：</w:t>
      </w:r>
      <w:r>
        <w:rPr>
          <w:rFonts w:hint="eastAsia" w:ascii="宋体"/>
          <w:color w:val="auto"/>
          <w:szCs w:val="21"/>
          <w:highlight w:val="none"/>
          <w:u w:val="single"/>
        </w:rPr>
        <w:t xml:space="preserve">                 </w:t>
      </w:r>
      <w:r>
        <w:rPr>
          <w:rFonts w:hint="eastAsia" w:ascii="宋体"/>
          <w:color w:val="auto"/>
          <w:szCs w:val="21"/>
          <w:highlight w:val="none"/>
        </w:rPr>
        <w:t>。</w:t>
      </w:r>
    </w:p>
    <w:p w14:paraId="3DF8ADEC">
      <w:pPr>
        <w:spacing w:line="400" w:lineRule="exact"/>
        <w:ind w:left="540" w:firstLine="30"/>
        <w:rPr>
          <w:rFonts w:ascii="宋体"/>
          <w:color w:val="auto"/>
          <w:szCs w:val="21"/>
          <w:highlight w:val="none"/>
        </w:rPr>
      </w:pPr>
    </w:p>
    <w:p w14:paraId="2F199643">
      <w:pPr>
        <w:spacing w:line="400" w:lineRule="exact"/>
        <w:rPr>
          <w:rFonts w:ascii="宋体"/>
          <w:color w:val="auto"/>
          <w:szCs w:val="21"/>
          <w:highlight w:val="none"/>
        </w:rPr>
      </w:pPr>
    </w:p>
    <w:p w14:paraId="784C4198">
      <w:pPr>
        <w:spacing w:line="400" w:lineRule="exact"/>
        <w:rPr>
          <w:rFonts w:ascii="宋体"/>
          <w:color w:val="auto"/>
          <w:szCs w:val="21"/>
          <w:highlight w:val="none"/>
        </w:rPr>
      </w:pPr>
      <w:r>
        <w:rPr>
          <w:rFonts w:hint="eastAsia" w:ascii="宋体"/>
          <w:color w:val="auto"/>
          <w:szCs w:val="21"/>
          <w:highlight w:val="none"/>
        </w:rPr>
        <w:t>投标人（盖章）：</w:t>
      </w:r>
      <w:r>
        <w:rPr>
          <w:rFonts w:hint="eastAsia" w:ascii="宋体"/>
          <w:color w:val="auto"/>
          <w:szCs w:val="21"/>
          <w:highlight w:val="none"/>
          <w:u w:val="single"/>
        </w:rPr>
        <w:t xml:space="preserve">                                </w:t>
      </w:r>
      <w:r>
        <w:rPr>
          <w:rFonts w:hint="eastAsia" w:ascii="宋体"/>
          <w:color w:val="auto"/>
          <w:szCs w:val="21"/>
          <w:highlight w:val="none"/>
        </w:rPr>
        <w:t xml:space="preserve">          </w:t>
      </w:r>
    </w:p>
    <w:p w14:paraId="168180C2">
      <w:pPr>
        <w:spacing w:line="400" w:lineRule="exact"/>
        <w:rPr>
          <w:rFonts w:ascii="宋体"/>
          <w:color w:val="auto"/>
          <w:szCs w:val="21"/>
          <w:highlight w:val="none"/>
          <w:u w:val="single"/>
        </w:rPr>
      </w:pPr>
      <w:r>
        <w:rPr>
          <w:rFonts w:hint="eastAsia" w:ascii="宋体"/>
          <w:color w:val="auto"/>
          <w:szCs w:val="21"/>
          <w:highlight w:val="none"/>
        </w:rPr>
        <w:t>日            期：</w:t>
      </w:r>
      <w:r>
        <w:rPr>
          <w:rFonts w:hint="eastAsia" w:ascii="宋体"/>
          <w:color w:val="auto"/>
          <w:szCs w:val="21"/>
          <w:highlight w:val="none"/>
          <w:u w:val="single"/>
        </w:rPr>
        <w:t xml:space="preserve">                             </w:t>
      </w:r>
    </w:p>
    <w:p w14:paraId="22130EE0">
      <w:pPr>
        <w:spacing w:line="360" w:lineRule="auto"/>
        <w:jc w:val="center"/>
        <w:rPr>
          <w:rFonts w:ascii="宋体"/>
          <w:b/>
          <w:bCs/>
          <w:color w:val="auto"/>
          <w:szCs w:val="21"/>
          <w:highlight w:val="none"/>
        </w:rPr>
      </w:pPr>
      <w:r>
        <w:rPr>
          <w:rStyle w:val="178"/>
          <w:rFonts w:hint="eastAsia" w:ascii="宋体"/>
          <w:color w:val="auto"/>
          <w:szCs w:val="21"/>
          <w:highlight w:val="none"/>
        </w:rPr>
        <w:br w:type="page"/>
      </w:r>
      <w:r>
        <w:rPr>
          <w:rFonts w:hint="eastAsia" w:ascii="宋体"/>
          <w:b/>
          <w:bCs/>
          <w:color w:val="auto"/>
          <w:highlight w:val="none"/>
        </w:rPr>
        <w:t>B</w:t>
      </w:r>
      <w:r>
        <w:rPr>
          <w:rFonts w:hint="eastAsia" w:ascii="宋体"/>
          <w:b/>
          <w:bCs/>
          <w:color w:val="auto"/>
          <w:szCs w:val="21"/>
          <w:highlight w:val="none"/>
        </w:rPr>
        <w:t>2法定代表人身份证明</w:t>
      </w:r>
    </w:p>
    <w:p w14:paraId="2D689566">
      <w:pPr>
        <w:spacing w:after="120" w:line="400" w:lineRule="exact"/>
        <w:rPr>
          <w:rFonts w:ascii="宋体"/>
          <w:color w:val="auto"/>
          <w:szCs w:val="21"/>
          <w:highlight w:val="none"/>
          <w:u w:val="single"/>
        </w:rPr>
      </w:pPr>
      <w:r>
        <w:rPr>
          <w:rFonts w:hint="eastAsia" w:ascii="宋体"/>
          <w:color w:val="auto"/>
          <w:szCs w:val="21"/>
          <w:highlight w:val="none"/>
        </w:rPr>
        <w:t>投标人名称：</w:t>
      </w:r>
      <w:r>
        <w:rPr>
          <w:rFonts w:hint="eastAsia" w:ascii="宋体"/>
          <w:color w:val="auto"/>
          <w:szCs w:val="21"/>
          <w:highlight w:val="none"/>
          <w:u w:val="single"/>
        </w:rPr>
        <w:t xml:space="preserve">                   </w:t>
      </w:r>
    </w:p>
    <w:p w14:paraId="15D5637D">
      <w:pPr>
        <w:spacing w:after="120" w:line="400" w:lineRule="exact"/>
        <w:rPr>
          <w:rFonts w:ascii="宋体"/>
          <w:color w:val="auto"/>
          <w:szCs w:val="21"/>
          <w:highlight w:val="none"/>
          <w:u w:val="single"/>
        </w:rPr>
      </w:pPr>
      <w:r>
        <w:rPr>
          <w:rFonts w:hint="eastAsia" w:ascii="宋体"/>
          <w:color w:val="auto"/>
          <w:szCs w:val="21"/>
          <w:highlight w:val="none"/>
        </w:rPr>
        <w:t>单位性质：</w:t>
      </w:r>
      <w:r>
        <w:rPr>
          <w:rFonts w:hint="eastAsia" w:ascii="宋体"/>
          <w:color w:val="auto"/>
          <w:szCs w:val="21"/>
          <w:highlight w:val="none"/>
          <w:u w:val="single"/>
        </w:rPr>
        <w:t xml:space="preserve">                   </w:t>
      </w:r>
    </w:p>
    <w:p w14:paraId="3BF57376">
      <w:pPr>
        <w:spacing w:after="120" w:line="400" w:lineRule="exact"/>
        <w:rPr>
          <w:rFonts w:ascii="宋体"/>
          <w:color w:val="auto"/>
          <w:szCs w:val="21"/>
          <w:highlight w:val="none"/>
          <w:u w:val="single"/>
        </w:rPr>
      </w:pPr>
      <w:r>
        <w:rPr>
          <w:rFonts w:hint="eastAsia" w:ascii="宋体"/>
          <w:color w:val="auto"/>
          <w:szCs w:val="21"/>
          <w:highlight w:val="none"/>
        </w:rPr>
        <w:t>地址：</w:t>
      </w:r>
      <w:r>
        <w:rPr>
          <w:rFonts w:hint="eastAsia" w:ascii="宋体"/>
          <w:color w:val="auto"/>
          <w:szCs w:val="21"/>
          <w:highlight w:val="none"/>
          <w:u w:val="single"/>
        </w:rPr>
        <w:t xml:space="preserve">                   </w:t>
      </w:r>
    </w:p>
    <w:p w14:paraId="57950981">
      <w:pPr>
        <w:spacing w:after="120" w:line="400" w:lineRule="exact"/>
        <w:rPr>
          <w:rFonts w:ascii="宋体"/>
          <w:color w:val="auto"/>
          <w:szCs w:val="21"/>
          <w:highlight w:val="none"/>
          <w:u w:val="single"/>
        </w:rPr>
      </w:pPr>
      <w:r>
        <w:rPr>
          <w:rFonts w:hint="eastAsia" w:ascii="宋体"/>
          <w:color w:val="auto"/>
          <w:szCs w:val="21"/>
          <w:highlight w:val="none"/>
        </w:rPr>
        <w:t>成立时间：</w:t>
      </w:r>
      <w:r>
        <w:rPr>
          <w:rFonts w:hint="eastAsia" w:ascii="宋体"/>
          <w:color w:val="auto"/>
          <w:szCs w:val="21"/>
          <w:highlight w:val="none"/>
          <w:u w:val="single"/>
        </w:rPr>
        <w:t xml:space="preserve">      </w:t>
      </w:r>
      <w:r>
        <w:rPr>
          <w:rFonts w:hint="eastAsia" w:ascii="宋体"/>
          <w:color w:val="auto"/>
          <w:szCs w:val="21"/>
          <w:highlight w:val="none"/>
        </w:rPr>
        <w:t>年</w:t>
      </w:r>
      <w:r>
        <w:rPr>
          <w:rFonts w:hint="eastAsia" w:ascii="宋体"/>
          <w:color w:val="auto"/>
          <w:szCs w:val="21"/>
          <w:highlight w:val="none"/>
          <w:u w:val="single"/>
        </w:rPr>
        <w:t xml:space="preserve">       </w:t>
      </w:r>
      <w:r>
        <w:rPr>
          <w:rFonts w:hint="eastAsia" w:ascii="宋体"/>
          <w:color w:val="auto"/>
          <w:szCs w:val="21"/>
          <w:highlight w:val="none"/>
        </w:rPr>
        <w:t>月</w:t>
      </w:r>
      <w:r>
        <w:rPr>
          <w:rFonts w:hint="eastAsia" w:ascii="宋体"/>
          <w:color w:val="auto"/>
          <w:szCs w:val="21"/>
          <w:highlight w:val="none"/>
          <w:u w:val="single"/>
        </w:rPr>
        <w:t xml:space="preserve">      </w:t>
      </w:r>
      <w:r>
        <w:rPr>
          <w:rFonts w:hint="eastAsia" w:ascii="宋体"/>
          <w:color w:val="auto"/>
          <w:szCs w:val="21"/>
          <w:highlight w:val="none"/>
        </w:rPr>
        <w:t>日</w:t>
      </w:r>
    </w:p>
    <w:p w14:paraId="7655691E">
      <w:pPr>
        <w:spacing w:after="120" w:line="400" w:lineRule="exact"/>
        <w:rPr>
          <w:rFonts w:ascii="宋体"/>
          <w:color w:val="auto"/>
          <w:szCs w:val="21"/>
          <w:highlight w:val="none"/>
          <w:u w:val="single"/>
        </w:rPr>
      </w:pPr>
      <w:r>
        <w:rPr>
          <w:rFonts w:hint="eastAsia" w:ascii="宋体"/>
          <w:color w:val="auto"/>
          <w:szCs w:val="21"/>
          <w:highlight w:val="none"/>
        </w:rPr>
        <w:t>经营期限：</w:t>
      </w:r>
    </w:p>
    <w:p w14:paraId="3B45B508">
      <w:pPr>
        <w:spacing w:after="120" w:line="400" w:lineRule="exact"/>
        <w:rPr>
          <w:rFonts w:ascii="宋体"/>
          <w:color w:val="auto"/>
          <w:szCs w:val="21"/>
          <w:highlight w:val="none"/>
          <w:u w:val="single"/>
        </w:rPr>
      </w:pPr>
      <w:r>
        <w:rPr>
          <w:rFonts w:hint="eastAsia" w:ascii="宋体"/>
          <w:color w:val="auto"/>
          <w:szCs w:val="21"/>
          <w:highlight w:val="none"/>
        </w:rPr>
        <w:t>姓名：</w:t>
      </w:r>
      <w:r>
        <w:rPr>
          <w:rFonts w:hint="eastAsia" w:ascii="宋体"/>
          <w:color w:val="auto"/>
          <w:szCs w:val="21"/>
          <w:highlight w:val="none"/>
          <w:u w:val="single"/>
        </w:rPr>
        <w:t xml:space="preserve">         </w:t>
      </w:r>
      <w:r>
        <w:rPr>
          <w:rFonts w:hint="eastAsia" w:ascii="宋体"/>
          <w:color w:val="auto"/>
          <w:szCs w:val="21"/>
          <w:highlight w:val="none"/>
        </w:rPr>
        <w:t>性别：</w:t>
      </w:r>
      <w:r>
        <w:rPr>
          <w:rFonts w:hint="eastAsia" w:ascii="宋体"/>
          <w:color w:val="auto"/>
          <w:szCs w:val="21"/>
          <w:highlight w:val="none"/>
          <w:u w:val="single"/>
        </w:rPr>
        <w:t xml:space="preserve">           </w:t>
      </w:r>
      <w:r>
        <w:rPr>
          <w:rFonts w:hint="eastAsia" w:ascii="宋体"/>
          <w:color w:val="auto"/>
          <w:szCs w:val="21"/>
          <w:highlight w:val="none"/>
        </w:rPr>
        <w:t>年龄：</w:t>
      </w:r>
      <w:r>
        <w:rPr>
          <w:rFonts w:hint="eastAsia" w:ascii="宋体"/>
          <w:color w:val="auto"/>
          <w:szCs w:val="21"/>
          <w:highlight w:val="none"/>
          <w:u w:val="single"/>
        </w:rPr>
        <w:t xml:space="preserve">            </w:t>
      </w:r>
      <w:r>
        <w:rPr>
          <w:rFonts w:hint="eastAsia" w:ascii="宋体"/>
          <w:color w:val="auto"/>
          <w:szCs w:val="21"/>
          <w:highlight w:val="none"/>
        </w:rPr>
        <w:t>职务：</w:t>
      </w:r>
      <w:r>
        <w:rPr>
          <w:rFonts w:hint="eastAsia" w:ascii="宋体"/>
          <w:color w:val="auto"/>
          <w:szCs w:val="21"/>
          <w:highlight w:val="none"/>
          <w:u w:val="single"/>
        </w:rPr>
        <w:t xml:space="preserve">          </w:t>
      </w:r>
    </w:p>
    <w:p w14:paraId="066C2F2D">
      <w:pPr>
        <w:spacing w:after="120" w:line="400" w:lineRule="exact"/>
        <w:rPr>
          <w:rFonts w:ascii="宋体"/>
          <w:color w:val="auto"/>
          <w:szCs w:val="21"/>
          <w:highlight w:val="none"/>
          <w:u w:val="single"/>
        </w:rPr>
      </w:pPr>
      <w:r>
        <w:rPr>
          <w:rFonts w:hint="eastAsia" w:ascii="宋体"/>
          <w:color w:val="auto"/>
          <w:szCs w:val="21"/>
          <w:highlight w:val="none"/>
        </w:rPr>
        <w:t>身份证号码：</w:t>
      </w:r>
      <w:r>
        <w:rPr>
          <w:rFonts w:hint="eastAsia" w:ascii="宋体"/>
          <w:color w:val="auto"/>
          <w:szCs w:val="21"/>
          <w:highlight w:val="none"/>
          <w:u w:val="single"/>
        </w:rPr>
        <w:t xml:space="preserve">                   </w:t>
      </w:r>
    </w:p>
    <w:p w14:paraId="2AD00C7A">
      <w:pPr>
        <w:spacing w:line="400" w:lineRule="exact"/>
        <w:ind w:firstLine="560"/>
        <w:rPr>
          <w:rFonts w:ascii="宋体"/>
          <w:color w:val="auto"/>
          <w:szCs w:val="21"/>
          <w:highlight w:val="none"/>
        </w:rPr>
      </w:pPr>
    </w:p>
    <w:p w14:paraId="418838CC">
      <w:pPr>
        <w:spacing w:line="400" w:lineRule="exact"/>
        <w:rPr>
          <w:rFonts w:ascii="宋体"/>
          <w:color w:val="auto"/>
          <w:szCs w:val="21"/>
          <w:highlight w:val="none"/>
        </w:rPr>
      </w:pPr>
      <w:r>
        <w:rPr>
          <w:rFonts w:hint="eastAsia" w:ascii="宋体"/>
          <w:color w:val="auto"/>
          <w:szCs w:val="21"/>
          <w:highlight w:val="none"/>
        </w:rPr>
        <w:t xml:space="preserve">    系</w:t>
      </w:r>
      <w:r>
        <w:rPr>
          <w:rFonts w:hint="eastAsia" w:ascii="宋体"/>
          <w:color w:val="auto"/>
          <w:szCs w:val="21"/>
          <w:highlight w:val="none"/>
          <w:u w:val="single"/>
        </w:rPr>
        <w:t>（投标人名称）</w:t>
      </w:r>
      <w:r>
        <w:rPr>
          <w:rFonts w:hint="eastAsia" w:ascii="宋体"/>
          <w:color w:val="auto"/>
          <w:szCs w:val="21"/>
          <w:highlight w:val="none"/>
        </w:rPr>
        <w:t>的法定代表人。</w:t>
      </w:r>
    </w:p>
    <w:p w14:paraId="4E431A77">
      <w:pPr>
        <w:spacing w:line="400" w:lineRule="exact"/>
        <w:ind w:firstLine="560"/>
        <w:rPr>
          <w:rFonts w:ascii="宋体"/>
          <w:color w:val="auto"/>
          <w:szCs w:val="21"/>
          <w:highlight w:val="none"/>
        </w:rPr>
      </w:pPr>
    </w:p>
    <w:p w14:paraId="4BD5E8FA">
      <w:pPr>
        <w:spacing w:line="400" w:lineRule="exact"/>
        <w:rPr>
          <w:rFonts w:ascii="宋体"/>
          <w:color w:val="auto"/>
          <w:szCs w:val="21"/>
          <w:highlight w:val="none"/>
        </w:rPr>
      </w:pPr>
      <w:r>
        <w:rPr>
          <w:rFonts w:hint="eastAsia" w:ascii="宋体"/>
          <w:color w:val="auto"/>
          <w:szCs w:val="21"/>
          <w:highlight w:val="none"/>
        </w:rPr>
        <w:t>特此证明。</w:t>
      </w:r>
    </w:p>
    <w:p w14:paraId="01D70B16">
      <w:pPr>
        <w:spacing w:line="400" w:lineRule="exact"/>
        <w:rPr>
          <w:rFonts w:ascii="宋体"/>
          <w:color w:val="auto"/>
          <w:szCs w:val="21"/>
          <w:highlight w:val="none"/>
        </w:rPr>
      </w:pPr>
    </w:p>
    <w:p w14:paraId="0C271165">
      <w:pPr>
        <w:spacing w:line="400" w:lineRule="atLeast"/>
        <w:rPr>
          <w:rFonts w:ascii="宋体"/>
          <w:color w:val="auto"/>
          <w:szCs w:val="21"/>
          <w:highlight w:val="none"/>
        </w:rPr>
      </w:pPr>
      <w:r>
        <w:rPr>
          <w:rFonts w:hint="eastAsia" w:ascii="宋体"/>
          <w:color w:val="auto"/>
          <w:szCs w:val="21"/>
          <w:highlight w:val="none"/>
        </w:rPr>
        <w:t>投标人（盖章）：</w:t>
      </w:r>
    </w:p>
    <w:p w14:paraId="7BFB124A">
      <w:pPr>
        <w:spacing w:line="400" w:lineRule="atLeast"/>
        <w:rPr>
          <w:rFonts w:ascii="宋体"/>
          <w:color w:val="auto"/>
          <w:szCs w:val="21"/>
          <w:highlight w:val="none"/>
          <w:u w:val="single"/>
        </w:rPr>
      </w:pPr>
      <w:r>
        <w:rPr>
          <w:rFonts w:hint="eastAsia" w:ascii="宋体"/>
          <w:color w:val="auto"/>
          <w:szCs w:val="21"/>
          <w:highlight w:val="none"/>
        </w:rPr>
        <w:t>日          期：</w:t>
      </w:r>
    </w:p>
    <w:p w14:paraId="06420B00">
      <w:pPr>
        <w:spacing w:line="400" w:lineRule="atLeast"/>
        <w:rPr>
          <w:rFonts w:ascii="宋体"/>
          <w:color w:val="auto"/>
          <w:szCs w:val="21"/>
          <w:highlight w:val="none"/>
          <w:u w:val="single"/>
        </w:rPr>
      </w:pPr>
    </w:p>
    <w:p w14:paraId="081C7E6F">
      <w:pPr>
        <w:spacing w:line="400" w:lineRule="atLeast"/>
        <w:rPr>
          <w:rFonts w:ascii="宋体"/>
          <w:color w:val="auto"/>
          <w:szCs w:val="21"/>
          <w:highlight w:val="none"/>
          <w:u w:val="single"/>
        </w:rPr>
      </w:pPr>
    </w:p>
    <w:p w14:paraId="6F5A510F">
      <w:pPr>
        <w:spacing w:line="360" w:lineRule="auto"/>
        <w:rPr>
          <w:rFonts w:ascii="宋体"/>
          <w:color w:val="auto"/>
          <w:szCs w:val="21"/>
          <w:highlight w:val="none"/>
        </w:rPr>
      </w:pPr>
    </w:p>
    <w:p w14:paraId="75188457">
      <w:pPr>
        <w:spacing w:line="360" w:lineRule="auto"/>
        <w:rPr>
          <w:rFonts w:ascii="宋体"/>
          <w:color w:val="auto"/>
          <w:szCs w:val="21"/>
          <w:highlight w:val="none"/>
        </w:rPr>
      </w:pPr>
      <w:r>
        <w:rPr>
          <w:rFonts w:hint="eastAsia" w:ascii="宋体"/>
          <w:color w:val="auto"/>
          <w:szCs w:val="21"/>
          <w:highlight w:val="none"/>
        </w:rPr>
        <w:t>后附：法定代表人身份证复印件加盖投标人公章。</w:t>
      </w:r>
    </w:p>
    <w:p w14:paraId="1E80D234">
      <w:pPr>
        <w:spacing w:line="400" w:lineRule="atLeast"/>
        <w:rPr>
          <w:rFonts w:ascii="宋体"/>
          <w:color w:val="auto"/>
          <w:szCs w:val="21"/>
          <w:highlight w:val="none"/>
          <w:u w:val="single"/>
        </w:rPr>
      </w:pPr>
    </w:p>
    <w:p w14:paraId="690CE1CC">
      <w:pPr>
        <w:spacing w:line="400" w:lineRule="exact"/>
        <w:jc w:val="center"/>
        <w:rPr>
          <w:rFonts w:ascii="宋体"/>
          <w:b/>
          <w:color w:val="auto"/>
          <w:szCs w:val="21"/>
          <w:highlight w:val="none"/>
        </w:rPr>
      </w:pPr>
      <w:r>
        <w:rPr>
          <w:rStyle w:val="178"/>
          <w:rFonts w:hint="eastAsia" w:ascii="宋体"/>
          <w:color w:val="auto"/>
          <w:szCs w:val="21"/>
          <w:highlight w:val="none"/>
        </w:rPr>
        <w:br w:type="page"/>
      </w:r>
      <w:r>
        <w:rPr>
          <w:rFonts w:hint="eastAsia" w:ascii="宋体"/>
          <w:b/>
          <w:color w:val="auto"/>
          <w:szCs w:val="21"/>
          <w:highlight w:val="none"/>
        </w:rPr>
        <w:t>B3法定代表人授权书</w:t>
      </w:r>
    </w:p>
    <w:p w14:paraId="53808DC5">
      <w:pPr>
        <w:spacing w:line="400" w:lineRule="exact"/>
        <w:jc w:val="center"/>
        <w:rPr>
          <w:rFonts w:ascii="宋体"/>
          <w:b/>
          <w:color w:val="auto"/>
          <w:szCs w:val="21"/>
          <w:highlight w:val="none"/>
        </w:rPr>
      </w:pPr>
      <w:r>
        <w:rPr>
          <w:rFonts w:hint="eastAsia" w:ascii="宋体"/>
          <w:b/>
          <w:color w:val="auto"/>
          <w:szCs w:val="21"/>
          <w:highlight w:val="none"/>
        </w:rPr>
        <w:t>（投标文件由授权代表签字的须提供）</w:t>
      </w:r>
    </w:p>
    <w:p w14:paraId="66C4B561">
      <w:pPr>
        <w:spacing w:line="360" w:lineRule="auto"/>
        <w:rPr>
          <w:rFonts w:ascii="宋体"/>
          <w:color w:val="auto"/>
          <w:szCs w:val="21"/>
          <w:highlight w:val="none"/>
        </w:rPr>
      </w:pPr>
      <w:r>
        <w:rPr>
          <w:rFonts w:hint="eastAsia" w:ascii="宋体"/>
          <w:color w:val="auto"/>
          <w:szCs w:val="21"/>
          <w:highlight w:val="none"/>
        </w:rPr>
        <w:t>致：采购人</w:t>
      </w:r>
    </w:p>
    <w:p w14:paraId="2C213CC3">
      <w:pPr>
        <w:spacing w:line="360" w:lineRule="auto"/>
        <w:ind w:firstLine="480" w:firstLineChars="200"/>
        <w:rPr>
          <w:rFonts w:ascii="宋体"/>
          <w:color w:val="auto"/>
          <w:szCs w:val="21"/>
          <w:highlight w:val="none"/>
        </w:rPr>
      </w:pPr>
      <w:r>
        <w:rPr>
          <w:rFonts w:hint="eastAsia" w:ascii="宋体"/>
          <w:color w:val="auto"/>
          <w:szCs w:val="21"/>
          <w:highlight w:val="none"/>
          <w:u w:val="single"/>
        </w:rPr>
        <w:t>（投标人全称）</w:t>
      </w:r>
      <w:r>
        <w:rPr>
          <w:rFonts w:hint="eastAsia" w:ascii="宋体"/>
          <w:color w:val="auto"/>
          <w:szCs w:val="21"/>
          <w:highlight w:val="none"/>
        </w:rPr>
        <w:t>法定代表人</w:t>
      </w:r>
      <w:r>
        <w:rPr>
          <w:rFonts w:hint="eastAsia" w:ascii="宋体"/>
          <w:color w:val="auto"/>
          <w:szCs w:val="21"/>
          <w:highlight w:val="none"/>
          <w:u w:val="single"/>
        </w:rPr>
        <w:t>（法定代表人姓名）</w:t>
      </w:r>
      <w:r>
        <w:rPr>
          <w:rFonts w:hint="eastAsia" w:ascii="宋体"/>
          <w:color w:val="auto"/>
          <w:szCs w:val="21"/>
          <w:highlight w:val="none"/>
        </w:rPr>
        <w:t>授权</w:t>
      </w:r>
      <w:r>
        <w:rPr>
          <w:rFonts w:hint="eastAsia" w:ascii="宋体"/>
          <w:color w:val="auto"/>
          <w:szCs w:val="21"/>
          <w:highlight w:val="none"/>
          <w:u w:val="single"/>
        </w:rPr>
        <w:t>（授权代表姓名）</w:t>
      </w:r>
      <w:r>
        <w:rPr>
          <w:rFonts w:hint="eastAsia" w:ascii="宋体"/>
          <w:color w:val="auto"/>
          <w:szCs w:val="21"/>
          <w:highlight w:val="none"/>
        </w:rPr>
        <w:t>为授权代表，参加</w:t>
      </w:r>
      <w:r>
        <w:rPr>
          <w:rFonts w:hint="eastAsia" w:ascii="宋体"/>
          <w:color w:val="auto"/>
          <w:szCs w:val="21"/>
          <w:highlight w:val="none"/>
          <w:u w:val="single"/>
          <w:lang w:eastAsia="zh-CN"/>
        </w:rPr>
        <w:t>宁波高新区求精书院理化生实验室（初中部）设施设备采购项目（二期）</w:t>
      </w:r>
      <w:r>
        <w:rPr>
          <w:rFonts w:hint="eastAsia" w:ascii="宋体"/>
          <w:color w:val="auto"/>
          <w:szCs w:val="21"/>
          <w:highlight w:val="none"/>
        </w:rPr>
        <w:t>，采购编号为</w:t>
      </w:r>
      <w:r>
        <w:rPr>
          <w:rFonts w:hint="eastAsia" w:ascii="宋体"/>
          <w:color w:val="auto"/>
          <w:szCs w:val="21"/>
          <w:highlight w:val="none"/>
          <w:u w:val="single"/>
          <w:lang w:eastAsia="zh-CN"/>
        </w:rPr>
        <w:t>NBITC-202530765G</w:t>
      </w:r>
      <w:r>
        <w:rPr>
          <w:rFonts w:hint="eastAsia" w:ascii="宋体"/>
          <w:color w:val="auto"/>
          <w:szCs w:val="21"/>
          <w:highlight w:val="none"/>
        </w:rPr>
        <w:t>，其在招投标活动中的一切活动本公司均予承认。</w:t>
      </w:r>
    </w:p>
    <w:p w14:paraId="662D1CBC">
      <w:pPr>
        <w:spacing w:line="400" w:lineRule="atLeast"/>
        <w:rPr>
          <w:rFonts w:ascii="宋体"/>
          <w:color w:val="auto"/>
          <w:szCs w:val="21"/>
          <w:highlight w:val="none"/>
        </w:rPr>
      </w:pPr>
    </w:p>
    <w:p w14:paraId="3D7EDCE8">
      <w:pPr>
        <w:spacing w:line="400" w:lineRule="atLeast"/>
        <w:rPr>
          <w:rFonts w:ascii="宋体"/>
          <w:color w:val="auto"/>
          <w:szCs w:val="21"/>
          <w:highlight w:val="none"/>
        </w:rPr>
      </w:pPr>
      <w:r>
        <w:rPr>
          <w:rFonts w:hint="eastAsia" w:ascii="宋体"/>
          <w:color w:val="auto"/>
          <w:szCs w:val="21"/>
          <w:highlight w:val="none"/>
        </w:rPr>
        <w:t>投标人（盖章）：</w:t>
      </w:r>
    </w:p>
    <w:p w14:paraId="0AED4055">
      <w:pPr>
        <w:spacing w:line="400" w:lineRule="atLeast"/>
        <w:rPr>
          <w:rFonts w:ascii="宋体"/>
          <w:color w:val="auto"/>
          <w:szCs w:val="21"/>
          <w:highlight w:val="none"/>
        </w:rPr>
      </w:pPr>
      <w:r>
        <w:rPr>
          <w:rFonts w:hint="eastAsia" w:ascii="宋体"/>
          <w:color w:val="auto"/>
          <w:szCs w:val="21"/>
          <w:highlight w:val="none"/>
        </w:rPr>
        <w:t>法定代表人（签字或盖章）：</w:t>
      </w:r>
    </w:p>
    <w:p w14:paraId="3E21A131">
      <w:pPr>
        <w:spacing w:line="400" w:lineRule="atLeast"/>
        <w:rPr>
          <w:rFonts w:ascii="宋体"/>
          <w:color w:val="auto"/>
          <w:szCs w:val="21"/>
          <w:highlight w:val="none"/>
          <w:u w:val="single"/>
        </w:rPr>
      </w:pPr>
      <w:r>
        <w:rPr>
          <w:rFonts w:hint="eastAsia" w:ascii="宋体"/>
          <w:color w:val="auto"/>
          <w:szCs w:val="21"/>
          <w:highlight w:val="none"/>
        </w:rPr>
        <w:t>日            期：</w:t>
      </w:r>
    </w:p>
    <w:p w14:paraId="09C92908">
      <w:pPr>
        <w:spacing w:line="360" w:lineRule="auto"/>
        <w:rPr>
          <w:rFonts w:ascii="宋体"/>
          <w:color w:val="auto"/>
          <w:szCs w:val="21"/>
          <w:highlight w:val="none"/>
        </w:rPr>
      </w:pPr>
    </w:p>
    <w:p w14:paraId="6FDA49EF">
      <w:pPr>
        <w:spacing w:line="360" w:lineRule="auto"/>
        <w:rPr>
          <w:rFonts w:ascii="宋体"/>
          <w:color w:val="auto"/>
          <w:szCs w:val="21"/>
          <w:highlight w:val="none"/>
        </w:rPr>
      </w:pPr>
    </w:p>
    <w:p w14:paraId="4EF20BD4">
      <w:pPr>
        <w:spacing w:line="360" w:lineRule="auto"/>
        <w:rPr>
          <w:rFonts w:ascii="宋体"/>
          <w:color w:val="auto"/>
          <w:szCs w:val="21"/>
          <w:highlight w:val="none"/>
        </w:rPr>
      </w:pPr>
      <w:r>
        <w:rPr>
          <w:rFonts w:hint="eastAsia" w:ascii="宋体"/>
          <w:color w:val="auto"/>
          <w:szCs w:val="21"/>
          <w:highlight w:val="none"/>
        </w:rPr>
        <w:t>附：</w:t>
      </w:r>
    </w:p>
    <w:p w14:paraId="1087FB1A">
      <w:pPr>
        <w:spacing w:line="360" w:lineRule="auto"/>
        <w:ind w:firstLine="555"/>
        <w:rPr>
          <w:rFonts w:ascii="宋体"/>
          <w:color w:val="auto"/>
          <w:szCs w:val="21"/>
          <w:highlight w:val="none"/>
          <w:u w:val="single"/>
        </w:rPr>
      </w:pPr>
      <w:r>
        <w:rPr>
          <w:rFonts w:hint="eastAsia" w:ascii="宋体"/>
          <w:color w:val="auto"/>
          <w:szCs w:val="21"/>
          <w:highlight w:val="none"/>
        </w:rPr>
        <w:t>授权代表姓名：</w:t>
      </w:r>
      <w:r>
        <w:rPr>
          <w:rFonts w:hint="eastAsia" w:ascii="宋体"/>
          <w:color w:val="auto"/>
          <w:szCs w:val="21"/>
          <w:highlight w:val="none"/>
          <w:u w:val="single"/>
        </w:rPr>
        <w:t xml:space="preserve">                         </w:t>
      </w:r>
    </w:p>
    <w:p w14:paraId="6FBEB564">
      <w:pPr>
        <w:spacing w:line="360" w:lineRule="auto"/>
        <w:ind w:firstLine="555"/>
        <w:rPr>
          <w:rFonts w:ascii="宋体"/>
          <w:color w:val="auto"/>
          <w:szCs w:val="21"/>
          <w:highlight w:val="none"/>
          <w:u w:val="single"/>
        </w:rPr>
      </w:pPr>
      <w:r>
        <w:rPr>
          <w:rFonts w:hint="eastAsia" w:ascii="宋体"/>
          <w:color w:val="auto"/>
          <w:szCs w:val="21"/>
          <w:highlight w:val="none"/>
        </w:rPr>
        <w:t>授权代表身份证号码：</w:t>
      </w:r>
      <w:r>
        <w:rPr>
          <w:rFonts w:hint="eastAsia" w:ascii="宋体"/>
          <w:color w:val="auto"/>
          <w:szCs w:val="21"/>
          <w:highlight w:val="none"/>
          <w:u w:val="single"/>
        </w:rPr>
        <w:t xml:space="preserve">                   </w:t>
      </w:r>
    </w:p>
    <w:p w14:paraId="6EECAD7F">
      <w:pPr>
        <w:spacing w:line="360" w:lineRule="auto"/>
        <w:ind w:firstLine="555"/>
        <w:rPr>
          <w:rFonts w:ascii="宋体"/>
          <w:color w:val="auto"/>
          <w:szCs w:val="21"/>
          <w:highlight w:val="none"/>
          <w:u w:val="single"/>
        </w:rPr>
      </w:pPr>
      <w:r>
        <w:rPr>
          <w:rFonts w:hint="eastAsia" w:ascii="宋体"/>
          <w:color w:val="auto"/>
          <w:szCs w:val="21"/>
          <w:highlight w:val="none"/>
        </w:rPr>
        <w:t>职务：</w:t>
      </w:r>
      <w:r>
        <w:rPr>
          <w:rFonts w:hint="eastAsia" w:ascii="宋体"/>
          <w:color w:val="auto"/>
          <w:szCs w:val="21"/>
          <w:highlight w:val="none"/>
          <w:u w:val="single"/>
        </w:rPr>
        <w:t xml:space="preserve">                                 </w:t>
      </w:r>
    </w:p>
    <w:p w14:paraId="40D2539A">
      <w:pPr>
        <w:spacing w:line="360" w:lineRule="auto"/>
        <w:ind w:firstLine="555"/>
        <w:rPr>
          <w:rFonts w:ascii="宋体"/>
          <w:color w:val="auto"/>
          <w:szCs w:val="21"/>
          <w:highlight w:val="none"/>
          <w:u w:val="single"/>
        </w:rPr>
      </w:pPr>
      <w:r>
        <w:rPr>
          <w:rFonts w:hint="eastAsia" w:ascii="宋体"/>
          <w:color w:val="auto"/>
          <w:szCs w:val="21"/>
          <w:highlight w:val="none"/>
        </w:rPr>
        <w:t>详细通讯地址：</w:t>
      </w:r>
      <w:r>
        <w:rPr>
          <w:rFonts w:hint="eastAsia" w:ascii="宋体"/>
          <w:color w:val="auto"/>
          <w:szCs w:val="21"/>
          <w:highlight w:val="none"/>
          <w:u w:val="single"/>
        </w:rPr>
        <w:t xml:space="preserve">                         </w:t>
      </w:r>
    </w:p>
    <w:p w14:paraId="3FCD26BE">
      <w:pPr>
        <w:spacing w:line="360" w:lineRule="auto"/>
        <w:ind w:firstLine="555"/>
        <w:rPr>
          <w:rFonts w:ascii="宋体"/>
          <w:color w:val="auto"/>
          <w:szCs w:val="21"/>
          <w:highlight w:val="none"/>
        </w:rPr>
      </w:pPr>
      <w:r>
        <w:rPr>
          <w:rFonts w:hint="eastAsia" w:ascii="宋体"/>
          <w:color w:val="auto"/>
          <w:szCs w:val="21"/>
          <w:highlight w:val="none"/>
        </w:rPr>
        <w:t>电话：</w:t>
      </w:r>
      <w:r>
        <w:rPr>
          <w:rFonts w:hint="eastAsia" w:ascii="宋体"/>
          <w:color w:val="auto"/>
          <w:szCs w:val="21"/>
          <w:highlight w:val="none"/>
          <w:u w:val="single"/>
        </w:rPr>
        <w:t xml:space="preserve">                                 </w:t>
      </w:r>
    </w:p>
    <w:p w14:paraId="06967BB5">
      <w:pPr>
        <w:spacing w:line="360" w:lineRule="auto"/>
        <w:ind w:firstLine="555"/>
        <w:rPr>
          <w:rFonts w:ascii="宋体"/>
          <w:color w:val="auto"/>
          <w:szCs w:val="21"/>
          <w:highlight w:val="none"/>
          <w:u w:val="single"/>
        </w:rPr>
      </w:pPr>
      <w:r>
        <w:rPr>
          <w:rFonts w:hint="eastAsia" w:ascii="宋体"/>
          <w:color w:val="auto"/>
          <w:szCs w:val="21"/>
          <w:highlight w:val="none"/>
        </w:rPr>
        <w:t>传真：</w:t>
      </w:r>
      <w:r>
        <w:rPr>
          <w:rFonts w:hint="eastAsia" w:ascii="宋体"/>
          <w:color w:val="auto"/>
          <w:szCs w:val="21"/>
          <w:highlight w:val="none"/>
          <w:u w:val="single"/>
        </w:rPr>
        <w:t xml:space="preserve">                                 </w:t>
      </w:r>
    </w:p>
    <w:p w14:paraId="4A018638">
      <w:pPr>
        <w:spacing w:line="360" w:lineRule="auto"/>
        <w:ind w:firstLine="600" w:firstLineChars="250"/>
        <w:rPr>
          <w:rFonts w:ascii="宋体"/>
          <w:color w:val="auto"/>
          <w:szCs w:val="21"/>
          <w:highlight w:val="none"/>
          <w:u w:val="single"/>
        </w:rPr>
      </w:pPr>
    </w:p>
    <w:p w14:paraId="221684AB">
      <w:pPr>
        <w:spacing w:line="360" w:lineRule="auto"/>
        <w:ind w:firstLine="600" w:firstLineChars="250"/>
        <w:rPr>
          <w:rFonts w:ascii="宋体"/>
          <w:color w:val="auto"/>
          <w:szCs w:val="21"/>
          <w:highlight w:val="none"/>
          <w:u w:val="single"/>
        </w:rPr>
      </w:pPr>
    </w:p>
    <w:p w14:paraId="532BE53A">
      <w:pPr>
        <w:spacing w:line="360" w:lineRule="auto"/>
        <w:ind w:firstLine="600" w:firstLineChars="250"/>
        <w:rPr>
          <w:rFonts w:ascii="宋体"/>
          <w:color w:val="auto"/>
          <w:szCs w:val="21"/>
          <w:highlight w:val="none"/>
          <w:u w:val="single"/>
        </w:rPr>
      </w:pPr>
    </w:p>
    <w:p w14:paraId="4E2CF3F4">
      <w:pPr>
        <w:spacing w:line="360" w:lineRule="auto"/>
        <w:ind w:firstLine="600" w:firstLineChars="250"/>
        <w:rPr>
          <w:rFonts w:ascii="宋体"/>
          <w:color w:val="auto"/>
          <w:szCs w:val="21"/>
          <w:highlight w:val="none"/>
        </w:rPr>
      </w:pPr>
      <w:r>
        <w:rPr>
          <w:rFonts w:hint="eastAsia" w:ascii="宋体"/>
          <w:color w:val="auto"/>
          <w:szCs w:val="21"/>
          <w:highlight w:val="none"/>
        </w:rPr>
        <w:t>后附：</w:t>
      </w:r>
    </w:p>
    <w:p w14:paraId="714505D4">
      <w:pPr>
        <w:spacing w:line="360" w:lineRule="auto"/>
        <w:ind w:firstLine="600" w:firstLineChars="250"/>
        <w:rPr>
          <w:rFonts w:ascii="宋体"/>
          <w:color w:val="auto"/>
          <w:szCs w:val="21"/>
          <w:highlight w:val="none"/>
        </w:rPr>
      </w:pPr>
      <w:r>
        <w:rPr>
          <w:rFonts w:hint="eastAsia" w:ascii="宋体"/>
          <w:color w:val="auto"/>
          <w:szCs w:val="21"/>
          <w:highlight w:val="none"/>
        </w:rPr>
        <w:t>1、授权代表身份证复印件加盖投标人公章；</w:t>
      </w:r>
    </w:p>
    <w:p w14:paraId="41F4B57E">
      <w:pPr>
        <w:spacing w:line="360" w:lineRule="auto"/>
        <w:ind w:firstLine="600" w:firstLineChars="250"/>
        <w:rPr>
          <w:rFonts w:ascii="宋体"/>
          <w:color w:val="auto"/>
          <w:szCs w:val="21"/>
          <w:highlight w:val="none"/>
        </w:rPr>
      </w:pPr>
      <w:r>
        <w:rPr>
          <w:rFonts w:hint="eastAsia" w:ascii="宋体"/>
          <w:color w:val="auto"/>
          <w:szCs w:val="21"/>
          <w:highlight w:val="none"/>
        </w:rPr>
        <w:t>2、提供社保部门出具的投标人单位</w:t>
      </w:r>
      <w:r>
        <w:rPr>
          <w:rFonts w:hint="eastAsia" w:ascii="宋体"/>
          <w:b/>
          <w:bCs/>
          <w:color w:val="auto"/>
          <w:szCs w:val="21"/>
          <w:highlight w:val="none"/>
        </w:rPr>
        <w:t>开标前6个月任意1个月</w:t>
      </w:r>
      <w:r>
        <w:rPr>
          <w:rFonts w:hint="eastAsia" w:ascii="宋体"/>
          <w:color w:val="auto"/>
          <w:szCs w:val="21"/>
          <w:highlight w:val="none"/>
        </w:rPr>
        <w:t>为授权代表缴纳社保的证明资料复印件。</w:t>
      </w:r>
    </w:p>
    <w:p w14:paraId="2BFF138C">
      <w:pPr>
        <w:spacing w:line="360" w:lineRule="auto"/>
        <w:rPr>
          <w:rFonts w:ascii="宋体"/>
          <w:color w:val="auto"/>
          <w:szCs w:val="21"/>
          <w:highlight w:val="none"/>
        </w:rPr>
      </w:pPr>
    </w:p>
    <w:p w14:paraId="3BC31058">
      <w:pPr>
        <w:spacing w:line="360" w:lineRule="auto"/>
        <w:ind w:firstLine="592" w:firstLineChars="250"/>
        <w:jc w:val="center"/>
        <w:rPr>
          <w:rFonts w:ascii="宋体"/>
          <w:b/>
          <w:color w:val="auto"/>
          <w:szCs w:val="21"/>
          <w:highlight w:val="none"/>
        </w:rPr>
      </w:pPr>
      <w:r>
        <w:rPr>
          <w:rStyle w:val="178"/>
          <w:rFonts w:hint="eastAsia" w:ascii="宋体"/>
          <w:color w:val="auto"/>
          <w:szCs w:val="21"/>
          <w:highlight w:val="none"/>
        </w:rPr>
        <w:br w:type="page"/>
      </w:r>
      <w:r>
        <w:rPr>
          <w:rFonts w:hint="eastAsia" w:ascii="宋体"/>
          <w:b/>
          <w:color w:val="auto"/>
          <w:szCs w:val="21"/>
          <w:highlight w:val="none"/>
        </w:rPr>
        <w:t xml:space="preserve"> </w:t>
      </w:r>
    </w:p>
    <w:p w14:paraId="49CEC1BD">
      <w:pPr>
        <w:spacing w:line="440" w:lineRule="exact"/>
        <w:jc w:val="center"/>
        <w:rPr>
          <w:rFonts w:ascii="宋体"/>
          <w:b/>
          <w:color w:val="auto"/>
          <w:szCs w:val="21"/>
          <w:highlight w:val="none"/>
        </w:rPr>
      </w:pPr>
      <w:r>
        <w:rPr>
          <w:rFonts w:hint="eastAsia" w:ascii="宋体"/>
          <w:b/>
          <w:color w:val="auto"/>
          <w:szCs w:val="21"/>
          <w:highlight w:val="none"/>
        </w:rPr>
        <w:t>B4投标人一般情况表</w:t>
      </w:r>
    </w:p>
    <w:tbl>
      <w:tblPr>
        <w:tblStyle w:val="42"/>
        <w:tblW w:w="0" w:type="auto"/>
        <w:tblInd w:w="108"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305"/>
        <w:gridCol w:w="9"/>
        <w:gridCol w:w="3833"/>
      </w:tblGrid>
      <w:tr w14:paraId="4578371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2A12DF1F">
            <w:pPr>
              <w:spacing w:line="400" w:lineRule="exact"/>
              <w:jc w:val="center"/>
              <w:rPr>
                <w:rFonts w:ascii="宋体"/>
                <w:color w:val="auto"/>
                <w:szCs w:val="21"/>
                <w:highlight w:val="none"/>
              </w:rPr>
            </w:pPr>
            <w:r>
              <w:rPr>
                <w:rFonts w:hint="eastAsia" w:ascii="宋体"/>
                <w:color w:val="auto"/>
                <w:szCs w:val="21"/>
                <w:highlight w:val="none"/>
              </w:rPr>
              <w:t>1</w:t>
            </w:r>
          </w:p>
        </w:tc>
        <w:tc>
          <w:tcPr>
            <w:tcW w:w="8147" w:type="dxa"/>
            <w:gridSpan w:val="3"/>
            <w:vAlign w:val="center"/>
          </w:tcPr>
          <w:p w14:paraId="2B2B218A">
            <w:pPr>
              <w:spacing w:line="400" w:lineRule="exact"/>
              <w:rPr>
                <w:rFonts w:ascii="宋体"/>
                <w:color w:val="auto"/>
                <w:szCs w:val="21"/>
                <w:highlight w:val="none"/>
              </w:rPr>
            </w:pPr>
            <w:r>
              <w:rPr>
                <w:rFonts w:hint="eastAsia" w:ascii="宋体"/>
                <w:color w:val="auto"/>
                <w:szCs w:val="21"/>
                <w:highlight w:val="none"/>
              </w:rPr>
              <w:t>单位名称：</w:t>
            </w:r>
          </w:p>
        </w:tc>
      </w:tr>
      <w:tr w14:paraId="17AEB1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52A770AF">
            <w:pPr>
              <w:spacing w:line="400" w:lineRule="exact"/>
              <w:jc w:val="center"/>
              <w:rPr>
                <w:rFonts w:ascii="宋体"/>
                <w:color w:val="auto"/>
                <w:szCs w:val="21"/>
                <w:highlight w:val="none"/>
              </w:rPr>
            </w:pPr>
            <w:r>
              <w:rPr>
                <w:rFonts w:hint="eastAsia" w:ascii="宋体"/>
                <w:color w:val="auto"/>
                <w:szCs w:val="21"/>
                <w:highlight w:val="none"/>
              </w:rPr>
              <w:t>2</w:t>
            </w:r>
          </w:p>
        </w:tc>
        <w:tc>
          <w:tcPr>
            <w:tcW w:w="8147" w:type="dxa"/>
            <w:gridSpan w:val="3"/>
            <w:vAlign w:val="center"/>
          </w:tcPr>
          <w:p w14:paraId="476B09D9">
            <w:pPr>
              <w:spacing w:line="400" w:lineRule="exact"/>
              <w:rPr>
                <w:rFonts w:ascii="宋体"/>
                <w:color w:val="auto"/>
                <w:szCs w:val="21"/>
                <w:highlight w:val="none"/>
              </w:rPr>
            </w:pPr>
            <w:r>
              <w:rPr>
                <w:rFonts w:hint="eastAsia" w:ascii="宋体"/>
                <w:color w:val="auto"/>
                <w:szCs w:val="21"/>
                <w:highlight w:val="none"/>
              </w:rPr>
              <w:t>总部地址：</w:t>
            </w:r>
          </w:p>
        </w:tc>
      </w:tr>
      <w:tr w14:paraId="4925D6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23A81BCF">
            <w:pPr>
              <w:spacing w:line="400" w:lineRule="exact"/>
              <w:jc w:val="center"/>
              <w:rPr>
                <w:rFonts w:ascii="宋体"/>
                <w:color w:val="auto"/>
                <w:szCs w:val="21"/>
                <w:highlight w:val="none"/>
              </w:rPr>
            </w:pPr>
            <w:r>
              <w:rPr>
                <w:rFonts w:hint="eastAsia" w:ascii="宋体"/>
                <w:color w:val="auto"/>
                <w:szCs w:val="21"/>
                <w:highlight w:val="none"/>
              </w:rPr>
              <w:t>3</w:t>
            </w:r>
          </w:p>
        </w:tc>
        <w:tc>
          <w:tcPr>
            <w:tcW w:w="8147" w:type="dxa"/>
            <w:gridSpan w:val="3"/>
            <w:vAlign w:val="center"/>
          </w:tcPr>
          <w:p w14:paraId="25701C3A">
            <w:pPr>
              <w:spacing w:line="400" w:lineRule="exact"/>
              <w:rPr>
                <w:rFonts w:ascii="宋体"/>
                <w:color w:val="auto"/>
                <w:szCs w:val="21"/>
                <w:highlight w:val="none"/>
              </w:rPr>
            </w:pPr>
            <w:r>
              <w:rPr>
                <w:rFonts w:hint="eastAsia" w:ascii="宋体"/>
                <w:color w:val="auto"/>
                <w:szCs w:val="21"/>
                <w:highlight w:val="none"/>
              </w:rPr>
              <w:t>当地代表处地址：</w:t>
            </w:r>
          </w:p>
        </w:tc>
      </w:tr>
      <w:tr w14:paraId="58F6ED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0B317008">
            <w:pPr>
              <w:spacing w:line="400" w:lineRule="exact"/>
              <w:jc w:val="center"/>
              <w:rPr>
                <w:rFonts w:ascii="宋体"/>
                <w:color w:val="auto"/>
                <w:szCs w:val="21"/>
                <w:highlight w:val="none"/>
              </w:rPr>
            </w:pPr>
            <w:r>
              <w:rPr>
                <w:rFonts w:hint="eastAsia" w:ascii="宋体"/>
                <w:color w:val="auto"/>
                <w:szCs w:val="21"/>
                <w:highlight w:val="none"/>
              </w:rPr>
              <w:t>4</w:t>
            </w:r>
          </w:p>
        </w:tc>
        <w:tc>
          <w:tcPr>
            <w:tcW w:w="4305" w:type="dxa"/>
            <w:vAlign w:val="center"/>
          </w:tcPr>
          <w:p w14:paraId="218FE46A">
            <w:pPr>
              <w:spacing w:line="400" w:lineRule="exact"/>
              <w:rPr>
                <w:rFonts w:ascii="宋体"/>
                <w:color w:val="auto"/>
                <w:szCs w:val="21"/>
                <w:highlight w:val="none"/>
              </w:rPr>
            </w:pPr>
            <w:r>
              <w:rPr>
                <w:rFonts w:hint="eastAsia" w:ascii="宋体"/>
                <w:color w:val="auto"/>
                <w:szCs w:val="21"/>
                <w:highlight w:val="none"/>
              </w:rPr>
              <w:t>电  话：</w:t>
            </w:r>
          </w:p>
        </w:tc>
        <w:tc>
          <w:tcPr>
            <w:tcW w:w="3842" w:type="dxa"/>
            <w:gridSpan w:val="2"/>
            <w:vAlign w:val="center"/>
          </w:tcPr>
          <w:p w14:paraId="25830083">
            <w:pPr>
              <w:spacing w:line="400" w:lineRule="exact"/>
              <w:rPr>
                <w:rFonts w:ascii="宋体"/>
                <w:color w:val="auto"/>
                <w:szCs w:val="21"/>
                <w:highlight w:val="none"/>
              </w:rPr>
            </w:pPr>
            <w:r>
              <w:rPr>
                <w:rFonts w:hint="eastAsia" w:ascii="宋体"/>
                <w:color w:val="auto"/>
                <w:szCs w:val="21"/>
                <w:highlight w:val="none"/>
              </w:rPr>
              <w:t>联 系 人：</w:t>
            </w:r>
          </w:p>
        </w:tc>
      </w:tr>
      <w:tr w14:paraId="186ADF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0E991E0E">
            <w:pPr>
              <w:spacing w:line="400" w:lineRule="exact"/>
              <w:jc w:val="center"/>
              <w:rPr>
                <w:rFonts w:ascii="宋体"/>
                <w:color w:val="auto"/>
                <w:szCs w:val="21"/>
                <w:highlight w:val="none"/>
              </w:rPr>
            </w:pPr>
            <w:r>
              <w:rPr>
                <w:rFonts w:hint="eastAsia" w:ascii="宋体"/>
                <w:color w:val="auto"/>
                <w:szCs w:val="21"/>
                <w:highlight w:val="none"/>
              </w:rPr>
              <w:t>5</w:t>
            </w:r>
          </w:p>
        </w:tc>
        <w:tc>
          <w:tcPr>
            <w:tcW w:w="4305" w:type="dxa"/>
            <w:vAlign w:val="center"/>
          </w:tcPr>
          <w:p w14:paraId="2AAE7A8B">
            <w:pPr>
              <w:spacing w:line="400" w:lineRule="exact"/>
              <w:rPr>
                <w:rFonts w:ascii="宋体"/>
                <w:color w:val="auto"/>
                <w:szCs w:val="21"/>
                <w:highlight w:val="none"/>
              </w:rPr>
            </w:pPr>
            <w:r>
              <w:rPr>
                <w:rFonts w:hint="eastAsia" w:ascii="宋体"/>
                <w:color w:val="auto"/>
                <w:szCs w:val="21"/>
                <w:highlight w:val="none"/>
              </w:rPr>
              <w:t>传  真：</w:t>
            </w:r>
          </w:p>
        </w:tc>
        <w:tc>
          <w:tcPr>
            <w:tcW w:w="3842" w:type="dxa"/>
            <w:gridSpan w:val="2"/>
            <w:vAlign w:val="center"/>
          </w:tcPr>
          <w:p w14:paraId="2AAA4685">
            <w:pPr>
              <w:spacing w:line="400" w:lineRule="exact"/>
              <w:rPr>
                <w:rFonts w:ascii="宋体"/>
                <w:color w:val="auto"/>
                <w:szCs w:val="21"/>
                <w:highlight w:val="none"/>
              </w:rPr>
            </w:pPr>
            <w:r>
              <w:rPr>
                <w:rFonts w:hint="eastAsia" w:ascii="宋体"/>
                <w:color w:val="auto"/>
                <w:szCs w:val="21"/>
                <w:highlight w:val="none"/>
              </w:rPr>
              <w:t>电子信箱：</w:t>
            </w:r>
          </w:p>
        </w:tc>
      </w:tr>
      <w:tr w14:paraId="00852B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47B78910">
            <w:pPr>
              <w:spacing w:line="400" w:lineRule="exact"/>
              <w:jc w:val="center"/>
              <w:rPr>
                <w:rFonts w:ascii="宋体"/>
                <w:color w:val="auto"/>
                <w:szCs w:val="21"/>
                <w:highlight w:val="none"/>
              </w:rPr>
            </w:pPr>
            <w:r>
              <w:rPr>
                <w:rFonts w:hint="eastAsia" w:ascii="宋体"/>
                <w:color w:val="auto"/>
                <w:szCs w:val="21"/>
                <w:highlight w:val="none"/>
              </w:rPr>
              <w:t>6</w:t>
            </w:r>
          </w:p>
        </w:tc>
        <w:tc>
          <w:tcPr>
            <w:tcW w:w="4305" w:type="dxa"/>
            <w:vAlign w:val="center"/>
          </w:tcPr>
          <w:p w14:paraId="777DFDCF">
            <w:pPr>
              <w:spacing w:line="400" w:lineRule="exact"/>
              <w:rPr>
                <w:rFonts w:ascii="宋体"/>
                <w:color w:val="auto"/>
                <w:szCs w:val="21"/>
                <w:highlight w:val="none"/>
              </w:rPr>
            </w:pPr>
            <w:r>
              <w:rPr>
                <w:rFonts w:hint="eastAsia" w:ascii="宋体"/>
                <w:color w:val="auto"/>
                <w:szCs w:val="21"/>
                <w:highlight w:val="none"/>
              </w:rPr>
              <w:t>注册地：</w:t>
            </w:r>
          </w:p>
        </w:tc>
        <w:tc>
          <w:tcPr>
            <w:tcW w:w="3842" w:type="dxa"/>
            <w:gridSpan w:val="2"/>
            <w:vAlign w:val="center"/>
          </w:tcPr>
          <w:p w14:paraId="04784427">
            <w:pPr>
              <w:spacing w:line="400" w:lineRule="exact"/>
              <w:rPr>
                <w:rFonts w:ascii="宋体"/>
                <w:color w:val="auto"/>
                <w:szCs w:val="21"/>
                <w:highlight w:val="none"/>
              </w:rPr>
            </w:pPr>
            <w:r>
              <w:rPr>
                <w:rFonts w:hint="eastAsia" w:ascii="宋体"/>
                <w:color w:val="auto"/>
                <w:szCs w:val="21"/>
                <w:highlight w:val="none"/>
              </w:rPr>
              <w:t>注册年份：</w:t>
            </w:r>
          </w:p>
        </w:tc>
      </w:tr>
      <w:tr w14:paraId="31DB07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136D3FDA">
            <w:pPr>
              <w:spacing w:line="400" w:lineRule="exact"/>
              <w:jc w:val="center"/>
              <w:rPr>
                <w:rFonts w:ascii="宋体"/>
                <w:color w:val="auto"/>
                <w:szCs w:val="21"/>
                <w:highlight w:val="none"/>
              </w:rPr>
            </w:pPr>
            <w:r>
              <w:rPr>
                <w:rFonts w:hint="eastAsia" w:ascii="宋体"/>
                <w:color w:val="auto"/>
                <w:szCs w:val="21"/>
                <w:highlight w:val="none"/>
              </w:rPr>
              <w:t>7</w:t>
            </w:r>
          </w:p>
        </w:tc>
        <w:tc>
          <w:tcPr>
            <w:tcW w:w="8147" w:type="dxa"/>
            <w:gridSpan w:val="3"/>
            <w:vAlign w:val="center"/>
          </w:tcPr>
          <w:p w14:paraId="7BFE0A81">
            <w:pPr>
              <w:spacing w:line="400" w:lineRule="exact"/>
              <w:rPr>
                <w:rFonts w:ascii="宋体"/>
                <w:color w:val="auto"/>
                <w:szCs w:val="21"/>
                <w:highlight w:val="none"/>
              </w:rPr>
            </w:pPr>
            <w:r>
              <w:rPr>
                <w:rFonts w:hint="eastAsia" w:ascii="宋体"/>
                <w:color w:val="auto"/>
                <w:szCs w:val="21"/>
                <w:highlight w:val="none"/>
              </w:rPr>
              <w:t>公司的资质等级（请附上有关证书的复印件）</w:t>
            </w:r>
          </w:p>
        </w:tc>
      </w:tr>
      <w:tr w14:paraId="65848A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39DEEBD4">
            <w:pPr>
              <w:spacing w:line="400" w:lineRule="exact"/>
              <w:jc w:val="center"/>
              <w:rPr>
                <w:rFonts w:ascii="宋体"/>
                <w:color w:val="auto"/>
                <w:szCs w:val="21"/>
                <w:highlight w:val="none"/>
              </w:rPr>
            </w:pPr>
            <w:r>
              <w:rPr>
                <w:rFonts w:hint="eastAsia" w:ascii="宋体"/>
                <w:color w:val="auto"/>
                <w:szCs w:val="21"/>
                <w:highlight w:val="none"/>
              </w:rPr>
              <w:t>8</w:t>
            </w:r>
          </w:p>
        </w:tc>
        <w:tc>
          <w:tcPr>
            <w:tcW w:w="8147" w:type="dxa"/>
            <w:gridSpan w:val="3"/>
            <w:vAlign w:val="center"/>
          </w:tcPr>
          <w:p w14:paraId="57B46FBE">
            <w:pPr>
              <w:spacing w:line="400" w:lineRule="exact"/>
              <w:rPr>
                <w:rFonts w:ascii="宋体"/>
                <w:color w:val="auto"/>
                <w:szCs w:val="21"/>
                <w:highlight w:val="none"/>
              </w:rPr>
            </w:pPr>
            <w:r>
              <w:rPr>
                <w:rFonts w:hint="eastAsia" w:ascii="宋体"/>
                <w:color w:val="auto"/>
                <w:szCs w:val="21"/>
                <w:highlight w:val="none"/>
              </w:rPr>
              <w:t>公司（是否通过，何种）质量保证体系认证（如通过请附相关证书复印件，提供认证机构年审监督报告）</w:t>
            </w:r>
          </w:p>
        </w:tc>
      </w:tr>
      <w:tr w14:paraId="774900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080C36C4">
            <w:pPr>
              <w:spacing w:line="400" w:lineRule="exact"/>
              <w:jc w:val="center"/>
              <w:rPr>
                <w:rFonts w:ascii="宋体"/>
                <w:color w:val="auto"/>
                <w:szCs w:val="21"/>
                <w:highlight w:val="none"/>
              </w:rPr>
            </w:pPr>
            <w:r>
              <w:rPr>
                <w:rFonts w:hint="eastAsia" w:ascii="宋体"/>
                <w:color w:val="auto"/>
                <w:szCs w:val="21"/>
                <w:highlight w:val="none"/>
              </w:rPr>
              <w:t>9</w:t>
            </w:r>
          </w:p>
        </w:tc>
        <w:tc>
          <w:tcPr>
            <w:tcW w:w="4314" w:type="dxa"/>
            <w:gridSpan w:val="2"/>
            <w:vAlign w:val="center"/>
          </w:tcPr>
          <w:p w14:paraId="41A41EAF">
            <w:pPr>
              <w:spacing w:line="400" w:lineRule="exact"/>
              <w:rPr>
                <w:rFonts w:ascii="宋体"/>
                <w:color w:val="auto"/>
                <w:szCs w:val="21"/>
                <w:highlight w:val="none"/>
              </w:rPr>
            </w:pPr>
            <w:r>
              <w:rPr>
                <w:rFonts w:hint="eastAsia" w:ascii="宋体"/>
                <w:color w:val="auto"/>
                <w:szCs w:val="21"/>
                <w:highlight w:val="none"/>
              </w:rPr>
              <w:t>从业人员数量</w:t>
            </w:r>
          </w:p>
        </w:tc>
        <w:tc>
          <w:tcPr>
            <w:tcW w:w="3833" w:type="dxa"/>
            <w:vAlign w:val="center"/>
          </w:tcPr>
          <w:p w14:paraId="350426B6">
            <w:pPr>
              <w:spacing w:line="400" w:lineRule="exact"/>
              <w:rPr>
                <w:rFonts w:ascii="宋体"/>
                <w:color w:val="auto"/>
                <w:szCs w:val="21"/>
                <w:highlight w:val="none"/>
              </w:rPr>
            </w:pPr>
          </w:p>
        </w:tc>
      </w:tr>
      <w:tr w14:paraId="39B8B3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4C29BEA2">
            <w:pPr>
              <w:spacing w:line="400" w:lineRule="exact"/>
              <w:jc w:val="center"/>
              <w:rPr>
                <w:rFonts w:ascii="宋体"/>
                <w:color w:val="auto"/>
                <w:szCs w:val="21"/>
                <w:highlight w:val="none"/>
              </w:rPr>
            </w:pPr>
            <w:r>
              <w:rPr>
                <w:rFonts w:hint="eastAsia" w:ascii="宋体"/>
                <w:color w:val="auto"/>
                <w:szCs w:val="21"/>
                <w:highlight w:val="none"/>
              </w:rPr>
              <w:t>10</w:t>
            </w:r>
          </w:p>
        </w:tc>
        <w:tc>
          <w:tcPr>
            <w:tcW w:w="4314" w:type="dxa"/>
            <w:gridSpan w:val="2"/>
            <w:vAlign w:val="center"/>
          </w:tcPr>
          <w:p w14:paraId="560E8615">
            <w:pPr>
              <w:spacing w:line="400" w:lineRule="exact"/>
              <w:rPr>
                <w:rFonts w:ascii="宋体"/>
                <w:color w:val="auto"/>
                <w:szCs w:val="21"/>
                <w:highlight w:val="none"/>
              </w:rPr>
            </w:pPr>
            <w:r>
              <w:rPr>
                <w:rFonts w:hint="eastAsia" w:ascii="宋体"/>
                <w:color w:val="auto"/>
                <w:szCs w:val="21"/>
                <w:highlight w:val="none"/>
              </w:rPr>
              <w:t>营业收入</w:t>
            </w:r>
          </w:p>
        </w:tc>
        <w:tc>
          <w:tcPr>
            <w:tcW w:w="3833" w:type="dxa"/>
            <w:vAlign w:val="center"/>
          </w:tcPr>
          <w:p w14:paraId="254CAA70">
            <w:pPr>
              <w:spacing w:line="400" w:lineRule="exact"/>
              <w:rPr>
                <w:rFonts w:ascii="宋体"/>
                <w:color w:val="auto"/>
                <w:szCs w:val="21"/>
                <w:highlight w:val="none"/>
              </w:rPr>
            </w:pPr>
          </w:p>
        </w:tc>
      </w:tr>
      <w:tr w14:paraId="29E8FB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vAlign w:val="center"/>
          </w:tcPr>
          <w:p w14:paraId="239DFBBA">
            <w:pPr>
              <w:spacing w:line="400" w:lineRule="exact"/>
              <w:jc w:val="center"/>
              <w:rPr>
                <w:rFonts w:ascii="宋体"/>
                <w:color w:val="auto"/>
                <w:szCs w:val="21"/>
                <w:highlight w:val="none"/>
              </w:rPr>
            </w:pPr>
            <w:r>
              <w:rPr>
                <w:rFonts w:hint="eastAsia" w:ascii="宋体"/>
                <w:color w:val="auto"/>
                <w:szCs w:val="21"/>
                <w:highlight w:val="none"/>
              </w:rPr>
              <w:t>11</w:t>
            </w:r>
          </w:p>
        </w:tc>
        <w:tc>
          <w:tcPr>
            <w:tcW w:w="4314" w:type="dxa"/>
            <w:gridSpan w:val="2"/>
            <w:vAlign w:val="center"/>
          </w:tcPr>
          <w:p w14:paraId="30529A05">
            <w:pPr>
              <w:spacing w:line="400" w:lineRule="exact"/>
              <w:rPr>
                <w:rFonts w:ascii="宋体"/>
                <w:color w:val="auto"/>
                <w:szCs w:val="21"/>
                <w:highlight w:val="none"/>
              </w:rPr>
            </w:pPr>
            <w:r>
              <w:rPr>
                <w:rFonts w:hint="eastAsia" w:ascii="宋体"/>
                <w:color w:val="auto"/>
                <w:szCs w:val="21"/>
                <w:highlight w:val="none"/>
              </w:rPr>
              <w:t>其他需要说明的情况</w:t>
            </w:r>
          </w:p>
        </w:tc>
        <w:tc>
          <w:tcPr>
            <w:tcW w:w="3833" w:type="dxa"/>
            <w:vAlign w:val="center"/>
          </w:tcPr>
          <w:p w14:paraId="3B722884">
            <w:pPr>
              <w:spacing w:line="400" w:lineRule="exact"/>
              <w:rPr>
                <w:rFonts w:ascii="宋体"/>
                <w:color w:val="auto"/>
                <w:szCs w:val="21"/>
                <w:highlight w:val="none"/>
              </w:rPr>
            </w:pPr>
          </w:p>
        </w:tc>
      </w:tr>
    </w:tbl>
    <w:p w14:paraId="468896A4">
      <w:pPr>
        <w:spacing w:line="400" w:lineRule="atLeast"/>
        <w:rPr>
          <w:rFonts w:ascii="宋体"/>
          <w:color w:val="auto"/>
          <w:szCs w:val="21"/>
          <w:highlight w:val="none"/>
        </w:rPr>
      </w:pPr>
    </w:p>
    <w:p w14:paraId="63ADF387">
      <w:pPr>
        <w:spacing w:line="400" w:lineRule="atLeast"/>
        <w:rPr>
          <w:rFonts w:ascii="宋体"/>
          <w:color w:val="auto"/>
          <w:szCs w:val="21"/>
          <w:highlight w:val="none"/>
        </w:rPr>
      </w:pPr>
    </w:p>
    <w:p w14:paraId="264EEF4E">
      <w:pPr>
        <w:spacing w:line="400" w:lineRule="atLeast"/>
        <w:rPr>
          <w:rFonts w:ascii="宋体"/>
          <w:color w:val="auto"/>
          <w:szCs w:val="21"/>
          <w:highlight w:val="none"/>
        </w:rPr>
      </w:pPr>
      <w:r>
        <w:rPr>
          <w:rFonts w:hint="eastAsia" w:ascii="宋体"/>
          <w:color w:val="auto"/>
          <w:szCs w:val="21"/>
          <w:highlight w:val="none"/>
        </w:rPr>
        <w:t>投标人（盖章）：</w:t>
      </w:r>
    </w:p>
    <w:p w14:paraId="66275E16">
      <w:pPr>
        <w:spacing w:line="400" w:lineRule="atLeast"/>
        <w:rPr>
          <w:rFonts w:ascii="宋体"/>
          <w:color w:val="auto"/>
          <w:szCs w:val="21"/>
          <w:highlight w:val="none"/>
          <w:u w:val="single"/>
        </w:rPr>
      </w:pPr>
      <w:r>
        <w:rPr>
          <w:rFonts w:hint="eastAsia" w:ascii="宋体"/>
          <w:color w:val="auto"/>
          <w:szCs w:val="21"/>
          <w:highlight w:val="none"/>
        </w:rPr>
        <w:t>日          期：</w:t>
      </w:r>
    </w:p>
    <w:p w14:paraId="128B31FC">
      <w:pPr>
        <w:spacing w:line="360" w:lineRule="auto"/>
        <w:rPr>
          <w:rFonts w:ascii="宋体"/>
          <w:color w:val="auto"/>
          <w:szCs w:val="21"/>
          <w:highlight w:val="none"/>
        </w:rPr>
      </w:pPr>
      <w:r>
        <w:rPr>
          <w:rFonts w:hint="eastAsia" w:ascii="宋体"/>
          <w:color w:val="auto"/>
          <w:szCs w:val="21"/>
          <w:highlight w:val="none"/>
        </w:rPr>
        <w:br w:type="page"/>
      </w:r>
    </w:p>
    <w:p w14:paraId="29D5415D">
      <w:pPr>
        <w:spacing w:line="400" w:lineRule="exact"/>
        <w:jc w:val="center"/>
        <w:rPr>
          <w:rFonts w:ascii="宋体"/>
          <w:b/>
          <w:color w:val="auto"/>
          <w:szCs w:val="21"/>
          <w:highlight w:val="none"/>
        </w:rPr>
      </w:pPr>
      <w:bookmarkStart w:id="146" w:name="_Toc10852"/>
      <w:r>
        <w:rPr>
          <w:rFonts w:hint="eastAsia" w:ascii="宋体"/>
          <w:b/>
          <w:color w:val="auto"/>
          <w:szCs w:val="21"/>
          <w:highlight w:val="none"/>
        </w:rPr>
        <w:t>B5技术条款</w:t>
      </w:r>
      <w:r>
        <w:rPr>
          <w:rFonts w:hint="eastAsia" w:ascii="宋体"/>
          <w:b/>
          <w:color w:val="auto"/>
          <w:szCs w:val="21"/>
          <w:highlight w:val="none"/>
          <w:lang w:val="en-US" w:eastAsia="zh-CN"/>
        </w:rPr>
        <w:t>偏离</w:t>
      </w:r>
      <w:r>
        <w:rPr>
          <w:rFonts w:hint="eastAsia" w:ascii="宋体"/>
          <w:b/>
          <w:color w:val="auto"/>
          <w:szCs w:val="21"/>
          <w:highlight w:val="none"/>
        </w:rPr>
        <w:t>表</w:t>
      </w:r>
      <w:bookmarkEnd w:id="146"/>
    </w:p>
    <w:p w14:paraId="48AC5897">
      <w:pPr>
        <w:snapToGrid w:val="0"/>
        <w:spacing w:line="360" w:lineRule="auto"/>
        <w:rPr>
          <w:rFonts w:ascii="宋体"/>
          <w:color w:val="auto"/>
          <w:szCs w:val="21"/>
          <w:highlight w:val="none"/>
        </w:rPr>
      </w:pPr>
    </w:p>
    <w:p w14:paraId="3BD2E946">
      <w:pPr>
        <w:snapToGrid w:val="0"/>
        <w:spacing w:line="360" w:lineRule="auto"/>
        <w:rPr>
          <w:rFonts w:hint="eastAsia" w:ascii="宋体" w:eastAsia="宋体"/>
          <w:color w:val="auto"/>
          <w:szCs w:val="21"/>
          <w:highlight w:val="none"/>
          <w:lang w:eastAsia="zh-CN"/>
        </w:rPr>
      </w:pPr>
      <w:r>
        <w:rPr>
          <w:rFonts w:hint="eastAsia" w:ascii="宋体"/>
          <w:color w:val="auto"/>
          <w:szCs w:val="21"/>
          <w:highlight w:val="none"/>
        </w:rPr>
        <w:t>项目名称：</w:t>
      </w:r>
      <w:r>
        <w:rPr>
          <w:rFonts w:hint="eastAsia" w:ascii="宋体"/>
          <w:color w:val="auto"/>
          <w:szCs w:val="21"/>
          <w:highlight w:val="none"/>
          <w:u w:val="single"/>
          <w:lang w:eastAsia="zh-CN"/>
        </w:rPr>
        <w:t>宁波高新区求精书院理化生实验室（初中部）设施设备采购项目（二期）</w:t>
      </w:r>
    </w:p>
    <w:p w14:paraId="4E2D82C6">
      <w:pPr>
        <w:snapToGrid w:val="0"/>
        <w:spacing w:line="400" w:lineRule="exact"/>
        <w:rPr>
          <w:rFonts w:ascii="宋体"/>
          <w:color w:val="auto"/>
          <w:szCs w:val="21"/>
          <w:highlight w:val="none"/>
        </w:rPr>
      </w:pPr>
      <w:r>
        <w:rPr>
          <w:rFonts w:hint="eastAsia" w:ascii="宋体"/>
          <w:color w:val="auto"/>
          <w:szCs w:val="21"/>
          <w:highlight w:val="none"/>
        </w:rPr>
        <w:t>采购编号：</w:t>
      </w:r>
      <w:r>
        <w:rPr>
          <w:rFonts w:hint="eastAsia" w:ascii="宋体"/>
          <w:color w:val="auto"/>
          <w:szCs w:val="21"/>
          <w:highlight w:val="none"/>
          <w:u w:val="single"/>
          <w:lang w:eastAsia="zh-CN"/>
        </w:rPr>
        <w:t>NBITC-202530765G</w:t>
      </w:r>
      <w:r>
        <w:rPr>
          <w:rFonts w:hint="eastAsia" w:ascii="宋体"/>
          <w:color w:val="auto"/>
          <w:szCs w:val="21"/>
          <w:highlight w:val="none"/>
        </w:rPr>
        <w:t xml:space="preserve">                                </w:t>
      </w:r>
    </w:p>
    <w:p w14:paraId="4A6906D4">
      <w:pPr>
        <w:snapToGrid w:val="0"/>
        <w:spacing w:line="400" w:lineRule="exact"/>
        <w:rPr>
          <w:rFonts w:ascii="宋体"/>
          <w:color w:val="auto"/>
          <w:szCs w:val="21"/>
          <w:highlight w:val="none"/>
        </w:rPr>
      </w:pPr>
    </w:p>
    <w:tbl>
      <w:tblPr>
        <w:tblStyle w:val="42"/>
        <w:tblW w:w="9441" w:type="dxa"/>
        <w:tblInd w:w="-201"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4743"/>
        <w:gridCol w:w="1985"/>
        <w:gridCol w:w="1477"/>
      </w:tblGrid>
      <w:tr w14:paraId="6D2F39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14:paraId="0D346E4A">
            <w:pPr>
              <w:snapToGrid w:val="0"/>
              <w:spacing w:line="400" w:lineRule="exact"/>
              <w:jc w:val="center"/>
              <w:rPr>
                <w:rFonts w:ascii="宋体"/>
                <w:color w:val="auto"/>
                <w:spacing w:val="20"/>
                <w:szCs w:val="21"/>
                <w:highlight w:val="none"/>
              </w:rPr>
            </w:pPr>
            <w:r>
              <w:rPr>
                <w:rFonts w:hint="eastAsia" w:ascii="宋体"/>
                <w:color w:val="auto"/>
                <w:spacing w:val="20"/>
                <w:szCs w:val="21"/>
                <w:highlight w:val="none"/>
              </w:rPr>
              <w:t>序号</w:t>
            </w:r>
          </w:p>
        </w:tc>
        <w:tc>
          <w:tcPr>
            <w:tcW w:w="4743" w:type="dxa"/>
            <w:vAlign w:val="center"/>
          </w:tcPr>
          <w:p w14:paraId="42B0E60D">
            <w:pPr>
              <w:snapToGrid w:val="0"/>
              <w:spacing w:line="400" w:lineRule="exact"/>
              <w:jc w:val="center"/>
              <w:rPr>
                <w:rFonts w:ascii="宋体"/>
                <w:color w:val="auto"/>
                <w:spacing w:val="20"/>
                <w:szCs w:val="21"/>
                <w:highlight w:val="none"/>
              </w:rPr>
            </w:pPr>
            <w:r>
              <w:rPr>
                <w:rFonts w:hint="eastAsia" w:ascii="宋体"/>
                <w:color w:val="auto"/>
                <w:spacing w:val="20"/>
                <w:szCs w:val="21"/>
                <w:highlight w:val="none"/>
              </w:rPr>
              <w:t>招标要求</w:t>
            </w:r>
          </w:p>
        </w:tc>
        <w:tc>
          <w:tcPr>
            <w:tcW w:w="1985" w:type="dxa"/>
            <w:vAlign w:val="center"/>
          </w:tcPr>
          <w:p w14:paraId="31896A27">
            <w:pPr>
              <w:snapToGrid w:val="0"/>
              <w:spacing w:line="400" w:lineRule="exact"/>
              <w:jc w:val="center"/>
              <w:rPr>
                <w:rFonts w:ascii="宋体"/>
                <w:color w:val="auto"/>
                <w:spacing w:val="20"/>
                <w:szCs w:val="21"/>
                <w:highlight w:val="none"/>
              </w:rPr>
            </w:pPr>
            <w:r>
              <w:rPr>
                <w:rFonts w:hint="eastAsia" w:ascii="宋体"/>
                <w:color w:val="auto"/>
                <w:spacing w:val="20"/>
                <w:szCs w:val="21"/>
                <w:highlight w:val="none"/>
              </w:rPr>
              <w:t>投标响应</w:t>
            </w:r>
          </w:p>
        </w:tc>
        <w:tc>
          <w:tcPr>
            <w:tcW w:w="1477" w:type="dxa"/>
            <w:vAlign w:val="center"/>
          </w:tcPr>
          <w:p w14:paraId="6308C2E9">
            <w:pPr>
              <w:snapToGrid w:val="0"/>
              <w:spacing w:line="400" w:lineRule="exact"/>
              <w:jc w:val="center"/>
              <w:rPr>
                <w:rFonts w:ascii="宋体"/>
                <w:color w:val="auto"/>
                <w:spacing w:val="20"/>
                <w:szCs w:val="21"/>
                <w:highlight w:val="none"/>
              </w:rPr>
            </w:pPr>
            <w:r>
              <w:rPr>
                <w:rFonts w:hint="eastAsia" w:ascii="宋体"/>
                <w:color w:val="auto"/>
                <w:spacing w:val="20"/>
                <w:szCs w:val="21"/>
                <w:highlight w:val="none"/>
              </w:rPr>
              <w:t>偏离说明</w:t>
            </w:r>
          </w:p>
        </w:tc>
      </w:tr>
      <w:tr w14:paraId="248D9F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14:paraId="7EE58FA8">
            <w:pPr>
              <w:snapToGrid w:val="0"/>
              <w:spacing w:line="400" w:lineRule="exact"/>
              <w:jc w:val="center"/>
              <w:rPr>
                <w:rFonts w:ascii="宋体"/>
                <w:color w:val="auto"/>
                <w:spacing w:val="20"/>
                <w:szCs w:val="21"/>
                <w:highlight w:val="none"/>
              </w:rPr>
            </w:pPr>
          </w:p>
        </w:tc>
        <w:tc>
          <w:tcPr>
            <w:tcW w:w="4743" w:type="dxa"/>
          </w:tcPr>
          <w:p w14:paraId="7AACFFD8">
            <w:pPr>
              <w:spacing w:line="360" w:lineRule="auto"/>
              <w:rPr>
                <w:b/>
                <w:bCs/>
                <w:color w:val="auto"/>
                <w:highlight w:val="none"/>
              </w:rPr>
            </w:pPr>
          </w:p>
        </w:tc>
        <w:tc>
          <w:tcPr>
            <w:tcW w:w="1985" w:type="dxa"/>
            <w:vAlign w:val="center"/>
          </w:tcPr>
          <w:p w14:paraId="144756F1">
            <w:pPr>
              <w:snapToGrid w:val="0"/>
              <w:spacing w:line="400" w:lineRule="exact"/>
              <w:jc w:val="center"/>
              <w:rPr>
                <w:rFonts w:ascii="宋体"/>
                <w:color w:val="auto"/>
                <w:spacing w:val="20"/>
                <w:szCs w:val="21"/>
                <w:highlight w:val="none"/>
              </w:rPr>
            </w:pPr>
          </w:p>
        </w:tc>
        <w:tc>
          <w:tcPr>
            <w:tcW w:w="1477" w:type="dxa"/>
            <w:vAlign w:val="center"/>
          </w:tcPr>
          <w:p w14:paraId="718E4C06">
            <w:pPr>
              <w:snapToGrid w:val="0"/>
              <w:spacing w:line="400" w:lineRule="exact"/>
              <w:jc w:val="center"/>
              <w:rPr>
                <w:rFonts w:ascii="宋体"/>
                <w:color w:val="auto"/>
                <w:spacing w:val="20"/>
                <w:szCs w:val="21"/>
                <w:highlight w:val="none"/>
              </w:rPr>
            </w:pPr>
          </w:p>
        </w:tc>
      </w:tr>
      <w:tr w14:paraId="6E5527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14:paraId="3D3F1BBA">
            <w:pPr>
              <w:snapToGrid w:val="0"/>
              <w:spacing w:line="400" w:lineRule="exact"/>
              <w:jc w:val="center"/>
              <w:rPr>
                <w:rFonts w:ascii="宋体"/>
                <w:color w:val="auto"/>
                <w:spacing w:val="20"/>
                <w:szCs w:val="21"/>
                <w:highlight w:val="none"/>
              </w:rPr>
            </w:pPr>
          </w:p>
        </w:tc>
        <w:tc>
          <w:tcPr>
            <w:tcW w:w="4743" w:type="dxa"/>
          </w:tcPr>
          <w:p w14:paraId="5FBC2F0D">
            <w:pPr>
              <w:spacing w:line="360" w:lineRule="auto"/>
              <w:rPr>
                <w:color w:val="auto"/>
                <w:highlight w:val="none"/>
              </w:rPr>
            </w:pPr>
          </w:p>
        </w:tc>
        <w:tc>
          <w:tcPr>
            <w:tcW w:w="1985" w:type="dxa"/>
            <w:vAlign w:val="center"/>
          </w:tcPr>
          <w:p w14:paraId="67408B4A">
            <w:pPr>
              <w:snapToGrid w:val="0"/>
              <w:spacing w:line="400" w:lineRule="exact"/>
              <w:jc w:val="center"/>
              <w:rPr>
                <w:rFonts w:ascii="宋体"/>
                <w:color w:val="auto"/>
                <w:spacing w:val="20"/>
                <w:szCs w:val="21"/>
                <w:highlight w:val="none"/>
              </w:rPr>
            </w:pPr>
          </w:p>
        </w:tc>
        <w:tc>
          <w:tcPr>
            <w:tcW w:w="1477" w:type="dxa"/>
            <w:vAlign w:val="center"/>
          </w:tcPr>
          <w:p w14:paraId="007A9848">
            <w:pPr>
              <w:snapToGrid w:val="0"/>
              <w:spacing w:line="400" w:lineRule="exact"/>
              <w:jc w:val="center"/>
              <w:rPr>
                <w:rFonts w:ascii="宋体"/>
                <w:color w:val="auto"/>
                <w:spacing w:val="20"/>
                <w:szCs w:val="21"/>
                <w:highlight w:val="none"/>
              </w:rPr>
            </w:pPr>
          </w:p>
        </w:tc>
      </w:tr>
      <w:tr w14:paraId="2789D7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14:paraId="733BDE4B">
            <w:pPr>
              <w:snapToGrid w:val="0"/>
              <w:spacing w:line="400" w:lineRule="exact"/>
              <w:jc w:val="center"/>
              <w:rPr>
                <w:rFonts w:ascii="宋体"/>
                <w:color w:val="auto"/>
                <w:spacing w:val="20"/>
                <w:szCs w:val="21"/>
                <w:highlight w:val="none"/>
              </w:rPr>
            </w:pPr>
          </w:p>
        </w:tc>
        <w:tc>
          <w:tcPr>
            <w:tcW w:w="4743" w:type="dxa"/>
          </w:tcPr>
          <w:p w14:paraId="3C43E17C">
            <w:pPr>
              <w:spacing w:line="360" w:lineRule="auto"/>
              <w:rPr>
                <w:color w:val="auto"/>
                <w:highlight w:val="none"/>
              </w:rPr>
            </w:pPr>
          </w:p>
        </w:tc>
        <w:tc>
          <w:tcPr>
            <w:tcW w:w="1985" w:type="dxa"/>
            <w:vAlign w:val="center"/>
          </w:tcPr>
          <w:p w14:paraId="1298B037">
            <w:pPr>
              <w:snapToGrid w:val="0"/>
              <w:spacing w:line="400" w:lineRule="exact"/>
              <w:jc w:val="center"/>
              <w:rPr>
                <w:rFonts w:ascii="宋体"/>
                <w:color w:val="auto"/>
                <w:spacing w:val="20"/>
                <w:szCs w:val="21"/>
                <w:highlight w:val="none"/>
              </w:rPr>
            </w:pPr>
          </w:p>
        </w:tc>
        <w:tc>
          <w:tcPr>
            <w:tcW w:w="1477" w:type="dxa"/>
            <w:vAlign w:val="center"/>
          </w:tcPr>
          <w:p w14:paraId="72819C50">
            <w:pPr>
              <w:snapToGrid w:val="0"/>
              <w:spacing w:line="400" w:lineRule="exact"/>
              <w:jc w:val="center"/>
              <w:rPr>
                <w:rFonts w:ascii="宋体"/>
                <w:color w:val="auto"/>
                <w:spacing w:val="20"/>
                <w:szCs w:val="21"/>
                <w:highlight w:val="none"/>
              </w:rPr>
            </w:pPr>
          </w:p>
        </w:tc>
      </w:tr>
      <w:tr w14:paraId="262AB7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14:paraId="0F7CD858">
            <w:pPr>
              <w:snapToGrid w:val="0"/>
              <w:spacing w:line="400" w:lineRule="exact"/>
              <w:jc w:val="center"/>
              <w:rPr>
                <w:rFonts w:ascii="宋体"/>
                <w:color w:val="auto"/>
                <w:spacing w:val="20"/>
                <w:szCs w:val="21"/>
                <w:highlight w:val="none"/>
              </w:rPr>
            </w:pPr>
          </w:p>
        </w:tc>
        <w:tc>
          <w:tcPr>
            <w:tcW w:w="4743" w:type="dxa"/>
          </w:tcPr>
          <w:p w14:paraId="21A0C9E9">
            <w:pPr>
              <w:spacing w:line="360" w:lineRule="auto"/>
              <w:rPr>
                <w:color w:val="auto"/>
                <w:highlight w:val="none"/>
              </w:rPr>
            </w:pPr>
          </w:p>
        </w:tc>
        <w:tc>
          <w:tcPr>
            <w:tcW w:w="1985" w:type="dxa"/>
            <w:vAlign w:val="center"/>
          </w:tcPr>
          <w:p w14:paraId="7FDE7E26">
            <w:pPr>
              <w:snapToGrid w:val="0"/>
              <w:spacing w:line="400" w:lineRule="exact"/>
              <w:jc w:val="center"/>
              <w:rPr>
                <w:rFonts w:ascii="宋体"/>
                <w:color w:val="auto"/>
                <w:spacing w:val="20"/>
                <w:szCs w:val="21"/>
                <w:highlight w:val="none"/>
              </w:rPr>
            </w:pPr>
          </w:p>
        </w:tc>
        <w:tc>
          <w:tcPr>
            <w:tcW w:w="1477" w:type="dxa"/>
            <w:vAlign w:val="center"/>
          </w:tcPr>
          <w:p w14:paraId="06942653">
            <w:pPr>
              <w:snapToGrid w:val="0"/>
              <w:spacing w:line="400" w:lineRule="exact"/>
              <w:jc w:val="center"/>
              <w:rPr>
                <w:rFonts w:ascii="宋体"/>
                <w:color w:val="auto"/>
                <w:spacing w:val="20"/>
                <w:szCs w:val="21"/>
                <w:highlight w:val="none"/>
              </w:rPr>
            </w:pPr>
          </w:p>
        </w:tc>
      </w:tr>
      <w:tr w14:paraId="64A33A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6" w:type="dxa"/>
            <w:vAlign w:val="center"/>
          </w:tcPr>
          <w:p w14:paraId="502D8960">
            <w:pPr>
              <w:snapToGrid w:val="0"/>
              <w:spacing w:line="400" w:lineRule="exact"/>
              <w:jc w:val="center"/>
              <w:rPr>
                <w:rFonts w:ascii="宋体"/>
                <w:color w:val="auto"/>
                <w:spacing w:val="20"/>
                <w:szCs w:val="21"/>
                <w:highlight w:val="none"/>
              </w:rPr>
            </w:pPr>
          </w:p>
        </w:tc>
        <w:tc>
          <w:tcPr>
            <w:tcW w:w="4743" w:type="dxa"/>
          </w:tcPr>
          <w:p w14:paraId="2959B54B">
            <w:pPr>
              <w:spacing w:line="360" w:lineRule="auto"/>
              <w:rPr>
                <w:color w:val="auto"/>
                <w:highlight w:val="none"/>
              </w:rPr>
            </w:pPr>
          </w:p>
        </w:tc>
        <w:tc>
          <w:tcPr>
            <w:tcW w:w="1985" w:type="dxa"/>
            <w:vAlign w:val="center"/>
          </w:tcPr>
          <w:p w14:paraId="10221C68">
            <w:pPr>
              <w:snapToGrid w:val="0"/>
              <w:spacing w:line="400" w:lineRule="exact"/>
              <w:jc w:val="center"/>
              <w:rPr>
                <w:rFonts w:ascii="宋体"/>
                <w:color w:val="auto"/>
                <w:spacing w:val="20"/>
                <w:szCs w:val="21"/>
                <w:highlight w:val="none"/>
              </w:rPr>
            </w:pPr>
          </w:p>
        </w:tc>
        <w:tc>
          <w:tcPr>
            <w:tcW w:w="1477" w:type="dxa"/>
            <w:vAlign w:val="center"/>
          </w:tcPr>
          <w:p w14:paraId="08E2BADB">
            <w:pPr>
              <w:snapToGrid w:val="0"/>
              <w:spacing w:line="400" w:lineRule="exact"/>
              <w:jc w:val="center"/>
              <w:rPr>
                <w:rFonts w:ascii="宋体"/>
                <w:color w:val="auto"/>
                <w:spacing w:val="20"/>
                <w:szCs w:val="21"/>
                <w:highlight w:val="none"/>
              </w:rPr>
            </w:pPr>
          </w:p>
        </w:tc>
      </w:tr>
    </w:tbl>
    <w:p w14:paraId="1AB5E7B4">
      <w:pPr>
        <w:snapToGrid w:val="0"/>
        <w:spacing w:line="400" w:lineRule="exact"/>
        <w:rPr>
          <w:rFonts w:ascii="宋体"/>
          <w:color w:val="auto"/>
          <w:spacing w:val="20"/>
          <w:szCs w:val="21"/>
          <w:highlight w:val="none"/>
        </w:rPr>
      </w:pPr>
      <w:r>
        <w:rPr>
          <w:rFonts w:hint="eastAsia" w:ascii="宋体"/>
          <w:color w:val="auto"/>
          <w:szCs w:val="21"/>
          <w:highlight w:val="none"/>
        </w:rPr>
        <w:t>注：须与“第四章</w:t>
      </w:r>
      <w:r>
        <w:rPr>
          <w:rFonts w:hint="eastAsia"/>
          <w:color w:val="auto"/>
          <w:highlight w:val="none"/>
        </w:rPr>
        <w:t>招标内容及技术需求</w:t>
      </w:r>
      <w:r>
        <w:rPr>
          <w:rFonts w:hint="eastAsia" w:ascii="宋体"/>
          <w:color w:val="auto"/>
          <w:szCs w:val="21"/>
          <w:highlight w:val="none"/>
        </w:rPr>
        <w:t>”逐项比较，如有偏离的，须在本表中列明，并提供详细的偏离说明。如投标人未在本表中列出偏离说明，即使其在投标文件的其他部分说明与采购文件要求有所不同或回避不答，亦视为完全符合采购文件中所要求的最佳值并写入合同。若</w:t>
      </w:r>
      <w:r>
        <w:rPr>
          <w:rFonts w:hint="eastAsia" w:ascii="宋体"/>
          <w:color w:val="auto"/>
          <w:szCs w:val="21"/>
          <w:highlight w:val="none"/>
          <w:lang w:eastAsia="zh-CN"/>
        </w:rPr>
        <w:t>中标供应商</w:t>
      </w:r>
      <w:r>
        <w:rPr>
          <w:rFonts w:hint="eastAsia" w:ascii="宋体"/>
          <w:color w:val="auto"/>
          <w:szCs w:val="21"/>
          <w:highlight w:val="none"/>
        </w:rPr>
        <w:t>在定标及合同签订前，以上述事项为借口而不履行合同签订手续及执行合同，则视作其放弃中标资格。</w:t>
      </w:r>
    </w:p>
    <w:p w14:paraId="6A30730A">
      <w:pPr>
        <w:snapToGrid w:val="0"/>
        <w:spacing w:line="400" w:lineRule="exact"/>
        <w:rPr>
          <w:rFonts w:ascii="宋体"/>
          <w:color w:val="auto"/>
          <w:spacing w:val="20"/>
          <w:szCs w:val="21"/>
          <w:highlight w:val="none"/>
        </w:rPr>
      </w:pPr>
    </w:p>
    <w:p w14:paraId="2B210078">
      <w:pPr>
        <w:spacing w:line="400" w:lineRule="atLeast"/>
        <w:rPr>
          <w:rFonts w:ascii="宋体"/>
          <w:color w:val="auto"/>
          <w:szCs w:val="21"/>
          <w:highlight w:val="none"/>
        </w:rPr>
      </w:pPr>
      <w:r>
        <w:rPr>
          <w:rFonts w:hint="eastAsia" w:ascii="宋体"/>
          <w:color w:val="auto"/>
          <w:szCs w:val="21"/>
          <w:highlight w:val="none"/>
        </w:rPr>
        <w:t>投标人（盖章）：</w:t>
      </w:r>
    </w:p>
    <w:p w14:paraId="13B6DAC1">
      <w:pPr>
        <w:spacing w:line="400" w:lineRule="atLeast"/>
        <w:rPr>
          <w:rFonts w:ascii="宋体"/>
          <w:color w:val="auto"/>
          <w:szCs w:val="21"/>
          <w:highlight w:val="none"/>
        </w:rPr>
      </w:pPr>
      <w:r>
        <w:rPr>
          <w:rFonts w:hint="eastAsia" w:ascii="宋体"/>
          <w:color w:val="auto"/>
          <w:szCs w:val="21"/>
          <w:highlight w:val="none"/>
        </w:rPr>
        <w:t>日          期：</w:t>
      </w:r>
    </w:p>
    <w:p w14:paraId="175C7321">
      <w:pPr>
        <w:snapToGrid w:val="0"/>
        <w:spacing w:line="400" w:lineRule="exact"/>
        <w:ind w:firstLine="4680" w:firstLineChars="1950"/>
        <w:rPr>
          <w:rFonts w:ascii="宋体"/>
          <w:color w:val="auto"/>
          <w:szCs w:val="21"/>
          <w:highlight w:val="none"/>
        </w:rPr>
      </w:pPr>
    </w:p>
    <w:p w14:paraId="45725150">
      <w:pPr>
        <w:spacing w:line="400" w:lineRule="exact"/>
        <w:ind w:firstLine="4680" w:firstLineChars="1950"/>
        <w:rPr>
          <w:rFonts w:ascii="宋体"/>
          <w:color w:val="auto"/>
          <w:szCs w:val="21"/>
          <w:highlight w:val="none"/>
        </w:rPr>
      </w:pPr>
    </w:p>
    <w:p w14:paraId="1139AF91">
      <w:pPr>
        <w:snapToGrid w:val="0"/>
        <w:spacing w:line="400" w:lineRule="exact"/>
        <w:rPr>
          <w:rFonts w:ascii="宋体"/>
          <w:color w:val="auto"/>
          <w:szCs w:val="21"/>
          <w:highlight w:val="none"/>
          <w:u w:val="single"/>
        </w:rPr>
      </w:pPr>
    </w:p>
    <w:p w14:paraId="01849940">
      <w:pPr>
        <w:spacing w:line="360" w:lineRule="auto"/>
        <w:rPr>
          <w:rFonts w:ascii="宋体"/>
          <w:color w:val="auto"/>
          <w:szCs w:val="21"/>
          <w:highlight w:val="none"/>
        </w:rPr>
      </w:pPr>
    </w:p>
    <w:p w14:paraId="3A026AB2">
      <w:pPr>
        <w:spacing w:line="360" w:lineRule="auto"/>
        <w:rPr>
          <w:rFonts w:ascii="宋体"/>
          <w:color w:val="auto"/>
          <w:szCs w:val="21"/>
          <w:highlight w:val="none"/>
        </w:rPr>
      </w:pPr>
    </w:p>
    <w:p w14:paraId="271D744D">
      <w:pPr>
        <w:spacing w:line="360" w:lineRule="auto"/>
        <w:jc w:val="center"/>
        <w:rPr>
          <w:rFonts w:ascii="宋体"/>
          <w:color w:val="auto"/>
          <w:szCs w:val="21"/>
          <w:highlight w:val="none"/>
        </w:rPr>
      </w:pPr>
      <w:r>
        <w:rPr>
          <w:rFonts w:hint="eastAsia" w:ascii="宋体"/>
          <w:color w:val="auto"/>
          <w:szCs w:val="21"/>
          <w:highlight w:val="none"/>
        </w:rPr>
        <w:br w:type="page"/>
      </w:r>
    </w:p>
    <w:p w14:paraId="59621EC1">
      <w:pPr>
        <w:spacing w:line="360" w:lineRule="auto"/>
        <w:jc w:val="center"/>
        <w:rPr>
          <w:rFonts w:ascii="宋体"/>
          <w:b/>
          <w:color w:val="auto"/>
          <w:szCs w:val="21"/>
          <w:highlight w:val="none"/>
        </w:rPr>
      </w:pPr>
      <w:r>
        <w:rPr>
          <w:rFonts w:hint="eastAsia" w:ascii="宋体"/>
          <w:b/>
          <w:color w:val="auto"/>
          <w:szCs w:val="21"/>
          <w:highlight w:val="none"/>
        </w:rPr>
        <w:t>B6商务条款</w:t>
      </w:r>
      <w:r>
        <w:rPr>
          <w:rFonts w:hint="eastAsia" w:ascii="宋体"/>
          <w:b/>
          <w:color w:val="auto"/>
          <w:szCs w:val="21"/>
          <w:highlight w:val="none"/>
          <w:lang w:val="en-US" w:eastAsia="zh-CN"/>
        </w:rPr>
        <w:t>偏离</w:t>
      </w:r>
      <w:r>
        <w:rPr>
          <w:rFonts w:hint="eastAsia" w:ascii="宋体"/>
          <w:b/>
          <w:color w:val="auto"/>
          <w:szCs w:val="21"/>
          <w:highlight w:val="none"/>
        </w:rPr>
        <w:t>表</w:t>
      </w:r>
    </w:p>
    <w:p w14:paraId="1A6EBA59">
      <w:pPr>
        <w:snapToGrid w:val="0"/>
        <w:spacing w:line="360" w:lineRule="auto"/>
        <w:rPr>
          <w:rFonts w:ascii="宋体"/>
          <w:color w:val="auto"/>
          <w:szCs w:val="21"/>
          <w:highlight w:val="none"/>
        </w:rPr>
      </w:pPr>
    </w:p>
    <w:p w14:paraId="25943130">
      <w:pPr>
        <w:snapToGrid w:val="0"/>
        <w:spacing w:line="360" w:lineRule="auto"/>
        <w:rPr>
          <w:rFonts w:hint="eastAsia" w:ascii="宋体" w:eastAsia="宋体"/>
          <w:color w:val="auto"/>
          <w:szCs w:val="21"/>
          <w:highlight w:val="none"/>
          <w:lang w:eastAsia="zh-CN"/>
        </w:rPr>
      </w:pPr>
      <w:r>
        <w:rPr>
          <w:rFonts w:hint="eastAsia" w:ascii="宋体"/>
          <w:color w:val="auto"/>
          <w:szCs w:val="21"/>
          <w:highlight w:val="none"/>
        </w:rPr>
        <w:t>项目名称：</w:t>
      </w:r>
      <w:r>
        <w:rPr>
          <w:rFonts w:hint="eastAsia" w:ascii="宋体"/>
          <w:color w:val="auto"/>
          <w:szCs w:val="21"/>
          <w:highlight w:val="none"/>
          <w:u w:val="single"/>
          <w:lang w:eastAsia="zh-CN"/>
        </w:rPr>
        <w:t>宁波高新区求精书院理化生实验室（初中部）设施设备采购项目（二期）</w:t>
      </w:r>
    </w:p>
    <w:p w14:paraId="0B762CC5">
      <w:pPr>
        <w:snapToGrid w:val="0"/>
        <w:spacing w:line="400" w:lineRule="exact"/>
        <w:rPr>
          <w:rFonts w:ascii="宋体"/>
          <w:color w:val="auto"/>
          <w:szCs w:val="21"/>
          <w:highlight w:val="none"/>
        </w:rPr>
      </w:pPr>
      <w:r>
        <w:rPr>
          <w:rFonts w:hint="eastAsia" w:ascii="宋体"/>
          <w:color w:val="auto"/>
          <w:szCs w:val="21"/>
          <w:highlight w:val="none"/>
        </w:rPr>
        <w:t>采购编号：</w:t>
      </w:r>
      <w:r>
        <w:rPr>
          <w:rFonts w:hint="eastAsia" w:ascii="宋体"/>
          <w:color w:val="auto"/>
          <w:szCs w:val="21"/>
          <w:highlight w:val="none"/>
          <w:u w:val="single"/>
          <w:lang w:eastAsia="zh-CN"/>
        </w:rPr>
        <w:t>NBITC-202530765G</w:t>
      </w:r>
      <w:r>
        <w:rPr>
          <w:rFonts w:hint="eastAsia" w:ascii="宋体"/>
          <w:color w:val="auto"/>
          <w:szCs w:val="21"/>
          <w:highlight w:val="none"/>
        </w:rPr>
        <w:t xml:space="preserve">  </w:t>
      </w:r>
    </w:p>
    <w:tbl>
      <w:tblPr>
        <w:tblStyle w:val="42"/>
        <w:tblW w:w="9781" w:type="dxa"/>
        <w:tblInd w:w="-5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09"/>
        <w:gridCol w:w="1422"/>
        <w:gridCol w:w="5240"/>
        <w:gridCol w:w="1418"/>
        <w:gridCol w:w="992"/>
      </w:tblGrid>
      <w:tr w14:paraId="69EFB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31F99979">
            <w:pPr>
              <w:spacing w:line="240" w:lineRule="auto"/>
              <w:ind w:left="-36" w:leftChars="-15"/>
              <w:jc w:val="center"/>
              <w:rPr>
                <w:rFonts w:ascii="宋体"/>
                <w:color w:val="auto"/>
                <w:sz w:val="21"/>
                <w:szCs w:val="21"/>
                <w:highlight w:val="none"/>
              </w:rPr>
            </w:pPr>
            <w:r>
              <w:rPr>
                <w:rFonts w:hint="eastAsia" w:ascii="宋体"/>
                <w:color w:val="auto"/>
                <w:sz w:val="21"/>
                <w:szCs w:val="21"/>
                <w:highlight w:val="none"/>
              </w:rPr>
              <w:t>序号</w:t>
            </w:r>
          </w:p>
        </w:tc>
        <w:tc>
          <w:tcPr>
            <w:tcW w:w="1422" w:type="dxa"/>
            <w:vAlign w:val="center"/>
          </w:tcPr>
          <w:p w14:paraId="42E723F2">
            <w:pPr>
              <w:spacing w:line="240" w:lineRule="auto"/>
              <w:jc w:val="center"/>
              <w:rPr>
                <w:rFonts w:ascii="宋体"/>
                <w:color w:val="auto"/>
                <w:sz w:val="21"/>
                <w:szCs w:val="21"/>
                <w:highlight w:val="none"/>
              </w:rPr>
            </w:pPr>
            <w:r>
              <w:rPr>
                <w:rFonts w:hint="eastAsia" w:ascii="宋体"/>
                <w:color w:val="auto"/>
                <w:sz w:val="21"/>
                <w:szCs w:val="21"/>
                <w:highlight w:val="none"/>
              </w:rPr>
              <w:t>招标文件条目</w:t>
            </w:r>
          </w:p>
        </w:tc>
        <w:tc>
          <w:tcPr>
            <w:tcW w:w="5240" w:type="dxa"/>
            <w:vAlign w:val="center"/>
          </w:tcPr>
          <w:p w14:paraId="705311A4">
            <w:pPr>
              <w:spacing w:line="240" w:lineRule="auto"/>
              <w:jc w:val="center"/>
              <w:rPr>
                <w:rFonts w:ascii="宋体"/>
                <w:color w:val="auto"/>
                <w:sz w:val="21"/>
                <w:szCs w:val="21"/>
                <w:highlight w:val="none"/>
              </w:rPr>
            </w:pPr>
            <w:r>
              <w:rPr>
                <w:rFonts w:hint="eastAsia" w:ascii="宋体"/>
                <w:color w:val="auto"/>
                <w:sz w:val="21"/>
                <w:szCs w:val="21"/>
                <w:highlight w:val="none"/>
              </w:rPr>
              <w:t>招标文件的商务条款</w:t>
            </w:r>
          </w:p>
        </w:tc>
        <w:tc>
          <w:tcPr>
            <w:tcW w:w="1418" w:type="dxa"/>
            <w:vAlign w:val="center"/>
          </w:tcPr>
          <w:p w14:paraId="01E48A0D">
            <w:pPr>
              <w:spacing w:line="240" w:lineRule="auto"/>
              <w:jc w:val="center"/>
              <w:rPr>
                <w:rFonts w:ascii="宋体"/>
                <w:color w:val="auto"/>
                <w:sz w:val="21"/>
                <w:szCs w:val="21"/>
                <w:highlight w:val="none"/>
              </w:rPr>
            </w:pPr>
            <w:r>
              <w:rPr>
                <w:rFonts w:hint="eastAsia" w:ascii="宋体"/>
                <w:color w:val="auto"/>
                <w:sz w:val="21"/>
                <w:szCs w:val="21"/>
                <w:highlight w:val="none"/>
              </w:rPr>
              <w:t>投标文件的应答与偏离</w:t>
            </w:r>
          </w:p>
        </w:tc>
        <w:tc>
          <w:tcPr>
            <w:tcW w:w="992" w:type="dxa"/>
            <w:vAlign w:val="center"/>
          </w:tcPr>
          <w:p w14:paraId="16212142">
            <w:pPr>
              <w:spacing w:line="240" w:lineRule="auto"/>
              <w:jc w:val="center"/>
              <w:rPr>
                <w:rFonts w:ascii="宋体"/>
                <w:color w:val="auto"/>
                <w:sz w:val="21"/>
                <w:szCs w:val="21"/>
                <w:highlight w:val="none"/>
              </w:rPr>
            </w:pPr>
            <w:r>
              <w:rPr>
                <w:rFonts w:hint="eastAsia" w:ascii="宋体"/>
                <w:color w:val="auto"/>
                <w:sz w:val="21"/>
                <w:szCs w:val="21"/>
                <w:highlight w:val="none"/>
              </w:rPr>
              <w:t>说明</w:t>
            </w:r>
          </w:p>
        </w:tc>
      </w:tr>
      <w:tr w14:paraId="2BD0B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69A52366">
            <w:pPr>
              <w:spacing w:line="240" w:lineRule="auto"/>
              <w:ind w:left="-36" w:leftChars="-15"/>
              <w:jc w:val="center"/>
              <w:rPr>
                <w:rFonts w:ascii="宋体"/>
                <w:color w:val="auto"/>
                <w:sz w:val="21"/>
                <w:szCs w:val="21"/>
                <w:highlight w:val="none"/>
              </w:rPr>
            </w:pPr>
            <w:r>
              <w:rPr>
                <w:rFonts w:ascii="宋体"/>
                <w:color w:val="auto"/>
                <w:sz w:val="21"/>
                <w:szCs w:val="21"/>
                <w:highlight w:val="none"/>
              </w:rPr>
              <w:t>1</w:t>
            </w:r>
          </w:p>
        </w:tc>
        <w:tc>
          <w:tcPr>
            <w:tcW w:w="1422" w:type="dxa"/>
            <w:vAlign w:val="center"/>
          </w:tcPr>
          <w:p w14:paraId="53B72622">
            <w:pPr>
              <w:snapToGrid w:val="0"/>
              <w:spacing w:line="400" w:lineRule="exact"/>
              <w:jc w:val="center"/>
              <w:rPr>
                <w:rFonts w:ascii="宋体"/>
                <w:color w:val="auto"/>
                <w:sz w:val="21"/>
                <w:szCs w:val="21"/>
                <w:highlight w:val="none"/>
              </w:rPr>
            </w:pPr>
          </w:p>
        </w:tc>
        <w:tc>
          <w:tcPr>
            <w:tcW w:w="5240" w:type="dxa"/>
            <w:vAlign w:val="center"/>
          </w:tcPr>
          <w:p w14:paraId="05F547B7">
            <w:pPr>
              <w:spacing w:line="400" w:lineRule="exact"/>
              <w:rPr>
                <w:rFonts w:ascii="宋体"/>
                <w:color w:val="auto"/>
                <w:sz w:val="21"/>
                <w:szCs w:val="21"/>
                <w:highlight w:val="none"/>
              </w:rPr>
            </w:pPr>
          </w:p>
        </w:tc>
        <w:tc>
          <w:tcPr>
            <w:tcW w:w="1418" w:type="dxa"/>
            <w:vAlign w:val="center"/>
          </w:tcPr>
          <w:p w14:paraId="51F47778">
            <w:pPr>
              <w:spacing w:line="240" w:lineRule="auto"/>
              <w:jc w:val="center"/>
              <w:rPr>
                <w:rFonts w:ascii="宋体"/>
                <w:color w:val="auto"/>
                <w:sz w:val="21"/>
                <w:szCs w:val="21"/>
                <w:highlight w:val="none"/>
              </w:rPr>
            </w:pPr>
          </w:p>
        </w:tc>
        <w:tc>
          <w:tcPr>
            <w:tcW w:w="992" w:type="dxa"/>
            <w:vAlign w:val="center"/>
          </w:tcPr>
          <w:p w14:paraId="5B0D3F0E">
            <w:pPr>
              <w:spacing w:line="240" w:lineRule="auto"/>
              <w:jc w:val="center"/>
              <w:rPr>
                <w:rFonts w:ascii="宋体"/>
                <w:color w:val="auto"/>
                <w:sz w:val="21"/>
                <w:szCs w:val="21"/>
                <w:highlight w:val="none"/>
              </w:rPr>
            </w:pPr>
          </w:p>
        </w:tc>
      </w:tr>
      <w:tr w14:paraId="5E798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41B0D56E">
            <w:pPr>
              <w:spacing w:line="240" w:lineRule="auto"/>
              <w:ind w:left="-36" w:leftChars="-15"/>
              <w:jc w:val="center"/>
              <w:rPr>
                <w:rFonts w:ascii="宋体"/>
                <w:color w:val="auto"/>
                <w:sz w:val="21"/>
                <w:szCs w:val="21"/>
                <w:highlight w:val="none"/>
              </w:rPr>
            </w:pPr>
            <w:r>
              <w:rPr>
                <w:rFonts w:ascii="宋体"/>
                <w:color w:val="auto"/>
                <w:sz w:val="21"/>
                <w:szCs w:val="21"/>
                <w:highlight w:val="none"/>
              </w:rPr>
              <w:t>2</w:t>
            </w:r>
          </w:p>
        </w:tc>
        <w:tc>
          <w:tcPr>
            <w:tcW w:w="1422" w:type="dxa"/>
            <w:vAlign w:val="center"/>
          </w:tcPr>
          <w:p w14:paraId="497059EC">
            <w:pPr>
              <w:snapToGrid w:val="0"/>
              <w:spacing w:line="400" w:lineRule="exact"/>
              <w:jc w:val="center"/>
              <w:rPr>
                <w:rFonts w:ascii="宋体"/>
                <w:color w:val="auto"/>
                <w:kern w:val="2"/>
                <w:sz w:val="21"/>
                <w:szCs w:val="21"/>
                <w:highlight w:val="none"/>
              </w:rPr>
            </w:pPr>
          </w:p>
        </w:tc>
        <w:tc>
          <w:tcPr>
            <w:tcW w:w="5240" w:type="dxa"/>
            <w:vAlign w:val="center"/>
          </w:tcPr>
          <w:p w14:paraId="172032F2">
            <w:pPr>
              <w:pStyle w:val="17"/>
              <w:spacing w:line="360" w:lineRule="auto"/>
              <w:rPr>
                <w:rFonts w:ascii="宋体" w:hAnsi="宋体"/>
                <w:color w:val="auto"/>
                <w:sz w:val="21"/>
                <w:szCs w:val="21"/>
                <w:highlight w:val="none"/>
              </w:rPr>
            </w:pPr>
          </w:p>
        </w:tc>
        <w:tc>
          <w:tcPr>
            <w:tcW w:w="1418" w:type="dxa"/>
            <w:vAlign w:val="center"/>
          </w:tcPr>
          <w:p w14:paraId="0365FAA6">
            <w:pPr>
              <w:spacing w:line="240" w:lineRule="auto"/>
              <w:jc w:val="center"/>
              <w:rPr>
                <w:rFonts w:ascii="宋体"/>
                <w:color w:val="auto"/>
                <w:sz w:val="21"/>
                <w:szCs w:val="21"/>
                <w:highlight w:val="none"/>
              </w:rPr>
            </w:pPr>
          </w:p>
        </w:tc>
        <w:tc>
          <w:tcPr>
            <w:tcW w:w="992" w:type="dxa"/>
            <w:vAlign w:val="center"/>
          </w:tcPr>
          <w:p w14:paraId="20D29849">
            <w:pPr>
              <w:spacing w:line="240" w:lineRule="auto"/>
              <w:jc w:val="center"/>
              <w:rPr>
                <w:rFonts w:ascii="宋体"/>
                <w:color w:val="auto"/>
                <w:sz w:val="21"/>
                <w:szCs w:val="21"/>
                <w:highlight w:val="none"/>
              </w:rPr>
            </w:pPr>
          </w:p>
        </w:tc>
      </w:tr>
      <w:tr w14:paraId="75799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1619CA7A">
            <w:pPr>
              <w:spacing w:line="240" w:lineRule="auto"/>
              <w:ind w:left="-36" w:leftChars="-15"/>
              <w:jc w:val="center"/>
              <w:rPr>
                <w:rFonts w:ascii="宋体"/>
                <w:color w:val="auto"/>
                <w:sz w:val="21"/>
                <w:szCs w:val="21"/>
                <w:highlight w:val="none"/>
              </w:rPr>
            </w:pPr>
            <w:r>
              <w:rPr>
                <w:rFonts w:hint="eastAsia" w:ascii="宋体"/>
                <w:color w:val="auto"/>
                <w:sz w:val="21"/>
                <w:szCs w:val="21"/>
                <w:highlight w:val="none"/>
              </w:rPr>
              <w:t>3</w:t>
            </w:r>
          </w:p>
        </w:tc>
        <w:tc>
          <w:tcPr>
            <w:tcW w:w="1422" w:type="dxa"/>
            <w:vAlign w:val="center"/>
          </w:tcPr>
          <w:p w14:paraId="646BBA94">
            <w:pPr>
              <w:snapToGrid w:val="0"/>
              <w:spacing w:line="400" w:lineRule="exact"/>
              <w:jc w:val="center"/>
              <w:rPr>
                <w:rFonts w:ascii="宋体"/>
                <w:color w:val="auto"/>
                <w:sz w:val="21"/>
                <w:szCs w:val="21"/>
                <w:highlight w:val="none"/>
              </w:rPr>
            </w:pPr>
          </w:p>
        </w:tc>
        <w:tc>
          <w:tcPr>
            <w:tcW w:w="5240" w:type="dxa"/>
            <w:vAlign w:val="center"/>
          </w:tcPr>
          <w:p w14:paraId="513F9935">
            <w:pPr>
              <w:spacing w:line="360" w:lineRule="auto"/>
              <w:rPr>
                <w:rFonts w:ascii="宋体"/>
                <w:color w:val="auto"/>
                <w:sz w:val="21"/>
                <w:szCs w:val="21"/>
                <w:highlight w:val="none"/>
              </w:rPr>
            </w:pPr>
          </w:p>
        </w:tc>
        <w:tc>
          <w:tcPr>
            <w:tcW w:w="1418" w:type="dxa"/>
            <w:vAlign w:val="center"/>
          </w:tcPr>
          <w:p w14:paraId="3A806567">
            <w:pPr>
              <w:spacing w:line="240" w:lineRule="auto"/>
              <w:jc w:val="center"/>
              <w:rPr>
                <w:rFonts w:ascii="宋体"/>
                <w:color w:val="auto"/>
                <w:sz w:val="21"/>
                <w:szCs w:val="21"/>
                <w:highlight w:val="none"/>
              </w:rPr>
            </w:pPr>
          </w:p>
        </w:tc>
        <w:tc>
          <w:tcPr>
            <w:tcW w:w="992" w:type="dxa"/>
            <w:vAlign w:val="center"/>
          </w:tcPr>
          <w:p w14:paraId="5309B3C6">
            <w:pPr>
              <w:spacing w:line="240" w:lineRule="auto"/>
              <w:jc w:val="center"/>
              <w:rPr>
                <w:rFonts w:ascii="宋体"/>
                <w:color w:val="auto"/>
                <w:sz w:val="21"/>
                <w:szCs w:val="21"/>
                <w:highlight w:val="none"/>
              </w:rPr>
            </w:pPr>
          </w:p>
        </w:tc>
      </w:tr>
      <w:tr w14:paraId="427FC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624FAEC7">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4</w:t>
            </w:r>
          </w:p>
        </w:tc>
        <w:tc>
          <w:tcPr>
            <w:tcW w:w="1422" w:type="dxa"/>
            <w:vAlign w:val="center"/>
          </w:tcPr>
          <w:p w14:paraId="548D8895">
            <w:pPr>
              <w:snapToGrid w:val="0"/>
              <w:spacing w:line="400" w:lineRule="exact"/>
              <w:jc w:val="center"/>
              <w:rPr>
                <w:rFonts w:ascii="宋体"/>
                <w:color w:val="auto"/>
                <w:sz w:val="21"/>
                <w:szCs w:val="21"/>
                <w:highlight w:val="none"/>
              </w:rPr>
            </w:pPr>
          </w:p>
        </w:tc>
        <w:tc>
          <w:tcPr>
            <w:tcW w:w="5240" w:type="dxa"/>
            <w:vAlign w:val="center"/>
          </w:tcPr>
          <w:p w14:paraId="38E80D70">
            <w:pPr>
              <w:pStyle w:val="17"/>
              <w:spacing w:line="400" w:lineRule="exact"/>
              <w:rPr>
                <w:rFonts w:ascii="宋体"/>
                <w:color w:val="auto"/>
                <w:sz w:val="21"/>
                <w:szCs w:val="21"/>
                <w:highlight w:val="none"/>
              </w:rPr>
            </w:pPr>
          </w:p>
        </w:tc>
        <w:tc>
          <w:tcPr>
            <w:tcW w:w="1418" w:type="dxa"/>
            <w:vAlign w:val="center"/>
          </w:tcPr>
          <w:p w14:paraId="3F69F09B">
            <w:pPr>
              <w:spacing w:line="240" w:lineRule="auto"/>
              <w:jc w:val="center"/>
              <w:rPr>
                <w:rFonts w:ascii="宋体"/>
                <w:color w:val="auto"/>
                <w:sz w:val="21"/>
                <w:szCs w:val="21"/>
                <w:highlight w:val="none"/>
              </w:rPr>
            </w:pPr>
          </w:p>
        </w:tc>
        <w:tc>
          <w:tcPr>
            <w:tcW w:w="992" w:type="dxa"/>
            <w:vAlign w:val="center"/>
          </w:tcPr>
          <w:p w14:paraId="4B9C4410">
            <w:pPr>
              <w:spacing w:line="240" w:lineRule="auto"/>
              <w:jc w:val="center"/>
              <w:rPr>
                <w:rFonts w:ascii="宋体"/>
                <w:color w:val="auto"/>
                <w:sz w:val="21"/>
                <w:szCs w:val="21"/>
                <w:highlight w:val="none"/>
              </w:rPr>
            </w:pPr>
          </w:p>
        </w:tc>
      </w:tr>
      <w:tr w14:paraId="6578E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2A8C014D">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5</w:t>
            </w:r>
          </w:p>
        </w:tc>
        <w:tc>
          <w:tcPr>
            <w:tcW w:w="1422" w:type="dxa"/>
            <w:vAlign w:val="center"/>
          </w:tcPr>
          <w:p w14:paraId="4539D305">
            <w:pPr>
              <w:snapToGrid w:val="0"/>
              <w:spacing w:line="400" w:lineRule="exact"/>
              <w:jc w:val="center"/>
              <w:rPr>
                <w:rFonts w:ascii="宋体"/>
                <w:color w:val="auto"/>
                <w:sz w:val="21"/>
                <w:szCs w:val="21"/>
                <w:highlight w:val="none"/>
              </w:rPr>
            </w:pPr>
          </w:p>
        </w:tc>
        <w:tc>
          <w:tcPr>
            <w:tcW w:w="5240" w:type="dxa"/>
            <w:vAlign w:val="center"/>
          </w:tcPr>
          <w:p w14:paraId="57262746">
            <w:pPr>
              <w:spacing w:line="400" w:lineRule="exact"/>
              <w:jc w:val="both"/>
              <w:rPr>
                <w:rFonts w:ascii="宋体"/>
                <w:color w:val="auto"/>
                <w:sz w:val="21"/>
                <w:szCs w:val="21"/>
                <w:highlight w:val="none"/>
              </w:rPr>
            </w:pPr>
          </w:p>
        </w:tc>
        <w:tc>
          <w:tcPr>
            <w:tcW w:w="1418" w:type="dxa"/>
            <w:vAlign w:val="center"/>
          </w:tcPr>
          <w:p w14:paraId="2CF8DE43">
            <w:pPr>
              <w:spacing w:line="240" w:lineRule="auto"/>
              <w:jc w:val="center"/>
              <w:rPr>
                <w:rFonts w:ascii="宋体"/>
                <w:color w:val="auto"/>
                <w:sz w:val="21"/>
                <w:szCs w:val="21"/>
                <w:highlight w:val="none"/>
              </w:rPr>
            </w:pPr>
          </w:p>
        </w:tc>
        <w:tc>
          <w:tcPr>
            <w:tcW w:w="992" w:type="dxa"/>
            <w:vAlign w:val="center"/>
          </w:tcPr>
          <w:p w14:paraId="7AB3C5BD">
            <w:pPr>
              <w:spacing w:line="240" w:lineRule="auto"/>
              <w:jc w:val="center"/>
              <w:rPr>
                <w:rFonts w:ascii="宋体"/>
                <w:color w:val="auto"/>
                <w:sz w:val="21"/>
                <w:szCs w:val="21"/>
                <w:highlight w:val="none"/>
              </w:rPr>
            </w:pPr>
          </w:p>
        </w:tc>
      </w:tr>
      <w:tr w14:paraId="615B8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72C3DDED">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6</w:t>
            </w:r>
          </w:p>
        </w:tc>
        <w:tc>
          <w:tcPr>
            <w:tcW w:w="1422" w:type="dxa"/>
            <w:vAlign w:val="center"/>
          </w:tcPr>
          <w:p w14:paraId="1E85F085">
            <w:pPr>
              <w:snapToGrid w:val="0"/>
              <w:spacing w:line="400" w:lineRule="exact"/>
              <w:jc w:val="center"/>
              <w:rPr>
                <w:rFonts w:ascii="宋体"/>
                <w:color w:val="auto"/>
                <w:kern w:val="2"/>
                <w:sz w:val="21"/>
                <w:szCs w:val="21"/>
                <w:highlight w:val="none"/>
              </w:rPr>
            </w:pPr>
          </w:p>
        </w:tc>
        <w:tc>
          <w:tcPr>
            <w:tcW w:w="5240" w:type="dxa"/>
            <w:vAlign w:val="center"/>
          </w:tcPr>
          <w:p w14:paraId="689CD152">
            <w:pPr>
              <w:spacing w:line="400" w:lineRule="exact"/>
              <w:jc w:val="both"/>
              <w:rPr>
                <w:rFonts w:ascii="宋体"/>
                <w:color w:val="auto"/>
                <w:sz w:val="21"/>
                <w:szCs w:val="21"/>
                <w:highlight w:val="none"/>
              </w:rPr>
            </w:pPr>
          </w:p>
        </w:tc>
        <w:tc>
          <w:tcPr>
            <w:tcW w:w="1418" w:type="dxa"/>
            <w:vAlign w:val="center"/>
          </w:tcPr>
          <w:p w14:paraId="0591EB0A">
            <w:pPr>
              <w:spacing w:line="240" w:lineRule="auto"/>
              <w:jc w:val="center"/>
              <w:rPr>
                <w:rFonts w:ascii="宋体"/>
                <w:color w:val="auto"/>
                <w:sz w:val="21"/>
                <w:szCs w:val="21"/>
                <w:highlight w:val="none"/>
              </w:rPr>
            </w:pPr>
          </w:p>
        </w:tc>
        <w:tc>
          <w:tcPr>
            <w:tcW w:w="992" w:type="dxa"/>
            <w:vAlign w:val="center"/>
          </w:tcPr>
          <w:p w14:paraId="6F19FA94">
            <w:pPr>
              <w:spacing w:line="240" w:lineRule="auto"/>
              <w:jc w:val="center"/>
              <w:rPr>
                <w:rFonts w:ascii="宋体"/>
                <w:color w:val="auto"/>
                <w:sz w:val="21"/>
                <w:szCs w:val="21"/>
                <w:highlight w:val="none"/>
              </w:rPr>
            </w:pPr>
          </w:p>
        </w:tc>
      </w:tr>
      <w:tr w14:paraId="485C3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4E0C31FA">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7</w:t>
            </w:r>
          </w:p>
        </w:tc>
        <w:tc>
          <w:tcPr>
            <w:tcW w:w="1422" w:type="dxa"/>
            <w:vAlign w:val="center"/>
          </w:tcPr>
          <w:p w14:paraId="759D3CFB">
            <w:pPr>
              <w:snapToGrid w:val="0"/>
              <w:spacing w:line="400" w:lineRule="exact"/>
              <w:jc w:val="center"/>
              <w:rPr>
                <w:rFonts w:ascii="宋体"/>
                <w:color w:val="auto"/>
                <w:kern w:val="2"/>
                <w:sz w:val="21"/>
                <w:szCs w:val="21"/>
                <w:highlight w:val="none"/>
              </w:rPr>
            </w:pPr>
          </w:p>
        </w:tc>
        <w:tc>
          <w:tcPr>
            <w:tcW w:w="5240" w:type="dxa"/>
            <w:vAlign w:val="center"/>
          </w:tcPr>
          <w:p w14:paraId="107745CE">
            <w:pPr>
              <w:spacing w:line="400" w:lineRule="exact"/>
              <w:jc w:val="both"/>
              <w:rPr>
                <w:rFonts w:ascii="宋体"/>
                <w:color w:val="auto"/>
                <w:sz w:val="21"/>
                <w:szCs w:val="21"/>
                <w:highlight w:val="none"/>
              </w:rPr>
            </w:pPr>
          </w:p>
        </w:tc>
        <w:tc>
          <w:tcPr>
            <w:tcW w:w="1418" w:type="dxa"/>
            <w:vAlign w:val="center"/>
          </w:tcPr>
          <w:p w14:paraId="033B85A5">
            <w:pPr>
              <w:spacing w:line="240" w:lineRule="auto"/>
              <w:jc w:val="center"/>
              <w:rPr>
                <w:rFonts w:ascii="宋体"/>
                <w:color w:val="auto"/>
                <w:sz w:val="21"/>
                <w:szCs w:val="21"/>
                <w:highlight w:val="none"/>
              </w:rPr>
            </w:pPr>
          </w:p>
        </w:tc>
        <w:tc>
          <w:tcPr>
            <w:tcW w:w="992" w:type="dxa"/>
            <w:vAlign w:val="center"/>
          </w:tcPr>
          <w:p w14:paraId="52809846">
            <w:pPr>
              <w:spacing w:line="240" w:lineRule="auto"/>
              <w:jc w:val="center"/>
              <w:rPr>
                <w:rFonts w:ascii="宋体"/>
                <w:color w:val="auto"/>
                <w:sz w:val="21"/>
                <w:szCs w:val="21"/>
                <w:highlight w:val="none"/>
              </w:rPr>
            </w:pPr>
          </w:p>
        </w:tc>
      </w:tr>
      <w:tr w14:paraId="45618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67" w:hRule="atLeast"/>
        </w:trPr>
        <w:tc>
          <w:tcPr>
            <w:tcW w:w="709" w:type="dxa"/>
            <w:vAlign w:val="center"/>
          </w:tcPr>
          <w:p w14:paraId="727DF83D">
            <w:pPr>
              <w:spacing w:line="240" w:lineRule="auto"/>
              <w:ind w:left="-36" w:leftChars="-15" w:firstLine="6" w:firstLineChars="3"/>
              <w:jc w:val="center"/>
              <w:rPr>
                <w:rFonts w:ascii="宋体"/>
                <w:color w:val="auto"/>
                <w:sz w:val="21"/>
                <w:szCs w:val="21"/>
                <w:highlight w:val="none"/>
              </w:rPr>
            </w:pPr>
            <w:r>
              <w:rPr>
                <w:rFonts w:ascii="宋体"/>
                <w:color w:val="auto"/>
                <w:sz w:val="21"/>
                <w:szCs w:val="21"/>
                <w:highlight w:val="none"/>
              </w:rPr>
              <w:t>8</w:t>
            </w:r>
          </w:p>
        </w:tc>
        <w:tc>
          <w:tcPr>
            <w:tcW w:w="1422" w:type="dxa"/>
            <w:vAlign w:val="center"/>
          </w:tcPr>
          <w:p w14:paraId="00BFAFA6">
            <w:pPr>
              <w:snapToGrid w:val="0"/>
              <w:spacing w:line="240" w:lineRule="auto"/>
              <w:jc w:val="center"/>
              <w:rPr>
                <w:rFonts w:ascii="宋体"/>
                <w:color w:val="auto"/>
                <w:kern w:val="2"/>
                <w:sz w:val="21"/>
                <w:szCs w:val="21"/>
                <w:highlight w:val="none"/>
              </w:rPr>
            </w:pPr>
          </w:p>
        </w:tc>
        <w:tc>
          <w:tcPr>
            <w:tcW w:w="5240" w:type="dxa"/>
            <w:vAlign w:val="center"/>
          </w:tcPr>
          <w:p w14:paraId="7EE1FBA4">
            <w:pPr>
              <w:tabs>
                <w:tab w:val="left" w:pos="105"/>
                <w:tab w:val="left" w:pos="735"/>
                <w:tab w:val="left" w:pos="945"/>
                <w:tab w:val="left" w:pos="3360"/>
              </w:tabs>
              <w:spacing w:line="240" w:lineRule="auto"/>
              <w:jc w:val="both"/>
              <w:rPr>
                <w:rFonts w:ascii="宋体"/>
                <w:color w:val="auto"/>
                <w:sz w:val="21"/>
                <w:szCs w:val="21"/>
                <w:highlight w:val="none"/>
              </w:rPr>
            </w:pPr>
          </w:p>
        </w:tc>
        <w:tc>
          <w:tcPr>
            <w:tcW w:w="1418" w:type="dxa"/>
            <w:vAlign w:val="center"/>
          </w:tcPr>
          <w:p w14:paraId="4BF36D87">
            <w:pPr>
              <w:spacing w:line="240" w:lineRule="auto"/>
              <w:jc w:val="center"/>
              <w:rPr>
                <w:rFonts w:ascii="宋体"/>
                <w:color w:val="auto"/>
                <w:sz w:val="21"/>
                <w:szCs w:val="21"/>
                <w:highlight w:val="none"/>
              </w:rPr>
            </w:pPr>
          </w:p>
        </w:tc>
        <w:tc>
          <w:tcPr>
            <w:tcW w:w="992" w:type="dxa"/>
            <w:vAlign w:val="center"/>
          </w:tcPr>
          <w:p w14:paraId="6A366123">
            <w:pPr>
              <w:spacing w:line="240" w:lineRule="auto"/>
              <w:jc w:val="center"/>
              <w:rPr>
                <w:rFonts w:ascii="宋体"/>
                <w:color w:val="auto"/>
                <w:sz w:val="21"/>
                <w:szCs w:val="21"/>
                <w:highlight w:val="none"/>
              </w:rPr>
            </w:pPr>
          </w:p>
        </w:tc>
      </w:tr>
    </w:tbl>
    <w:p w14:paraId="09A4768B">
      <w:pPr>
        <w:snapToGrid w:val="0"/>
        <w:spacing w:line="400" w:lineRule="exact"/>
        <w:rPr>
          <w:rFonts w:hint="eastAsia" w:ascii="宋体"/>
          <w:color w:val="auto"/>
          <w:szCs w:val="21"/>
          <w:highlight w:val="none"/>
        </w:rPr>
      </w:pPr>
      <w:r>
        <w:rPr>
          <w:rFonts w:hint="eastAsia" w:ascii="宋体"/>
          <w:color w:val="auto"/>
          <w:szCs w:val="21"/>
          <w:highlight w:val="none"/>
        </w:rPr>
        <w:t xml:space="preserve">                              </w:t>
      </w:r>
    </w:p>
    <w:p w14:paraId="362FB2DF">
      <w:pPr>
        <w:snapToGrid w:val="0"/>
        <w:spacing w:line="400" w:lineRule="exact"/>
        <w:rPr>
          <w:rFonts w:hint="eastAsia" w:ascii="宋体"/>
          <w:color w:val="auto"/>
          <w:szCs w:val="21"/>
          <w:highlight w:val="none"/>
        </w:rPr>
      </w:pPr>
      <w:r>
        <w:rPr>
          <w:rFonts w:hint="eastAsia" w:ascii="宋体"/>
          <w:color w:val="auto"/>
          <w:szCs w:val="21"/>
          <w:highlight w:val="none"/>
        </w:rPr>
        <w:t>注：1、如有商务偏离，在填写此表时，应做到投标商务应答与招标文件的商务条款一一对应。</w:t>
      </w:r>
    </w:p>
    <w:p w14:paraId="15C64CF5">
      <w:pPr>
        <w:snapToGrid w:val="0"/>
        <w:spacing w:line="400" w:lineRule="exact"/>
        <w:ind w:firstLine="480" w:firstLineChars="200"/>
        <w:rPr>
          <w:rFonts w:hint="eastAsia" w:ascii="宋体"/>
          <w:color w:val="auto"/>
          <w:szCs w:val="21"/>
          <w:highlight w:val="none"/>
        </w:rPr>
      </w:pPr>
      <w:r>
        <w:rPr>
          <w:rFonts w:hint="eastAsia" w:ascii="宋体"/>
          <w:color w:val="auto"/>
          <w:szCs w:val="21"/>
          <w:highlight w:val="none"/>
        </w:rPr>
        <w:t>2、如全部响应招标文件商务条款，则在本表中注明“商务无偏离”。</w:t>
      </w:r>
    </w:p>
    <w:p w14:paraId="1C741F24">
      <w:pPr>
        <w:spacing w:line="400" w:lineRule="atLeast"/>
        <w:rPr>
          <w:rFonts w:hint="eastAsia" w:ascii="宋体"/>
          <w:color w:val="auto"/>
          <w:szCs w:val="21"/>
          <w:highlight w:val="none"/>
        </w:rPr>
      </w:pPr>
      <w:bookmarkStart w:id="147" w:name="_Toc436408720"/>
      <w:bookmarkStart w:id="148" w:name="_Toc441316563"/>
    </w:p>
    <w:p w14:paraId="0E54ECF6">
      <w:pPr>
        <w:spacing w:line="400" w:lineRule="atLeast"/>
        <w:rPr>
          <w:rFonts w:hint="eastAsia" w:ascii="宋体"/>
          <w:color w:val="auto"/>
          <w:szCs w:val="21"/>
          <w:highlight w:val="none"/>
        </w:rPr>
      </w:pPr>
    </w:p>
    <w:p w14:paraId="0C05548D">
      <w:pPr>
        <w:spacing w:line="400" w:lineRule="atLeast"/>
        <w:rPr>
          <w:rFonts w:ascii="宋体"/>
          <w:color w:val="auto"/>
          <w:szCs w:val="21"/>
          <w:highlight w:val="none"/>
        </w:rPr>
      </w:pPr>
      <w:r>
        <w:rPr>
          <w:rFonts w:hint="eastAsia" w:ascii="宋体"/>
          <w:color w:val="auto"/>
          <w:szCs w:val="21"/>
          <w:highlight w:val="none"/>
        </w:rPr>
        <w:t>投标人（盖章）：</w:t>
      </w:r>
    </w:p>
    <w:p w14:paraId="3E93D816">
      <w:pPr>
        <w:spacing w:line="400" w:lineRule="atLeast"/>
        <w:rPr>
          <w:rFonts w:ascii="宋体"/>
          <w:color w:val="auto"/>
          <w:szCs w:val="21"/>
          <w:highlight w:val="none"/>
        </w:rPr>
      </w:pPr>
      <w:r>
        <w:rPr>
          <w:rFonts w:hint="eastAsia" w:ascii="宋体"/>
          <w:color w:val="auto"/>
          <w:szCs w:val="21"/>
          <w:highlight w:val="none"/>
        </w:rPr>
        <w:t>日          期：</w:t>
      </w:r>
    </w:p>
    <w:p w14:paraId="4E17EDF5">
      <w:pPr>
        <w:spacing w:line="400" w:lineRule="exact"/>
        <w:jc w:val="both"/>
        <w:rPr>
          <w:rFonts w:hint="eastAsia" w:ascii="宋体"/>
          <w:color w:val="auto"/>
          <w:szCs w:val="21"/>
          <w:highlight w:val="none"/>
        </w:rPr>
      </w:pPr>
      <w:r>
        <w:rPr>
          <w:rFonts w:hint="eastAsia" w:ascii="宋体"/>
          <w:color w:val="auto"/>
          <w:szCs w:val="21"/>
          <w:highlight w:val="none"/>
        </w:rPr>
        <w:br w:type="page"/>
      </w:r>
      <w:bookmarkEnd w:id="147"/>
      <w:bookmarkStart w:id="149" w:name="_Toc441316564"/>
    </w:p>
    <w:p w14:paraId="05B6764C">
      <w:pPr>
        <w:spacing w:line="240" w:lineRule="auto"/>
        <w:jc w:val="left"/>
        <w:rPr>
          <w:rStyle w:val="178"/>
          <w:b w:val="0"/>
          <w:color w:val="auto"/>
          <w:sz w:val="32"/>
          <w:szCs w:val="32"/>
          <w:highlight w:val="none"/>
        </w:rPr>
      </w:pPr>
      <w:bookmarkStart w:id="150" w:name="_Toc44162159"/>
      <w:bookmarkStart w:id="151" w:name="_Toc21541028"/>
      <w:bookmarkStart w:id="152" w:name="_Toc443468293"/>
      <w:bookmarkStart w:id="153" w:name="_Toc8677"/>
    </w:p>
    <w:p w14:paraId="5BBBDB82">
      <w:pPr>
        <w:rPr>
          <w:rFonts w:hint="eastAsia" w:ascii="宋体" w:hAnsi="宋体"/>
          <w:b/>
          <w:color w:val="auto"/>
          <w:highlight w:val="none"/>
        </w:rPr>
      </w:pPr>
    </w:p>
    <w:p w14:paraId="771E6F14">
      <w:pPr>
        <w:wordWrap w:val="0"/>
        <w:spacing w:line="400" w:lineRule="exact"/>
        <w:jc w:val="center"/>
        <w:rPr>
          <w:rFonts w:hint="eastAsia" w:ascii="宋体" w:hAnsi="宋体" w:eastAsia="宋体" w:cs="Times New Roman"/>
          <w:b/>
          <w:color w:val="auto"/>
          <w:highlight w:val="none"/>
        </w:rPr>
      </w:pPr>
      <w:r>
        <w:rPr>
          <w:rFonts w:hint="eastAsia" w:ascii="宋体" w:hAnsi="宋体" w:eastAsia="宋体" w:cs="Times New Roman"/>
          <w:b/>
          <w:color w:val="auto"/>
          <w:highlight w:val="none"/>
        </w:rPr>
        <w:t>B7、采购清单及技术要求响应表</w:t>
      </w:r>
    </w:p>
    <w:p w14:paraId="33E7DE9D">
      <w:pPr>
        <w:pStyle w:val="12"/>
        <w:ind w:left="0" w:leftChars="0" w:firstLine="0" w:firstLineChars="0"/>
        <w:jc w:val="center"/>
        <w:rPr>
          <w:rFonts w:hint="eastAsia"/>
          <w:color w:val="auto"/>
          <w:highlight w:val="none"/>
        </w:rPr>
      </w:pPr>
      <w:r>
        <w:rPr>
          <w:rFonts w:hint="eastAsia"/>
          <w:color w:val="auto"/>
          <w:highlight w:val="none"/>
        </w:rPr>
        <w:t>要求对照第四部分《招标内容及技术需求》中“一、采购清单及技术要求表”进行响应，投标人视需要可以在表格以外自行扩展内容对产品型号规格及系列及性能特点进行补充说明；</w:t>
      </w:r>
    </w:p>
    <w:p w14:paraId="49D3533A">
      <w:pPr>
        <w:wordWrap w:val="0"/>
        <w:spacing w:line="400" w:lineRule="exact"/>
        <w:jc w:val="center"/>
        <w:rPr>
          <w:rFonts w:hint="eastAsia" w:ascii="宋体" w:hAnsi="宋体" w:eastAsia="宋体" w:cs="Times New Roman"/>
          <w:b/>
          <w:color w:val="auto"/>
          <w:highlight w:val="none"/>
        </w:rPr>
      </w:pPr>
    </w:p>
    <w:p w14:paraId="584E7B71">
      <w:pPr>
        <w:wordWrap w:val="0"/>
        <w:spacing w:line="400" w:lineRule="exact"/>
        <w:jc w:val="left"/>
        <w:rPr>
          <w:rFonts w:hint="eastAsia" w:ascii="宋体" w:hAnsi="宋体"/>
          <w:b/>
          <w:color w:val="auto"/>
          <w:highlight w:val="none"/>
        </w:rPr>
      </w:pPr>
    </w:p>
    <w:p w14:paraId="7813C3AE">
      <w:pPr>
        <w:wordWrap w:val="0"/>
        <w:spacing w:line="400" w:lineRule="exact"/>
        <w:jc w:val="center"/>
        <w:rPr>
          <w:rFonts w:hint="eastAsia" w:ascii="宋体" w:hAnsi="宋体"/>
          <w:b/>
          <w:color w:val="auto"/>
          <w:highlight w:val="none"/>
        </w:rPr>
      </w:pPr>
      <w:r>
        <w:rPr>
          <w:rFonts w:hint="eastAsia" w:ascii="宋体" w:hAnsi="宋体"/>
          <w:b/>
          <w:color w:val="auto"/>
          <w:highlight w:val="none"/>
        </w:rPr>
        <w:t>B</w:t>
      </w:r>
      <w:r>
        <w:rPr>
          <w:rFonts w:hint="eastAsia" w:ascii="宋体" w:hAnsi="宋体"/>
          <w:b/>
          <w:color w:val="auto"/>
          <w:highlight w:val="none"/>
          <w:lang w:val="en-US" w:eastAsia="zh-CN"/>
        </w:rPr>
        <w:t>8</w:t>
      </w:r>
      <w:r>
        <w:rPr>
          <w:rFonts w:hint="eastAsia" w:ascii="宋体" w:hAnsi="宋体"/>
          <w:b/>
          <w:color w:val="auto"/>
          <w:highlight w:val="none"/>
        </w:rPr>
        <w:t>、第五章“评标办法及标准”中商务和技术评分表要求提供的资料</w:t>
      </w:r>
    </w:p>
    <w:p w14:paraId="77792F01">
      <w:pPr>
        <w:wordWrap w:val="0"/>
        <w:spacing w:line="400" w:lineRule="exact"/>
        <w:jc w:val="center"/>
        <w:rPr>
          <w:rFonts w:hint="eastAsia" w:ascii="宋体" w:hAnsi="宋体"/>
          <w:b/>
          <w:color w:val="auto"/>
          <w:highlight w:val="none"/>
        </w:rPr>
      </w:pPr>
      <w:r>
        <w:rPr>
          <w:rFonts w:hint="eastAsia" w:ascii="宋体" w:hAnsi="宋体"/>
          <w:b/>
          <w:color w:val="auto"/>
          <w:highlight w:val="none"/>
        </w:rPr>
        <w:t>（如有需提供</w:t>
      </w:r>
      <w:r>
        <w:rPr>
          <w:rFonts w:hint="eastAsia" w:ascii="宋体" w:hAnsi="宋体"/>
          <w:b/>
          <w:color w:val="auto"/>
          <w:highlight w:val="none"/>
          <w:lang w:eastAsia="zh-CN"/>
        </w:rPr>
        <w:t>，</w:t>
      </w:r>
      <w:r>
        <w:rPr>
          <w:rFonts w:hint="eastAsia" w:ascii="宋体" w:hAnsi="宋体"/>
          <w:b/>
          <w:color w:val="auto"/>
          <w:highlight w:val="none"/>
          <w:lang w:val="en-US" w:eastAsia="zh-CN"/>
        </w:rPr>
        <w:t>格式自拟</w:t>
      </w:r>
      <w:r>
        <w:rPr>
          <w:rFonts w:hint="eastAsia" w:ascii="宋体" w:hAnsi="宋体"/>
          <w:b/>
          <w:color w:val="auto"/>
          <w:highlight w:val="none"/>
        </w:rPr>
        <w:t>）</w:t>
      </w:r>
    </w:p>
    <w:p w14:paraId="5FFE7D3F">
      <w:pPr>
        <w:pStyle w:val="180"/>
        <w:ind w:left="0" w:leftChars="0" w:firstLine="1440" w:firstLineChars="600"/>
        <w:jc w:val="left"/>
        <w:rPr>
          <w:rFonts w:hint="eastAsia" w:ascii="Times New Roman" w:hAnsi="Times New Roman" w:eastAsia="宋体" w:cs="Times New Roman"/>
          <w:color w:val="auto"/>
          <w:highlight w:val="none"/>
          <w:lang w:val="en-US" w:eastAsia="zh-CN"/>
        </w:rPr>
      </w:pPr>
    </w:p>
    <w:p w14:paraId="5F311172">
      <w:pPr>
        <w:pStyle w:val="205"/>
        <w:ind w:left="0" w:leftChars="0" w:firstLine="0" w:firstLineChars="0"/>
        <w:jc w:val="center"/>
        <w:rPr>
          <w:rStyle w:val="178"/>
          <w:b w:val="0"/>
          <w:color w:val="auto"/>
          <w:sz w:val="32"/>
          <w:szCs w:val="32"/>
          <w:highlight w:val="none"/>
        </w:rPr>
      </w:pPr>
    </w:p>
    <w:p w14:paraId="778CBCB8">
      <w:pPr>
        <w:wordWrap w:val="0"/>
        <w:spacing w:line="400" w:lineRule="exact"/>
        <w:jc w:val="left"/>
        <w:rPr>
          <w:rFonts w:hint="eastAsia" w:ascii="宋体" w:hAnsi="宋体"/>
          <w:b/>
          <w:color w:val="auto"/>
          <w:highlight w:val="none"/>
        </w:rPr>
      </w:pPr>
    </w:p>
    <w:p w14:paraId="7BCE4B49">
      <w:pPr>
        <w:wordWrap w:val="0"/>
        <w:spacing w:line="400" w:lineRule="exact"/>
        <w:jc w:val="left"/>
        <w:rPr>
          <w:rFonts w:hint="eastAsia" w:ascii="宋体" w:hAnsi="宋体"/>
          <w:b/>
          <w:color w:val="auto"/>
          <w:highlight w:val="none"/>
        </w:rPr>
      </w:pPr>
    </w:p>
    <w:p w14:paraId="3D78E55F">
      <w:pPr>
        <w:wordWrap w:val="0"/>
        <w:spacing w:line="400" w:lineRule="exact"/>
        <w:jc w:val="left"/>
        <w:rPr>
          <w:rFonts w:hint="eastAsia" w:ascii="宋体" w:hAnsi="宋体"/>
          <w:b/>
          <w:color w:val="auto"/>
          <w:highlight w:val="none"/>
        </w:rPr>
      </w:pPr>
    </w:p>
    <w:p w14:paraId="0329EE8B">
      <w:pPr>
        <w:wordWrap w:val="0"/>
        <w:spacing w:line="400" w:lineRule="exact"/>
        <w:jc w:val="center"/>
        <w:rPr>
          <w:rFonts w:hint="eastAsia" w:ascii="宋体" w:hAnsi="宋体"/>
          <w:b/>
          <w:color w:val="auto"/>
          <w:highlight w:val="none"/>
        </w:rPr>
      </w:pPr>
      <w:r>
        <w:rPr>
          <w:rFonts w:hint="eastAsia" w:ascii="宋体" w:hAnsi="宋体"/>
          <w:b/>
          <w:color w:val="auto"/>
          <w:highlight w:val="none"/>
        </w:rPr>
        <w:t>B</w:t>
      </w:r>
      <w:r>
        <w:rPr>
          <w:rFonts w:hint="eastAsia" w:ascii="宋体" w:hAnsi="宋体"/>
          <w:b/>
          <w:color w:val="auto"/>
          <w:highlight w:val="none"/>
          <w:lang w:val="en-US" w:eastAsia="zh-CN"/>
        </w:rPr>
        <w:t>9</w:t>
      </w:r>
      <w:r>
        <w:rPr>
          <w:rFonts w:hint="eastAsia" w:ascii="宋体" w:hAnsi="宋体"/>
          <w:b/>
          <w:color w:val="auto"/>
          <w:highlight w:val="none"/>
        </w:rPr>
        <w:t>、</w:t>
      </w:r>
      <w:r>
        <w:rPr>
          <w:rFonts w:hint="eastAsia" w:ascii="宋体" w:hAnsi="宋体"/>
          <w:b/>
          <w:color w:val="auto"/>
          <w:highlight w:val="none"/>
          <w:lang w:val="en-US" w:eastAsia="zh-CN"/>
        </w:rPr>
        <w:t>投标人</w:t>
      </w:r>
      <w:r>
        <w:rPr>
          <w:rFonts w:hint="eastAsia" w:ascii="宋体" w:hAnsi="宋体"/>
          <w:b/>
          <w:color w:val="auto"/>
          <w:highlight w:val="none"/>
        </w:rPr>
        <w:t>认为需要的其他资料（如有需提供）。</w:t>
      </w:r>
    </w:p>
    <w:p w14:paraId="647149A1">
      <w:pPr>
        <w:pStyle w:val="205"/>
        <w:ind w:left="0" w:leftChars="0" w:firstLine="0" w:firstLineChars="0"/>
        <w:jc w:val="center"/>
        <w:rPr>
          <w:rStyle w:val="178"/>
          <w:rFonts w:ascii="宋体"/>
          <w:color w:val="auto"/>
          <w:sz w:val="32"/>
          <w:szCs w:val="32"/>
          <w:highlight w:val="none"/>
        </w:rPr>
      </w:pPr>
      <w:r>
        <w:rPr>
          <w:rStyle w:val="178"/>
          <w:b w:val="0"/>
          <w:color w:val="auto"/>
          <w:sz w:val="32"/>
          <w:szCs w:val="32"/>
          <w:highlight w:val="none"/>
        </w:rPr>
        <w:br w:type="page"/>
      </w:r>
      <w:r>
        <w:rPr>
          <w:rStyle w:val="178"/>
          <w:b w:val="0"/>
          <w:color w:val="auto"/>
          <w:sz w:val="32"/>
          <w:szCs w:val="32"/>
          <w:highlight w:val="none"/>
        </w:rPr>
        <w:t>C.</w:t>
      </w:r>
      <w:r>
        <w:rPr>
          <w:rStyle w:val="178"/>
          <w:rFonts w:hint="eastAsia"/>
          <w:b w:val="0"/>
          <w:color w:val="auto"/>
          <w:sz w:val="32"/>
          <w:szCs w:val="32"/>
          <w:highlight w:val="none"/>
        </w:rPr>
        <w:t>报价文件</w:t>
      </w:r>
      <w:bookmarkEnd w:id="150"/>
      <w:bookmarkEnd w:id="151"/>
      <w:bookmarkEnd w:id="152"/>
      <w:bookmarkEnd w:id="153"/>
    </w:p>
    <w:p w14:paraId="3FA9733E">
      <w:pPr>
        <w:autoSpaceDE w:val="0"/>
        <w:autoSpaceDN w:val="0"/>
        <w:spacing w:line="420" w:lineRule="exact"/>
        <w:rPr>
          <w:rStyle w:val="178"/>
          <w:rFonts w:ascii="宋体"/>
          <w:b w:val="0"/>
          <w:color w:val="auto"/>
          <w:highlight w:val="none"/>
          <w:lang w:val="zh-CN"/>
        </w:rPr>
      </w:pPr>
      <w:r>
        <w:rPr>
          <w:rStyle w:val="178"/>
          <w:rFonts w:hint="eastAsia" w:ascii="宋体"/>
          <w:color w:val="auto"/>
          <w:sz w:val="32"/>
          <w:szCs w:val="32"/>
          <w:highlight w:val="none"/>
        </w:rPr>
        <w:br w:type="page"/>
      </w:r>
      <w:r>
        <w:rPr>
          <w:rStyle w:val="178"/>
          <w:rFonts w:hint="eastAsia" w:ascii="宋体"/>
          <w:color w:val="auto"/>
          <w:szCs w:val="21"/>
          <w:highlight w:val="none"/>
        </w:rPr>
        <w:t>封面</w:t>
      </w:r>
    </w:p>
    <w:p w14:paraId="35E29344">
      <w:pPr>
        <w:spacing w:line="360" w:lineRule="auto"/>
        <w:ind w:firstLine="1285" w:firstLineChars="400"/>
        <w:jc w:val="right"/>
        <w:rPr>
          <w:rFonts w:ascii="宋体"/>
          <w:b/>
          <w:color w:val="auto"/>
          <w:sz w:val="32"/>
          <w:szCs w:val="32"/>
          <w:highlight w:val="none"/>
        </w:rPr>
      </w:pPr>
    </w:p>
    <w:p w14:paraId="1FB97249">
      <w:pPr>
        <w:spacing w:line="360" w:lineRule="auto"/>
        <w:rPr>
          <w:rFonts w:ascii="宋体"/>
          <w:color w:val="auto"/>
          <w:sz w:val="28"/>
          <w:szCs w:val="28"/>
          <w:highlight w:val="none"/>
        </w:rPr>
      </w:pPr>
    </w:p>
    <w:p w14:paraId="7FFE2DE9">
      <w:pPr>
        <w:spacing w:line="360" w:lineRule="auto"/>
        <w:jc w:val="center"/>
        <w:rPr>
          <w:rFonts w:hint="eastAsia" w:ascii="宋体" w:eastAsia="宋体"/>
          <w:color w:val="auto"/>
          <w:sz w:val="44"/>
          <w:szCs w:val="44"/>
          <w:highlight w:val="none"/>
          <w:u w:val="none"/>
          <w:lang w:eastAsia="zh-CN"/>
        </w:rPr>
      </w:pPr>
      <w:r>
        <w:rPr>
          <w:rFonts w:hint="eastAsia" w:ascii="宋体"/>
          <w:color w:val="auto"/>
          <w:sz w:val="44"/>
          <w:szCs w:val="44"/>
          <w:highlight w:val="none"/>
          <w:u w:val="none"/>
          <w:lang w:eastAsia="zh-CN"/>
        </w:rPr>
        <w:t>宁波高新区求精书院理化生实验室（初中部）设施设备采购项目（二期）</w:t>
      </w:r>
    </w:p>
    <w:p w14:paraId="74B32E19">
      <w:pPr>
        <w:spacing w:line="360" w:lineRule="auto"/>
        <w:jc w:val="center"/>
        <w:rPr>
          <w:rFonts w:ascii="宋体"/>
          <w:color w:val="auto"/>
          <w:sz w:val="36"/>
          <w:szCs w:val="36"/>
          <w:highlight w:val="none"/>
          <w:u w:val="single"/>
        </w:rPr>
      </w:pPr>
    </w:p>
    <w:p w14:paraId="63B67AE5">
      <w:pPr>
        <w:spacing w:line="360" w:lineRule="auto"/>
        <w:jc w:val="center"/>
        <w:rPr>
          <w:rFonts w:hint="eastAsia" w:ascii="宋体" w:eastAsia="宋体"/>
          <w:color w:val="auto"/>
          <w:sz w:val="36"/>
          <w:szCs w:val="36"/>
          <w:highlight w:val="none"/>
          <w:u w:val="single"/>
          <w:lang w:eastAsia="zh-CN"/>
        </w:rPr>
      </w:pPr>
      <w:r>
        <w:rPr>
          <w:rFonts w:hint="eastAsia" w:ascii="宋体"/>
          <w:color w:val="auto"/>
          <w:sz w:val="36"/>
          <w:szCs w:val="36"/>
          <w:highlight w:val="none"/>
          <w:u w:val="single"/>
        </w:rPr>
        <w:t>采购编号：</w:t>
      </w:r>
      <w:r>
        <w:rPr>
          <w:rFonts w:hint="eastAsia" w:ascii="宋体"/>
          <w:color w:val="auto"/>
          <w:sz w:val="36"/>
          <w:szCs w:val="36"/>
          <w:highlight w:val="none"/>
          <w:u w:val="single"/>
          <w:lang w:eastAsia="zh-CN"/>
        </w:rPr>
        <w:t>NBITC-202530765G</w:t>
      </w:r>
    </w:p>
    <w:p w14:paraId="6CD2B221">
      <w:pPr>
        <w:spacing w:line="360" w:lineRule="auto"/>
        <w:ind w:firstLine="2340" w:firstLineChars="650"/>
        <w:rPr>
          <w:rFonts w:ascii="宋体"/>
          <w:color w:val="auto"/>
          <w:sz w:val="36"/>
          <w:szCs w:val="36"/>
          <w:highlight w:val="none"/>
        </w:rPr>
      </w:pPr>
      <w:r>
        <w:rPr>
          <w:rFonts w:hint="eastAsia" w:ascii="宋体"/>
          <w:color w:val="auto"/>
          <w:sz w:val="36"/>
          <w:szCs w:val="36"/>
          <w:highlight w:val="none"/>
          <w:u w:val="single"/>
        </w:rPr>
        <w:t>标  项  号：（如有多个标项）</w:t>
      </w:r>
    </w:p>
    <w:p w14:paraId="70EBAF6A">
      <w:pPr>
        <w:rPr>
          <w:rFonts w:ascii="宋体"/>
          <w:color w:val="auto"/>
          <w:sz w:val="28"/>
          <w:szCs w:val="28"/>
          <w:highlight w:val="none"/>
        </w:rPr>
      </w:pPr>
    </w:p>
    <w:p w14:paraId="571AD520">
      <w:pPr>
        <w:spacing w:line="360" w:lineRule="auto"/>
        <w:jc w:val="center"/>
        <w:rPr>
          <w:rFonts w:ascii="宋体"/>
          <w:color w:val="auto"/>
          <w:sz w:val="36"/>
          <w:szCs w:val="36"/>
          <w:highlight w:val="none"/>
        </w:rPr>
      </w:pPr>
      <w:r>
        <w:rPr>
          <w:rFonts w:hint="eastAsia" w:ascii="宋体"/>
          <w:color w:val="auto"/>
          <w:sz w:val="36"/>
          <w:szCs w:val="36"/>
          <w:highlight w:val="none"/>
        </w:rPr>
        <w:t>（报价文件）</w:t>
      </w:r>
    </w:p>
    <w:p w14:paraId="1C743F48">
      <w:pPr>
        <w:jc w:val="center"/>
        <w:rPr>
          <w:rFonts w:ascii="宋体"/>
          <w:color w:val="auto"/>
          <w:sz w:val="28"/>
          <w:szCs w:val="28"/>
          <w:highlight w:val="none"/>
        </w:rPr>
      </w:pPr>
    </w:p>
    <w:p w14:paraId="0DD8B10D">
      <w:pPr>
        <w:spacing w:line="360" w:lineRule="auto"/>
        <w:jc w:val="center"/>
        <w:rPr>
          <w:rFonts w:ascii="宋体"/>
          <w:b/>
          <w:color w:val="auto"/>
          <w:sz w:val="72"/>
          <w:szCs w:val="72"/>
          <w:highlight w:val="none"/>
        </w:rPr>
      </w:pPr>
    </w:p>
    <w:p w14:paraId="57566610">
      <w:pPr>
        <w:spacing w:line="360" w:lineRule="auto"/>
        <w:jc w:val="center"/>
        <w:rPr>
          <w:rFonts w:ascii="宋体"/>
          <w:b/>
          <w:color w:val="auto"/>
          <w:sz w:val="72"/>
          <w:szCs w:val="72"/>
          <w:highlight w:val="none"/>
        </w:rPr>
      </w:pPr>
      <w:r>
        <w:rPr>
          <w:rFonts w:hint="eastAsia" w:ascii="宋体"/>
          <w:b/>
          <w:color w:val="auto"/>
          <w:sz w:val="72"/>
          <w:szCs w:val="72"/>
          <w:highlight w:val="none"/>
        </w:rPr>
        <w:t>投标文件</w:t>
      </w:r>
    </w:p>
    <w:p w14:paraId="269F4C76">
      <w:pPr>
        <w:spacing w:line="360" w:lineRule="auto"/>
        <w:jc w:val="center"/>
        <w:rPr>
          <w:rFonts w:ascii="宋体"/>
          <w:color w:val="auto"/>
          <w:sz w:val="36"/>
          <w:szCs w:val="36"/>
          <w:highlight w:val="none"/>
        </w:rPr>
      </w:pPr>
    </w:p>
    <w:p w14:paraId="1D4D9C6C">
      <w:pPr>
        <w:spacing w:line="360" w:lineRule="auto"/>
        <w:jc w:val="center"/>
        <w:rPr>
          <w:rFonts w:ascii="宋体"/>
          <w:color w:val="auto"/>
          <w:sz w:val="36"/>
          <w:szCs w:val="36"/>
          <w:highlight w:val="none"/>
        </w:rPr>
      </w:pPr>
    </w:p>
    <w:p w14:paraId="25046573">
      <w:pPr>
        <w:spacing w:line="360" w:lineRule="auto"/>
        <w:jc w:val="center"/>
        <w:rPr>
          <w:rFonts w:ascii="宋体"/>
          <w:color w:val="auto"/>
          <w:sz w:val="36"/>
          <w:szCs w:val="36"/>
          <w:highlight w:val="none"/>
        </w:rPr>
      </w:pPr>
    </w:p>
    <w:p w14:paraId="0206C39F">
      <w:pPr>
        <w:spacing w:line="360" w:lineRule="auto"/>
        <w:jc w:val="center"/>
        <w:rPr>
          <w:rFonts w:ascii="宋体"/>
          <w:color w:val="auto"/>
          <w:sz w:val="36"/>
          <w:szCs w:val="36"/>
          <w:highlight w:val="none"/>
        </w:rPr>
      </w:pPr>
    </w:p>
    <w:p w14:paraId="45117D01">
      <w:pPr>
        <w:spacing w:line="360" w:lineRule="auto"/>
        <w:jc w:val="center"/>
        <w:rPr>
          <w:rFonts w:ascii="宋体"/>
          <w:color w:val="auto"/>
          <w:sz w:val="36"/>
          <w:szCs w:val="36"/>
          <w:highlight w:val="none"/>
          <w:u w:val="single"/>
        </w:rPr>
      </w:pPr>
      <w:r>
        <w:rPr>
          <w:rFonts w:hint="eastAsia" w:ascii="宋体"/>
          <w:color w:val="auto"/>
          <w:sz w:val="36"/>
          <w:szCs w:val="36"/>
          <w:highlight w:val="none"/>
        </w:rPr>
        <w:t>投标人全称：</w:t>
      </w:r>
      <w:r>
        <w:rPr>
          <w:rFonts w:hint="eastAsia" w:ascii="宋体"/>
          <w:color w:val="auto"/>
          <w:sz w:val="36"/>
          <w:szCs w:val="36"/>
          <w:highlight w:val="none"/>
          <w:u w:val="single"/>
        </w:rPr>
        <w:t>（加盖单位公章）</w:t>
      </w:r>
    </w:p>
    <w:p w14:paraId="24DEF6EC">
      <w:pPr>
        <w:pStyle w:val="27"/>
        <w:ind w:left="115" w:leftChars="48" w:firstLine="1680" w:firstLineChars="800"/>
        <w:jc w:val="left"/>
        <w:rPr>
          <w:color w:val="auto"/>
          <w:szCs w:val="28"/>
          <w:highlight w:val="none"/>
          <w:u w:val="single"/>
        </w:rPr>
      </w:pPr>
    </w:p>
    <w:p w14:paraId="785585A1">
      <w:pPr>
        <w:pStyle w:val="205"/>
        <w:jc w:val="center"/>
        <w:rPr>
          <w:rStyle w:val="178"/>
          <w:b w:val="0"/>
          <w:color w:val="auto"/>
          <w:sz w:val="32"/>
          <w:szCs w:val="32"/>
          <w:highlight w:val="none"/>
        </w:rPr>
      </w:pPr>
      <w:bookmarkStart w:id="154" w:name="_Toc443468294"/>
      <w:bookmarkStart w:id="155" w:name="_Toc44162160"/>
      <w:bookmarkStart w:id="156" w:name="_Toc4975"/>
      <w:bookmarkStart w:id="157" w:name="_Toc21541029"/>
      <w:r>
        <w:rPr>
          <w:rStyle w:val="178"/>
          <w:rFonts w:hint="eastAsia"/>
          <w:b w:val="0"/>
          <w:color w:val="auto"/>
          <w:sz w:val="32"/>
          <w:szCs w:val="32"/>
          <w:highlight w:val="none"/>
        </w:rPr>
        <w:t>年</w:t>
      </w:r>
      <w:r>
        <w:rPr>
          <w:rStyle w:val="178"/>
          <w:b w:val="0"/>
          <w:color w:val="auto"/>
          <w:sz w:val="32"/>
          <w:szCs w:val="32"/>
          <w:highlight w:val="none"/>
        </w:rPr>
        <w:t xml:space="preserve">  </w:t>
      </w:r>
      <w:r>
        <w:rPr>
          <w:rStyle w:val="178"/>
          <w:rFonts w:hint="eastAsia"/>
          <w:b w:val="0"/>
          <w:color w:val="auto"/>
          <w:sz w:val="32"/>
          <w:szCs w:val="32"/>
          <w:highlight w:val="none"/>
        </w:rPr>
        <w:t>月</w:t>
      </w:r>
      <w:r>
        <w:rPr>
          <w:rStyle w:val="178"/>
          <w:b w:val="0"/>
          <w:color w:val="auto"/>
          <w:sz w:val="32"/>
          <w:szCs w:val="32"/>
          <w:highlight w:val="none"/>
        </w:rPr>
        <w:t xml:space="preserve">  </w:t>
      </w:r>
      <w:r>
        <w:rPr>
          <w:rStyle w:val="178"/>
          <w:rFonts w:hint="eastAsia"/>
          <w:b w:val="0"/>
          <w:color w:val="auto"/>
          <w:sz w:val="32"/>
          <w:szCs w:val="32"/>
          <w:highlight w:val="none"/>
        </w:rPr>
        <w:t>日</w:t>
      </w:r>
      <w:bookmarkEnd w:id="154"/>
      <w:bookmarkEnd w:id="155"/>
      <w:bookmarkEnd w:id="156"/>
      <w:bookmarkEnd w:id="157"/>
    </w:p>
    <w:p w14:paraId="1952FE26">
      <w:pPr>
        <w:spacing w:line="400" w:lineRule="exact"/>
        <w:jc w:val="center"/>
        <w:rPr>
          <w:rFonts w:hint="eastAsia" w:ascii="宋体"/>
          <w:b/>
          <w:color w:val="auto"/>
          <w:szCs w:val="21"/>
          <w:highlight w:val="none"/>
        </w:rPr>
      </w:pPr>
    </w:p>
    <w:p w14:paraId="0FC5E159">
      <w:pPr>
        <w:spacing w:line="400" w:lineRule="exact"/>
        <w:jc w:val="center"/>
        <w:rPr>
          <w:rFonts w:hint="eastAsia" w:ascii="宋体"/>
          <w:b/>
          <w:color w:val="auto"/>
          <w:szCs w:val="21"/>
          <w:highlight w:val="none"/>
        </w:rPr>
      </w:pPr>
    </w:p>
    <w:p w14:paraId="319ED9FC">
      <w:pPr>
        <w:spacing w:line="400" w:lineRule="exact"/>
        <w:jc w:val="center"/>
        <w:rPr>
          <w:rFonts w:hint="eastAsia" w:ascii="宋体"/>
          <w:b/>
          <w:color w:val="auto"/>
          <w:szCs w:val="21"/>
          <w:highlight w:val="none"/>
        </w:rPr>
      </w:pPr>
    </w:p>
    <w:p w14:paraId="719EFFBE">
      <w:pPr>
        <w:spacing w:line="400" w:lineRule="exact"/>
        <w:jc w:val="center"/>
        <w:rPr>
          <w:rFonts w:ascii="宋体"/>
          <w:b/>
          <w:color w:val="auto"/>
          <w:szCs w:val="21"/>
          <w:highlight w:val="none"/>
        </w:rPr>
      </w:pPr>
      <w:r>
        <w:rPr>
          <w:rFonts w:hint="eastAsia" w:ascii="宋体"/>
          <w:b/>
          <w:color w:val="auto"/>
          <w:szCs w:val="21"/>
          <w:highlight w:val="none"/>
        </w:rPr>
        <w:t>C1、开标一览表</w:t>
      </w:r>
    </w:p>
    <w:p w14:paraId="0EB4FF25">
      <w:pPr>
        <w:pStyle w:val="20"/>
        <w:spacing w:line="400" w:lineRule="exact"/>
        <w:ind w:left="1104"/>
        <w:rPr>
          <w:color w:val="auto"/>
          <w:sz w:val="21"/>
          <w:highlight w:val="none"/>
        </w:rPr>
      </w:pPr>
    </w:p>
    <w:p w14:paraId="7526F57D">
      <w:pPr>
        <w:pStyle w:val="20"/>
        <w:spacing w:line="400" w:lineRule="exact"/>
        <w:ind w:left="0" w:leftChars="0" w:firstLine="0" w:firstLineChars="0"/>
        <w:rPr>
          <w:rFonts w:hint="eastAsia" w:eastAsia="宋体"/>
          <w:color w:val="auto"/>
          <w:sz w:val="21"/>
          <w:highlight w:val="none"/>
          <w:u w:val="single"/>
          <w:lang w:eastAsia="zh-CN"/>
        </w:rPr>
      </w:pPr>
      <w:r>
        <w:rPr>
          <w:rFonts w:hint="eastAsia"/>
          <w:color w:val="auto"/>
          <w:sz w:val="21"/>
          <w:highlight w:val="none"/>
        </w:rPr>
        <w:t>项目名称：</w:t>
      </w:r>
      <w:r>
        <w:rPr>
          <w:rFonts w:hint="eastAsia"/>
          <w:color w:val="auto"/>
          <w:sz w:val="21"/>
          <w:highlight w:val="none"/>
          <w:u w:val="single"/>
          <w:lang w:eastAsia="zh-CN"/>
        </w:rPr>
        <w:t>宁波高新区求精书院理化生实验室（初中部）设施设备采购项目（二期）</w:t>
      </w:r>
    </w:p>
    <w:p w14:paraId="4386B7ED">
      <w:pPr>
        <w:pStyle w:val="20"/>
        <w:spacing w:line="400" w:lineRule="exact"/>
        <w:ind w:left="0" w:leftChars="0" w:firstLine="0" w:firstLineChars="0"/>
        <w:rPr>
          <w:rFonts w:hint="eastAsia"/>
          <w:color w:val="auto"/>
          <w:sz w:val="21"/>
          <w:highlight w:val="none"/>
          <w:u w:val="single"/>
          <w:lang w:eastAsia="zh-CN"/>
        </w:rPr>
      </w:pPr>
      <w:r>
        <w:rPr>
          <w:rFonts w:hint="eastAsia"/>
          <w:color w:val="auto"/>
          <w:sz w:val="21"/>
          <w:highlight w:val="none"/>
        </w:rPr>
        <w:t>采购编号：</w:t>
      </w:r>
      <w:r>
        <w:rPr>
          <w:rFonts w:hint="eastAsia"/>
          <w:color w:val="auto"/>
          <w:sz w:val="21"/>
          <w:highlight w:val="none"/>
          <w:u w:val="single"/>
          <w:lang w:eastAsia="zh-CN"/>
        </w:rPr>
        <w:t>NBITC-202530765G</w:t>
      </w:r>
    </w:p>
    <w:p w14:paraId="434024C7">
      <w:pPr>
        <w:pStyle w:val="20"/>
        <w:wordWrap w:val="0"/>
        <w:spacing w:line="400" w:lineRule="exact"/>
        <w:ind w:firstLine="0"/>
        <w:jc w:val="right"/>
        <w:rPr>
          <w:rFonts w:hint="eastAsia" w:ascii="宋体" w:hAnsi="宋体" w:eastAsia="宋体"/>
          <w:color w:val="auto"/>
          <w:sz w:val="21"/>
          <w:szCs w:val="21"/>
          <w:highlight w:val="none"/>
          <w:u w:val="single"/>
        </w:rPr>
      </w:pPr>
      <w:r>
        <w:rPr>
          <w:rFonts w:hint="eastAsia" w:ascii="宋体" w:hAnsi="宋体" w:eastAsia="宋体"/>
          <w:color w:val="auto"/>
          <w:sz w:val="21"/>
          <w:szCs w:val="21"/>
          <w:highlight w:val="none"/>
        </w:rPr>
        <w:t>货币单位：人民币元</w:t>
      </w: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3564"/>
        <w:gridCol w:w="2532"/>
        <w:gridCol w:w="1041"/>
        <w:gridCol w:w="1298"/>
      </w:tblGrid>
      <w:tr w14:paraId="0A01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412" w:type="pct"/>
            <w:noWrap w:val="0"/>
            <w:vAlign w:val="center"/>
          </w:tcPr>
          <w:p w14:paraId="51062674">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标项</w:t>
            </w:r>
          </w:p>
        </w:tc>
        <w:tc>
          <w:tcPr>
            <w:tcW w:w="1938" w:type="pct"/>
            <w:noWrap w:val="0"/>
            <w:vAlign w:val="center"/>
          </w:tcPr>
          <w:p w14:paraId="7BC40FEF">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标项名称</w:t>
            </w:r>
          </w:p>
        </w:tc>
        <w:tc>
          <w:tcPr>
            <w:tcW w:w="1377" w:type="pct"/>
            <w:noWrap w:val="0"/>
            <w:vAlign w:val="center"/>
          </w:tcPr>
          <w:p w14:paraId="61C85DD4">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投标报价</w:t>
            </w:r>
          </w:p>
        </w:tc>
        <w:tc>
          <w:tcPr>
            <w:tcW w:w="566" w:type="pct"/>
            <w:noWrap w:val="0"/>
            <w:vAlign w:val="center"/>
          </w:tcPr>
          <w:p w14:paraId="595629B1">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交货期</w:t>
            </w:r>
          </w:p>
        </w:tc>
        <w:tc>
          <w:tcPr>
            <w:tcW w:w="705" w:type="pct"/>
            <w:noWrap w:val="0"/>
            <w:vAlign w:val="center"/>
          </w:tcPr>
          <w:p w14:paraId="419383C7">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lang w:eastAsia="zh-CN"/>
              </w:rPr>
              <w:t>产地</w:t>
            </w:r>
            <w:r>
              <w:rPr>
                <w:rFonts w:hint="eastAsia" w:ascii="宋体" w:hAnsi="宋体"/>
                <w:color w:val="auto"/>
                <w:sz w:val="21"/>
                <w:szCs w:val="21"/>
                <w:highlight w:val="none"/>
              </w:rPr>
              <w:t>品牌</w:t>
            </w:r>
          </w:p>
        </w:tc>
      </w:tr>
      <w:tr w14:paraId="6F71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412" w:type="pct"/>
            <w:noWrap w:val="0"/>
            <w:vAlign w:val="center"/>
          </w:tcPr>
          <w:p w14:paraId="15A54973">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1</w:t>
            </w:r>
          </w:p>
        </w:tc>
        <w:tc>
          <w:tcPr>
            <w:tcW w:w="1938" w:type="pct"/>
            <w:noWrap w:val="0"/>
            <w:vAlign w:val="center"/>
          </w:tcPr>
          <w:p w14:paraId="7CF8DDD6">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宁波高新区求精书院理化生实验室（初中部）设施设备采购项目（二期）</w:t>
            </w:r>
          </w:p>
        </w:tc>
        <w:tc>
          <w:tcPr>
            <w:tcW w:w="1377" w:type="pct"/>
            <w:noWrap w:val="0"/>
            <w:vAlign w:val="center"/>
          </w:tcPr>
          <w:p w14:paraId="65980C25">
            <w:pPr>
              <w:wordWrap w:val="0"/>
              <w:rPr>
                <w:rFonts w:hint="eastAsia"/>
                <w:color w:val="auto"/>
                <w:sz w:val="21"/>
                <w:szCs w:val="21"/>
                <w:highlight w:val="none"/>
              </w:rPr>
            </w:pPr>
            <w:r>
              <w:rPr>
                <w:rFonts w:hint="eastAsia"/>
                <w:color w:val="auto"/>
                <w:sz w:val="21"/>
                <w:szCs w:val="21"/>
                <w:highlight w:val="none"/>
              </w:rPr>
              <w:t>人民币：（小写）</w:t>
            </w:r>
          </w:p>
        </w:tc>
        <w:tc>
          <w:tcPr>
            <w:tcW w:w="566" w:type="pct"/>
            <w:noWrap w:val="0"/>
            <w:vAlign w:val="center"/>
          </w:tcPr>
          <w:p w14:paraId="2E32263E">
            <w:pPr>
              <w:wordWrap w:val="0"/>
              <w:snapToGrid w:val="0"/>
              <w:spacing w:line="400" w:lineRule="exact"/>
              <w:jc w:val="center"/>
              <w:rPr>
                <w:rFonts w:hint="eastAsia" w:ascii="宋体" w:hAnsi="宋体"/>
                <w:color w:val="auto"/>
                <w:sz w:val="21"/>
                <w:szCs w:val="21"/>
                <w:highlight w:val="none"/>
              </w:rPr>
            </w:pPr>
          </w:p>
        </w:tc>
        <w:tc>
          <w:tcPr>
            <w:tcW w:w="705" w:type="pct"/>
            <w:noWrap w:val="0"/>
            <w:vAlign w:val="center"/>
          </w:tcPr>
          <w:p w14:paraId="563299A4">
            <w:pPr>
              <w:wordWrap w:val="0"/>
              <w:snapToGrid w:val="0"/>
              <w:spacing w:line="400" w:lineRule="exact"/>
              <w:jc w:val="center"/>
              <w:rPr>
                <w:rFonts w:hint="eastAsia" w:ascii="宋体" w:hAnsi="宋体"/>
                <w:color w:val="auto"/>
                <w:sz w:val="21"/>
                <w:szCs w:val="21"/>
                <w:highlight w:val="none"/>
              </w:rPr>
            </w:pPr>
          </w:p>
        </w:tc>
      </w:tr>
      <w:tr w14:paraId="6F65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350" w:type="pct"/>
            <w:gridSpan w:val="2"/>
            <w:noWrap w:val="0"/>
            <w:vAlign w:val="center"/>
          </w:tcPr>
          <w:p w14:paraId="52F862EA">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投标报价（大写）</w:t>
            </w:r>
          </w:p>
        </w:tc>
        <w:tc>
          <w:tcPr>
            <w:tcW w:w="2649" w:type="pct"/>
            <w:gridSpan w:val="3"/>
            <w:noWrap w:val="0"/>
            <w:vAlign w:val="center"/>
          </w:tcPr>
          <w:p w14:paraId="44F689CA">
            <w:pPr>
              <w:wordWrap w:val="0"/>
              <w:snapToGrid w:val="0"/>
              <w:spacing w:line="400" w:lineRule="exact"/>
              <w:jc w:val="center"/>
              <w:rPr>
                <w:rFonts w:hint="eastAsia" w:ascii="宋体" w:hAnsi="宋体"/>
                <w:color w:val="auto"/>
                <w:sz w:val="21"/>
                <w:szCs w:val="21"/>
                <w:highlight w:val="none"/>
              </w:rPr>
            </w:pPr>
          </w:p>
        </w:tc>
      </w:tr>
      <w:tr w14:paraId="05C4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350" w:type="pct"/>
            <w:gridSpan w:val="2"/>
            <w:noWrap w:val="0"/>
            <w:vAlign w:val="center"/>
          </w:tcPr>
          <w:p w14:paraId="1453EE4C">
            <w:pPr>
              <w:wordWrap w:val="0"/>
              <w:snapToGrid w:val="0"/>
              <w:spacing w:line="400" w:lineRule="exact"/>
              <w:jc w:val="center"/>
              <w:rPr>
                <w:rFonts w:hint="eastAsia" w:ascii="宋体" w:hAnsi="宋体"/>
                <w:color w:val="auto"/>
                <w:sz w:val="21"/>
                <w:szCs w:val="21"/>
                <w:highlight w:val="none"/>
              </w:rPr>
            </w:pPr>
            <w:r>
              <w:rPr>
                <w:rFonts w:hint="eastAsia" w:ascii="宋体" w:hAnsi="宋体"/>
                <w:color w:val="auto"/>
                <w:sz w:val="21"/>
                <w:szCs w:val="21"/>
                <w:highlight w:val="none"/>
              </w:rPr>
              <w:t>投标</w:t>
            </w:r>
            <w:r>
              <w:rPr>
                <w:rFonts w:ascii="宋体" w:hAnsi="宋体"/>
                <w:color w:val="auto"/>
                <w:sz w:val="21"/>
                <w:szCs w:val="21"/>
                <w:highlight w:val="none"/>
              </w:rPr>
              <w:t>声明</w:t>
            </w:r>
          </w:p>
        </w:tc>
        <w:tc>
          <w:tcPr>
            <w:tcW w:w="2649" w:type="pct"/>
            <w:gridSpan w:val="3"/>
            <w:noWrap w:val="0"/>
            <w:vAlign w:val="center"/>
          </w:tcPr>
          <w:p w14:paraId="51A18415">
            <w:pPr>
              <w:wordWrap w:val="0"/>
              <w:snapToGrid w:val="0"/>
              <w:spacing w:line="400" w:lineRule="exact"/>
              <w:jc w:val="center"/>
              <w:rPr>
                <w:rFonts w:hint="eastAsia" w:ascii="宋体" w:hAnsi="宋体"/>
                <w:color w:val="auto"/>
                <w:sz w:val="21"/>
                <w:szCs w:val="21"/>
                <w:highlight w:val="none"/>
              </w:rPr>
            </w:pPr>
          </w:p>
        </w:tc>
      </w:tr>
    </w:tbl>
    <w:p w14:paraId="721BAA65">
      <w:pPr>
        <w:pStyle w:val="20"/>
        <w:spacing w:line="400" w:lineRule="exact"/>
        <w:ind w:left="0" w:leftChars="0" w:firstLine="0" w:firstLineChars="0"/>
        <w:rPr>
          <w:rFonts w:hint="eastAsia"/>
          <w:color w:val="auto"/>
          <w:sz w:val="21"/>
          <w:highlight w:val="none"/>
          <w:u w:val="single"/>
          <w:lang w:eastAsia="zh-CN"/>
        </w:rPr>
      </w:pPr>
    </w:p>
    <w:p w14:paraId="31C381AF">
      <w:pPr>
        <w:snapToGrid w:val="0"/>
        <w:spacing w:line="400" w:lineRule="exact"/>
        <w:rPr>
          <w:rFonts w:ascii="宋体"/>
          <w:color w:val="auto"/>
          <w:highlight w:val="none"/>
        </w:rPr>
      </w:pPr>
      <w:r>
        <w:rPr>
          <w:rFonts w:hint="eastAsia" w:ascii="宋体" w:cs="宋体"/>
          <w:color w:val="auto"/>
          <w:highlight w:val="none"/>
        </w:rPr>
        <w:t>注:</w:t>
      </w:r>
      <w:r>
        <w:rPr>
          <w:rFonts w:hint="eastAsia" w:ascii="宋体"/>
          <w:color w:val="auto"/>
          <w:szCs w:val="21"/>
          <w:highlight w:val="none"/>
        </w:rPr>
        <w:t>投标文件中开标一览表内容与政采云系统“开标一览表”中录入的报价内容不一致的，以投标文件中开标一览表为准。</w:t>
      </w:r>
    </w:p>
    <w:p w14:paraId="497EEBFB">
      <w:pPr>
        <w:snapToGrid w:val="0"/>
        <w:spacing w:line="400" w:lineRule="exact"/>
        <w:rPr>
          <w:rFonts w:ascii="宋体"/>
          <w:color w:val="auto"/>
          <w:szCs w:val="21"/>
          <w:highlight w:val="none"/>
          <w:u w:val="single"/>
        </w:rPr>
      </w:pPr>
    </w:p>
    <w:p w14:paraId="275AC303">
      <w:pPr>
        <w:spacing w:line="400" w:lineRule="exact"/>
        <w:rPr>
          <w:rFonts w:ascii="宋体"/>
          <w:color w:val="auto"/>
          <w:szCs w:val="21"/>
          <w:highlight w:val="none"/>
        </w:rPr>
      </w:pPr>
      <w:r>
        <w:rPr>
          <w:rFonts w:hint="eastAsia" w:ascii="宋体"/>
          <w:color w:val="auto"/>
          <w:szCs w:val="21"/>
          <w:highlight w:val="none"/>
        </w:rPr>
        <w:t>投标人（盖章）：</w:t>
      </w:r>
      <w:r>
        <w:rPr>
          <w:rFonts w:hint="eastAsia" w:ascii="宋体"/>
          <w:color w:val="auto"/>
          <w:szCs w:val="21"/>
          <w:highlight w:val="none"/>
          <w:u w:val="single"/>
        </w:rPr>
        <w:t xml:space="preserve">                                </w:t>
      </w:r>
      <w:r>
        <w:rPr>
          <w:rFonts w:hint="eastAsia" w:ascii="宋体"/>
          <w:color w:val="auto"/>
          <w:szCs w:val="21"/>
          <w:highlight w:val="none"/>
        </w:rPr>
        <w:t xml:space="preserve">          </w:t>
      </w:r>
    </w:p>
    <w:p w14:paraId="00DD7302">
      <w:pPr>
        <w:spacing w:line="400" w:lineRule="exact"/>
        <w:rPr>
          <w:rFonts w:ascii="宋体"/>
          <w:color w:val="auto"/>
          <w:szCs w:val="21"/>
          <w:highlight w:val="none"/>
        </w:rPr>
      </w:pPr>
    </w:p>
    <w:p w14:paraId="739D9652">
      <w:pPr>
        <w:spacing w:line="400" w:lineRule="exact"/>
        <w:rPr>
          <w:rFonts w:ascii="宋体"/>
          <w:color w:val="auto"/>
          <w:szCs w:val="21"/>
          <w:highlight w:val="none"/>
          <w:u w:val="single"/>
        </w:rPr>
      </w:pPr>
      <w:r>
        <w:rPr>
          <w:rFonts w:hint="eastAsia" w:ascii="宋体"/>
          <w:color w:val="auto"/>
          <w:szCs w:val="21"/>
          <w:highlight w:val="none"/>
        </w:rPr>
        <w:t>日          期：</w:t>
      </w:r>
      <w:r>
        <w:rPr>
          <w:rFonts w:hint="eastAsia" w:ascii="宋体"/>
          <w:color w:val="auto"/>
          <w:szCs w:val="21"/>
          <w:highlight w:val="none"/>
          <w:u w:val="single"/>
        </w:rPr>
        <w:t xml:space="preserve">                                </w:t>
      </w:r>
    </w:p>
    <w:p w14:paraId="279CD180">
      <w:pPr>
        <w:pStyle w:val="25"/>
        <w:snapToGrid w:val="0"/>
        <w:spacing w:line="400" w:lineRule="exact"/>
        <w:jc w:val="center"/>
        <w:rPr>
          <w:b/>
          <w:color w:val="auto"/>
          <w:highlight w:val="none"/>
        </w:rPr>
      </w:pPr>
      <w:r>
        <w:rPr>
          <w:b/>
          <w:color w:val="auto"/>
          <w:highlight w:val="none"/>
        </w:rPr>
        <w:br w:type="page"/>
      </w:r>
      <w:r>
        <w:rPr>
          <w:rFonts w:hint="eastAsia"/>
          <w:b/>
          <w:color w:val="auto"/>
          <w:highlight w:val="none"/>
        </w:rPr>
        <w:t>C2、投标分项报价表</w:t>
      </w:r>
    </w:p>
    <w:p w14:paraId="1330F6FB">
      <w:pPr>
        <w:pStyle w:val="20"/>
        <w:spacing w:line="400" w:lineRule="exact"/>
        <w:ind w:left="0" w:leftChars="0" w:firstLine="0" w:firstLineChars="0"/>
        <w:rPr>
          <w:rFonts w:hint="eastAsia" w:eastAsia="宋体"/>
          <w:color w:val="auto"/>
          <w:sz w:val="21"/>
          <w:highlight w:val="none"/>
          <w:u w:val="single"/>
          <w:lang w:eastAsia="zh-CN"/>
        </w:rPr>
      </w:pPr>
      <w:r>
        <w:rPr>
          <w:rFonts w:hint="eastAsia"/>
          <w:color w:val="auto"/>
          <w:sz w:val="21"/>
          <w:highlight w:val="none"/>
        </w:rPr>
        <w:t>项目名称：</w:t>
      </w:r>
      <w:r>
        <w:rPr>
          <w:rFonts w:hint="eastAsia"/>
          <w:color w:val="auto"/>
          <w:sz w:val="21"/>
          <w:highlight w:val="none"/>
          <w:u w:val="single"/>
          <w:lang w:eastAsia="zh-CN"/>
        </w:rPr>
        <w:t>宁波高新区求精书院理化生实验室（初中部）设施设备采购项目（二期）</w:t>
      </w:r>
    </w:p>
    <w:p w14:paraId="5E90399B">
      <w:pPr>
        <w:pStyle w:val="20"/>
        <w:spacing w:line="400" w:lineRule="exact"/>
        <w:ind w:left="0" w:leftChars="0" w:firstLine="0" w:firstLineChars="0"/>
        <w:rPr>
          <w:rFonts w:hint="eastAsia" w:eastAsia="宋体"/>
          <w:color w:val="auto"/>
          <w:sz w:val="21"/>
          <w:highlight w:val="none"/>
          <w:u w:val="single"/>
          <w:lang w:eastAsia="zh-CN"/>
        </w:rPr>
      </w:pPr>
      <w:r>
        <w:rPr>
          <w:rFonts w:hint="eastAsia"/>
          <w:color w:val="auto"/>
          <w:sz w:val="21"/>
          <w:highlight w:val="none"/>
        </w:rPr>
        <w:t>采购编号：</w:t>
      </w:r>
      <w:r>
        <w:rPr>
          <w:rFonts w:hint="eastAsia"/>
          <w:color w:val="auto"/>
          <w:sz w:val="21"/>
          <w:highlight w:val="none"/>
          <w:u w:val="single"/>
          <w:lang w:eastAsia="zh-CN"/>
        </w:rPr>
        <w:t>NBITC-202530765G</w:t>
      </w:r>
    </w:p>
    <w:p w14:paraId="0A8F3123">
      <w:pPr>
        <w:pStyle w:val="20"/>
        <w:spacing w:line="400" w:lineRule="exact"/>
        <w:ind w:left="1104"/>
        <w:rPr>
          <w:rFonts w:hint="eastAsia"/>
          <w:color w:val="auto"/>
          <w:sz w:val="21"/>
          <w:highlight w:val="none"/>
        </w:rPr>
      </w:pPr>
      <w:r>
        <w:rPr>
          <w:rFonts w:hint="eastAsia"/>
          <w:color w:val="auto"/>
          <w:sz w:val="21"/>
          <w:highlight w:val="none"/>
        </w:rPr>
        <w:t xml:space="preserve">                                                        货币单位：人民币元</w:t>
      </w:r>
    </w:p>
    <w:tbl>
      <w:tblPr>
        <w:tblStyle w:val="42"/>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1701"/>
        <w:gridCol w:w="709"/>
        <w:gridCol w:w="851"/>
        <w:gridCol w:w="1417"/>
        <w:gridCol w:w="1417"/>
        <w:gridCol w:w="992"/>
      </w:tblGrid>
      <w:tr w14:paraId="4318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851" w:type="dxa"/>
            <w:noWrap w:val="0"/>
            <w:vAlign w:val="center"/>
          </w:tcPr>
          <w:p w14:paraId="7F82A1CC">
            <w:pPr>
              <w:wordWrap w:val="0"/>
              <w:jc w:val="center"/>
              <w:rPr>
                <w:rFonts w:ascii="宋体" w:hAnsi="宋体"/>
                <w:b/>
                <w:color w:val="auto"/>
                <w:sz w:val="21"/>
                <w:szCs w:val="21"/>
                <w:highlight w:val="none"/>
              </w:rPr>
            </w:pPr>
            <w:r>
              <w:rPr>
                <w:rFonts w:hint="eastAsia" w:ascii="宋体" w:hAnsi="宋体"/>
                <w:b/>
                <w:color w:val="auto"/>
                <w:sz w:val="21"/>
                <w:szCs w:val="21"/>
                <w:highlight w:val="none"/>
              </w:rPr>
              <w:t>序号</w:t>
            </w:r>
          </w:p>
        </w:tc>
        <w:tc>
          <w:tcPr>
            <w:tcW w:w="1701" w:type="dxa"/>
            <w:noWrap w:val="0"/>
            <w:vAlign w:val="center"/>
          </w:tcPr>
          <w:p w14:paraId="11257CA6">
            <w:pPr>
              <w:wordWrap w:val="0"/>
              <w:jc w:val="center"/>
              <w:rPr>
                <w:rFonts w:hint="eastAsia" w:ascii="宋体" w:hAnsi="宋体"/>
                <w:b/>
                <w:color w:val="auto"/>
                <w:sz w:val="21"/>
                <w:szCs w:val="21"/>
                <w:highlight w:val="none"/>
              </w:rPr>
            </w:pPr>
            <w:r>
              <w:rPr>
                <w:rFonts w:hint="eastAsia" w:ascii="宋体" w:hAnsi="宋体"/>
                <w:b/>
                <w:color w:val="auto"/>
                <w:sz w:val="21"/>
                <w:szCs w:val="21"/>
                <w:highlight w:val="none"/>
              </w:rPr>
              <w:t>产品名称</w:t>
            </w:r>
          </w:p>
        </w:tc>
        <w:tc>
          <w:tcPr>
            <w:tcW w:w="1701" w:type="dxa"/>
            <w:noWrap w:val="0"/>
            <w:vAlign w:val="center"/>
          </w:tcPr>
          <w:p w14:paraId="651AE0FD">
            <w:pPr>
              <w:wordWrap w:val="0"/>
              <w:jc w:val="center"/>
              <w:rPr>
                <w:rFonts w:ascii="宋体" w:hAnsi="宋体" w:cs="宋体"/>
                <w:bCs/>
                <w:color w:val="auto"/>
                <w:spacing w:val="-6"/>
                <w:kern w:val="0"/>
                <w:sz w:val="21"/>
                <w:szCs w:val="21"/>
                <w:highlight w:val="none"/>
                <w:lang w:val="zh-CN"/>
              </w:rPr>
            </w:pPr>
            <w:r>
              <w:rPr>
                <w:rFonts w:hint="eastAsia" w:ascii="宋体" w:hAnsi="宋体"/>
                <w:b/>
                <w:color w:val="auto"/>
                <w:sz w:val="21"/>
                <w:szCs w:val="21"/>
                <w:highlight w:val="none"/>
              </w:rPr>
              <w:t>规格、型号</w:t>
            </w:r>
          </w:p>
        </w:tc>
        <w:tc>
          <w:tcPr>
            <w:tcW w:w="709" w:type="dxa"/>
            <w:noWrap w:val="0"/>
            <w:vAlign w:val="center"/>
          </w:tcPr>
          <w:p w14:paraId="4887104A">
            <w:pPr>
              <w:wordWrap w:val="0"/>
              <w:jc w:val="center"/>
              <w:rPr>
                <w:rFonts w:hint="eastAsia" w:ascii="宋体" w:hAnsi="宋体"/>
                <w:b/>
                <w:color w:val="auto"/>
                <w:sz w:val="21"/>
                <w:szCs w:val="21"/>
                <w:highlight w:val="none"/>
              </w:rPr>
            </w:pPr>
            <w:r>
              <w:rPr>
                <w:rFonts w:hint="eastAsia" w:ascii="宋体" w:hAnsi="宋体"/>
                <w:b/>
                <w:color w:val="auto"/>
                <w:sz w:val="21"/>
                <w:szCs w:val="21"/>
                <w:highlight w:val="none"/>
              </w:rPr>
              <w:t>数量</w:t>
            </w:r>
          </w:p>
        </w:tc>
        <w:tc>
          <w:tcPr>
            <w:tcW w:w="851" w:type="dxa"/>
            <w:noWrap w:val="0"/>
            <w:vAlign w:val="center"/>
          </w:tcPr>
          <w:p w14:paraId="469A2503">
            <w:pPr>
              <w:wordWrap w:val="0"/>
              <w:jc w:val="center"/>
              <w:rPr>
                <w:rFonts w:ascii="宋体" w:hAnsi="宋体"/>
                <w:b/>
                <w:color w:val="auto"/>
                <w:sz w:val="21"/>
                <w:szCs w:val="21"/>
                <w:highlight w:val="none"/>
              </w:rPr>
            </w:pPr>
            <w:r>
              <w:rPr>
                <w:rFonts w:hint="eastAsia" w:ascii="宋体" w:hAnsi="宋体"/>
                <w:b/>
                <w:color w:val="auto"/>
                <w:sz w:val="21"/>
                <w:szCs w:val="21"/>
                <w:highlight w:val="none"/>
              </w:rPr>
              <w:t>单位</w:t>
            </w:r>
          </w:p>
        </w:tc>
        <w:tc>
          <w:tcPr>
            <w:tcW w:w="1417" w:type="dxa"/>
            <w:noWrap w:val="0"/>
            <w:vAlign w:val="center"/>
          </w:tcPr>
          <w:p w14:paraId="70CE4627">
            <w:pPr>
              <w:wordWrap w:val="0"/>
              <w:jc w:val="center"/>
              <w:rPr>
                <w:rFonts w:hint="eastAsia" w:ascii="宋体" w:hAnsi="宋体"/>
                <w:b/>
                <w:color w:val="auto"/>
                <w:sz w:val="21"/>
                <w:szCs w:val="21"/>
                <w:highlight w:val="none"/>
              </w:rPr>
            </w:pPr>
            <w:r>
              <w:rPr>
                <w:rFonts w:hint="eastAsia" w:ascii="宋体" w:hAnsi="宋体"/>
                <w:b/>
                <w:color w:val="auto"/>
                <w:sz w:val="21"/>
                <w:szCs w:val="21"/>
                <w:highlight w:val="none"/>
              </w:rPr>
              <w:t>产地品牌</w:t>
            </w:r>
          </w:p>
        </w:tc>
        <w:tc>
          <w:tcPr>
            <w:tcW w:w="1417" w:type="dxa"/>
            <w:noWrap w:val="0"/>
            <w:vAlign w:val="center"/>
          </w:tcPr>
          <w:p w14:paraId="6E1A0DC9">
            <w:pPr>
              <w:wordWrap w:val="0"/>
              <w:jc w:val="center"/>
              <w:rPr>
                <w:rFonts w:hint="eastAsia" w:ascii="宋体" w:hAnsi="宋体"/>
                <w:b/>
                <w:color w:val="auto"/>
                <w:sz w:val="21"/>
                <w:szCs w:val="21"/>
                <w:highlight w:val="none"/>
              </w:rPr>
            </w:pPr>
            <w:r>
              <w:rPr>
                <w:rFonts w:hint="eastAsia" w:ascii="宋体" w:hAnsi="宋体"/>
                <w:b/>
                <w:color w:val="auto"/>
                <w:sz w:val="21"/>
                <w:szCs w:val="21"/>
                <w:highlight w:val="none"/>
              </w:rPr>
              <w:t>综合单价</w:t>
            </w:r>
          </w:p>
        </w:tc>
        <w:tc>
          <w:tcPr>
            <w:tcW w:w="992" w:type="dxa"/>
            <w:noWrap w:val="0"/>
            <w:vAlign w:val="center"/>
          </w:tcPr>
          <w:p w14:paraId="3C6896CD">
            <w:pPr>
              <w:wordWrap w:val="0"/>
              <w:jc w:val="center"/>
              <w:rPr>
                <w:rFonts w:hint="eastAsia" w:ascii="宋体" w:hAnsi="宋体"/>
                <w:b/>
                <w:color w:val="auto"/>
                <w:sz w:val="21"/>
                <w:szCs w:val="21"/>
                <w:highlight w:val="none"/>
              </w:rPr>
            </w:pPr>
            <w:r>
              <w:rPr>
                <w:rFonts w:hint="eastAsia" w:ascii="宋体" w:hAnsi="宋体"/>
                <w:b/>
                <w:color w:val="auto"/>
                <w:sz w:val="21"/>
                <w:szCs w:val="21"/>
                <w:highlight w:val="none"/>
              </w:rPr>
              <w:t>合价</w:t>
            </w:r>
          </w:p>
        </w:tc>
      </w:tr>
      <w:tr w14:paraId="7E6C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851" w:type="dxa"/>
            <w:noWrap w:val="0"/>
            <w:vAlign w:val="center"/>
          </w:tcPr>
          <w:p w14:paraId="00A0C180">
            <w:pPr>
              <w:wordWrap w:val="0"/>
              <w:jc w:val="center"/>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一）</w:t>
            </w:r>
          </w:p>
        </w:tc>
        <w:tc>
          <w:tcPr>
            <w:tcW w:w="8788" w:type="dxa"/>
            <w:gridSpan w:val="7"/>
            <w:noWrap w:val="0"/>
            <w:vAlign w:val="center"/>
          </w:tcPr>
          <w:p w14:paraId="38D2A023">
            <w:pPr>
              <w:wordWrap w:val="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val="en-US" w:eastAsia="zh-CN"/>
              </w:rPr>
              <w:t>物理实验室</w:t>
            </w:r>
          </w:p>
        </w:tc>
      </w:tr>
      <w:tr w14:paraId="2AD0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851" w:type="dxa"/>
            <w:noWrap w:val="0"/>
            <w:vAlign w:val="center"/>
          </w:tcPr>
          <w:p w14:paraId="28B798DB">
            <w:pPr>
              <w:widowControl/>
              <w:wordWrap w:val="0"/>
              <w:spacing w:line="360" w:lineRule="auto"/>
              <w:jc w:val="center"/>
              <w:textAlignment w:val="center"/>
              <w:rPr>
                <w:rFonts w:hint="eastAsia" w:ascii="宋体" w:hAnsi="宋体" w:cs="宋体"/>
                <w:bCs/>
                <w:color w:val="auto"/>
                <w:spacing w:val="-6"/>
                <w:kern w:val="0"/>
                <w:sz w:val="21"/>
                <w:szCs w:val="21"/>
                <w:highlight w:val="none"/>
                <w:lang w:val="zh-CN"/>
              </w:rPr>
            </w:pPr>
            <w:r>
              <w:rPr>
                <w:rFonts w:hint="eastAsia" w:ascii="宋体" w:hAnsi="宋体" w:cs="宋体"/>
                <w:bCs/>
                <w:color w:val="auto"/>
                <w:spacing w:val="-6"/>
                <w:kern w:val="0"/>
                <w:sz w:val="21"/>
                <w:szCs w:val="21"/>
                <w:highlight w:val="none"/>
                <w:lang w:val="zh-CN"/>
              </w:rPr>
              <w:t>1</w:t>
            </w:r>
          </w:p>
        </w:tc>
        <w:tc>
          <w:tcPr>
            <w:tcW w:w="1701" w:type="dxa"/>
            <w:noWrap w:val="0"/>
            <w:vAlign w:val="center"/>
          </w:tcPr>
          <w:p w14:paraId="6F4C61D3">
            <w:pPr>
              <w:widowControl/>
              <w:jc w:val="center"/>
              <w:textAlignment w:val="center"/>
              <w:rPr>
                <w:rFonts w:hint="eastAsia" w:ascii="宋体" w:hAnsi="宋体"/>
                <w:b/>
                <w:color w:val="auto"/>
                <w:sz w:val="21"/>
                <w:szCs w:val="21"/>
                <w:highlight w:val="none"/>
              </w:rPr>
            </w:pPr>
          </w:p>
        </w:tc>
        <w:tc>
          <w:tcPr>
            <w:tcW w:w="1701" w:type="dxa"/>
            <w:noWrap w:val="0"/>
            <w:vAlign w:val="center"/>
          </w:tcPr>
          <w:p w14:paraId="7AC81ED8">
            <w:pPr>
              <w:wordWrap w:val="0"/>
              <w:jc w:val="center"/>
              <w:rPr>
                <w:rFonts w:hint="eastAsia" w:ascii="宋体" w:hAnsi="宋体"/>
                <w:b/>
                <w:color w:val="auto"/>
                <w:sz w:val="21"/>
                <w:szCs w:val="21"/>
                <w:highlight w:val="none"/>
              </w:rPr>
            </w:pPr>
          </w:p>
        </w:tc>
        <w:tc>
          <w:tcPr>
            <w:tcW w:w="709" w:type="dxa"/>
            <w:noWrap w:val="0"/>
            <w:vAlign w:val="center"/>
          </w:tcPr>
          <w:p w14:paraId="49E77CE8">
            <w:pPr>
              <w:wordWrap w:val="0"/>
              <w:jc w:val="center"/>
              <w:rPr>
                <w:rFonts w:hint="eastAsia" w:ascii="宋体" w:hAnsi="宋体"/>
                <w:b/>
                <w:color w:val="auto"/>
                <w:sz w:val="21"/>
                <w:szCs w:val="21"/>
                <w:highlight w:val="none"/>
              </w:rPr>
            </w:pPr>
          </w:p>
        </w:tc>
        <w:tc>
          <w:tcPr>
            <w:tcW w:w="851" w:type="dxa"/>
            <w:noWrap w:val="0"/>
            <w:vAlign w:val="center"/>
          </w:tcPr>
          <w:p w14:paraId="4A6210B4">
            <w:pPr>
              <w:wordWrap w:val="0"/>
              <w:jc w:val="center"/>
              <w:rPr>
                <w:rFonts w:hint="eastAsia" w:ascii="宋体" w:hAnsi="宋体"/>
                <w:b/>
                <w:color w:val="auto"/>
                <w:sz w:val="21"/>
                <w:szCs w:val="21"/>
                <w:highlight w:val="none"/>
              </w:rPr>
            </w:pPr>
          </w:p>
        </w:tc>
        <w:tc>
          <w:tcPr>
            <w:tcW w:w="1417" w:type="dxa"/>
            <w:noWrap w:val="0"/>
            <w:vAlign w:val="center"/>
          </w:tcPr>
          <w:p w14:paraId="6290FAAC">
            <w:pPr>
              <w:wordWrap w:val="0"/>
              <w:jc w:val="center"/>
              <w:rPr>
                <w:rFonts w:hint="eastAsia" w:ascii="宋体" w:hAnsi="宋体"/>
                <w:b/>
                <w:color w:val="auto"/>
                <w:sz w:val="21"/>
                <w:szCs w:val="21"/>
                <w:highlight w:val="none"/>
              </w:rPr>
            </w:pPr>
          </w:p>
        </w:tc>
        <w:tc>
          <w:tcPr>
            <w:tcW w:w="1417" w:type="dxa"/>
            <w:noWrap w:val="0"/>
            <w:vAlign w:val="center"/>
          </w:tcPr>
          <w:p w14:paraId="7C221C68">
            <w:pPr>
              <w:wordWrap w:val="0"/>
              <w:jc w:val="center"/>
              <w:rPr>
                <w:rFonts w:hint="eastAsia" w:ascii="宋体" w:hAnsi="宋体"/>
                <w:b/>
                <w:color w:val="auto"/>
                <w:sz w:val="21"/>
                <w:szCs w:val="21"/>
                <w:highlight w:val="none"/>
              </w:rPr>
            </w:pPr>
          </w:p>
        </w:tc>
        <w:tc>
          <w:tcPr>
            <w:tcW w:w="992" w:type="dxa"/>
            <w:noWrap w:val="0"/>
            <w:vAlign w:val="center"/>
          </w:tcPr>
          <w:p w14:paraId="1FB173AC">
            <w:pPr>
              <w:wordWrap w:val="0"/>
              <w:jc w:val="center"/>
              <w:rPr>
                <w:rFonts w:hint="eastAsia" w:ascii="宋体" w:hAnsi="宋体"/>
                <w:b/>
                <w:color w:val="auto"/>
                <w:sz w:val="21"/>
                <w:szCs w:val="21"/>
                <w:highlight w:val="none"/>
              </w:rPr>
            </w:pPr>
          </w:p>
        </w:tc>
      </w:tr>
      <w:tr w14:paraId="68CD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851" w:type="dxa"/>
            <w:noWrap w:val="0"/>
            <w:vAlign w:val="center"/>
          </w:tcPr>
          <w:p w14:paraId="14E5227F">
            <w:pPr>
              <w:widowControl/>
              <w:wordWrap w:val="0"/>
              <w:spacing w:line="360" w:lineRule="auto"/>
              <w:jc w:val="center"/>
              <w:textAlignment w:val="center"/>
              <w:rPr>
                <w:rFonts w:ascii="宋体" w:hAnsi="宋体" w:cs="宋体"/>
                <w:bCs/>
                <w:color w:val="auto"/>
                <w:spacing w:val="-6"/>
                <w:kern w:val="0"/>
                <w:sz w:val="21"/>
                <w:szCs w:val="21"/>
                <w:highlight w:val="none"/>
                <w:lang w:val="zh-CN"/>
              </w:rPr>
            </w:pPr>
            <w:r>
              <w:rPr>
                <w:rFonts w:hint="eastAsia" w:ascii="宋体" w:hAnsi="宋体" w:cs="宋体"/>
                <w:bCs/>
                <w:color w:val="auto"/>
                <w:spacing w:val="-6"/>
                <w:kern w:val="0"/>
                <w:sz w:val="21"/>
                <w:szCs w:val="21"/>
                <w:highlight w:val="none"/>
                <w:lang w:val="zh-CN"/>
              </w:rPr>
              <w:t>2</w:t>
            </w:r>
          </w:p>
        </w:tc>
        <w:tc>
          <w:tcPr>
            <w:tcW w:w="1701" w:type="dxa"/>
            <w:noWrap w:val="0"/>
            <w:vAlign w:val="center"/>
          </w:tcPr>
          <w:p w14:paraId="57852376">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7CDED3A7">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65471547">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198D9320">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2FFCFA9D">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4BD4568E">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5C3CF98C">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186C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851" w:type="dxa"/>
            <w:noWrap w:val="0"/>
            <w:vAlign w:val="center"/>
          </w:tcPr>
          <w:p w14:paraId="3DC0B561">
            <w:pPr>
              <w:widowControl/>
              <w:wordWrap w:val="0"/>
              <w:spacing w:line="360" w:lineRule="auto"/>
              <w:jc w:val="center"/>
              <w:textAlignment w:val="center"/>
              <w:rPr>
                <w:rFonts w:ascii="宋体" w:hAnsi="宋体" w:cs="宋体"/>
                <w:bCs/>
                <w:color w:val="auto"/>
                <w:spacing w:val="-6"/>
                <w:kern w:val="0"/>
                <w:sz w:val="21"/>
                <w:szCs w:val="21"/>
                <w:highlight w:val="none"/>
                <w:lang w:val="zh-CN"/>
              </w:rPr>
            </w:pPr>
            <w:r>
              <w:rPr>
                <w:rFonts w:hint="eastAsia" w:ascii="宋体" w:hAnsi="宋体" w:cs="宋体"/>
                <w:bCs/>
                <w:color w:val="auto"/>
                <w:spacing w:val="-6"/>
                <w:kern w:val="0"/>
                <w:sz w:val="21"/>
                <w:szCs w:val="21"/>
                <w:highlight w:val="none"/>
                <w:lang w:val="zh-CN"/>
              </w:rPr>
              <w:t>3</w:t>
            </w:r>
          </w:p>
        </w:tc>
        <w:tc>
          <w:tcPr>
            <w:tcW w:w="1701" w:type="dxa"/>
            <w:noWrap w:val="0"/>
            <w:vAlign w:val="center"/>
          </w:tcPr>
          <w:p w14:paraId="2BB4AD57">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3923F479">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4357AA69">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4FEF03D8">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7F706130">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2A320C00">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425DDCB1">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6A29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60F4A467">
            <w:pPr>
              <w:widowControl/>
              <w:wordWrap w:val="0"/>
              <w:spacing w:line="360" w:lineRule="auto"/>
              <w:jc w:val="center"/>
              <w:textAlignment w:val="center"/>
              <w:rPr>
                <w:rFonts w:hint="eastAsia" w:ascii="宋体" w:hAnsi="宋体" w:cs="宋体"/>
                <w:bCs/>
                <w:color w:val="auto"/>
                <w:spacing w:val="-6"/>
                <w:kern w:val="0"/>
                <w:sz w:val="21"/>
                <w:szCs w:val="21"/>
                <w:highlight w:val="none"/>
                <w:lang w:val="zh-CN"/>
              </w:rPr>
            </w:pPr>
            <w:r>
              <w:rPr>
                <w:rFonts w:hint="eastAsia" w:ascii="宋体" w:hAnsi="宋体" w:cs="宋体"/>
                <w:bCs/>
                <w:color w:val="auto"/>
                <w:spacing w:val="-6"/>
                <w:kern w:val="0"/>
                <w:sz w:val="21"/>
                <w:szCs w:val="21"/>
                <w:highlight w:val="none"/>
                <w:lang w:eastAsia="zh-CN"/>
              </w:rPr>
              <w:t>……</w:t>
            </w:r>
          </w:p>
        </w:tc>
        <w:tc>
          <w:tcPr>
            <w:tcW w:w="1701" w:type="dxa"/>
            <w:noWrap w:val="0"/>
            <w:vAlign w:val="center"/>
          </w:tcPr>
          <w:p w14:paraId="5FEDB832">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6E1B1EDF">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7E72EFCB">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74572769">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4DB0FBFD">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61D569A7">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3CAD0A88">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6A3C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253" w:type="dxa"/>
            <w:gridSpan w:val="3"/>
            <w:noWrap w:val="0"/>
            <w:vAlign w:val="center"/>
          </w:tcPr>
          <w:p w14:paraId="00B98354">
            <w:pPr>
              <w:widowControl/>
              <w:wordWrap w:val="0"/>
              <w:spacing w:line="360" w:lineRule="auto"/>
              <w:jc w:val="center"/>
              <w:textAlignment w:val="center"/>
              <w:rPr>
                <w:rFonts w:hint="default" w:ascii="宋体" w:hAnsi="宋体" w:eastAsia="宋体" w:cs="宋体"/>
                <w:bCs/>
                <w:color w:val="auto"/>
                <w:spacing w:val="-6"/>
                <w:kern w:val="0"/>
                <w:sz w:val="21"/>
                <w:szCs w:val="21"/>
                <w:highlight w:val="none"/>
                <w:lang w:val="en-US" w:eastAsia="zh-CN"/>
              </w:rPr>
            </w:pPr>
            <w:r>
              <w:rPr>
                <w:rFonts w:hint="eastAsia" w:ascii="宋体" w:hAnsi="宋体"/>
                <w:b/>
                <w:color w:val="auto"/>
                <w:sz w:val="21"/>
                <w:szCs w:val="21"/>
                <w:highlight w:val="none"/>
                <w:lang w:val="en-US" w:eastAsia="zh-CN"/>
              </w:rPr>
              <w:t>物理实验室</w:t>
            </w:r>
            <w:r>
              <w:rPr>
                <w:rFonts w:hint="eastAsia" w:ascii="宋体" w:hAnsi="宋体" w:eastAsia="宋体"/>
                <w:b/>
                <w:color w:val="auto"/>
                <w:sz w:val="21"/>
                <w:szCs w:val="21"/>
                <w:highlight w:val="none"/>
                <w:lang w:val="en-US" w:eastAsia="zh-CN"/>
              </w:rPr>
              <w:t>合计</w:t>
            </w:r>
          </w:p>
        </w:tc>
        <w:tc>
          <w:tcPr>
            <w:tcW w:w="5386" w:type="dxa"/>
            <w:gridSpan w:val="5"/>
            <w:noWrap w:val="0"/>
            <w:vAlign w:val="center"/>
          </w:tcPr>
          <w:p w14:paraId="1F5266CC">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2723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5784C5F9">
            <w:pPr>
              <w:wordWrap w:val="0"/>
              <w:jc w:val="center"/>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（二）</w:t>
            </w:r>
          </w:p>
        </w:tc>
        <w:tc>
          <w:tcPr>
            <w:tcW w:w="8788" w:type="dxa"/>
            <w:gridSpan w:val="7"/>
            <w:noWrap w:val="0"/>
            <w:vAlign w:val="center"/>
          </w:tcPr>
          <w:p w14:paraId="5B8DF108">
            <w:pPr>
              <w:wordWrap w:val="0"/>
              <w:jc w:val="both"/>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上通风化学实验室</w:t>
            </w:r>
          </w:p>
        </w:tc>
      </w:tr>
      <w:tr w14:paraId="03AA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10CDA07A">
            <w:pPr>
              <w:widowControl/>
              <w:wordWrap w:val="0"/>
              <w:spacing w:line="360" w:lineRule="auto"/>
              <w:jc w:val="center"/>
              <w:textAlignment w:val="center"/>
              <w:rPr>
                <w:rFonts w:hint="eastAsia" w:ascii="宋体" w:hAnsi="宋体" w:eastAsia="宋体" w:cs="宋体"/>
                <w:bCs/>
                <w:color w:val="auto"/>
                <w:spacing w:val="-6"/>
                <w:kern w:val="0"/>
                <w:sz w:val="21"/>
                <w:szCs w:val="21"/>
                <w:highlight w:val="none"/>
                <w:lang w:val="en-US" w:eastAsia="zh-CN"/>
              </w:rPr>
            </w:pPr>
            <w:r>
              <w:rPr>
                <w:rFonts w:hint="eastAsia" w:ascii="宋体" w:hAnsi="宋体" w:cs="宋体"/>
                <w:bCs/>
                <w:color w:val="auto"/>
                <w:spacing w:val="-6"/>
                <w:kern w:val="0"/>
                <w:sz w:val="21"/>
                <w:szCs w:val="21"/>
                <w:highlight w:val="none"/>
                <w:lang w:val="en-US" w:eastAsia="zh-CN"/>
              </w:rPr>
              <w:t>1</w:t>
            </w:r>
          </w:p>
        </w:tc>
        <w:tc>
          <w:tcPr>
            <w:tcW w:w="1701" w:type="dxa"/>
            <w:noWrap w:val="0"/>
            <w:vAlign w:val="center"/>
          </w:tcPr>
          <w:p w14:paraId="4A74537C">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27E8EC26">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2FA51187">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73AF6110">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0F5538DA">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2A6DB402">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2A412D34">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3E8C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31E09621">
            <w:pPr>
              <w:widowControl/>
              <w:wordWrap w:val="0"/>
              <w:spacing w:line="360" w:lineRule="auto"/>
              <w:jc w:val="center"/>
              <w:textAlignment w:val="center"/>
              <w:rPr>
                <w:rFonts w:hint="eastAsia" w:ascii="宋体" w:hAnsi="宋体" w:eastAsia="宋体" w:cs="宋体"/>
                <w:bCs/>
                <w:color w:val="auto"/>
                <w:spacing w:val="-6"/>
                <w:kern w:val="0"/>
                <w:sz w:val="21"/>
                <w:szCs w:val="21"/>
                <w:highlight w:val="none"/>
                <w:lang w:val="en-US" w:eastAsia="zh-CN"/>
              </w:rPr>
            </w:pPr>
            <w:r>
              <w:rPr>
                <w:rFonts w:hint="eastAsia" w:ascii="宋体" w:hAnsi="宋体" w:cs="宋体"/>
                <w:bCs/>
                <w:color w:val="auto"/>
                <w:spacing w:val="-6"/>
                <w:kern w:val="0"/>
                <w:sz w:val="21"/>
                <w:szCs w:val="21"/>
                <w:highlight w:val="none"/>
                <w:lang w:val="en-US" w:eastAsia="zh-CN"/>
              </w:rPr>
              <w:t>2</w:t>
            </w:r>
          </w:p>
        </w:tc>
        <w:tc>
          <w:tcPr>
            <w:tcW w:w="1701" w:type="dxa"/>
            <w:noWrap w:val="0"/>
            <w:vAlign w:val="center"/>
          </w:tcPr>
          <w:p w14:paraId="7EBE22A0">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12602E81">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5FC72FF1">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49B87A38">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2C969E0E">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60EEB027">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2B1D2510">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1DC3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6E66008F">
            <w:pPr>
              <w:widowControl/>
              <w:wordWrap w:val="0"/>
              <w:spacing w:line="360" w:lineRule="auto"/>
              <w:jc w:val="center"/>
              <w:textAlignment w:val="center"/>
              <w:rPr>
                <w:rFonts w:hint="eastAsia" w:ascii="宋体" w:hAnsi="宋体" w:eastAsia="宋体" w:cs="宋体"/>
                <w:bCs/>
                <w:color w:val="auto"/>
                <w:spacing w:val="-6"/>
                <w:kern w:val="0"/>
                <w:sz w:val="21"/>
                <w:szCs w:val="21"/>
                <w:highlight w:val="none"/>
                <w:lang w:val="en-US" w:eastAsia="zh-CN"/>
              </w:rPr>
            </w:pPr>
            <w:r>
              <w:rPr>
                <w:rFonts w:hint="eastAsia" w:ascii="宋体" w:hAnsi="宋体" w:cs="宋体"/>
                <w:bCs/>
                <w:color w:val="auto"/>
                <w:spacing w:val="-6"/>
                <w:kern w:val="0"/>
                <w:sz w:val="21"/>
                <w:szCs w:val="21"/>
                <w:highlight w:val="none"/>
                <w:lang w:val="en-US" w:eastAsia="zh-CN"/>
              </w:rPr>
              <w:t>3</w:t>
            </w:r>
          </w:p>
        </w:tc>
        <w:tc>
          <w:tcPr>
            <w:tcW w:w="1701" w:type="dxa"/>
            <w:noWrap w:val="0"/>
            <w:vAlign w:val="center"/>
          </w:tcPr>
          <w:p w14:paraId="34401000">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6B1F68A1">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51541C43">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146F4293">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20AB1A9E">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493D067B">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4D4CD1FA">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5E7C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7350C035">
            <w:pPr>
              <w:widowControl/>
              <w:wordWrap w:val="0"/>
              <w:spacing w:line="360" w:lineRule="auto"/>
              <w:jc w:val="center"/>
              <w:textAlignment w:val="center"/>
              <w:rPr>
                <w:rFonts w:hint="eastAsia" w:ascii="宋体" w:hAnsi="宋体" w:eastAsia="宋体" w:cs="宋体"/>
                <w:bCs/>
                <w:color w:val="auto"/>
                <w:spacing w:val="-6"/>
                <w:kern w:val="0"/>
                <w:sz w:val="21"/>
                <w:szCs w:val="21"/>
                <w:highlight w:val="none"/>
                <w:lang w:eastAsia="zh-CN"/>
              </w:rPr>
            </w:pPr>
            <w:r>
              <w:rPr>
                <w:rFonts w:hint="eastAsia" w:ascii="宋体" w:hAnsi="宋体" w:cs="宋体"/>
                <w:bCs/>
                <w:color w:val="auto"/>
                <w:spacing w:val="-6"/>
                <w:kern w:val="0"/>
                <w:sz w:val="21"/>
                <w:szCs w:val="21"/>
                <w:highlight w:val="none"/>
                <w:lang w:eastAsia="zh-CN"/>
              </w:rPr>
              <w:t>……</w:t>
            </w:r>
          </w:p>
        </w:tc>
        <w:tc>
          <w:tcPr>
            <w:tcW w:w="1701" w:type="dxa"/>
            <w:noWrap w:val="0"/>
            <w:vAlign w:val="center"/>
          </w:tcPr>
          <w:p w14:paraId="142650B7">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5A62B9AD">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04F23C9A">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4F65ED44">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5A825163">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66614DF1">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4DD74D81">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0B0F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253" w:type="dxa"/>
            <w:gridSpan w:val="3"/>
            <w:noWrap w:val="0"/>
            <w:vAlign w:val="center"/>
          </w:tcPr>
          <w:p w14:paraId="15CFA38A">
            <w:pPr>
              <w:widowControl/>
              <w:wordWrap w:val="0"/>
              <w:spacing w:line="360" w:lineRule="auto"/>
              <w:jc w:val="center"/>
              <w:textAlignment w:val="center"/>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上通风化学实验室合计</w:t>
            </w:r>
          </w:p>
        </w:tc>
        <w:tc>
          <w:tcPr>
            <w:tcW w:w="5386" w:type="dxa"/>
            <w:gridSpan w:val="5"/>
            <w:noWrap w:val="0"/>
            <w:vAlign w:val="center"/>
          </w:tcPr>
          <w:p w14:paraId="2CE04E6F">
            <w:pPr>
              <w:widowControl/>
              <w:wordWrap w:val="0"/>
              <w:spacing w:line="360" w:lineRule="auto"/>
              <w:jc w:val="center"/>
              <w:textAlignment w:val="center"/>
              <w:rPr>
                <w:rFonts w:hint="eastAsia" w:ascii="宋体" w:hAnsi="宋体" w:eastAsia="宋体"/>
                <w:b/>
                <w:color w:val="auto"/>
                <w:sz w:val="21"/>
                <w:szCs w:val="21"/>
                <w:highlight w:val="none"/>
                <w:lang w:val="zh-CN" w:eastAsia="zh-CN"/>
              </w:rPr>
            </w:pPr>
          </w:p>
        </w:tc>
      </w:tr>
      <w:tr w14:paraId="5AE8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101DE8A7">
            <w:pPr>
              <w:wordWrap w:val="0"/>
              <w:jc w:val="center"/>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（三）</w:t>
            </w:r>
          </w:p>
        </w:tc>
        <w:tc>
          <w:tcPr>
            <w:tcW w:w="8788" w:type="dxa"/>
            <w:gridSpan w:val="7"/>
            <w:noWrap w:val="0"/>
            <w:vAlign w:val="center"/>
          </w:tcPr>
          <w:p w14:paraId="125AAAF2">
            <w:pPr>
              <w:wordWrap w:val="0"/>
              <w:jc w:val="both"/>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生物实验室</w:t>
            </w:r>
          </w:p>
        </w:tc>
      </w:tr>
      <w:tr w14:paraId="5FFC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47416A92">
            <w:pPr>
              <w:widowControl/>
              <w:wordWrap w:val="0"/>
              <w:spacing w:line="360" w:lineRule="auto"/>
              <w:jc w:val="center"/>
              <w:textAlignment w:val="center"/>
              <w:rPr>
                <w:rFonts w:hint="default" w:ascii="宋体" w:hAnsi="宋体" w:eastAsia="宋体" w:cs="宋体"/>
                <w:bCs/>
                <w:color w:val="auto"/>
                <w:spacing w:val="-6"/>
                <w:kern w:val="0"/>
                <w:sz w:val="21"/>
                <w:szCs w:val="21"/>
                <w:highlight w:val="none"/>
                <w:lang w:val="en-US" w:eastAsia="zh-CN" w:bidi="ar-SA"/>
              </w:rPr>
            </w:pPr>
            <w:r>
              <w:rPr>
                <w:rFonts w:hint="eastAsia" w:ascii="宋体" w:hAnsi="宋体" w:cs="宋体"/>
                <w:bCs/>
                <w:color w:val="auto"/>
                <w:spacing w:val="-6"/>
                <w:kern w:val="0"/>
                <w:sz w:val="21"/>
                <w:szCs w:val="21"/>
                <w:highlight w:val="none"/>
                <w:lang w:val="en-US" w:eastAsia="zh-CN" w:bidi="ar-SA"/>
              </w:rPr>
              <w:t>1</w:t>
            </w:r>
          </w:p>
        </w:tc>
        <w:tc>
          <w:tcPr>
            <w:tcW w:w="1701" w:type="dxa"/>
            <w:noWrap w:val="0"/>
            <w:vAlign w:val="center"/>
          </w:tcPr>
          <w:p w14:paraId="0F27F92E">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4BACFBEB">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2AD50E4D">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5A1C35E1">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3B870A69">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7EEC5208">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261B2495">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7E8A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73740BFB">
            <w:pPr>
              <w:widowControl/>
              <w:wordWrap w:val="0"/>
              <w:spacing w:line="360" w:lineRule="auto"/>
              <w:jc w:val="center"/>
              <w:textAlignment w:val="center"/>
              <w:rPr>
                <w:rFonts w:hint="default" w:ascii="宋体" w:hAnsi="宋体" w:cs="宋体"/>
                <w:bCs/>
                <w:color w:val="auto"/>
                <w:spacing w:val="-6"/>
                <w:kern w:val="0"/>
                <w:sz w:val="21"/>
                <w:szCs w:val="21"/>
                <w:highlight w:val="none"/>
                <w:lang w:val="en-US" w:eastAsia="zh-CN"/>
              </w:rPr>
            </w:pPr>
            <w:r>
              <w:rPr>
                <w:rFonts w:hint="eastAsia" w:ascii="宋体" w:hAnsi="宋体" w:cs="宋体"/>
                <w:bCs/>
                <w:color w:val="auto"/>
                <w:spacing w:val="-6"/>
                <w:kern w:val="0"/>
                <w:sz w:val="21"/>
                <w:szCs w:val="21"/>
                <w:highlight w:val="none"/>
                <w:lang w:val="en-US" w:eastAsia="zh-CN"/>
              </w:rPr>
              <w:t>2</w:t>
            </w:r>
          </w:p>
        </w:tc>
        <w:tc>
          <w:tcPr>
            <w:tcW w:w="1701" w:type="dxa"/>
            <w:noWrap w:val="0"/>
            <w:vAlign w:val="center"/>
          </w:tcPr>
          <w:p w14:paraId="5C4997CB">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42C709B5">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7C098AE1">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685BFA8E">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1941A92A">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1F815C8E">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7BAB81DB">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280A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20C36257">
            <w:pPr>
              <w:widowControl/>
              <w:wordWrap w:val="0"/>
              <w:spacing w:line="360" w:lineRule="auto"/>
              <w:jc w:val="center"/>
              <w:textAlignment w:val="center"/>
              <w:rPr>
                <w:rFonts w:hint="default" w:ascii="宋体" w:hAnsi="宋体" w:cs="宋体"/>
                <w:bCs/>
                <w:color w:val="auto"/>
                <w:spacing w:val="-6"/>
                <w:kern w:val="0"/>
                <w:sz w:val="21"/>
                <w:szCs w:val="21"/>
                <w:highlight w:val="none"/>
                <w:lang w:val="en-US" w:eastAsia="zh-CN"/>
              </w:rPr>
            </w:pPr>
            <w:r>
              <w:rPr>
                <w:rFonts w:hint="eastAsia" w:ascii="宋体" w:hAnsi="宋体" w:cs="宋体"/>
                <w:bCs/>
                <w:color w:val="auto"/>
                <w:spacing w:val="-6"/>
                <w:kern w:val="0"/>
                <w:sz w:val="21"/>
                <w:szCs w:val="21"/>
                <w:highlight w:val="none"/>
                <w:lang w:val="en-US" w:eastAsia="zh-CN"/>
              </w:rPr>
              <w:t>3</w:t>
            </w:r>
          </w:p>
        </w:tc>
        <w:tc>
          <w:tcPr>
            <w:tcW w:w="1701" w:type="dxa"/>
            <w:noWrap w:val="0"/>
            <w:vAlign w:val="center"/>
          </w:tcPr>
          <w:p w14:paraId="3C320925">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006A455C">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78C27910">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33DEB564">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5924DDD2">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5918E762">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13D37B79">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4844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shd w:val="clear" w:color="auto" w:fill="auto"/>
            <w:noWrap w:val="0"/>
            <w:vAlign w:val="center"/>
          </w:tcPr>
          <w:p w14:paraId="49019D0E">
            <w:pPr>
              <w:widowControl/>
              <w:wordWrap w:val="0"/>
              <w:spacing w:line="360" w:lineRule="auto"/>
              <w:jc w:val="center"/>
              <w:textAlignment w:val="center"/>
              <w:rPr>
                <w:rFonts w:hint="eastAsia" w:ascii="宋体" w:hAnsi="宋体" w:eastAsia="宋体" w:cs="宋体"/>
                <w:bCs/>
                <w:color w:val="auto"/>
                <w:spacing w:val="-6"/>
                <w:kern w:val="0"/>
                <w:sz w:val="21"/>
                <w:szCs w:val="21"/>
                <w:highlight w:val="none"/>
                <w:lang w:val="en-US" w:eastAsia="zh-CN" w:bidi="ar-SA"/>
              </w:rPr>
            </w:pPr>
            <w:r>
              <w:rPr>
                <w:rFonts w:hint="eastAsia" w:ascii="宋体" w:hAnsi="宋体" w:cs="宋体"/>
                <w:bCs/>
                <w:color w:val="auto"/>
                <w:spacing w:val="-6"/>
                <w:kern w:val="0"/>
                <w:sz w:val="21"/>
                <w:szCs w:val="21"/>
                <w:highlight w:val="none"/>
                <w:lang w:eastAsia="zh-CN"/>
              </w:rPr>
              <w:t>……</w:t>
            </w:r>
          </w:p>
        </w:tc>
        <w:tc>
          <w:tcPr>
            <w:tcW w:w="1701" w:type="dxa"/>
            <w:noWrap w:val="0"/>
            <w:vAlign w:val="center"/>
          </w:tcPr>
          <w:p w14:paraId="3B569737">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69A47468">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7DFC801A">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1DC8EB76">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0536FDE3">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5020058E">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12E32D68">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4D38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253" w:type="dxa"/>
            <w:gridSpan w:val="3"/>
            <w:noWrap w:val="0"/>
            <w:vAlign w:val="center"/>
          </w:tcPr>
          <w:p w14:paraId="1F3A02DD">
            <w:pPr>
              <w:widowControl/>
              <w:wordWrap w:val="0"/>
              <w:spacing w:line="360" w:lineRule="auto"/>
              <w:jc w:val="center"/>
              <w:textAlignment w:val="center"/>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生物实验室合计</w:t>
            </w:r>
          </w:p>
        </w:tc>
        <w:tc>
          <w:tcPr>
            <w:tcW w:w="5386" w:type="dxa"/>
            <w:gridSpan w:val="5"/>
            <w:noWrap w:val="0"/>
            <w:vAlign w:val="center"/>
          </w:tcPr>
          <w:p w14:paraId="1389FC43">
            <w:pPr>
              <w:widowControl/>
              <w:wordWrap w:val="0"/>
              <w:spacing w:line="360" w:lineRule="auto"/>
              <w:jc w:val="center"/>
              <w:textAlignment w:val="center"/>
              <w:rPr>
                <w:rFonts w:hint="eastAsia" w:ascii="宋体" w:hAnsi="宋体" w:eastAsia="宋体"/>
                <w:b/>
                <w:color w:val="auto"/>
                <w:sz w:val="21"/>
                <w:szCs w:val="21"/>
                <w:highlight w:val="none"/>
                <w:lang w:val="zh-CN" w:eastAsia="zh-CN"/>
              </w:rPr>
            </w:pPr>
          </w:p>
        </w:tc>
      </w:tr>
      <w:tr w14:paraId="1AAC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2C84A7F7">
            <w:pPr>
              <w:wordWrap w:val="0"/>
              <w:jc w:val="both"/>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p>
        </w:tc>
        <w:tc>
          <w:tcPr>
            <w:tcW w:w="8788" w:type="dxa"/>
            <w:gridSpan w:val="7"/>
            <w:noWrap w:val="0"/>
            <w:vAlign w:val="center"/>
          </w:tcPr>
          <w:p w14:paraId="40F87248">
            <w:pPr>
              <w:wordWrap w:val="0"/>
              <w:jc w:val="both"/>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室内</w:t>
            </w:r>
            <w:r>
              <w:rPr>
                <w:rFonts w:hint="eastAsia" w:ascii="宋体" w:hAnsi="宋体"/>
                <w:b/>
                <w:color w:val="auto"/>
                <w:sz w:val="21"/>
                <w:szCs w:val="21"/>
                <w:highlight w:val="none"/>
                <w:lang w:val="en-US" w:eastAsia="zh-CN"/>
              </w:rPr>
              <w:t>装饰</w:t>
            </w:r>
          </w:p>
        </w:tc>
      </w:tr>
      <w:tr w14:paraId="6B07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219D874A">
            <w:pPr>
              <w:widowControl/>
              <w:wordWrap w:val="0"/>
              <w:spacing w:line="360" w:lineRule="auto"/>
              <w:jc w:val="center"/>
              <w:textAlignment w:val="center"/>
              <w:rPr>
                <w:rFonts w:hint="default" w:ascii="宋体" w:hAnsi="宋体" w:cs="宋体"/>
                <w:bCs/>
                <w:color w:val="auto"/>
                <w:spacing w:val="-6"/>
                <w:kern w:val="0"/>
                <w:sz w:val="21"/>
                <w:szCs w:val="21"/>
                <w:highlight w:val="none"/>
                <w:lang w:val="en-US" w:eastAsia="zh-CN"/>
              </w:rPr>
            </w:pPr>
            <w:r>
              <w:rPr>
                <w:rFonts w:hint="eastAsia" w:ascii="宋体" w:hAnsi="宋体" w:cs="宋体"/>
                <w:bCs/>
                <w:color w:val="auto"/>
                <w:spacing w:val="-6"/>
                <w:kern w:val="0"/>
                <w:sz w:val="21"/>
                <w:szCs w:val="21"/>
                <w:highlight w:val="none"/>
                <w:lang w:val="en-US" w:eastAsia="zh-CN"/>
              </w:rPr>
              <w:t>1</w:t>
            </w:r>
          </w:p>
        </w:tc>
        <w:tc>
          <w:tcPr>
            <w:tcW w:w="1701" w:type="dxa"/>
            <w:noWrap w:val="0"/>
            <w:vAlign w:val="center"/>
          </w:tcPr>
          <w:p w14:paraId="1C58D648">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6529CCD0">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028580F8">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43BE0BF2">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5A950795">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018C1522">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774F0AD5">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1108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12422250">
            <w:pPr>
              <w:widowControl/>
              <w:wordWrap w:val="0"/>
              <w:spacing w:line="360" w:lineRule="auto"/>
              <w:jc w:val="center"/>
              <w:textAlignment w:val="center"/>
              <w:rPr>
                <w:rFonts w:hint="default" w:ascii="宋体" w:hAnsi="宋体" w:cs="宋体"/>
                <w:bCs/>
                <w:color w:val="auto"/>
                <w:spacing w:val="-6"/>
                <w:kern w:val="0"/>
                <w:sz w:val="21"/>
                <w:szCs w:val="21"/>
                <w:highlight w:val="none"/>
                <w:lang w:val="en-US" w:eastAsia="zh-CN"/>
              </w:rPr>
            </w:pPr>
            <w:r>
              <w:rPr>
                <w:rFonts w:hint="eastAsia" w:ascii="宋体" w:hAnsi="宋体" w:cs="宋体"/>
                <w:bCs/>
                <w:color w:val="auto"/>
                <w:spacing w:val="-6"/>
                <w:kern w:val="0"/>
                <w:sz w:val="21"/>
                <w:szCs w:val="21"/>
                <w:highlight w:val="none"/>
                <w:lang w:val="en-US" w:eastAsia="zh-CN"/>
              </w:rPr>
              <w:t>2</w:t>
            </w:r>
          </w:p>
        </w:tc>
        <w:tc>
          <w:tcPr>
            <w:tcW w:w="1701" w:type="dxa"/>
            <w:noWrap w:val="0"/>
            <w:vAlign w:val="center"/>
          </w:tcPr>
          <w:p w14:paraId="08A603CA">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2487E68D">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606020ED">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0B2606DF">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0BB88933">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2D8E989C">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435770B2">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6F6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1A0A3F78">
            <w:pPr>
              <w:widowControl/>
              <w:wordWrap w:val="0"/>
              <w:spacing w:line="360" w:lineRule="auto"/>
              <w:jc w:val="center"/>
              <w:textAlignment w:val="center"/>
              <w:rPr>
                <w:rFonts w:hint="default" w:ascii="宋体" w:hAnsi="宋体" w:cs="宋体"/>
                <w:bCs/>
                <w:color w:val="auto"/>
                <w:spacing w:val="-6"/>
                <w:kern w:val="0"/>
                <w:sz w:val="21"/>
                <w:szCs w:val="21"/>
                <w:highlight w:val="none"/>
                <w:lang w:val="en-US" w:eastAsia="zh-CN"/>
              </w:rPr>
            </w:pPr>
            <w:r>
              <w:rPr>
                <w:rFonts w:hint="eastAsia" w:ascii="宋体" w:hAnsi="宋体" w:cs="宋体"/>
                <w:bCs/>
                <w:color w:val="auto"/>
                <w:spacing w:val="-6"/>
                <w:kern w:val="0"/>
                <w:sz w:val="21"/>
                <w:szCs w:val="21"/>
                <w:highlight w:val="none"/>
                <w:lang w:val="en-US" w:eastAsia="zh-CN"/>
              </w:rPr>
              <w:t>3</w:t>
            </w:r>
          </w:p>
        </w:tc>
        <w:tc>
          <w:tcPr>
            <w:tcW w:w="1701" w:type="dxa"/>
            <w:noWrap w:val="0"/>
            <w:vAlign w:val="center"/>
          </w:tcPr>
          <w:p w14:paraId="27E250FC">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3073D95A">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4EB6323F">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3ACA0455">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37DA736D">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790DC64B">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4A0985FB">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1561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851" w:type="dxa"/>
            <w:noWrap w:val="0"/>
            <w:vAlign w:val="center"/>
          </w:tcPr>
          <w:p w14:paraId="3FD3F5DD">
            <w:pPr>
              <w:widowControl/>
              <w:wordWrap w:val="0"/>
              <w:spacing w:line="360" w:lineRule="auto"/>
              <w:jc w:val="center"/>
              <w:textAlignment w:val="center"/>
              <w:rPr>
                <w:rFonts w:hint="eastAsia" w:ascii="宋体" w:hAnsi="宋体" w:cs="宋体"/>
                <w:bCs/>
                <w:color w:val="auto"/>
                <w:spacing w:val="-6"/>
                <w:kern w:val="0"/>
                <w:sz w:val="21"/>
                <w:szCs w:val="21"/>
                <w:highlight w:val="none"/>
                <w:lang w:eastAsia="zh-CN"/>
              </w:rPr>
            </w:pPr>
            <w:r>
              <w:rPr>
                <w:rFonts w:hint="eastAsia" w:ascii="宋体" w:hAnsi="宋体" w:cs="宋体"/>
                <w:bCs/>
                <w:color w:val="auto"/>
                <w:spacing w:val="-6"/>
                <w:kern w:val="0"/>
                <w:sz w:val="21"/>
                <w:szCs w:val="21"/>
                <w:highlight w:val="none"/>
                <w:lang w:eastAsia="zh-CN"/>
              </w:rPr>
              <w:t>……</w:t>
            </w:r>
          </w:p>
        </w:tc>
        <w:tc>
          <w:tcPr>
            <w:tcW w:w="1701" w:type="dxa"/>
            <w:noWrap w:val="0"/>
            <w:vAlign w:val="center"/>
          </w:tcPr>
          <w:p w14:paraId="45121157">
            <w:pPr>
              <w:widowControl/>
              <w:jc w:val="center"/>
              <w:textAlignment w:val="center"/>
              <w:rPr>
                <w:rFonts w:ascii="宋体" w:hAnsi="宋体" w:cs="宋体"/>
                <w:bCs/>
                <w:color w:val="auto"/>
                <w:spacing w:val="-6"/>
                <w:kern w:val="0"/>
                <w:sz w:val="21"/>
                <w:szCs w:val="21"/>
                <w:highlight w:val="none"/>
                <w:lang w:val="zh-CN"/>
              </w:rPr>
            </w:pPr>
          </w:p>
        </w:tc>
        <w:tc>
          <w:tcPr>
            <w:tcW w:w="1701" w:type="dxa"/>
            <w:noWrap w:val="0"/>
            <w:vAlign w:val="center"/>
          </w:tcPr>
          <w:p w14:paraId="6C940C2D">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709" w:type="dxa"/>
            <w:noWrap w:val="0"/>
            <w:vAlign w:val="center"/>
          </w:tcPr>
          <w:p w14:paraId="705A6FAE">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851" w:type="dxa"/>
            <w:noWrap w:val="0"/>
            <w:vAlign w:val="center"/>
          </w:tcPr>
          <w:p w14:paraId="1CFD82DA">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0D92B0A8">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1417" w:type="dxa"/>
            <w:noWrap w:val="0"/>
            <w:vAlign w:val="center"/>
          </w:tcPr>
          <w:p w14:paraId="71C06DCE">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c>
          <w:tcPr>
            <w:tcW w:w="992" w:type="dxa"/>
            <w:noWrap w:val="0"/>
            <w:vAlign w:val="center"/>
          </w:tcPr>
          <w:p w14:paraId="2E39EEBD">
            <w:pPr>
              <w:widowControl/>
              <w:wordWrap w:val="0"/>
              <w:spacing w:line="360" w:lineRule="auto"/>
              <w:jc w:val="center"/>
              <w:textAlignment w:val="center"/>
              <w:rPr>
                <w:rFonts w:ascii="宋体" w:hAnsi="宋体" w:cs="宋体"/>
                <w:bCs/>
                <w:color w:val="auto"/>
                <w:spacing w:val="-6"/>
                <w:kern w:val="0"/>
                <w:sz w:val="21"/>
                <w:szCs w:val="21"/>
                <w:highlight w:val="none"/>
                <w:lang w:val="zh-CN"/>
              </w:rPr>
            </w:pPr>
          </w:p>
        </w:tc>
      </w:tr>
      <w:tr w14:paraId="053D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253" w:type="dxa"/>
            <w:gridSpan w:val="3"/>
            <w:noWrap w:val="0"/>
            <w:vAlign w:val="center"/>
          </w:tcPr>
          <w:p w14:paraId="4BE90962">
            <w:pPr>
              <w:widowControl/>
              <w:wordWrap w:val="0"/>
              <w:spacing w:line="360" w:lineRule="auto"/>
              <w:jc w:val="center"/>
              <w:textAlignment w:val="center"/>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室内</w:t>
            </w:r>
            <w:r>
              <w:rPr>
                <w:rFonts w:hint="eastAsia" w:ascii="宋体" w:hAnsi="宋体"/>
                <w:b/>
                <w:color w:val="auto"/>
                <w:sz w:val="21"/>
                <w:szCs w:val="21"/>
                <w:highlight w:val="none"/>
                <w:lang w:val="en-US" w:eastAsia="zh-CN"/>
              </w:rPr>
              <w:t>装饰</w:t>
            </w:r>
            <w:r>
              <w:rPr>
                <w:rFonts w:hint="eastAsia" w:ascii="宋体" w:hAnsi="宋体" w:eastAsia="宋体"/>
                <w:b/>
                <w:color w:val="auto"/>
                <w:sz w:val="21"/>
                <w:szCs w:val="21"/>
                <w:highlight w:val="none"/>
                <w:lang w:val="en-US" w:eastAsia="zh-CN"/>
              </w:rPr>
              <w:t>合计</w:t>
            </w:r>
          </w:p>
        </w:tc>
        <w:tc>
          <w:tcPr>
            <w:tcW w:w="5386" w:type="dxa"/>
            <w:gridSpan w:val="5"/>
            <w:noWrap w:val="0"/>
            <w:vAlign w:val="center"/>
          </w:tcPr>
          <w:p w14:paraId="553E238D">
            <w:pPr>
              <w:widowControl/>
              <w:wordWrap w:val="0"/>
              <w:spacing w:line="360" w:lineRule="auto"/>
              <w:jc w:val="center"/>
              <w:textAlignment w:val="center"/>
              <w:rPr>
                <w:rFonts w:hint="eastAsia" w:ascii="宋体" w:hAnsi="宋体" w:eastAsia="宋体"/>
                <w:b/>
                <w:color w:val="auto"/>
                <w:sz w:val="21"/>
                <w:szCs w:val="21"/>
                <w:highlight w:val="none"/>
                <w:lang w:val="zh-CN" w:eastAsia="zh-CN"/>
              </w:rPr>
            </w:pPr>
          </w:p>
        </w:tc>
      </w:tr>
      <w:tr w14:paraId="2051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639" w:type="dxa"/>
            <w:gridSpan w:val="8"/>
            <w:noWrap w:val="0"/>
            <w:vAlign w:val="center"/>
          </w:tcPr>
          <w:p w14:paraId="7AAD02AB">
            <w:pPr>
              <w:wordWrap w:val="0"/>
              <w:jc w:val="both"/>
              <w:rPr>
                <w:rFonts w:hint="eastAsia" w:ascii="宋体" w:hAnsi="宋体" w:eastAsia="宋体"/>
                <w:b/>
                <w:color w:val="auto"/>
                <w:sz w:val="21"/>
                <w:szCs w:val="21"/>
                <w:highlight w:val="none"/>
                <w:lang w:val="zh-CN" w:eastAsia="zh-CN"/>
              </w:rPr>
            </w:pPr>
            <w:r>
              <w:rPr>
                <w:rFonts w:hint="eastAsia" w:ascii="宋体" w:hAnsi="宋体" w:eastAsia="宋体"/>
                <w:b/>
                <w:color w:val="auto"/>
                <w:sz w:val="21"/>
                <w:szCs w:val="21"/>
                <w:highlight w:val="none"/>
                <w:lang w:val="en-US" w:eastAsia="zh-CN"/>
              </w:rPr>
              <w:t>全部投标货物总价：</w:t>
            </w:r>
            <w:r>
              <w:rPr>
                <w:rFonts w:hint="eastAsia" w:ascii="宋体" w:hAnsi="宋体" w:eastAsia="宋体"/>
                <w:b/>
                <w:color w:val="auto"/>
                <w:sz w:val="21"/>
                <w:szCs w:val="21"/>
                <w:highlight w:val="none"/>
                <w:lang w:val="zh-CN" w:eastAsia="zh-CN"/>
              </w:rPr>
              <w:t>（大写 人民币          元，小写：人民币        元）：</w:t>
            </w:r>
          </w:p>
        </w:tc>
      </w:tr>
    </w:tbl>
    <w:p w14:paraId="75811B87">
      <w:pPr>
        <w:pStyle w:val="20"/>
        <w:spacing w:line="400" w:lineRule="exact"/>
        <w:ind w:left="0" w:leftChars="0" w:firstLine="0" w:firstLineChars="0"/>
        <w:rPr>
          <w:rFonts w:hint="eastAsia"/>
          <w:color w:val="auto"/>
          <w:sz w:val="21"/>
          <w:highlight w:val="none"/>
        </w:rPr>
      </w:pPr>
      <w:r>
        <w:rPr>
          <w:rFonts w:hint="eastAsia"/>
          <w:color w:val="auto"/>
          <w:sz w:val="21"/>
          <w:highlight w:val="none"/>
          <w:lang w:val="en-US" w:eastAsia="zh-CN"/>
        </w:rPr>
        <w:t>注：“全部投标货物总价”应与开标一览表中的“投标报价”一致。</w:t>
      </w:r>
    </w:p>
    <w:p w14:paraId="7492A3A7">
      <w:pPr>
        <w:pStyle w:val="20"/>
        <w:spacing w:line="400" w:lineRule="exact"/>
        <w:ind w:left="0" w:leftChars="0" w:firstLine="0" w:firstLineChars="0"/>
        <w:rPr>
          <w:rFonts w:hint="eastAsia"/>
          <w:color w:val="auto"/>
          <w:sz w:val="21"/>
          <w:highlight w:val="none"/>
        </w:rPr>
      </w:pPr>
    </w:p>
    <w:p w14:paraId="038B1BCC">
      <w:pPr>
        <w:spacing w:line="400" w:lineRule="exact"/>
        <w:rPr>
          <w:rFonts w:ascii="宋体"/>
          <w:color w:val="auto"/>
          <w:szCs w:val="21"/>
          <w:highlight w:val="none"/>
        </w:rPr>
      </w:pPr>
      <w:r>
        <w:rPr>
          <w:rFonts w:hint="eastAsia" w:ascii="宋体"/>
          <w:color w:val="auto"/>
          <w:szCs w:val="21"/>
          <w:highlight w:val="none"/>
        </w:rPr>
        <w:t>投标人（盖章）：</w:t>
      </w:r>
      <w:r>
        <w:rPr>
          <w:rFonts w:hint="eastAsia" w:ascii="宋体"/>
          <w:color w:val="auto"/>
          <w:szCs w:val="21"/>
          <w:highlight w:val="none"/>
          <w:u w:val="single"/>
        </w:rPr>
        <w:t xml:space="preserve">                                </w:t>
      </w:r>
      <w:r>
        <w:rPr>
          <w:rFonts w:hint="eastAsia" w:ascii="宋体"/>
          <w:color w:val="auto"/>
          <w:szCs w:val="21"/>
          <w:highlight w:val="none"/>
        </w:rPr>
        <w:t xml:space="preserve">          </w:t>
      </w:r>
    </w:p>
    <w:p w14:paraId="129A9F6C">
      <w:pPr>
        <w:spacing w:line="400" w:lineRule="exact"/>
        <w:rPr>
          <w:rFonts w:ascii="宋体"/>
          <w:color w:val="auto"/>
          <w:szCs w:val="21"/>
          <w:highlight w:val="none"/>
        </w:rPr>
      </w:pPr>
      <w:r>
        <w:rPr>
          <w:rFonts w:hint="eastAsia" w:ascii="宋体"/>
          <w:color w:val="auto"/>
          <w:szCs w:val="21"/>
          <w:highlight w:val="none"/>
        </w:rPr>
        <w:t xml:space="preserve">日          期：  </w:t>
      </w:r>
    </w:p>
    <w:bookmarkEnd w:id="148"/>
    <w:bookmarkEnd w:id="149"/>
    <w:p w14:paraId="23137616">
      <w:pPr>
        <w:rPr>
          <w:rFonts w:hint="eastAsia" w:ascii="宋体"/>
          <w:b/>
          <w:color w:val="auto"/>
          <w:szCs w:val="21"/>
          <w:highlight w:val="none"/>
        </w:rPr>
      </w:pPr>
      <w:bookmarkStart w:id="158" w:name="_Toc26806"/>
      <w:bookmarkStart w:id="159" w:name="_Toc21541033"/>
      <w:bookmarkStart w:id="160" w:name="_Toc44162163"/>
      <w:r>
        <w:rPr>
          <w:rFonts w:hint="eastAsia" w:ascii="宋体"/>
          <w:b/>
          <w:color w:val="auto"/>
          <w:szCs w:val="21"/>
          <w:highlight w:val="none"/>
        </w:rPr>
        <w:br w:type="page"/>
      </w:r>
    </w:p>
    <w:p w14:paraId="79733A46">
      <w:pPr>
        <w:spacing w:line="400" w:lineRule="exact"/>
        <w:rPr>
          <w:rFonts w:ascii="宋体"/>
          <w:b/>
          <w:color w:val="auto"/>
          <w:szCs w:val="21"/>
          <w:highlight w:val="none"/>
        </w:rPr>
        <w:sectPr>
          <w:pgSz w:w="11907" w:h="16840"/>
          <w:pgMar w:top="1140" w:right="1587" w:bottom="1423" w:left="1338" w:header="285" w:footer="992" w:gutter="0"/>
          <w:pgBorders>
            <w:top w:val="none" w:sz="0" w:space="0"/>
            <w:left w:val="none" w:sz="0" w:space="0"/>
            <w:bottom w:val="none" w:sz="0" w:space="0"/>
            <w:right w:val="none" w:sz="0" w:space="0"/>
          </w:pgBorders>
          <w:cols w:space="0" w:num="1"/>
          <w:rtlGutter w:val="0"/>
          <w:docGrid w:linePitch="285" w:charSpace="0"/>
        </w:sectPr>
      </w:pPr>
    </w:p>
    <w:p w14:paraId="70279DC7">
      <w:pPr>
        <w:rPr>
          <w:rFonts w:hint="eastAsia" w:ascii="宋体"/>
          <w:b/>
          <w:color w:val="auto"/>
          <w:szCs w:val="21"/>
          <w:highlight w:val="none"/>
        </w:rPr>
      </w:pPr>
    </w:p>
    <w:p w14:paraId="64C3E67D">
      <w:pPr>
        <w:rPr>
          <w:color w:val="auto"/>
          <w:highlight w:val="none"/>
        </w:rPr>
      </w:pPr>
      <w:r>
        <w:rPr>
          <w:rFonts w:hint="eastAsia" w:ascii="宋体"/>
          <w:b/>
          <w:color w:val="auto"/>
          <w:szCs w:val="21"/>
          <w:highlight w:val="none"/>
        </w:rPr>
        <w:t>C3、</w:t>
      </w:r>
      <w:bookmarkEnd w:id="158"/>
      <w:bookmarkEnd w:id="159"/>
      <w:bookmarkEnd w:id="160"/>
      <w:r>
        <w:rPr>
          <w:rFonts w:hint="eastAsia" w:ascii="宋体"/>
          <w:b/>
          <w:color w:val="auto"/>
          <w:szCs w:val="21"/>
          <w:highlight w:val="none"/>
        </w:rPr>
        <w:t>投标人认为需要的其他资料（如有需提供）</w:t>
      </w:r>
    </w:p>
    <w:p w14:paraId="042B62CA">
      <w:pPr>
        <w:pStyle w:val="20"/>
        <w:spacing w:line="460" w:lineRule="exact"/>
        <w:ind w:left="0" w:leftChars="0"/>
        <w:jc w:val="center"/>
        <w:rPr>
          <w:color w:val="auto"/>
          <w:sz w:val="21"/>
          <w:highlight w:val="none"/>
        </w:rPr>
      </w:pPr>
    </w:p>
    <w:sectPr>
      <w:headerReference r:id="rId18" w:type="default"/>
      <w:footerReference r:id="rId19" w:type="default"/>
      <w:pgSz w:w="11906" w:h="16838"/>
      <w:pgMar w:top="1417" w:right="1134" w:bottom="1417" w:left="1587" w:header="851" w:footer="850" w:gutter="0"/>
      <w:pgBorders>
        <w:top w:val="none" w:sz="0" w:space="0"/>
        <w:left w:val="none" w:sz="0" w:space="0"/>
        <w:bottom w:val="none" w:sz="0" w:space="0"/>
        <w:right w:val="none" w:sz="0" w:space="0"/>
      </w:pgBorders>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仿宋_GBK">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auto"/>
    <w:pitch w:val="default"/>
    <w:sig w:usb0="00000000" w:usb1="00000000" w:usb2="00000009" w:usb3="00000000" w:csb0="000001FF" w:csb1="00000000"/>
  </w:font>
  <w:font w:name="长城仿宋">
    <w:altName w:val="仿宋"/>
    <w:panose1 w:val="00000000000000000000"/>
    <w:charset w:val="86"/>
    <w:family w:val="auto"/>
    <w:pitch w:val="default"/>
    <w:sig w:usb0="00000000" w:usb1="00000000" w:usb2="00000010" w:usb3="00000000" w:csb0="00040000" w:csb1="00000000"/>
  </w:font>
  <w:font w:name="方正黑体_GBK">
    <w:altName w:val="黑体"/>
    <w:panose1 w:val="00000000000000000000"/>
    <w:charset w:val="86"/>
    <w:family w:val="auto"/>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D3AE8">
    <w:pPr>
      <w:pStyle w:val="3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B37E1">
    <w:pPr>
      <w:pStyle w:val="3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61E0D">
                          <w:pPr>
                            <w:pStyle w:val="3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0961E0D">
                    <w:pPr>
                      <w:pStyle w:val="3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924B0">
    <w:pPr>
      <w:pStyle w:val="3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35B31">
                          <w:pPr>
                            <w:pStyle w:val="30"/>
                            <w:jc w:val="center"/>
                          </w:pPr>
                          <w:r>
                            <w:fldChar w:fldCharType="begin"/>
                          </w:r>
                          <w:r>
                            <w:rPr>
                              <w:rStyle w:val="46"/>
                            </w:rPr>
                            <w:instrText xml:space="preserve"> PAGE </w:instrText>
                          </w:r>
                          <w:r>
                            <w:fldChar w:fldCharType="separate"/>
                          </w:r>
                          <w:r>
                            <w:rPr>
                              <w:rStyle w:val="46"/>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F235B31">
                    <w:pPr>
                      <w:pStyle w:val="30"/>
                      <w:jc w:val="center"/>
                    </w:pPr>
                    <w:r>
                      <w:fldChar w:fldCharType="begin"/>
                    </w:r>
                    <w:r>
                      <w:rPr>
                        <w:rStyle w:val="46"/>
                      </w:rPr>
                      <w:instrText xml:space="preserve"> PAGE </w:instrText>
                    </w:r>
                    <w:r>
                      <w:fldChar w:fldCharType="separate"/>
                    </w:r>
                    <w:r>
                      <w:rPr>
                        <w:rStyle w:val="46"/>
                      </w:rPr>
                      <w:t>21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68641">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4E2201">
                          <w:pPr>
                            <w:pStyle w:val="30"/>
                            <w:jc w:val="center"/>
                          </w:pPr>
                          <w:r>
                            <w:fldChar w:fldCharType="begin"/>
                          </w:r>
                          <w:r>
                            <w:instrText xml:space="preserve"> PAGE   \* MERGEFORMAT </w:instrText>
                          </w:r>
                          <w:r>
                            <w:fldChar w:fldCharType="separate"/>
                          </w:r>
                          <w:r>
                            <w:rPr>
                              <w:lang w:val="zh-CN"/>
                            </w:rPr>
                            <w:t>25</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F4E2201">
                    <w:pPr>
                      <w:pStyle w:val="30"/>
                      <w:jc w:val="center"/>
                    </w:pPr>
                    <w:r>
                      <w:fldChar w:fldCharType="begin"/>
                    </w:r>
                    <w:r>
                      <w:instrText xml:space="preserve"> PAGE   \* MERGEFORMAT </w:instrText>
                    </w:r>
                    <w:r>
                      <w:fldChar w:fldCharType="separate"/>
                    </w:r>
                    <w:r>
                      <w:rPr>
                        <w:lang w:val="zh-CN"/>
                      </w:rPr>
                      <w:t>25</w:t>
                    </w:r>
                    <w:r>
                      <w:rPr>
                        <w:lang w:val="zh-CN"/>
                      </w:rPr>
                      <w:fldChar w:fldCharType="end"/>
                    </w:r>
                  </w:p>
                </w:txbxContent>
              </v:textbox>
            </v:shape>
          </w:pict>
        </mc:Fallback>
      </mc:AlternateContent>
    </w:r>
  </w:p>
  <w:p w14:paraId="47A22BD9">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D0454">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9D1F8">
                          <w:pPr>
                            <w:pStyle w:val="30"/>
                            <w:jc w:val="center"/>
                            <w:rPr>
                              <w:rStyle w:val="46"/>
                            </w:rPr>
                          </w:pPr>
                          <w:r>
                            <w:fldChar w:fldCharType="begin"/>
                          </w:r>
                          <w:r>
                            <w:rPr>
                              <w:rStyle w:val="46"/>
                            </w:rPr>
                            <w:instrText xml:space="preserve">PAGE  </w:instrText>
                          </w:r>
                          <w:r>
                            <w:fldChar w:fldCharType="separate"/>
                          </w:r>
                          <w:r>
                            <w:rPr>
                              <w:rStyle w:val="46"/>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E49D1F8">
                    <w:pPr>
                      <w:pStyle w:val="30"/>
                      <w:jc w:val="center"/>
                      <w:rPr>
                        <w:rStyle w:val="46"/>
                      </w:rPr>
                    </w:pPr>
                    <w:r>
                      <w:fldChar w:fldCharType="begin"/>
                    </w:r>
                    <w:r>
                      <w:rPr>
                        <w:rStyle w:val="46"/>
                      </w:rPr>
                      <w:instrText xml:space="preserve">PAGE  </w:instrText>
                    </w:r>
                    <w:r>
                      <w:fldChar w:fldCharType="separate"/>
                    </w:r>
                    <w:r>
                      <w:rPr>
                        <w:rStyle w:val="46"/>
                      </w:rPr>
                      <w:t>60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9CD05">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35AD4">
                          <w:pPr>
                            <w:pStyle w:val="30"/>
                            <w:jc w:val="center"/>
                            <w:rPr>
                              <w:rStyle w:val="46"/>
                            </w:rPr>
                          </w:pPr>
                          <w:r>
                            <w:fldChar w:fldCharType="begin"/>
                          </w:r>
                          <w:r>
                            <w:rPr>
                              <w:rStyle w:val="46"/>
                            </w:rPr>
                            <w:instrText xml:space="preserve">PAGE  </w:instrText>
                          </w:r>
                          <w:r>
                            <w:fldChar w:fldCharType="separate"/>
                          </w:r>
                          <w:r>
                            <w:rPr>
                              <w:rStyle w:val="46"/>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2B35AD4">
                    <w:pPr>
                      <w:pStyle w:val="30"/>
                      <w:jc w:val="center"/>
                      <w:rPr>
                        <w:rStyle w:val="46"/>
                      </w:rPr>
                    </w:pPr>
                    <w:r>
                      <w:fldChar w:fldCharType="begin"/>
                    </w:r>
                    <w:r>
                      <w:rPr>
                        <w:rStyle w:val="46"/>
                      </w:rPr>
                      <w:instrText xml:space="preserve">PAGE  </w:instrText>
                    </w:r>
                    <w:r>
                      <w:fldChar w:fldCharType="separate"/>
                    </w:r>
                    <w:r>
                      <w:rPr>
                        <w:rStyle w:val="46"/>
                      </w:rPr>
                      <w:t>60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33B18">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6CCA94">
                          <w:pPr>
                            <w:pStyle w:val="30"/>
                            <w:jc w:val="center"/>
                            <w:rPr>
                              <w:rStyle w:val="46"/>
                            </w:rPr>
                          </w:pPr>
                          <w:r>
                            <w:fldChar w:fldCharType="begin"/>
                          </w:r>
                          <w:r>
                            <w:rPr>
                              <w:rStyle w:val="46"/>
                            </w:rPr>
                            <w:instrText xml:space="preserve">PAGE  </w:instrText>
                          </w:r>
                          <w:r>
                            <w:fldChar w:fldCharType="separate"/>
                          </w:r>
                          <w:r>
                            <w:rPr>
                              <w:rStyle w:val="46"/>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B6CCA94">
                    <w:pPr>
                      <w:pStyle w:val="30"/>
                      <w:jc w:val="center"/>
                      <w:rPr>
                        <w:rStyle w:val="46"/>
                      </w:rPr>
                    </w:pPr>
                    <w:r>
                      <w:fldChar w:fldCharType="begin"/>
                    </w:r>
                    <w:r>
                      <w:rPr>
                        <w:rStyle w:val="46"/>
                      </w:rPr>
                      <w:instrText xml:space="preserve">PAGE  </w:instrText>
                    </w:r>
                    <w:r>
                      <w:fldChar w:fldCharType="separate"/>
                    </w:r>
                    <w:r>
                      <w:rPr>
                        <w:rStyle w:val="46"/>
                      </w:rPr>
                      <w:t>60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9E374">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D0EE4">
    <w:pPr>
      <w:pStyle w:val="31"/>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A9688">
    <w:pPr>
      <w:pStyle w:val="3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96888">
    <w:pPr>
      <w:pStyle w:val="31"/>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5515F">
    <w:pPr>
      <w:pStyle w:val="31"/>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76921">
    <w:pPr>
      <w:pStyle w:val="31"/>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4B6D5">
    <w:pPr>
      <w:pStyle w:val="31"/>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9447F">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DF7"/>
    <w:multiLevelType w:val="singleLevel"/>
    <w:tmpl w:val="8B6DFDF7"/>
    <w:lvl w:ilvl="0" w:tentative="0">
      <w:start w:val="1"/>
      <w:numFmt w:val="decimal"/>
      <w:lvlText w:val="%1."/>
      <w:lvlJc w:val="left"/>
      <w:pPr>
        <w:tabs>
          <w:tab w:val="left" w:pos="312"/>
        </w:tabs>
      </w:pPr>
    </w:lvl>
  </w:abstractNum>
  <w:abstractNum w:abstractNumId="1">
    <w:nsid w:val="92FDB44E"/>
    <w:multiLevelType w:val="singleLevel"/>
    <w:tmpl w:val="92FDB44E"/>
    <w:lvl w:ilvl="0" w:tentative="0">
      <w:start w:val="1"/>
      <w:numFmt w:val="decimal"/>
      <w:suff w:val="space"/>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A1B2401"/>
    <w:multiLevelType w:val="singleLevel"/>
    <w:tmpl w:val="CA1B2401"/>
    <w:lvl w:ilvl="0" w:tentative="0">
      <w:start w:val="1"/>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4ADBD5B"/>
    <w:multiLevelType w:val="singleLevel"/>
    <w:tmpl w:val="E4ADBD5B"/>
    <w:lvl w:ilvl="0" w:tentative="0">
      <w:start w:val="1"/>
      <w:numFmt w:val="decimal"/>
      <w:lvlText w:val="%1."/>
      <w:lvlJc w:val="left"/>
      <w:pPr>
        <w:tabs>
          <w:tab w:val="left" w:pos="312"/>
        </w:tabs>
      </w:pPr>
    </w:lvl>
  </w:abstractNum>
  <w:abstractNum w:abstractNumId="9">
    <w:nsid w:val="F2B47171"/>
    <w:multiLevelType w:val="singleLevel"/>
    <w:tmpl w:val="F2B47171"/>
    <w:lvl w:ilvl="0" w:tentative="0">
      <w:start w:val="1"/>
      <w:numFmt w:val="decimal"/>
      <w:suff w:val="space"/>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00000005"/>
    <w:multiLevelType w:val="multilevel"/>
    <w:tmpl w:val="00000005"/>
    <w:lvl w:ilvl="0" w:tentative="0">
      <w:start w:val="1"/>
      <w:numFmt w:val="decimal"/>
      <w:pStyle w:val="21"/>
      <w:lvlText w:val="%1、"/>
      <w:lvlJc w:val="left"/>
      <w:pPr>
        <w:tabs>
          <w:tab w:val="left" w:pos="0"/>
        </w:tabs>
        <w:ind w:left="420" w:hanging="420"/>
      </w:pPr>
      <w:rPr>
        <w:rFonts w:hint="default"/>
      </w:rPr>
    </w:lvl>
    <w:lvl w:ilvl="1" w:tentative="0">
      <w:start w:val="1"/>
      <w:numFmt w:val="lowerLetter"/>
      <w:lvlText w:val="%2)"/>
      <w:lvlJc w:val="left"/>
      <w:pPr>
        <w:tabs>
          <w:tab w:val="left" w:pos="0"/>
        </w:tabs>
        <w:ind w:left="840" w:hanging="420"/>
      </w:pPr>
    </w:lvl>
    <w:lvl w:ilvl="2" w:tentative="0">
      <w:start w:val="1"/>
      <w:numFmt w:val="lowerRoman"/>
      <w:pStyle w:val="201"/>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2">
    <w:nsid w:val="00000007"/>
    <w:multiLevelType w:val="multilevel"/>
    <w:tmpl w:val="00000007"/>
    <w:lvl w:ilvl="0" w:tentative="0">
      <w:start w:val="1"/>
      <w:numFmt w:val="bullet"/>
      <w:pStyle w:val="52"/>
      <w:lvlText w:val=""/>
      <w:lvlJc w:val="left"/>
      <w:pPr>
        <w:tabs>
          <w:tab w:val="left" w:pos="0"/>
        </w:tabs>
        <w:ind w:left="2520" w:hanging="420"/>
      </w:pPr>
      <w:rPr>
        <w:rFonts w:hint="default" w:ascii="Wingdings" w:hAnsi="Wingdings"/>
      </w:rPr>
    </w:lvl>
    <w:lvl w:ilvl="1" w:tentative="0">
      <w:start w:val="1"/>
      <w:numFmt w:val="bullet"/>
      <w:lvlText w:val=""/>
      <w:lvlJc w:val="left"/>
      <w:pPr>
        <w:tabs>
          <w:tab w:val="left" w:pos="0"/>
        </w:tabs>
        <w:ind w:left="2940" w:hanging="420"/>
      </w:pPr>
      <w:rPr>
        <w:rFonts w:hint="default" w:ascii="Wingdings" w:hAnsi="Wingdings"/>
      </w:rPr>
    </w:lvl>
    <w:lvl w:ilvl="2" w:tentative="0">
      <w:start w:val="1"/>
      <w:numFmt w:val="bullet"/>
      <w:lvlText w:val=""/>
      <w:lvlJc w:val="left"/>
      <w:pPr>
        <w:tabs>
          <w:tab w:val="left" w:pos="0"/>
        </w:tabs>
        <w:ind w:left="3360" w:hanging="420"/>
      </w:pPr>
      <w:rPr>
        <w:rFonts w:hint="default" w:ascii="Wingdings" w:hAnsi="Wingdings"/>
      </w:rPr>
    </w:lvl>
    <w:lvl w:ilvl="3" w:tentative="0">
      <w:start w:val="1"/>
      <w:numFmt w:val="bullet"/>
      <w:lvlText w:val=""/>
      <w:lvlJc w:val="left"/>
      <w:pPr>
        <w:tabs>
          <w:tab w:val="left" w:pos="0"/>
        </w:tabs>
        <w:ind w:left="3780" w:hanging="420"/>
      </w:pPr>
      <w:rPr>
        <w:rFonts w:hint="default" w:ascii="Wingdings" w:hAnsi="Wingdings"/>
      </w:rPr>
    </w:lvl>
    <w:lvl w:ilvl="4" w:tentative="0">
      <w:start w:val="1"/>
      <w:numFmt w:val="bullet"/>
      <w:lvlText w:val=""/>
      <w:lvlJc w:val="left"/>
      <w:pPr>
        <w:tabs>
          <w:tab w:val="left" w:pos="0"/>
        </w:tabs>
        <w:ind w:left="4200" w:hanging="420"/>
      </w:pPr>
      <w:rPr>
        <w:rFonts w:hint="default" w:ascii="Wingdings" w:hAnsi="Wingdings"/>
      </w:rPr>
    </w:lvl>
    <w:lvl w:ilvl="5" w:tentative="0">
      <w:start w:val="1"/>
      <w:numFmt w:val="bullet"/>
      <w:lvlText w:val=""/>
      <w:lvlJc w:val="left"/>
      <w:pPr>
        <w:tabs>
          <w:tab w:val="left" w:pos="0"/>
        </w:tabs>
        <w:ind w:left="4620" w:hanging="420"/>
      </w:pPr>
      <w:rPr>
        <w:rFonts w:hint="default" w:ascii="Wingdings" w:hAnsi="Wingdings"/>
      </w:rPr>
    </w:lvl>
    <w:lvl w:ilvl="6" w:tentative="0">
      <w:start w:val="1"/>
      <w:numFmt w:val="bullet"/>
      <w:lvlText w:val=""/>
      <w:lvlJc w:val="left"/>
      <w:pPr>
        <w:tabs>
          <w:tab w:val="left" w:pos="0"/>
        </w:tabs>
        <w:ind w:left="5040" w:hanging="420"/>
      </w:pPr>
      <w:rPr>
        <w:rFonts w:hint="default" w:ascii="Wingdings" w:hAnsi="Wingdings"/>
      </w:rPr>
    </w:lvl>
    <w:lvl w:ilvl="7" w:tentative="0">
      <w:start w:val="1"/>
      <w:numFmt w:val="bullet"/>
      <w:lvlText w:val=""/>
      <w:lvlJc w:val="left"/>
      <w:pPr>
        <w:tabs>
          <w:tab w:val="left" w:pos="0"/>
        </w:tabs>
        <w:ind w:left="5460" w:hanging="420"/>
      </w:pPr>
      <w:rPr>
        <w:rFonts w:hint="default" w:ascii="Wingdings" w:hAnsi="Wingdings"/>
      </w:rPr>
    </w:lvl>
    <w:lvl w:ilvl="8" w:tentative="0">
      <w:start w:val="1"/>
      <w:numFmt w:val="bullet"/>
      <w:lvlText w:val=""/>
      <w:lvlJc w:val="left"/>
      <w:pPr>
        <w:tabs>
          <w:tab w:val="left" w:pos="0"/>
        </w:tabs>
        <w:ind w:left="5880" w:hanging="420"/>
      </w:pPr>
      <w:rPr>
        <w:rFonts w:hint="default" w:ascii="Wingdings" w:hAnsi="Wingdings"/>
      </w:rPr>
    </w:lvl>
  </w:abstractNum>
  <w:abstractNum w:abstractNumId="13">
    <w:nsid w:val="00000009"/>
    <w:multiLevelType w:val="multilevel"/>
    <w:tmpl w:val="00000009"/>
    <w:lvl w:ilvl="0" w:tentative="0">
      <w:start w:val="1"/>
      <w:numFmt w:val="chineseCountingThousand"/>
      <w:pStyle w:val="71"/>
      <w:lvlText w:val="(%1)"/>
      <w:lvlJc w:val="left"/>
      <w:pPr>
        <w:tabs>
          <w:tab w:val="left" w:pos="0"/>
        </w:tabs>
        <w:ind w:left="1680" w:hanging="420"/>
      </w:pPr>
    </w:lvl>
    <w:lvl w:ilvl="1" w:tentative="0">
      <w:start w:val="1"/>
      <w:numFmt w:val="lowerLetter"/>
      <w:pStyle w:val="127"/>
      <w:lvlText w:val="%2)"/>
      <w:lvlJc w:val="left"/>
      <w:pPr>
        <w:tabs>
          <w:tab w:val="left" w:pos="0"/>
        </w:tabs>
        <w:ind w:left="2100" w:hanging="420"/>
      </w:pPr>
    </w:lvl>
    <w:lvl w:ilvl="2" w:tentative="0">
      <w:start w:val="1"/>
      <w:numFmt w:val="lowerRoman"/>
      <w:lvlText w:val="%3."/>
      <w:lvlJc w:val="right"/>
      <w:pPr>
        <w:tabs>
          <w:tab w:val="left" w:pos="0"/>
        </w:tabs>
        <w:ind w:left="2520" w:hanging="420"/>
      </w:pPr>
    </w:lvl>
    <w:lvl w:ilvl="3" w:tentative="0">
      <w:start w:val="1"/>
      <w:numFmt w:val="decimal"/>
      <w:lvlText w:val="%4."/>
      <w:lvlJc w:val="left"/>
      <w:pPr>
        <w:tabs>
          <w:tab w:val="left" w:pos="0"/>
        </w:tabs>
        <w:ind w:left="2940" w:hanging="420"/>
      </w:pPr>
    </w:lvl>
    <w:lvl w:ilvl="4" w:tentative="0">
      <w:start w:val="1"/>
      <w:numFmt w:val="lowerLetter"/>
      <w:lvlText w:val="%5)"/>
      <w:lvlJc w:val="left"/>
      <w:pPr>
        <w:tabs>
          <w:tab w:val="left" w:pos="0"/>
        </w:tabs>
        <w:ind w:left="3360" w:hanging="420"/>
      </w:pPr>
    </w:lvl>
    <w:lvl w:ilvl="5" w:tentative="0">
      <w:start w:val="1"/>
      <w:numFmt w:val="lowerRoman"/>
      <w:lvlText w:val="%6."/>
      <w:lvlJc w:val="right"/>
      <w:pPr>
        <w:tabs>
          <w:tab w:val="left" w:pos="0"/>
        </w:tabs>
        <w:ind w:left="3780" w:hanging="420"/>
      </w:pPr>
    </w:lvl>
    <w:lvl w:ilvl="6" w:tentative="0">
      <w:start w:val="1"/>
      <w:numFmt w:val="decimal"/>
      <w:lvlText w:val="%7."/>
      <w:lvlJc w:val="left"/>
      <w:pPr>
        <w:tabs>
          <w:tab w:val="left" w:pos="0"/>
        </w:tabs>
        <w:ind w:left="4200" w:hanging="420"/>
      </w:pPr>
    </w:lvl>
    <w:lvl w:ilvl="7" w:tentative="0">
      <w:start w:val="1"/>
      <w:numFmt w:val="lowerLetter"/>
      <w:lvlText w:val="%8)"/>
      <w:lvlJc w:val="left"/>
      <w:pPr>
        <w:tabs>
          <w:tab w:val="left" w:pos="0"/>
        </w:tabs>
        <w:ind w:left="4620" w:hanging="420"/>
      </w:pPr>
    </w:lvl>
    <w:lvl w:ilvl="8" w:tentative="0">
      <w:start w:val="1"/>
      <w:numFmt w:val="lowerRoman"/>
      <w:lvlText w:val="%9."/>
      <w:lvlJc w:val="right"/>
      <w:pPr>
        <w:tabs>
          <w:tab w:val="left" w:pos="0"/>
        </w:tabs>
        <w:ind w:left="5040" w:hanging="420"/>
      </w:pPr>
    </w:lvl>
  </w:abstractNum>
  <w:abstractNum w:abstractNumId="14">
    <w:nsid w:val="00000013"/>
    <w:multiLevelType w:val="singleLevel"/>
    <w:tmpl w:val="00000013"/>
    <w:lvl w:ilvl="0" w:tentative="0">
      <w:start w:val="1"/>
      <w:numFmt w:val="decimal"/>
      <w:suff w:val="nothing"/>
      <w:lvlText w:val="（%1）"/>
      <w:lvlJc w:val="left"/>
      <w:pPr>
        <w:ind w:left="0" w:firstLine="400"/>
      </w:pPr>
      <w:rPr>
        <w:rFonts w:hint="default"/>
      </w:rPr>
    </w:lvl>
  </w:abstractNum>
  <w:abstractNum w:abstractNumId="15">
    <w:nsid w:val="26BB6F8E"/>
    <w:multiLevelType w:val="singleLevel"/>
    <w:tmpl w:val="26BB6F8E"/>
    <w:lvl w:ilvl="0" w:tentative="0">
      <w:start w:val="1"/>
      <w:numFmt w:val="decimal"/>
      <w:suff w:val="space"/>
      <w:lvlText w:val="%1."/>
      <w:lvlJc w:val="left"/>
    </w:lvl>
  </w:abstractNum>
  <w:abstractNum w:abstractNumId="16">
    <w:nsid w:val="7A0F6431"/>
    <w:multiLevelType w:val="singleLevel"/>
    <w:tmpl w:val="7A0F6431"/>
    <w:lvl w:ilvl="0" w:tentative="0">
      <w:start w:val="1"/>
      <w:numFmt w:val="decimal"/>
      <w:suff w:val="space"/>
      <w:lvlText w:val="%1."/>
      <w:lvlJc w:val="left"/>
    </w:lvl>
  </w:abstractNum>
  <w:num w:numId="1">
    <w:abstractNumId w:val="11"/>
  </w:num>
  <w:num w:numId="2">
    <w:abstractNumId w:val="12"/>
  </w:num>
  <w:num w:numId="3">
    <w:abstractNumId w:val="13"/>
  </w:num>
  <w:num w:numId="4">
    <w:abstractNumId w:val="14"/>
  </w:num>
  <w:num w:numId="5">
    <w:abstractNumId w:val="16"/>
  </w:num>
  <w:num w:numId="6">
    <w:abstractNumId w:val="4"/>
  </w:num>
  <w:num w:numId="7">
    <w:abstractNumId w:val="10"/>
  </w:num>
  <w:num w:numId="8">
    <w:abstractNumId w:val="6"/>
  </w:num>
  <w:num w:numId="9">
    <w:abstractNumId w:val="5"/>
  </w:num>
  <w:num w:numId="10">
    <w:abstractNumId w:val="2"/>
  </w:num>
  <w:num w:numId="11">
    <w:abstractNumId w:val="7"/>
  </w:num>
  <w:num w:numId="12">
    <w:abstractNumId w:val="3"/>
  </w:num>
  <w:num w:numId="13">
    <w:abstractNumId w:val="0"/>
  </w:num>
  <w:num w:numId="14">
    <w:abstractNumId w:val="8"/>
  </w:num>
  <w:num w:numId="15">
    <w:abstractNumId w:val="9"/>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embedSystemFonts/>
  <w:bordersDoNotSurroundHeader w:val="0"/>
  <w:bordersDoNotSurroundFooter w:val="0"/>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1OWQ3MTlkMmZlNDg4YzAxZjAzYTI4MGQ0MjczNDkifQ=="/>
  </w:docVars>
  <w:rsids>
    <w:rsidRoot w:val="00172A27"/>
    <w:rsid w:val="00001E90"/>
    <w:rsid w:val="00004105"/>
    <w:rsid w:val="00004EC8"/>
    <w:rsid w:val="00006F70"/>
    <w:rsid w:val="000148A7"/>
    <w:rsid w:val="00014F6D"/>
    <w:rsid w:val="0002120A"/>
    <w:rsid w:val="000218F8"/>
    <w:rsid w:val="000244CB"/>
    <w:rsid w:val="00024831"/>
    <w:rsid w:val="000265F1"/>
    <w:rsid w:val="0002662B"/>
    <w:rsid w:val="000311D6"/>
    <w:rsid w:val="000340FF"/>
    <w:rsid w:val="00034C82"/>
    <w:rsid w:val="000360DC"/>
    <w:rsid w:val="0003655C"/>
    <w:rsid w:val="00040FF3"/>
    <w:rsid w:val="00043C14"/>
    <w:rsid w:val="000450E4"/>
    <w:rsid w:val="0004707A"/>
    <w:rsid w:val="00050823"/>
    <w:rsid w:val="00051090"/>
    <w:rsid w:val="000516C4"/>
    <w:rsid w:val="00056045"/>
    <w:rsid w:val="00056C4E"/>
    <w:rsid w:val="000611D1"/>
    <w:rsid w:val="0006312C"/>
    <w:rsid w:val="00063D96"/>
    <w:rsid w:val="00064446"/>
    <w:rsid w:val="00065476"/>
    <w:rsid w:val="00065ADA"/>
    <w:rsid w:val="0006607F"/>
    <w:rsid w:val="00066EC8"/>
    <w:rsid w:val="00067510"/>
    <w:rsid w:val="00067F45"/>
    <w:rsid w:val="0008040D"/>
    <w:rsid w:val="0008193C"/>
    <w:rsid w:val="00081F9A"/>
    <w:rsid w:val="000845B8"/>
    <w:rsid w:val="00085C29"/>
    <w:rsid w:val="00087702"/>
    <w:rsid w:val="00087AA2"/>
    <w:rsid w:val="00096C90"/>
    <w:rsid w:val="0009775A"/>
    <w:rsid w:val="000977DA"/>
    <w:rsid w:val="000A0252"/>
    <w:rsid w:val="000A2388"/>
    <w:rsid w:val="000A5B81"/>
    <w:rsid w:val="000A6F06"/>
    <w:rsid w:val="000B0650"/>
    <w:rsid w:val="000B36E8"/>
    <w:rsid w:val="000B37BB"/>
    <w:rsid w:val="000B4450"/>
    <w:rsid w:val="000B68C4"/>
    <w:rsid w:val="000B7B3A"/>
    <w:rsid w:val="000B7F9D"/>
    <w:rsid w:val="000C115B"/>
    <w:rsid w:val="000C3AA3"/>
    <w:rsid w:val="000C4186"/>
    <w:rsid w:val="000D0D18"/>
    <w:rsid w:val="000D35B6"/>
    <w:rsid w:val="000D3D1A"/>
    <w:rsid w:val="000D5EAE"/>
    <w:rsid w:val="000D7267"/>
    <w:rsid w:val="000D73E8"/>
    <w:rsid w:val="000D7BCB"/>
    <w:rsid w:val="000E475B"/>
    <w:rsid w:val="000E4FE3"/>
    <w:rsid w:val="000E5CD9"/>
    <w:rsid w:val="000E7E7C"/>
    <w:rsid w:val="000F2382"/>
    <w:rsid w:val="000F6F99"/>
    <w:rsid w:val="00104E27"/>
    <w:rsid w:val="0010742B"/>
    <w:rsid w:val="00107B11"/>
    <w:rsid w:val="00110BEB"/>
    <w:rsid w:val="001142FF"/>
    <w:rsid w:val="0011506A"/>
    <w:rsid w:val="001151E8"/>
    <w:rsid w:val="00115A2F"/>
    <w:rsid w:val="00116039"/>
    <w:rsid w:val="001170CA"/>
    <w:rsid w:val="0012342A"/>
    <w:rsid w:val="00125713"/>
    <w:rsid w:val="00126457"/>
    <w:rsid w:val="00127640"/>
    <w:rsid w:val="001312F4"/>
    <w:rsid w:val="00132693"/>
    <w:rsid w:val="001334A3"/>
    <w:rsid w:val="00133B15"/>
    <w:rsid w:val="001414A3"/>
    <w:rsid w:val="0014179D"/>
    <w:rsid w:val="00143C01"/>
    <w:rsid w:val="00146C32"/>
    <w:rsid w:val="00147043"/>
    <w:rsid w:val="00151B56"/>
    <w:rsid w:val="00152CD5"/>
    <w:rsid w:val="00153D76"/>
    <w:rsid w:val="0015707E"/>
    <w:rsid w:val="001608E3"/>
    <w:rsid w:val="00160B7C"/>
    <w:rsid w:val="00161ED3"/>
    <w:rsid w:val="00162919"/>
    <w:rsid w:val="00164BB1"/>
    <w:rsid w:val="001659DC"/>
    <w:rsid w:val="00172A27"/>
    <w:rsid w:val="0017553E"/>
    <w:rsid w:val="00177329"/>
    <w:rsid w:val="00180097"/>
    <w:rsid w:val="001807C5"/>
    <w:rsid w:val="00180E0B"/>
    <w:rsid w:val="00180EBB"/>
    <w:rsid w:val="001818F7"/>
    <w:rsid w:val="00181C6A"/>
    <w:rsid w:val="00183838"/>
    <w:rsid w:val="001858A7"/>
    <w:rsid w:val="00190470"/>
    <w:rsid w:val="00192D91"/>
    <w:rsid w:val="00197F8F"/>
    <w:rsid w:val="001A0891"/>
    <w:rsid w:val="001A4245"/>
    <w:rsid w:val="001A45A1"/>
    <w:rsid w:val="001B5EC7"/>
    <w:rsid w:val="001C7E6F"/>
    <w:rsid w:val="001D107E"/>
    <w:rsid w:val="001D22A3"/>
    <w:rsid w:val="001D2526"/>
    <w:rsid w:val="001D4829"/>
    <w:rsid w:val="001D7AAE"/>
    <w:rsid w:val="001E10A1"/>
    <w:rsid w:val="001E2581"/>
    <w:rsid w:val="001E3C0A"/>
    <w:rsid w:val="001E4256"/>
    <w:rsid w:val="001E465D"/>
    <w:rsid w:val="001E4EFF"/>
    <w:rsid w:val="001E52AE"/>
    <w:rsid w:val="001E5764"/>
    <w:rsid w:val="001E6384"/>
    <w:rsid w:val="001E67FC"/>
    <w:rsid w:val="001F1B72"/>
    <w:rsid w:val="001F351C"/>
    <w:rsid w:val="001F43BB"/>
    <w:rsid w:val="00206FE0"/>
    <w:rsid w:val="00210037"/>
    <w:rsid w:val="002136D7"/>
    <w:rsid w:val="00215D93"/>
    <w:rsid w:val="00221A10"/>
    <w:rsid w:val="00222BFD"/>
    <w:rsid w:val="00225688"/>
    <w:rsid w:val="002302F7"/>
    <w:rsid w:val="00231EEA"/>
    <w:rsid w:val="00233B4D"/>
    <w:rsid w:val="002340CA"/>
    <w:rsid w:val="00234475"/>
    <w:rsid w:val="00236502"/>
    <w:rsid w:val="00244230"/>
    <w:rsid w:val="0024615F"/>
    <w:rsid w:val="002507FD"/>
    <w:rsid w:val="0026130D"/>
    <w:rsid w:val="002622FA"/>
    <w:rsid w:val="00263828"/>
    <w:rsid w:val="00264B52"/>
    <w:rsid w:val="002701B6"/>
    <w:rsid w:val="00270BF2"/>
    <w:rsid w:val="0027437F"/>
    <w:rsid w:val="00274AC7"/>
    <w:rsid w:val="00275DC1"/>
    <w:rsid w:val="00275F7D"/>
    <w:rsid w:val="002767FE"/>
    <w:rsid w:val="00281164"/>
    <w:rsid w:val="002822DF"/>
    <w:rsid w:val="002862B3"/>
    <w:rsid w:val="00286C72"/>
    <w:rsid w:val="00290409"/>
    <w:rsid w:val="00290D9B"/>
    <w:rsid w:val="00291B54"/>
    <w:rsid w:val="0029209B"/>
    <w:rsid w:val="00292466"/>
    <w:rsid w:val="00295778"/>
    <w:rsid w:val="0029694F"/>
    <w:rsid w:val="002A0157"/>
    <w:rsid w:val="002A0F69"/>
    <w:rsid w:val="002A2221"/>
    <w:rsid w:val="002A2871"/>
    <w:rsid w:val="002A5A6C"/>
    <w:rsid w:val="002A5C91"/>
    <w:rsid w:val="002A5CFF"/>
    <w:rsid w:val="002A786E"/>
    <w:rsid w:val="002B183C"/>
    <w:rsid w:val="002B2770"/>
    <w:rsid w:val="002B4204"/>
    <w:rsid w:val="002C0EDA"/>
    <w:rsid w:val="002C32C0"/>
    <w:rsid w:val="002C3A31"/>
    <w:rsid w:val="002C51E8"/>
    <w:rsid w:val="002C5311"/>
    <w:rsid w:val="002C558B"/>
    <w:rsid w:val="002D2AE2"/>
    <w:rsid w:val="002D6979"/>
    <w:rsid w:val="002D6B00"/>
    <w:rsid w:val="002D72E1"/>
    <w:rsid w:val="002E1227"/>
    <w:rsid w:val="002E2A5C"/>
    <w:rsid w:val="002E2F23"/>
    <w:rsid w:val="002E4EE2"/>
    <w:rsid w:val="002E7597"/>
    <w:rsid w:val="002F1029"/>
    <w:rsid w:val="002F658F"/>
    <w:rsid w:val="002F79C3"/>
    <w:rsid w:val="002F7B49"/>
    <w:rsid w:val="00300FB3"/>
    <w:rsid w:val="00301C69"/>
    <w:rsid w:val="00303F39"/>
    <w:rsid w:val="0030407B"/>
    <w:rsid w:val="0030582A"/>
    <w:rsid w:val="00312A94"/>
    <w:rsid w:val="00313F92"/>
    <w:rsid w:val="00321251"/>
    <w:rsid w:val="003221C6"/>
    <w:rsid w:val="0032292A"/>
    <w:rsid w:val="00322BE5"/>
    <w:rsid w:val="003300CA"/>
    <w:rsid w:val="003332EF"/>
    <w:rsid w:val="00334984"/>
    <w:rsid w:val="00337392"/>
    <w:rsid w:val="003403AB"/>
    <w:rsid w:val="00341213"/>
    <w:rsid w:val="0034373C"/>
    <w:rsid w:val="003439B2"/>
    <w:rsid w:val="00344CBF"/>
    <w:rsid w:val="003507F6"/>
    <w:rsid w:val="00353D53"/>
    <w:rsid w:val="0035580C"/>
    <w:rsid w:val="00355AE7"/>
    <w:rsid w:val="00361653"/>
    <w:rsid w:val="003624EB"/>
    <w:rsid w:val="003638AD"/>
    <w:rsid w:val="00364870"/>
    <w:rsid w:val="00366E40"/>
    <w:rsid w:val="00367878"/>
    <w:rsid w:val="00372B55"/>
    <w:rsid w:val="00372C22"/>
    <w:rsid w:val="003735D9"/>
    <w:rsid w:val="00373E06"/>
    <w:rsid w:val="00374AE4"/>
    <w:rsid w:val="003763B9"/>
    <w:rsid w:val="0038029E"/>
    <w:rsid w:val="003804B2"/>
    <w:rsid w:val="00380898"/>
    <w:rsid w:val="00380E64"/>
    <w:rsid w:val="00382D4D"/>
    <w:rsid w:val="00386D11"/>
    <w:rsid w:val="00390339"/>
    <w:rsid w:val="00393DE7"/>
    <w:rsid w:val="00393EAF"/>
    <w:rsid w:val="0039425B"/>
    <w:rsid w:val="00395D05"/>
    <w:rsid w:val="003A1FC3"/>
    <w:rsid w:val="003A409D"/>
    <w:rsid w:val="003B23F7"/>
    <w:rsid w:val="003B4B84"/>
    <w:rsid w:val="003B684B"/>
    <w:rsid w:val="003B68EC"/>
    <w:rsid w:val="003B7160"/>
    <w:rsid w:val="003C1648"/>
    <w:rsid w:val="003C27E4"/>
    <w:rsid w:val="003C5D4A"/>
    <w:rsid w:val="003D5143"/>
    <w:rsid w:val="003D71C6"/>
    <w:rsid w:val="003D7DE6"/>
    <w:rsid w:val="003E104E"/>
    <w:rsid w:val="003E1A4F"/>
    <w:rsid w:val="003E5178"/>
    <w:rsid w:val="003E6419"/>
    <w:rsid w:val="003F2892"/>
    <w:rsid w:val="003F5DBD"/>
    <w:rsid w:val="00400A2D"/>
    <w:rsid w:val="00402C21"/>
    <w:rsid w:val="004062F2"/>
    <w:rsid w:val="0040643D"/>
    <w:rsid w:val="00406702"/>
    <w:rsid w:val="0041232F"/>
    <w:rsid w:val="00414EAD"/>
    <w:rsid w:val="004238C2"/>
    <w:rsid w:val="00423ECF"/>
    <w:rsid w:val="0042783F"/>
    <w:rsid w:val="004356D5"/>
    <w:rsid w:val="0043606D"/>
    <w:rsid w:val="0044041F"/>
    <w:rsid w:val="00447483"/>
    <w:rsid w:val="00450F5E"/>
    <w:rsid w:val="00451254"/>
    <w:rsid w:val="0045279D"/>
    <w:rsid w:val="00455F42"/>
    <w:rsid w:val="00456CED"/>
    <w:rsid w:val="004624B6"/>
    <w:rsid w:val="004647BD"/>
    <w:rsid w:val="00465128"/>
    <w:rsid w:val="00466ABA"/>
    <w:rsid w:val="0047061D"/>
    <w:rsid w:val="00474AEB"/>
    <w:rsid w:val="00475209"/>
    <w:rsid w:val="00475BAB"/>
    <w:rsid w:val="00477CEA"/>
    <w:rsid w:val="00481073"/>
    <w:rsid w:val="004901B8"/>
    <w:rsid w:val="0049034D"/>
    <w:rsid w:val="00490C74"/>
    <w:rsid w:val="00490F58"/>
    <w:rsid w:val="00491DD0"/>
    <w:rsid w:val="00493E02"/>
    <w:rsid w:val="004949AA"/>
    <w:rsid w:val="004A0348"/>
    <w:rsid w:val="004A03C5"/>
    <w:rsid w:val="004A54AE"/>
    <w:rsid w:val="004A6592"/>
    <w:rsid w:val="004B1EAE"/>
    <w:rsid w:val="004B391D"/>
    <w:rsid w:val="004C2998"/>
    <w:rsid w:val="004C3206"/>
    <w:rsid w:val="004C52E1"/>
    <w:rsid w:val="004D0400"/>
    <w:rsid w:val="004D0DFB"/>
    <w:rsid w:val="004D0E89"/>
    <w:rsid w:val="004D68E2"/>
    <w:rsid w:val="004D700E"/>
    <w:rsid w:val="004E0899"/>
    <w:rsid w:val="004E2865"/>
    <w:rsid w:val="004E2C31"/>
    <w:rsid w:val="004E38B7"/>
    <w:rsid w:val="004E57B3"/>
    <w:rsid w:val="004E69E4"/>
    <w:rsid w:val="004F17DC"/>
    <w:rsid w:val="004F35D4"/>
    <w:rsid w:val="004F4993"/>
    <w:rsid w:val="004F4E77"/>
    <w:rsid w:val="004F58EA"/>
    <w:rsid w:val="004F64E5"/>
    <w:rsid w:val="004F6FB5"/>
    <w:rsid w:val="00501927"/>
    <w:rsid w:val="00505FE8"/>
    <w:rsid w:val="00506A8F"/>
    <w:rsid w:val="00511ABC"/>
    <w:rsid w:val="00513B1B"/>
    <w:rsid w:val="00514A9D"/>
    <w:rsid w:val="0051549D"/>
    <w:rsid w:val="005156ED"/>
    <w:rsid w:val="00515FD9"/>
    <w:rsid w:val="00517938"/>
    <w:rsid w:val="00520884"/>
    <w:rsid w:val="00522FFA"/>
    <w:rsid w:val="00523913"/>
    <w:rsid w:val="00525165"/>
    <w:rsid w:val="00526874"/>
    <w:rsid w:val="00527220"/>
    <w:rsid w:val="00530B4F"/>
    <w:rsid w:val="005354F4"/>
    <w:rsid w:val="0054117A"/>
    <w:rsid w:val="00541466"/>
    <w:rsid w:val="005426C2"/>
    <w:rsid w:val="005427B0"/>
    <w:rsid w:val="00542EC3"/>
    <w:rsid w:val="00547B0F"/>
    <w:rsid w:val="005506D7"/>
    <w:rsid w:val="00552CDB"/>
    <w:rsid w:val="00553B6E"/>
    <w:rsid w:val="005576F4"/>
    <w:rsid w:val="0056097A"/>
    <w:rsid w:val="00561B17"/>
    <w:rsid w:val="00562DC9"/>
    <w:rsid w:val="00562E21"/>
    <w:rsid w:val="00565B7F"/>
    <w:rsid w:val="00570A36"/>
    <w:rsid w:val="00580347"/>
    <w:rsid w:val="00581C16"/>
    <w:rsid w:val="0058255B"/>
    <w:rsid w:val="00585DEB"/>
    <w:rsid w:val="00586BA8"/>
    <w:rsid w:val="00587CA1"/>
    <w:rsid w:val="00590423"/>
    <w:rsid w:val="00594907"/>
    <w:rsid w:val="00596B45"/>
    <w:rsid w:val="00597C2A"/>
    <w:rsid w:val="00597D6C"/>
    <w:rsid w:val="005A367A"/>
    <w:rsid w:val="005B33B6"/>
    <w:rsid w:val="005B5580"/>
    <w:rsid w:val="005B558F"/>
    <w:rsid w:val="005B62EB"/>
    <w:rsid w:val="005B79F2"/>
    <w:rsid w:val="005C01D0"/>
    <w:rsid w:val="005C158A"/>
    <w:rsid w:val="005C6F72"/>
    <w:rsid w:val="005C70B9"/>
    <w:rsid w:val="005D1158"/>
    <w:rsid w:val="005D2556"/>
    <w:rsid w:val="005D381D"/>
    <w:rsid w:val="005D3F71"/>
    <w:rsid w:val="005D5F9F"/>
    <w:rsid w:val="005D6ABF"/>
    <w:rsid w:val="005D7BD2"/>
    <w:rsid w:val="005E7C2E"/>
    <w:rsid w:val="005F0C18"/>
    <w:rsid w:val="005F0F37"/>
    <w:rsid w:val="005F1ADE"/>
    <w:rsid w:val="005F31EE"/>
    <w:rsid w:val="005F3850"/>
    <w:rsid w:val="005F3C71"/>
    <w:rsid w:val="005F5AC9"/>
    <w:rsid w:val="005F6B07"/>
    <w:rsid w:val="00604B11"/>
    <w:rsid w:val="006068FE"/>
    <w:rsid w:val="00611691"/>
    <w:rsid w:val="006125C1"/>
    <w:rsid w:val="00613EA4"/>
    <w:rsid w:val="006158DC"/>
    <w:rsid w:val="00617352"/>
    <w:rsid w:val="0062290F"/>
    <w:rsid w:val="006255F3"/>
    <w:rsid w:val="00625A1E"/>
    <w:rsid w:val="0062775E"/>
    <w:rsid w:val="00627B7E"/>
    <w:rsid w:val="006330A9"/>
    <w:rsid w:val="006344F0"/>
    <w:rsid w:val="006351D4"/>
    <w:rsid w:val="00635D16"/>
    <w:rsid w:val="00637D8B"/>
    <w:rsid w:val="006405CA"/>
    <w:rsid w:val="00640DDD"/>
    <w:rsid w:val="006440B6"/>
    <w:rsid w:val="00644852"/>
    <w:rsid w:val="00645AD7"/>
    <w:rsid w:val="00646B8D"/>
    <w:rsid w:val="00653672"/>
    <w:rsid w:val="00654F03"/>
    <w:rsid w:val="00654F46"/>
    <w:rsid w:val="00655105"/>
    <w:rsid w:val="006557D1"/>
    <w:rsid w:val="0065768C"/>
    <w:rsid w:val="00665230"/>
    <w:rsid w:val="00667925"/>
    <w:rsid w:val="00674482"/>
    <w:rsid w:val="00675812"/>
    <w:rsid w:val="006773E7"/>
    <w:rsid w:val="00681038"/>
    <w:rsid w:val="00681B6F"/>
    <w:rsid w:val="006937E9"/>
    <w:rsid w:val="00693B53"/>
    <w:rsid w:val="00694399"/>
    <w:rsid w:val="00695A0A"/>
    <w:rsid w:val="00695F94"/>
    <w:rsid w:val="00696FA7"/>
    <w:rsid w:val="006A1B02"/>
    <w:rsid w:val="006A255B"/>
    <w:rsid w:val="006A418E"/>
    <w:rsid w:val="006A590C"/>
    <w:rsid w:val="006B213B"/>
    <w:rsid w:val="006B27F8"/>
    <w:rsid w:val="006B41E5"/>
    <w:rsid w:val="006B47A5"/>
    <w:rsid w:val="006B5D47"/>
    <w:rsid w:val="006B60D1"/>
    <w:rsid w:val="006B66B4"/>
    <w:rsid w:val="006B7213"/>
    <w:rsid w:val="006B741B"/>
    <w:rsid w:val="006C10C2"/>
    <w:rsid w:val="006C303B"/>
    <w:rsid w:val="006C54CC"/>
    <w:rsid w:val="006C6DB3"/>
    <w:rsid w:val="006D099C"/>
    <w:rsid w:val="006D1643"/>
    <w:rsid w:val="006D367E"/>
    <w:rsid w:val="006D3D6D"/>
    <w:rsid w:val="006E3A31"/>
    <w:rsid w:val="006E7E41"/>
    <w:rsid w:val="006F0C7F"/>
    <w:rsid w:val="006F13E4"/>
    <w:rsid w:val="006F142E"/>
    <w:rsid w:val="006F1CCB"/>
    <w:rsid w:val="006F2CA1"/>
    <w:rsid w:val="006F2F6A"/>
    <w:rsid w:val="006F62B4"/>
    <w:rsid w:val="007032B0"/>
    <w:rsid w:val="00705B5C"/>
    <w:rsid w:val="007100E3"/>
    <w:rsid w:val="00710B68"/>
    <w:rsid w:val="0071154E"/>
    <w:rsid w:val="00712BAC"/>
    <w:rsid w:val="00714A4A"/>
    <w:rsid w:val="00715074"/>
    <w:rsid w:val="007152F2"/>
    <w:rsid w:val="007152F5"/>
    <w:rsid w:val="00715922"/>
    <w:rsid w:val="0071665F"/>
    <w:rsid w:val="0072082E"/>
    <w:rsid w:val="00720E58"/>
    <w:rsid w:val="00720E70"/>
    <w:rsid w:val="00721290"/>
    <w:rsid w:val="00723B21"/>
    <w:rsid w:val="0073122D"/>
    <w:rsid w:val="0073382B"/>
    <w:rsid w:val="0073518F"/>
    <w:rsid w:val="0073549F"/>
    <w:rsid w:val="00735749"/>
    <w:rsid w:val="00735EBA"/>
    <w:rsid w:val="00741FF1"/>
    <w:rsid w:val="00743912"/>
    <w:rsid w:val="00743FEB"/>
    <w:rsid w:val="00744456"/>
    <w:rsid w:val="00746BF0"/>
    <w:rsid w:val="00750219"/>
    <w:rsid w:val="00753218"/>
    <w:rsid w:val="007564FC"/>
    <w:rsid w:val="00757186"/>
    <w:rsid w:val="007578CF"/>
    <w:rsid w:val="0076010C"/>
    <w:rsid w:val="0076077A"/>
    <w:rsid w:val="00764B0C"/>
    <w:rsid w:val="00766B9E"/>
    <w:rsid w:val="007670FD"/>
    <w:rsid w:val="00767CD6"/>
    <w:rsid w:val="00770556"/>
    <w:rsid w:val="00770758"/>
    <w:rsid w:val="007752E5"/>
    <w:rsid w:val="00775372"/>
    <w:rsid w:val="00775657"/>
    <w:rsid w:val="00776E23"/>
    <w:rsid w:val="0077759C"/>
    <w:rsid w:val="0078068F"/>
    <w:rsid w:val="0078322A"/>
    <w:rsid w:val="0078395A"/>
    <w:rsid w:val="00783B42"/>
    <w:rsid w:val="00787FBB"/>
    <w:rsid w:val="00793C6A"/>
    <w:rsid w:val="007947F9"/>
    <w:rsid w:val="0079719E"/>
    <w:rsid w:val="00797CB2"/>
    <w:rsid w:val="007A03A2"/>
    <w:rsid w:val="007A0E5C"/>
    <w:rsid w:val="007A20E6"/>
    <w:rsid w:val="007A5167"/>
    <w:rsid w:val="007A5228"/>
    <w:rsid w:val="007B1415"/>
    <w:rsid w:val="007B195D"/>
    <w:rsid w:val="007B1A5A"/>
    <w:rsid w:val="007B25EB"/>
    <w:rsid w:val="007B4391"/>
    <w:rsid w:val="007B4801"/>
    <w:rsid w:val="007C6D49"/>
    <w:rsid w:val="007D037B"/>
    <w:rsid w:val="007D7DE4"/>
    <w:rsid w:val="007E17DC"/>
    <w:rsid w:val="007E3965"/>
    <w:rsid w:val="007F03FA"/>
    <w:rsid w:val="007F2C5A"/>
    <w:rsid w:val="007F2D9C"/>
    <w:rsid w:val="007F606A"/>
    <w:rsid w:val="0080083F"/>
    <w:rsid w:val="008015D1"/>
    <w:rsid w:val="00802A4C"/>
    <w:rsid w:val="00802E5C"/>
    <w:rsid w:val="00805197"/>
    <w:rsid w:val="00806023"/>
    <w:rsid w:val="00806E61"/>
    <w:rsid w:val="00810656"/>
    <w:rsid w:val="00813D13"/>
    <w:rsid w:val="0081423D"/>
    <w:rsid w:val="0082125C"/>
    <w:rsid w:val="00821BEF"/>
    <w:rsid w:val="00821FCB"/>
    <w:rsid w:val="0082632D"/>
    <w:rsid w:val="008322BB"/>
    <w:rsid w:val="00836E4C"/>
    <w:rsid w:val="00837A4C"/>
    <w:rsid w:val="00841EF3"/>
    <w:rsid w:val="00843404"/>
    <w:rsid w:val="00847B6B"/>
    <w:rsid w:val="0085641F"/>
    <w:rsid w:val="00856FBA"/>
    <w:rsid w:val="00860CE5"/>
    <w:rsid w:val="00861495"/>
    <w:rsid w:val="00861BB9"/>
    <w:rsid w:val="00863DCD"/>
    <w:rsid w:val="00865162"/>
    <w:rsid w:val="0087254B"/>
    <w:rsid w:val="00872D54"/>
    <w:rsid w:val="00877B1D"/>
    <w:rsid w:val="00883F78"/>
    <w:rsid w:val="00884879"/>
    <w:rsid w:val="008914A4"/>
    <w:rsid w:val="008914CC"/>
    <w:rsid w:val="0089204E"/>
    <w:rsid w:val="0089390E"/>
    <w:rsid w:val="00893C51"/>
    <w:rsid w:val="0089486F"/>
    <w:rsid w:val="00897C18"/>
    <w:rsid w:val="008A04DE"/>
    <w:rsid w:val="008A0C4D"/>
    <w:rsid w:val="008A1DAC"/>
    <w:rsid w:val="008A310E"/>
    <w:rsid w:val="008B0575"/>
    <w:rsid w:val="008B0B79"/>
    <w:rsid w:val="008B1DD5"/>
    <w:rsid w:val="008B2872"/>
    <w:rsid w:val="008B443F"/>
    <w:rsid w:val="008C38C6"/>
    <w:rsid w:val="008C6055"/>
    <w:rsid w:val="008D660E"/>
    <w:rsid w:val="008D7667"/>
    <w:rsid w:val="008E28EC"/>
    <w:rsid w:val="008E77F1"/>
    <w:rsid w:val="008F0C14"/>
    <w:rsid w:val="008F0CB8"/>
    <w:rsid w:val="008F195C"/>
    <w:rsid w:val="008F3F6B"/>
    <w:rsid w:val="008F4188"/>
    <w:rsid w:val="008F5E29"/>
    <w:rsid w:val="008F60C6"/>
    <w:rsid w:val="0090189C"/>
    <w:rsid w:val="00903BAF"/>
    <w:rsid w:val="00903CD5"/>
    <w:rsid w:val="009066CE"/>
    <w:rsid w:val="00911FBF"/>
    <w:rsid w:val="00917038"/>
    <w:rsid w:val="0092057F"/>
    <w:rsid w:val="00922F73"/>
    <w:rsid w:val="00923909"/>
    <w:rsid w:val="00924D16"/>
    <w:rsid w:val="00927CFC"/>
    <w:rsid w:val="00931C2D"/>
    <w:rsid w:val="00931EEC"/>
    <w:rsid w:val="009328CF"/>
    <w:rsid w:val="009359FC"/>
    <w:rsid w:val="00941C14"/>
    <w:rsid w:val="00941F6D"/>
    <w:rsid w:val="00941F8C"/>
    <w:rsid w:val="00944768"/>
    <w:rsid w:val="00944C39"/>
    <w:rsid w:val="00944FB6"/>
    <w:rsid w:val="009477FA"/>
    <w:rsid w:val="00951595"/>
    <w:rsid w:val="00951B28"/>
    <w:rsid w:val="00952C55"/>
    <w:rsid w:val="009562C2"/>
    <w:rsid w:val="009602DB"/>
    <w:rsid w:val="00961A73"/>
    <w:rsid w:val="0096261E"/>
    <w:rsid w:val="0096549C"/>
    <w:rsid w:val="009719E6"/>
    <w:rsid w:val="00975176"/>
    <w:rsid w:val="0097651B"/>
    <w:rsid w:val="00976C2E"/>
    <w:rsid w:val="00980912"/>
    <w:rsid w:val="00982F3D"/>
    <w:rsid w:val="0098305C"/>
    <w:rsid w:val="0098394B"/>
    <w:rsid w:val="0098607E"/>
    <w:rsid w:val="00987AE0"/>
    <w:rsid w:val="00992F77"/>
    <w:rsid w:val="00995E9E"/>
    <w:rsid w:val="009A1642"/>
    <w:rsid w:val="009A2380"/>
    <w:rsid w:val="009A3187"/>
    <w:rsid w:val="009A4645"/>
    <w:rsid w:val="009A4E90"/>
    <w:rsid w:val="009B13CE"/>
    <w:rsid w:val="009B2227"/>
    <w:rsid w:val="009B38DF"/>
    <w:rsid w:val="009B654C"/>
    <w:rsid w:val="009B6616"/>
    <w:rsid w:val="009C1646"/>
    <w:rsid w:val="009C2073"/>
    <w:rsid w:val="009C2589"/>
    <w:rsid w:val="009D0D53"/>
    <w:rsid w:val="009D313A"/>
    <w:rsid w:val="009E3FD5"/>
    <w:rsid w:val="009E607D"/>
    <w:rsid w:val="009E60BB"/>
    <w:rsid w:val="009F1587"/>
    <w:rsid w:val="009F2834"/>
    <w:rsid w:val="009F3DFD"/>
    <w:rsid w:val="009F716D"/>
    <w:rsid w:val="00A0241D"/>
    <w:rsid w:val="00A1071E"/>
    <w:rsid w:val="00A1090F"/>
    <w:rsid w:val="00A10D2D"/>
    <w:rsid w:val="00A120C5"/>
    <w:rsid w:val="00A1257C"/>
    <w:rsid w:val="00A17177"/>
    <w:rsid w:val="00A21761"/>
    <w:rsid w:val="00A22268"/>
    <w:rsid w:val="00A2397A"/>
    <w:rsid w:val="00A349AD"/>
    <w:rsid w:val="00A35789"/>
    <w:rsid w:val="00A35A6F"/>
    <w:rsid w:val="00A40926"/>
    <w:rsid w:val="00A412B6"/>
    <w:rsid w:val="00A41E30"/>
    <w:rsid w:val="00A436C8"/>
    <w:rsid w:val="00A449D9"/>
    <w:rsid w:val="00A470C2"/>
    <w:rsid w:val="00A50C32"/>
    <w:rsid w:val="00A52097"/>
    <w:rsid w:val="00A539CE"/>
    <w:rsid w:val="00A53A5C"/>
    <w:rsid w:val="00A54DAB"/>
    <w:rsid w:val="00A56487"/>
    <w:rsid w:val="00A56EC2"/>
    <w:rsid w:val="00A57E76"/>
    <w:rsid w:val="00A634FF"/>
    <w:rsid w:val="00A6538C"/>
    <w:rsid w:val="00A667C3"/>
    <w:rsid w:val="00A70223"/>
    <w:rsid w:val="00A718F3"/>
    <w:rsid w:val="00A72789"/>
    <w:rsid w:val="00A729D2"/>
    <w:rsid w:val="00A742FD"/>
    <w:rsid w:val="00A74411"/>
    <w:rsid w:val="00A75F0B"/>
    <w:rsid w:val="00A77B6D"/>
    <w:rsid w:val="00A83353"/>
    <w:rsid w:val="00A866C9"/>
    <w:rsid w:val="00A90FF7"/>
    <w:rsid w:val="00A9262B"/>
    <w:rsid w:val="00A94218"/>
    <w:rsid w:val="00A97DDF"/>
    <w:rsid w:val="00AA185E"/>
    <w:rsid w:val="00AA29C9"/>
    <w:rsid w:val="00AA557C"/>
    <w:rsid w:val="00AA58CD"/>
    <w:rsid w:val="00AA5924"/>
    <w:rsid w:val="00AA73F6"/>
    <w:rsid w:val="00AA760E"/>
    <w:rsid w:val="00AB0CD3"/>
    <w:rsid w:val="00AB152D"/>
    <w:rsid w:val="00AB24EE"/>
    <w:rsid w:val="00AB3170"/>
    <w:rsid w:val="00AB54D8"/>
    <w:rsid w:val="00AB69D3"/>
    <w:rsid w:val="00AC1E74"/>
    <w:rsid w:val="00AC7595"/>
    <w:rsid w:val="00AD2E7A"/>
    <w:rsid w:val="00AD311D"/>
    <w:rsid w:val="00AD3778"/>
    <w:rsid w:val="00AD4C64"/>
    <w:rsid w:val="00AD5DCC"/>
    <w:rsid w:val="00AD5FB8"/>
    <w:rsid w:val="00AE34E9"/>
    <w:rsid w:val="00AE4F67"/>
    <w:rsid w:val="00AE5270"/>
    <w:rsid w:val="00AE6C16"/>
    <w:rsid w:val="00AE761C"/>
    <w:rsid w:val="00AF1F25"/>
    <w:rsid w:val="00AF224E"/>
    <w:rsid w:val="00AF2AB4"/>
    <w:rsid w:val="00AF5A54"/>
    <w:rsid w:val="00AF6D04"/>
    <w:rsid w:val="00AF74BF"/>
    <w:rsid w:val="00B04ADB"/>
    <w:rsid w:val="00B0581A"/>
    <w:rsid w:val="00B21C1F"/>
    <w:rsid w:val="00B3726A"/>
    <w:rsid w:val="00B42BF1"/>
    <w:rsid w:val="00B43CAE"/>
    <w:rsid w:val="00B43F0E"/>
    <w:rsid w:val="00B4566A"/>
    <w:rsid w:val="00B46601"/>
    <w:rsid w:val="00B50C90"/>
    <w:rsid w:val="00B515D2"/>
    <w:rsid w:val="00B5679E"/>
    <w:rsid w:val="00B56C09"/>
    <w:rsid w:val="00B622A3"/>
    <w:rsid w:val="00B63AF0"/>
    <w:rsid w:val="00B64979"/>
    <w:rsid w:val="00B65F6A"/>
    <w:rsid w:val="00B679DF"/>
    <w:rsid w:val="00B7244D"/>
    <w:rsid w:val="00B72DD1"/>
    <w:rsid w:val="00B7663E"/>
    <w:rsid w:val="00B77DF7"/>
    <w:rsid w:val="00B77FD2"/>
    <w:rsid w:val="00B820D7"/>
    <w:rsid w:val="00B823DB"/>
    <w:rsid w:val="00B8314E"/>
    <w:rsid w:val="00B87415"/>
    <w:rsid w:val="00B87EE1"/>
    <w:rsid w:val="00B91650"/>
    <w:rsid w:val="00B920B6"/>
    <w:rsid w:val="00B9492A"/>
    <w:rsid w:val="00B963D2"/>
    <w:rsid w:val="00BA11A5"/>
    <w:rsid w:val="00BA39C0"/>
    <w:rsid w:val="00BB0916"/>
    <w:rsid w:val="00BB1A71"/>
    <w:rsid w:val="00BB26C1"/>
    <w:rsid w:val="00BB4547"/>
    <w:rsid w:val="00BB5443"/>
    <w:rsid w:val="00BB685A"/>
    <w:rsid w:val="00BC0D60"/>
    <w:rsid w:val="00BC20F1"/>
    <w:rsid w:val="00BC3236"/>
    <w:rsid w:val="00BC6121"/>
    <w:rsid w:val="00BC72A1"/>
    <w:rsid w:val="00BD232F"/>
    <w:rsid w:val="00BD2EB6"/>
    <w:rsid w:val="00BD33D6"/>
    <w:rsid w:val="00BD5BB0"/>
    <w:rsid w:val="00BD79D1"/>
    <w:rsid w:val="00BD79E0"/>
    <w:rsid w:val="00BE4B41"/>
    <w:rsid w:val="00BE5607"/>
    <w:rsid w:val="00BE67E8"/>
    <w:rsid w:val="00BF05A8"/>
    <w:rsid w:val="00BF4D29"/>
    <w:rsid w:val="00BF5DC2"/>
    <w:rsid w:val="00BF76D3"/>
    <w:rsid w:val="00BF7959"/>
    <w:rsid w:val="00C03986"/>
    <w:rsid w:val="00C049B1"/>
    <w:rsid w:val="00C07FEF"/>
    <w:rsid w:val="00C14582"/>
    <w:rsid w:val="00C15642"/>
    <w:rsid w:val="00C169B1"/>
    <w:rsid w:val="00C216A5"/>
    <w:rsid w:val="00C231C3"/>
    <w:rsid w:val="00C25390"/>
    <w:rsid w:val="00C26DFF"/>
    <w:rsid w:val="00C275D0"/>
    <w:rsid w:val="00C27A9E"/>
    <w:rsid w:val="00C32100"/>
    <w:rsid w:val="00C3621E"/>
    <w:rsid w:val="00C44F65"/>
    <w:rsid w:val="00C45F52"/>
    <w:rsid w:val="00C46808"/>
    <w:rsid w:val="00C47C80"/>
    <w:rsid w:val="00C52744"/>
    <w:rsid w:val="00C55A2F"/>
    <w:rsid w:val="00C56873"/>
    <w:rsid w:val="00C60A6D"/>
    <w:rsid w:val="00C636C0"/>
    <w:rsid w:val="00C66CEA"/>
    <w:rsid w:val="00C7067E"/>
    <w:rsid w:val="00C746BF"/>
    <w:rsid w:val="00C80C64"/>
    <w:rsid w:val="00C829CC"/>
    <w:rsid w:val="00C8491E"/>
    <w:rsid w:val="00C87FED"/>
    <w:rsid w:val="00C91A43"/>
    <w:rsid w:val="00C91D19"/>
    <w:rsid w:val="00C95C6C"/>
    <w:rsid w:val="00CA1F5B"/>
    <w:rsid w:val="00CA23B5"/>
    <w:rsid w:val="00CA327F"/>
    <w:rsid w:val="00CB6334"/>
    <w:rsid w:val="00CB67CC"/>
    <w:rsid w:val="00CB6B8A"/>
    <w:rsid w:val="00CC0EFC"/>
    <w:rsid w:val="00CC220E"/>
    <w:rsid w:val="00CC35F2"/>
    <w:rsid w:val="00CC39F3"/>
    <w:rsid w:val="00CC46FA"/>
    <w:rsid w:val="00CC4A89"/>
    <w:rsid w:val="00CD2C66"/>
    <w:rsid w:val="00CD5FBE"/>
    <w:rsid w:val="00CD7D8F"/>
    <w:rsid w:val="00CF056A"/>
    <w:rsid w:val="00CF2AFD"/>
    <w:rsid w:val="00CF2B0D"/>
    <w:rsid w:val="00CF562B"/>
    <w:rsid w:val="00CF5F27"/>
    <w:rsid w:val="00D00686"/>
    <w:rsid w:val="00D02264"/>
    <w:rsid w:val="00D076AE"/>
    <w:rsid w:val="00D10C3A"/>
    <w:rsid w:val="00D118EC"/>
    <w:rsid w:val="00D11AC9"/>
    <w:rsid w:val="00D142C4"/>
    <w:rsid w:val="00D17001"/>
    <w:rsid w:val="00D175A2"/>
    <w:rsid w:val="00D2157D"/>
    <w:rsid w:val="00D2212F"/>
    <w:rsid w:val="00D3059B"/>
    <w:rsid w:val="00D3719C"/>
    <w:rsid w:val="00D42DA9"/>
    <w:rsid w:val="00D45388"/>
    <w:rsid w:val="00D459ED"/>
    <w:rsid w:val="00D46728"/>
    <w:rsid w:val="00D4672D"/>
    <w:rsid w:val="00D47F55"/>
    <w:rsid w:val="00D50240"/>
    <w:rsid w:val="00D513B9"/>
    <w:rsid w:val="00D519C3"/>
    <w:rsid w:val="00D52561"/>
    <w:rsid w:val="00D54725"/>
    <w:rsid w:val="00D54C8C"/>
    <w:rsid w:val="00D5631A"/>
    <w:rsid w:val="00D566B1"/>
    <w:rsid w:val="00D63567"/>
    <w:rsid w:val="00D6789A"/>
    <w:rsid w:val="00D7135A"/>
    <w:rsid w:val="00D733EA"/>
    <w:rsid w:val="00D74C6F"/>
    <w:rsid w:val="00D77700"/>
    <w:rsid w:val="00D82257"/>
    <w:rsid w:val="00D82FD3"/>
    <w:rsid w:val="00D840C0"/>
    <w:rsid w:val="00D84667"/>
    <w:rsid w:val="00D846CC"/>
    <w:rsid w:val="00D86D80"/>
    <w:rsid w:val="00D8746C"/>
    <w:rsid w:val="00D878CE"/>
    <w:rsid w:val="00D945FC"/>
    <w:rsid w:val="00DB1BBB"/>
    <w:rsid w:val="00DB48C1"/>
    <w:rsid w:val="00DB7538"/>
    <w:rsid w:val="00DD2009"/>
    <w:rsid w:val="00DD2704"/>
    <w:rsid w:val="00DD304B"/>
    <w:rsid w:val="00DD3262"/>
    <w:rsid w:val="00DD3AFF"/>
    <w:rsid w:val="00DE0DFC"/>
    <w:rsid w:val="00DE1BDA"/>
    <w:rsid w:val="00DE1BDC"/>
    <w:rsid w:val="00DE3904"/>
    <w:rsid w:val="00DE3BCE"/>
    <w:rsid w:val="00DE48FF"/>
    <w:rsid w:val="00DE568F"/>
    <w:rsid w:val="00DE592A"/>
    <w:rsid w:val="00DF2BD4"/>
    <w:rsid w:val="00DF4174"/>
    <w:rsid w:val="00DF431B"/>
    <w:rsid w:val="00DF6A4C"/>
    <w:rsid w:val="00E02DEE"/>
    <w:rsid w:val="00E0579C"/>
    <w:rsid w:val="00E06551"/>
    <w:rsid w:val="00E072AF"/>
    <w:rsid w:val="00E13291"/>
    <w:rsid w:val="00E1566F"/>
    <w:rsid w:val="00E16D14"/>
    <w:rsid w:val="00E17A16"/>
    <w:rsid w:val="00E17CB9"/>
    <w:rsid w:val="00E225BA"/>
    <w:rsid w:val="00E257BD"/>
    <w:rsid w:val="00E26960"/>
    <w:rsid w:val="00E27C65"/>
    <w:rsid w:val="00E32F5B"/>
    <w:rsid w:val="00E33F63"/>
    <w:rsid w:val="00E340D0"/>
    <w:rsid w:val="00E35BB8"/>
    <w:rsid w:val="00E37A4F"/>
    <w:rsid w:val="00E43F28"/>
    <w:rsid w:val="00E45BD1"/>
    <w:rsid w:val="00E476AA"/>
    <w:rsid w:val="00E53277"/>
    <w:rsid w:val="00E5361F"/>
    <w:rsid w:val="00E5649A"/>
    <w:rsid w:val="00E570AB"/>
    <w:rsid w:val="00E60DEF"/>
    <w:rsid w:val="00E64D8D"/>
    <w:rsid w:val="00E64E0B"/>
    <w:rsid w:val="00E7312F"/>
    <w:rsid w:val="00E7413F"/>
    <w:rsid w:val="00E7679E"/>
    <w:rsid w:val="00E769E7"/>
    <w:rsid w:val="00E8056F"/>
    <w:rsid w:val="00E90365"/>
    <w:rsid w:val="00E93585"/>
    <w:rsid w:val="00E94557"/>
    <w:rsid w:val="00E96CC1"/>
    <w:rsid w:val="00EA0766"/>
    <w:rsid w:val="00EA0B53"/>
    <w:rsid w:val="00EA293B"/>
    <w:rsid w:val="00EA2A98"/>
    <w:rsid w:val="00EB0A2F"/>
    <w:rsid w:val="00EB684B"/>
    <w:rsid w:val="00EB69C2"/>
    <w:rsid w:val="00EC079A"/>
    <w:rsid w:val="00EC0EF0"/>
    <w:rsid w:val="00EC2757"/>
    <w:rsid w:val="00EC7B89"/>
    <w:rsid w:val="00ED1B90"/>
    <w:rsid w:val="00ED5C15"/>
    <w:rsid w:val="00ED75B8"/>
    <w:rsid w:val="00ED786E"/>
    <w:rsid w:val="00EE1E35"/>
    <w:rsid w:val="00EE3CB2"/>
    <w:rsid w:val="00EF3D88"/>
    <w:rsid w:val="00EF592A"/>
    <w:rsid w:val="00F006AC"/>
    <w:rsid w:val="00F0166F"/>
    <w:rsid w:val="00F0485B"/>
    <w:rsid w:val="00F06199"/>
    <w:rsid w:val="00F06889"/>
    <w:rsid w:val="00F06CFE"/>
    <w:rsid w:val="00F115A1"/>
    <w:rsid w:val="00F14283"/>
    <w:rsid w:val="00F14859"/>
    <w:rsid w:val="00F14998"/>
    <w:rsid w:val="00F175B7"/>
    <w:rsid w:val="00F17809"/>
    <w:rsid w:val="00F242A2"/>
    <w:rsid w:val="00F2658C"/>
    <w:rsid w:val="00F27736"/>
    <w:rsid w:val="00F30A55"/>
    <w:rsid w:val="00F46E16"/>
    <w:rsid w:val="00F50AE1"/>
    <w:rsid w:val="00F52925"/>
    <w:rsid w:val="00F549FF"/>
    <w:rsid w:val="00F54E40"/>
    <w:rsid w:val="00F55EB3"/>
    <w:rsid w:val="00F5661E"/>
    <w:rsid w:val="00F6415E"/>
    <w:rsid w:val="00F67136"/>
    <w:rsid w:val="00F700B0"/>
    <w:rsid w:val="00F7072A"/>
    <w:rsid w:val="00F70DFF"/>
    <w:rsid w:val="00F72D0E"/>
    <w:rsid w:val="00F74269"/>
    <w:rsid w:val="00F744EA"/>
    <w:rsid w:val="00F74674"/>
    <w:rsid w:val="00F822E0"/>
    <w:rsid w:val="00F8413E"/>
    <w:rsid w:val="00F85665"/>
    <w:rsid w:val="00F8693D"/>
    <w:rsid w:val="00F86E40"/>
    <w:rsid w:val="00F87990"/>
    <w:rsid w:val="00F91FC9"/>
    <w:rsid w:val="00F920D2"/>
    <w:rsid w:val="00F96D8F"/>
    <w:rsid w:val="00FA176E"/>
    <w:rsid w:val="00FA240F"/>
    <w:rsid w:val="00FA2584"/>
    <w:rsid w:val="00FA2B2F"/>
    <w:rsid w:val="00FA7989"/>
    <w:rsid w:val="00FB0A5F"/>
    <w:rsid w:val="00FB1E1C"/>
    <w:rsid w:val="00FB7999"/>
    <w:rsid w:val="00FB7D4E"/>
    <w:rsid w:val="00FB7F4F"/>
    <w:rsid w:val="00FC0FA9"/>
    <w:rsid w:val="00FC4AA8"/>
    <w:rsid w:val="00FD26E3"/>
    <w:rsid w:val="00FD410F"/>
    <w:rsid w:val="00FD55EC"/>
    <w:rsid w:val="00FD5DF1"/>
    <w:rsid w:val="00FD5FE0"/>
    <w:rsid w:val="00FE01A8"/>
    <w:rsid w:val="00FE568C"/>
    <w:rsid w:val="00FE699D"/>
    <w:rsid w:val="00FE70BB"/>
    <w:rsid w:val="00FF0094"/>
    <w:rsid w:val="00FF16E2"/>
    <w:rsid w:val="00FF681C"/>
    <w:rsid w:val="010D1530"/>
    <w:rsid w:val="0153453C"/>
    <w:rsid w:val="015F6184"/>
    <w:rsid w:val="019B19DA"/>
    <w:rsid w:val="021F4265"/>
    <w:rsid w:val="02340125"/>
    <w:rsid w:val="02781A55"/>
    <w:rsid w:val="029A778E"/>
    <w:rsid w:val="02B01361"/>
    <w:rsid w:val="02BF64DF"/>
    <w:rsid w:val="02CC4CA2"/>
    <w:rsid w:val="02CD1F73"/>
    <w:rsid w:val="02DE7C7D"/>
    <w:rsid w:val="03304A3A"/>
    <w:rsid w:val="033124A2"/>
    <w:rsid w:val="0355415A"/>
    <w:rsid w:val="0385459C"/>
    <w:rsid w:val="03910922"/>
    <w:rsid w:val="03AD4886"/>
    <w:rsid w:val="04185410"/>
    <w:rsid w:val="04396BB8"/>
    <w:rsid w:val="04790B48"/>
    <w:rsid w:val="04DC0AA0"/>
    <w:rsid w:val="052C12AE"/>
    <w:rsid w:val="0545478A"/>
    <w:rsid w:val="05584035"/>
    <w:rsid w:val="05654144"/>
    <w:rsid w:val="0569336D"/>
    <w:rsid w:val="05790131"/>
    <w:rsid w:val="058F488B"/>
    <w:rsid w:val="05912F81"/>
    <w:rsid w:val="05FA1B6D"/>
    <w:rsid w:val="060A6BC0"/>
    <w:rsid w:val="06531FD9"/>
    <w:rsid w:val="06C55827"/>
    <w:rsid w:val="06D51397"/>
    <w:rsid w:val="06E15158"/>
    <w:rsid w:val="06E71149"/>
    <w:rsid w:val="06FE77FD"/>
    <w:rsid w:val="07191689"/>
    <w:rsid w:val="071B4EFF"/>
    <w:rsid w:val="072E2838"/>
    <w:rsid w:val="073A38EF"/>
    <w:rsid w:val="074D53D1"/>
    <w:rsid w:val="0762177A"/>
    <w:rsid w:val="07871169"/>
    <w:rsid w:val="07A96E08"/>
    <w:rsid w:val="07BC30BB"/>
    <w:rsid w:val="07C0225B"/>
    <w:rsid w:val="086F15B6"/>
    <w:rsid w:val="0891572D"/>
    <w:rsid w:val="08A80B08"/>
    <w:rsid w:val="08D15175"/>
    <w:rsid w:val="08E53E93"/>
    <w:rsid w:val="08E75A75"/>
    <w:rsid w:val="09232357"/>
    <w:rsid w:val="092E1FAF"/>
    <w:rsid w:val="097430E9"/>
    <w:rsid w:val="097F23C2"/>
    <w:rsid w:val="0A120A96"/>
    <w:rsid w:val="0A19608C"/>
    <w:rsid w:val="0A720951"/>
    <w:rsid w:val="0A743B69"/>
    <w:rsid w:val="0ACD23CC"/>
    <w:rsid w:val="0AD45C01"/>
    <w:rsid w:val="0B014935"/>
    <w:rsid w:val="0B0E0C05"/>
    <w:rsid w:val="0B7E451F"/>
    <w:rsid w:val="0BDC35C4"/>
    <w:rsid w:val="0C3415A2"/>
    <w:rsid w:val="0C4A2348"/>
    <w:rsid w:val="0C4B17E2"/>
    <w:rsid w:val="0C874956"/>
    <w:rsid w:val="0CBD513B"/>
    <w:rsid w:val="0CC726A1"/>
    <w:rsid w:val="0CFC146E"/>
    <w:rsid w:val="0D0962F1"/>
    <w:rsid w:val="0D1A620C"/>
    <w:rsid w:val="0D457A58"/>
    <w:rsid w:val="0D707A33"/>
    <w:rsid w:val="0D815DD4"/>
    <w:rsid w:val="0DCC5E19"/>
    <w:rsid w:val="0DCD1F05"/>
    <w:rsid w:val="0DE26D43"/>
    <w:rsid w:val="0DF35F54"/>
    <w:rsid w:val="0DFA4114"/>
    <w:rsid w:val="0E084350"/>
    <w:rsid w:val="0E5139F9"/>
    <w:rsid w:val="0F2A6BAC"/>
    <w:rsid w:val="0F814239"/>
    <w:rsid w:val="0FAC6B21"/>
    <w:rsid w:val="0FC95811"/>
    <w:rsid w:val="10201CAB"/>
    <w:rsid w:val="10283879"/>
    <w:rsid w:val="102E4AAF"/>
    <w:rsid w:val="1035748B"/>
    <w:rsid w:val="105D2904"/>
    <w:rsid w:val="10976979"/>
    <w:rsid w:val="10B65D95"/>
    <w:rsid w:val="10D13D20"/>
    <w:rsid w:val="114E595F"/>
    <w:rsid w:val="11651119"/>
    <w:rsid w:val="11692401"/>
    <w:rsid w:val="11705029"/>
    <w:rsid w:val="117A5014"/>
    <w:rsid w:val="12376B78"/>
    <w:rsid w:val="12401D31"/>
    <w:rsid w:val="124B69B1"/>
    <w:rsid w:val="12542FA0"/>
    <w:rsid w:val="125F68E4"/>
    <w:rsid w:val="128A37C9"/>
    <w:rsid w:val="12D1335A"/>
    <w:rsid w:val="131D6FF7"/>
    <w:rsid w:val="1328436D"/>
    <w:rsid w:val="132F28D0"/>
    <w:rsid w:val="1354346F"/>
    <w:rsid w:val="135F6956"/>
    <w:rsid w:val="13655B82"/>
    <w:rsid w:val="136B435F"/>
    <w:rsid w:val="13814B1A"/>
    <w:rsid w:val="139D30C7"/>
    <w:rsid w:val="13A90C3B"/>
    <w:rsid w:val="13B12EDD"/>
    <w:rsid w:val="13B4231D"/>
    <w:rsid w:val="141B5A8D"/>
    <w:rsid w:val="1425541A"/>
    <w:rsid w:val="143F5822"/>
    <w:rsid w:val="1445612F"/>
    <w:rsid w:val="14B6106C"/>
    <w:rsid w:val="15081290"/>
    <w:rsid w:val="15111B9F"/>
    <w:rsid w:val="15235970"/>
    <w:rsid w:val="15317033"/>
    <w:rsid w:val="15325C06"/>
    <w:rsid w:val="154B3046"/>
    <w:rsid w:val="154D3F83"/>
    <w:rsid w:val="15692994"/>
    <w:rsid w:val="15E44D49"/>
    <w:rsid w:val="160308E8"/>
    <w:rsid w:val="160A768A"/>
    <w:rsid w:val="16F82599"/>
    <w:rsid w:val="174C5A46"/>
    <w:rsid w:val="17D411F6"/>
    <w:rsid w:val="18843866"/>
    <w:rsid w:val="18BB4DA0"/>
    <w:rsid w:val="18DE786F"/>
    <w:rsid w:val="18EB63E8"/>
    <w:rsid w:val="18EF138C"/>
    <w:rsid w:val="18F15D4D"/>
    <w:rsid w:val="19385AEE"/>
    <w:rsid w:val="195E2BE3"/>
    <w:rsid w:val="19667CA9"/>
    <w:rsid w:val="19921369"/>
    <w:rsid w:val="199D1C93"/>
    <w:rsid w:val="19B3645C"/>
    <w:rsid w:val="19D106D2"/>
    <w:rsid w:val="19D16EFE"/>
    <w:rsid w:val="1A1F5AC1"/>
    <w:rsid w:val="1AC81CC5"/>
    <w:rsid w:val="1AED28BA"/>
    <w:rsid w:val="1AFB4148"/>
    <w:rsid w:val="1B044BE2"/>
    <w:rsid w:val="1B577A36"/>
    <w:rsid w:val="1B821B42"/>
    <w:rsid w:val="1BA90949"/>
    <w:rsid w:val="1BED09EB"/>
    <w:rsid w:val="1BEF5D10"/>
    <w:rsid w:val="1C237EF5"/>
    <w:rsid w:val="1C261C69"/>
    <w:rsid w:val="1C4954A8"/>
    <w:rsid w:val="1C8D0DE9"/>
    <w:rsid w:val="1C9652A6"/>
    <w:rsid w:val="1D5F77B4"/>
    <w:rsid w:val="1D616326"/>
    <w:rsid w:val="1D824143"/>
    <w:rsid w:val="1DA45CF6"/>
    <w:rsid w:val="1DB530CD"/>
    <w:rsid w:val="1DD57659"/>
    <w:rsid w:val="1DD866D9"/>
    <w:rsid w:val="1DFD73FF"/>
    <w:rsid w:val="1E14234D"/>
    <w:rsid w:val="1E5C34F6"/>
    <w:rsid w:val="1E6271D8"/>
    <w:rsid w:val="1E7D1712"/>
    <w:rsid w:val="1E9623BB"/>
    <w:rsid w:val="1E9E60BA"/>
    <w:rsid w:val="1EC70640"/>
    <w:rsid w:val="1FAE66EE"/>
    <w:rsid w:val="1FFD2355"/>
    <w:rsid w:val="201D29B4"/>
    <w:rsid w:val="205B7262"/>
    <w:rsid w:val="207107A0"/>
    <w:rsid w:val="20A240A4"/>
    <w:rsid w:val="20B40A1C"/>
    <w:rsid w:val="210537A1"/>
    <w:rsid w:val="213466B9"/>
    <w:rsid w:val="21477C75"/>
    <w:rsid w:val="216D06F2"/>
    <w:rsid w:val="217E3A7B"/>
    <w:rsid w:val="21997739"/>
    <w:rsid w:val="21A34113"/>
    <w:rsid w:val="21B54CFA"/>
    <w:rsid w:val="21DA1AFF"/>
    <w:rsid w:val="22014FA9"/>
    <w:rsid w:val="220303C0"/>
    <w:rsid w:val="22380440"/>
    <w:rsid w:val="22411B12"/>
    <w:rsid w:val="22716FF0"/>
    <w:rsid w:val="227635D6"/>
    <w:rsid w:val="22A5669B"/>
    <w:rsid w:val="22FC7C48"/>
    <w:rsid w:val="233557FB"/>
    <w:rsid w:val="23971A56"/>
    <w:rsid w:val="23C76E42"/>
    <w:rsid w:val="23F53ABE"/>
    <w:rsid w:val="24773635"/>
    <w:rsid w:val="24817DE1"/>
    <w:rsid w:val="24883A94"/>
    <w:rsid w:val="248C0F68"/>
    <w:rsid w:val="24AD193D"/>
    <w:rsid w:val="24CD4A4C"/>
    <w:rsid w:val="25156E38"/>
    <w:rsid w:val="257A6EFC"/>
    <w:rsid w:val="2583685F"/>
    <w:rsid w:val="25874D5F"/>
    <w:rsid w:val="25D565A0"/>
    <w:rsid w:val="25ED4062"/>
    <w:rsid w:val="260D2485"/>
    <w:rsid w:val="260E79FF"/>
    <w:rsid w:val="26754BE8"/>
    <w:rsid w:val="268C3D75"/>
    <w:rsid w:val="26A036EA"/>
    <w:rsid w:val="26B172D2"/>
    <w:rsid w:val="26C32CCB"/>
    <w:rsid w:val="26DD3706"/>
    <w:rsid w:val="26EB16F7"/>
    <w:rsid w:val="27723CD2"/>
    <w:rsid w:val="27D14592"/>
    <w:rsid w:val="27EC6CE6"/>
    <w:rsid w:val="28003D64"/>
    <w:rsid w:val="28211152"/>
    <w:rsid w:val="28390DF4"/>
    <w:rsid w:val="284B1464"/>
    <w:rsid w:val="28A33EF2"/>
    <w:rsid w:val="28A51D7B"/>
    <w:rsid w:val="28BC3F66"/>
    <w:rsid w:val="28F83861"/>
    <w:rsid w:val="28FC1B7F"/>
    <w:rsid w:val="29323532"/>
    <w:rsid w:val="29604DC6"/>
    <w:rsid w:val="29631B1C"/>
    <w:rsid w:val="29795D39"/>
    <w:rsid w:val="29B449E4"/>
    <w:rsid w:val="29FA706A"/>
    <w:rsid w:val="2A022304"/>
    <w:rsid w:val="2A3F2BD5"/>
    <w:rsid w:val="2AE73386"/>
    <w:rsid w:val="2AEC1D54"/>
    <w:rsid w:val="2AF23A16"/>
    <w:rsid w:val="2AFB2851"/>
    <w:rsid w:val="2B0643BB"/>
    <w:rsid w:val="2B3E4EB5"/>
    <w:rsid w:val="2B764647"/>
    <w:rsid w:val="2BE11CDE"/>
    <w:rsid w:val="2BF55D57"/>
    <w:rsid w:val="2C004309"/>
    <w:rsid w:val="2C3B721F"/>
    <w:rsid w:val="2C684BD0"/>
    <w:rsid w:val="2C976555"/>
    <w:rsid w:val="2CC42325"/>
    <w:rsid w:val="2D477D52"/>
    <w:rsid w:val="2D7A3E83"/>
    <w:rsid w:val="2DDC6E75"/>
    <w:rsid w:val="2DFB06AE"/>
    <w:rsid w:val="2E2F16FD"/>
    <w:rsid w:val="2E7A1F60"/>
    <w:rsid w:val="2E87787C"/>
    <w:rsid w:val="2E903C71"/>
    <w:rsid w:val="2E951288"/>
    <w:rsid w:val="2EE43FBD"/>
    <w:rsid w:val="2F2C45A3"/>
    <w:rsid w:val="2F47449B"/>
    <w:rsid w:val="2F7169E1"/>
    <w:rsid w:val="2F931451"/>
    <w:rsid w:val="2F9C41C9"/>
    <w:rsid w:val="2FD40C84"/>
    <w:rsid w:val="2FF02554"/>
    <w:rsid w:val="3017616A"/>
    <w:rsid w:val="304C1F66"/>
    <w:rsid w:val="304F40CE"/>
    <w:rsid w:val="305F38FB"/>
    <w:rsid w:val="30797F80"/>
    <w:rsid w:val="308215FB"/>
    <w:rsid w:val="30C22D2D"/>
    <w:rsid w:val="30F616C8"/>
    <w:rsid w:val="30F8259C"/>
    <w:rsid w:val="31313F23"/>
    <w:rsid w:val="31A25F76"/>
    <w:rsid w:val="31B860F8"/>
    <w:rsid w:val="31EA3699"/>
    <w:rsid w:val="31F734B4"/>
    <w:rsid w:val="32193F7E"/>
    <w:rsid w:val="324C5100"/>
    <w:rsid w:val="32502474"/>
    <w:rsid w:val="329C5792"/>
    <w:rsid w:val="32D06D32"/>
    <w:rsid w:val="33082977"/>
    <w:rsid w:val="331E10D8"/>
    <w:rsid w:val="331F1834"/>
    <w:rsid w:val="33341388"/>
    <w:rsid w:val="334F0EB1"/>
    <w:rsid w:val="337C1562"/>
    <w:rsid w:val="33B648D7"/>
    <w:rsid w:val="33E84B08"/>
    <w:rsid w:val="34222464"/>
    <w:rsid w:val="343147AA"/>
    <w:rsid w:val="347B4A7C"/>
    <w:rsid w:val="349545F3"/>
    <w:rsid w:val="34AA5CD1"/>
    <w:rsid w:val="34E31351"/>
    <w:rsid w:val="353C11A0"/>
    <w:rsid w:val="358233A0"/>
    <w:rsid w:val="35923295"/>
    <w:rsid w:val="359D4003"/>
    <w:rsid w:val="35B05222"/>
    <w:rsid w:val="35E84393"/>
    <w:rsid w:val="364E2BEB"/>
    <w:rsid w:val="36555F3D"/>
    <w:rsid w:val="36A4475E"/>
    <w:rsid w:val="36D819D5"/>
    <w:rsid w:val="370F1FFE"/>
    <w:rsid w:val="372538A6"/>
    <w:rsid w:val="373C06F3"/>
    <w:rsid w:val="37406BE8"/>
    <w:rsid w:val="3744384A"/>
    <w:rsid w:val="37A278A0"/>
    <w:rsid w:val="37B63A36"/>
    <w:rsid w:val="37F31F59"/>
    <w:rsid w:val="3825542A"/>
    <w:rsid w:val="386F3B58"/>
    <w:rsid w:val="38736116"/>
    <w:rsid w:val="38FD06E1"/>
    <w:rsid w:val="39331CD1"/>
    <w:rsid w:val="3994074E"/>
    <w:rsid w:val="39A317C3"/>
    <w:rsid w:val="39B12CEE"/>
    <w:rsid w:val="39F20325"/>
    <w:rsid w:val="3A0D4FA9"/>
    <w:rsid w:val="3A1C3A68"/>
    <w:rsid w:val="3A683CF4"/>
    <w:rsid w:val="3AAA4898"/>
    <w:rsid w:val="3B0A559D"/>
    <w:rsid w:val="3B0F23C2"/>
    <w:rsid w:val="3B130FAD"/>
    <w:rsid w:val="3B332FBE"/>
    <w:rsid w:val="3B385190"/>
    <w:rsid w:val="3B60149C"/>
    <w:rsid w:val="3B6776EA"/>
    <w:rsid w:val="3B7E3CD8"/>
    <w:rsid w:val="3BCB672A"/>
    <w:rsid w:val="3C3E3A60"/>
    <w:rsid w:val="3C4E3E1F"/>
    <w:rsid w:val="3C530DD9"/>
    <w:rsid w:val="3C676431"/>
    <w:rsid w:val="3C7F796D"/>
    <w:rsid w:val="3C990FA2"/>
    <w:rsid w:val="3CC045CC"/>
    <w:rsid w:val="3D0A4BEF"/>
    <w:rsid w:val="3D196D3B"/>
    <w:rsid w:val="3D1D2B74"/>
    <w:rsid w:val="3D485717"/>
    <w:rsid w:val="3D5C79DF"/>
    <w:rsid w:val="3D6176E6"/>
    <w:rsid w:val="3D7D1865"/>
    <w:rsid w:val="3D961015"/>
    <w:rsid w:val="3DA53531"/>
    <w:rsid w:val="3DEC7A7A"/>
    <w:rsid w:val="3DF605F1"/>
    <w:rsid w:val="3E093575"/>
    <w:rsid w:val="3E0F6C59"/>
    <w:rsid w:val="3E6A003B"/>
    <w:rsid w:val="3E8B3679"/>
    <w:rsid w:val="3E9909DD"/>
    <w:rsid w:val="3F0564B2"/>
    <w:rsid w:val="3F1D3C1A"/>
    <w:rsid w:val="3F2E0B84"/>
    <w:rsid w:val="3F997F88"/>
    <w:rsid w:val="3FD573A3"/>
    <w:rsid w:val="3FE96445"/>
    <w:rsid w:val="3FF80BCC"/>
    <w:rsid w:val="3FFA5956"/>
    <w:rsid w:val="40957652"/>
    <w:rsid w:val="409D1225"/>
    <w:rsid w:val="40BF7A4B"/>
    <w:rsid w:val="40C0119F"/>
    <w:rsid w:val="41171FD0"/>
    <w:rsid w:val="4141538C"/>
    <w:rsid w:val="416C40CA"/>
    <w:rsid w:val="41EB4CF6"/>
    <w:rsid w:val="420A5691"/>
    <w:rsid w:val="4220631F"/>
    <w:rsid w:val="42287449"/>
    <w:rsid w:val="42431334"/>
    <w:rsid w:val="429178AD"/>
    <w:rsid w:val="429709CE"/>
    <w:rsid w:val="429C58EE"/>
    <w:rsid w:val="42B54DC9"/>
    <w:rsid w:val="42C03726"/>
    <w:rsid w:val="42EC2C5B"/>
    <w:rsid w:val="42F02403"/>
    <w:rsid w:val="430D276C"/>
    <w:rsid w:val="43155CD3"/>
    <w:rsid w:val="431C7A3B"/>
    <w:rsid w:val="437F4F60"/>
    <w:rsid w:val="4381078A"/>
    <w:rsid w:val="43C63B3A"/>
    <w:rsid w:val="44332C7D"/>
    <w:rsid w:val="4435576C"/>
    <w:rsid w:val="447B5455"/>
    <w:rsid w:val="44B4325F"/>
    <w:rsid w:val="44C8628E"/>
    <w:rsid w:val="44CF0CF9"/>
    <w:rsid w:val="457A48DC"/>
    <w:rsid w:val="457C2402"/>
    <w:rsid w:val="45DB7526"/>
    <w:rsid w:val="461E170B"/>
    <w:rsid w:val="465117F7"/>
    <w:rsid w:val="46A97A43"/>
    <w:rsid w:val="46D06EA9"/>
    <w:rsid w:val="46D70238"/>
    <w:rsid w:val="4712105C"/>
    <w:rsid w:val="471F3979"/>
    <w:rsid w:val="47727F60"/>
    <w:rsid w:val="4792415F"/>
    <w:rsid w:val="4793466A"/>
    <w:rsid w:val="47AD5FC0"/>
    <w:rsid w:val="47E175E2"/>
    <w:rsid w:val="47FB610F"/>
    <w:rsid w:val="48062E0E"/>
    <w:rsid w:val="48301F13"/>
    <w:rsid w:val="484B0F18"/>
    <w:rsid w:val="486D3B48"/>
    <w:rsid w:val="487835B5"/>
    <w:rsid w:val="487B1097"/>
    <w:rsid w:val="48BF05E5"/>
    <w:rsid w:val="48C17F4C"/>
    <w:rsid w:val="49007C2F"/>
    <w:rsid w:val="49014591"/>
    <w:rsid w:val="495C7B9F"/>
    <w:rsid w:val="49625394"/>
    <w:rsid w:val="49981337"/>
    <w:rsid w:val="49C66341"/>
    <w:rsid w:val="4A361A9D"/>
    <w:rsid w:val="4A5F1294"/>
    <w:rsid w:val="4A98132A"/>
    <w:rsid w:val="4AC40C32"/>
    <w:rsid w:val="4B3F2FCC"/>
    <w:rsid w:val="4B491B6B"/>
    <w:rsid w:val="4B605699"/>
    <w:rsid w:val="4B9732C3"/>
    <w:rsid w:val="4BF9789D"/>
    <w:rsid w:val="4BF97F2C"/>
    <w:rsid w:val="4C30291D"/>
    <w:rsid w:val="4C5A55A7"/>
    <w:rsid w:val="4CA97B54"/>
    <w:rsid w:val="4CEC342D"/>
    <w:rsid w:val="4CFE6137"/>
    <w:rsid w:val="4D4E5D71"/>
    <w:rsid w:val="4D802573"/>
    <w:rsid w:val="4D9731C6"/>
    <w:rsid w:val="4DC01309"/>
    <w:rsid w:val="4DDC12A9"/>
    <w:rsid w:val="4DE4323A"/>
    <w:rsid w:val="4DFB0FF0"/>
    <w:rsid w:val="4E10291E"/>
    <w:rsid w:val="4E2A14DC"/>
    <w:rsid w:val="4E516B22"/>
    <w:rsid w:val="4E8E6338"/>
    <w:rsid w:val="4ED35632"/>
    <w:rsid w:val="4EDF1EFF"/>
    <w:rsid w:val="4EF1548F"/>
    <w:rsid w:val="4F271630"/>
    <w:rsid w:val="4F494FDA"/>
    <w:rsid w:val="4F8F114A"/>
    <w:rsid w:val="502F3701"/>
    <w:rsid w:val="503E5287"/>
    <w:rsid w:val="50434FAA"/>
    <w:rsid w:val="506A1275"/>
    <w:rsid w:val="50EB46E2"/>
    <w:rsid w:val="50FD1797"/>
    <w:rsid w:val="511F7A80"/>
    <w:rsid w:val="513176CA"/>
    <w:rsid w:val="51590220"/>
    <w:rsid w:val="51727AE9"/>
    <w:rsid w:val="51C0075A"/>
    <w:rsid w:val="51DB121E"/>
    <w:rsid w:val="51E8142A"/>
    <w:rsid w:val="5266383D"/>
    <w:rsid w:val="52E635B0"/>
    <w:rsid w:val="532536C1"/>
    <w:rsid w:val="53466A77"/>
    <w:rsid w:val="53473F5B"/>
    <w:rsid w:val="53486D9B"/>
    <w:rsid w:val="537B019D"/>
    <w:rsid w:val="53A5781C"/>
    <w:rsid w:val="53AE0572"/>
    <w:rsid w:val="53AF50AE"/>
    <w:rsid w:val="53C26F1E"/>
    <w:rsid w:val="541D4613"/>
    <w:rsid w:val="542C4745"/>
    <w:rsid w:val="544817D4"/>
    <w:rsid w:val="54664802"/>
    <w:rsid w:val="54CB1368"/>
    <w:rsid w:val="54DA7F8F"/>
    <w:rsid w:val="54DF6509"/>
    <w:rsid w:val="55335D87"/>
    <w:rsid w:val="55346855"/>
    <w:rsid w:val="555C744C"/>
    <w:rsid w:val="559A1DFE"/>
    <w:rsid w:val="559B2225"/>
    <w:rsid w:val="55AF412E"/>
    <w:rsid w:val="55CF52C2"/>
    <w:rsid w:val="569D177C"/>
    <w:rsid w:val="569E7B6B"/>
    <w:rsid w:val="56B57F1E"/>
    <w:rsid w:val="56BB6989"/>
    <w:rsid w:val="56E20B7B"/>
    <w:rsid w:val="57131CFC"/>
    <w:rsid w:val="571D0DE0"/>
    <w:rsid w:val="5728660B"/>
    <w:rsid w:val="57476D14"/>
    <w:rsid w:val="57482A8C"/>
    <w:rsid w:val="574F1ACC"/>
    <w:rsid w:val="577640C2"/>
    <w:rsid w:val="58127EFE"/>
    <w:rsid w:val="58584F50"/>
    <w:rsid w:val="58B949B0"/>
    <w:rsid w:val="58D16E92"/>
    <w:rsid w:val="58E31B10"/>
    <w:rsid w:val="591F15CA"/>
    <w:rsid w:val="5988732D"/>
    <w:rsid w:val="599154FE"/>
    <w:rsid w:val="59EA607C"/>
    <w:rsid w:val="5A0E097D"/>
    <w:rsid w:val="5A195822"/>
    <w:rsid w:val="5A4C03FF"/>
    <w:rsid w:val="5ACD1BB7"/>
    <w:rsid w:val="5AFE3B8D"/>
    <w:rsid w:val="5B39348F"/>
    <w:rsid w:val="5B485C9F"/>
    <w:rsid w:val="5B4916B4"/>
    <w:rsid w:val="5C0A5678"/>
    <w:rsid w:val="5C2E614E"/>
    <w:rsid w:val="5C653971"/>
    <w:rsid w:val="5CD638AC"/>
    <w:rsid w:val="5CFA14BA"/>
    <w:rsid w:val="5D072AA1"/>
    <w:rsid w:val="5D2D1589"/>
    <w:rsid w:val="5D3A755D"/>
    <w:rsid w:val="5D4B0BE0"/>
    <w:rsid w:val="5D5C647E"/>
    <w:rsid w:val="5D60523F"/>
    <w:rsid w:val="5DF30100"/>
    <w:rsid w:val="5E3C43B8"/>
    <w:rsid w:val="5E4A24BC"/>
    <w:rsid w:val="5E5030FF"/>
    <w:rsid w:val="5E542828"/>
    <w:rsid w:val="5E631844"/>
    <w:rsid w:val="5E7F1184"/>
    <w:rsid w:val="5E8720EC"/>
    <w:rsid w:val="5E87633A"/>
    <w:rsid w:val="5EB351AF"/>
    <w:rsid w:val="5F783451"/>
    <w:rsid w:val="5FCC740B"/>
    <w:rsid w:val="601C4A15"/>
    <w:rsid w:val="60F63558"/>
    <w:rsid w:val="61042E42"/>
    <w:rsid w:val="610905C4"/>
    <w:rsid w:val="61872BB0"/>
    <w:rsid w:val="61AB6A23"/>
    <w:rsid w:val="61B66277"/>
    <w:rsid w:val="620123E4"/>
    <w:rsid w:val="62184259"/>
    <w:rsid w:val="62432722"/>
    <w:rsid w:val="62683FE2"/>
    <w:rsid w:val="627F0062"/>
    <w:rsid w:val="62BD18B4"/>
    <w:rsid w:val="633C488A"/>
    <w:rsid w:val="63413E16"/>
    <w:rsid w:val="63AE2984"/>
    <w:rsid w:val="63BA196A"/>
    <w:rsid w:val="63C66714"/>
    <w:rsid w:val="640815D9"/>
    <w:rsid w:val="642C60EE"/>
    <w:rsid w:val="643A0DF3"/>
    <w:rsid w:val="64402D87"/>
    <w:rsid w:val="6451494E"/>
    <w:rsid w:val="64537DC2"/>
    <w:rsid w:val="64680A8F"/>
    <w:rsid w:val="64746C6E"/>
    <w:rsid w:val="64A52A2C"/>
    <w:rsid w:val="64B81FCE"/>
    <w:rsid w:val="64BD0615"/>
    <w:rsid w:val="6510045E"/>
    <w:rsid w:val="659F2D24"/>
    <w:rsid w:val="65A31192"/>
    <w:rsid w:val="65B17A4E"/>
    <w:rsid w:val="65B8166D"/>
    <w:rsid w:val="65BA7D85"/>
    <w:rsid w:val="65E25482"/>
    <w:rsid w:val="65E46075"/>
    <w:rsid w:val="65ED0BBB"/>
    <w:rsid w:val="667764D8"/>
    <w:rsid w:val="669975DD"/>
    <w:rsid w:val="66B94E0C"/>
    <w:rsid w:val="66D439F4"/>
    <w:rsid w:val="66E45EF7"/>
    <w:rsid w:val="66E7585B"/>
    <w:rsid w:val="66F50198"/>
    <w:rsid w:val="67726C21"/>
    <w:rsid w:val="67D839B8"/>
    <w:rsid w:val="67DD1F13"/>
    <w:rsid w:val="67E07AF4"/>
    <w:rsid w:val="683B7D4B"/>
    <w:rsid w:val="685217D8"/>
    <w:rsid w:val="686236C1"/>
    <w:rsid w:val="686B4ECE"/>
    <w:rsid w:val="688415D6"/>
    <w:rsid w:val="688E5019"/>
    <w:rsid w:val="68960CA5"/>
    <w:rsid w:val="68A902CC"/>
    <w:rsid w:val="68AB7066"/>
    <w:rsid w:val="68E36170"/>
    <w:rsid w:val="68F55E2F"/>
    <w:rsid w:val="68F6299C"/>
    <w:rsid w:val="699F0F5F"/>
    <w:rsid w:val="69C90AA3"/>
    <w:rsid w:val="69E5665C"/>
    <w:rsid w:val="6A8F63BD"/>
    <w:rsid w:val="6AAA68E4"/>
    <w:rsid w:val="6AAC3470"/>
    <w:rsid w:val="6AEA1FC0"/>
    <w:rsid w:val="6B114230"/>
    <w:rsid w:val="6B7036D0"/>
    <w:rsid w:val="6B83603D"/>
    <w:rsid w:val="6BC04E8F"/>
    <w:rsid w:val="6BEF307E"/>
    <w:rsid w:val="6C5850C7"/>
    <w:rsid w:val="6C842EB1"/>
    <w:rsid w:val="6CA40A7A"/>
    <w:rsid w:val="6CDD1929"/>
    <w:rsid w:val="6D2F407A"/>
    <w:rsid w:val="6D3C1F21"/>
    <w:rsid w:val="6D650A01"/>
    <w:rsid w:val="6DA373BD"/>
    <w:rsid w:val="6DAE450C"/>
    <w:rsid w:val="6DE02450"/>
    <w:rsid w:val="6DE84A40"/>
    <w:rsid w:val="6DFB0B9A"/>
    <w:rsid w:val="6E0334DC"/>
    <w:rsid w:val="6E8201DA"/>
    <w:rsid w:val="6E95617E"/>
    <w:rsid w:val="6EBD1CE0"/>
    <w:rsid w:val="6EC74795"/>
    <w:rsid w:val="6EF472F7"/>
    <w:rsid w:val="6F324CA2"/>
    <w:rsid w:val="6F397E6E"/>
    <w:rsid w:val="6F742582"/>
    <w:rsid w:val="6F92569A"/>
    <w:rsid w:val="6F9A4902"/>
    <w:rsid w:val="70157679"/>
    <w:rsid w:val="70202F02"/>
    <w:rsid w:val="7045751A"/>
    <w:rsid w:val="70470064"/>
    <w:rsid w:val="70A93A25"/>
    <w:rsid w:val="70F366F9"/>
    <w:rsid w:val="71000567"/>
    <w:rsid w:val="71155335"/>
    <w:rsid w:val="71E36359"/>
    <w:rsid w:val="71E9738F"/>
    <w:rsid w:val="72850298"/>
    <w:rsid w:val="72935C87"/>
    <w:rsid w:val="72952BD1"/>
    <w:rsid w:val="7297468D"/>
    <w:rsid w:val="72AA339F"/>
    <w:rsid w:val="72AB41A3"/>
    <w:rsid w:val="72D61075"/>
    <w:rsid w:val="733749E1"/>
    <w:rsid w:val="735A7977"/>
    <w:rsid w:val="73AD4A88"/>
    <w:rsid w:val="73AE3EC0"/>
    <w:rsid w:val="73B62661"/>
    <w:rsid w:val="73F15E96"/>
    <w:rsid w:val="741555FE"/>
    <w:rsid w:val="746311CD"/>
    <w:rsid w:val="74782F69"/>
    <w:rsid w:val="74905DB6"/>
    <w:rsid w:val="74DF5AC1"/>
    <w:rsid w:val="75082B8F"/>
    <w:rsid w:val="751B470E"/>
    <w:rsid w:val="75270877"/>
    <w:rsid w:val="75A00A61"/>
    <w:rsid w:val="75AB00FD"/>
    <w:rsid w:val="75CC44B9"/>
    <w:rsid w:val="763F3CF8"/>
    <w:rsid w:val="765F2447"/>
    <w:rsid w:val="76991FF1"/>
    <w:rsid w:val="7766563E"/>
    <w:rsid w:val="776B5CAF"/>
    <w:rsid w:val="778E33FA"/>
    <w:rsid w:val="77C0639E"/>
    <w:rsid w:val="77C5560F"/>
    <w:rsid w:val="77E739AB"/>
    <w:rsid w:val="784A1D68"/>
    <w:rsid w:val="7862510D"/>
    <w:rsid w:val="793D310D"/>
    <w:rsid w:val="79494D4F"/>
    <w:rsid w:val="79500428"/>
    <w:rsid w:val="79576530"/>
    <w:rsid w:val="79634B9A"/>
    <w:rsid w:val="79AC037F"/>
    <w:rsid w:val="79B20BD1"/>
    <w:rsid w:val="79B67AA9"/>
    <w:rsid w:val="79B736AE"/>
    <w:rsid w:val="79F964A8"/>
    <w:rsid w:val="7A211BEB"/>
    <w:rsid w:val="7A302D43"/>
    <w:rsid w:val="7A4A24F3"/>
    <w:rsid w:val="7A5A200A"/>
    <w:rsid w:val="7AA83541"/>
    <w:rsid w:val="7AAA22D2"/>
    <w:rsid w:val="7B1C1471"/>
    <w:rsid w:val="7B3560B5"/>
    <w:rsid w:val="7B483E51"/>
    <w:rsid w:val="7B544D4E"/>
    <w:rsid w:val="7B6E5110"/>
    <w:rsid w:val="7BBA2727"/>
    <w:rsid w:val="7BC02341"/>
    <w:rsid w:val="7BD75745"/>
    <w:rsid w:val="7BE54F72"/>
    <w:rsid w:val="7BEE1D66"/>
    <w:rsid w:val="7C1708DE"/>
    <w:rsid w:val="7C5C148E"/>
    <w:rsid w:val="7C7D7A04"/>
    <w:rsid w:val="7CD120DA"/>
    <w:rsid w:val="7CF17FFD"/>
    <w:rsid w:val="7D306F70"/>
    <w:rsid w:val="7D486355"/>
    <w:rsid w:val="7D55001A"/>
    <w:rsid w:val="7D691940"/>
    <w:rsid w:val="7E1B283D"/>
    <w:rsid w:val="7E375C47"/>
    <w:rsid w:val="7E53232E"/>
    <w:rsid w:val="7E9D68F7"/>
    <w:rsid w:val="7EEB1D78"/>
    <w:rsid w:val="7F457940"/>
    <w:rsid w:val="7F5A016B"/>
    <w:rsid w:val="7FC40652"/>
    <w:rsid w:val="7FDD2A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136"/>
    <w:qFormat/>
    <w:uiPriority w:val="0"/>
    <w:pPr>
      <w:keepNext/>
      <w:keepLines/>
      <w:tabs>
        <w:tab w:val="left" w:pos="0"/>
      </w:tabs>
      <w:spacing w:before="340" w:after="330" w:line="578" w:lineRule="atLeast"/>
      <w:outlineLvl w:val="0"/>
    </w:pPr>
    <w:rPr>
      <w:b/>
      <w:bCs/>
      <w:kern w:val="44"/>
      <w:sz w:val="44"/>
      <w:szCs w:val="44"/>
    </w:rPr>
  </w:style>
  <w:style w:type="paragraph" w:styleId="3">
    <w:name w:val="heading 2"/>
    <w:basedOn w:val="1"/>
    <w:next w:val="1"/>
    <w:link w:val="137"/>
    <w:qFormat/>
    <w:uiPriority w:val="0"/>
    <w:pPr>
      <w:keepNext/>
      <w:keepLines/>
      <w:tabs>
        <w:tab w:val="left" w:pos="0"/>
      </w:tabs>
      <w:spacing w:before="260" w:after="260" w:line="416" w:lineRule="atLeast"/>
      <w:outlineLvl w:val="1"/>
    </w:pPr>
    <w:rPr>
      <w:rFonts w:ascii="Arial" w:hAnsi="Arial" w:eastAsia="黑体"/>
      <w:b/>
      <w:bCs/>
      <w:sz w:val="32"/>
      <w:szCs w:val="32"/>
    </w:rPr>
  </w:style>
  <w:style w:type="paragraph" w:styleId="4">
    <w:name w:val="heading 3"/>
    <w:basedOn w:val="1"/>
    <w:next w:val="1"/>
    <w:link w:val="138"/>
    <w:qFormat/>
    <w:uiPriority w:val="9"/>
    <w:pPr>
      <w:keepNext/>
      <w:keepLines/>
      <w:tabs>
        <w:tab w:val="left" w:pos="0"/>
      </w:tabs>
      <w:spacing w:before="260" w:after="260" w:line="416" w:lineRule="atLeast"/>
      <w:outlineLvl w:val="2"/>
    </w:pPr>
    <w:rPr>
      <w:b/>
      <w:bCs/>
      <w:sz w:val="32"/>
      <w:szCs w:val="32"/>
    </w:rPr>
  </w:style>
  <w:style w:type="paragraph" w:styleId="5">
    <w:name w:val="heading 4"/>
    <w:basedOn w:val="1"/>
    <w:next w:val="1"/>
    <w:link w:val="139"/>
    <w:qFormat/>
    <w:uiPriority w:val="9"/>
    <w:pPr>
      <w:keepNext/>
      <w:keepLines/>
      <w:tabs>
        <w:tab w:val="left" w:pos="0"/>
      </w:tabs>
      <w:spacing w:before="280" w:after="290" w:line="376" w:lineRule="atLeast"/>
      <w:outlineLvl w:val="3"/>
    </w:pPr>
    <w:rPr>
      <w:rFonts w:ascii="Arial" w:hAnsi="Arial" w:eastAsia="黑体"/>
      <w:b/>
      <w:bCs/>
      <w:sz w:val="28"/>
      <w:szCs w:val="28"/>
    </w:rPr>
  </w:style>
  <w:style w:type="paragraph" w:styleId="6">
    <w:name w:val="heading 5"/>
    <w:basedOn w:val="1"/>
    <w:next w:val="1"/>
    <w:link w:val="140"/>
    <w:qFormat/>
    <w:uiPriority w:val="0"/>
    <w:pPr>
      <w:keepNext/>
      <w:keepLines/>
      <w:tabs>
        <w:tab w:val="left" w:pos="0"/>
      </w:tabs>
      <w:spacing w:before="280" w:after="290" w:line="376" w:lineRule="atLeast"/>
      <w:outlineLvl w:val="4"/>
    </w:pPr>
    <w:rPr>
      <w:b/>
      <w:bCs/>
      <w:sz w:val="28"/>
      <w:szCs w:val="28"/>
    </w:rPr>
  </w:style>
  <w:style w:type="paragraph" w:styleId="7">
    <w:name w:val="heading 6"/>
    <w:basedOn w:val="1"/>
    <w:next w:val="1"/>
    <w:link w:val="141"/>
    <w:qFormat/>
    <w:uiPriority w:val="0"/>
    <w:pPr>
      <w:keepNext/>
      <w:keepLines/>
      <w:tabs>
        <w:tab w:val="left" w:pos="0"/>
      </w:tabs>
      <w:spacing w:before="240" w:after="64" w:line="320" w:lineRule="atLeast"/>
      <w:outlineLvl w:val="5"/>
    </w:pPr>
    <w:rPr>
      <w:rFonts w:ascii="Arial" w:hAnsi="Arial" w:eastAsia="黑体"/>
      <w:b/>
      <w:bCs/>
      <w:szCs w:val="24"/>
    </w:rPr>
  </w:style>
  <w:style w:type="paragraph" w:styleId="8">
    <w:name w:val="heading 7"/>
    <w:basedOn w:val="1"/>
    <w:next w:val="1"/>
    <w:link w:val="142"/>
    <w:qFormat/>
    <w:uiPriority w:val="0"/>
    <w:pPr>
      <w:keepNext/>
      <w:keepLines/>
      <w:tabs>
        <w:tab w:val="left" w:pos="0"/>
      </w:tabs>
      <w:spacing w:before="240" w:after="64" w:line="320" w:lineRule="atLeast"/>
      <w:outlineLvl w:val="6"/>
    </w:pPr>
    <w:rPr>
      <w:b/>
      <w:bCs/>
      <w:szCs w:val="24"/>
    </w:rPr>
  </w:style>
  <w:style w:type="paragraph" w:styleId="9">
    <w:name w:val="heading 8"/>
    <w:basedOn w:val="1"/>
    <w:next w:val="1"/>
    <w:link w:val="143"/>
    <w:qFormat/>
    <w:uiPriority w:val="0"/>
    <w:pPr>
      <w:keepNext/>
      <w:keepLines/>
      <w:tabs>
        <w:tab w:val="left" w:pos="0"/>
      </w:tabs>
      <w:spacing w:before="240" w:after="64" w:line="320" w:lineRule="atLeast"/>
      <w:outlineLvl w:val="7"/>
    </w:pPr>
    <w:rPr>
      <w:rFonts w:ascii="Arial" w:hAnsi="Arial" w:eastAsia="黑体"/>
      <w:szCs w:val="24"/>
    </w:rPr>
  </w:style>
  <w:style w:type="paragraph" w:styleId="10">
    <w:name w:val="heading 9"/>
    <w:basedOn w:val="1"/>
    <w:next w:val="1"/>
    <w:link w:val="144"/>
    <w:qFormat/>
    <w:uiPriority w:val="0"/>
    <w:pPr>
      <w:keepNext/>
      <w:keepLines/>
      <w:tabs>
        <w:tab w:val="left" w:pos="0"/>
      </w:tabs>
      <w:spacing w:before="240" w:after="64" w:line="320" w:lineRule="atLeast"/>
      <w:outlineLvl w:val="8"/>
    </w:pPr>
    <w:rPr>
      <w:rFonts w:ascii="Arial" w:hAnsi="Arial" w:eastAsia="黑体"/>
      <w:sz w:val="21"/>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00"/>
    </w:pPr>
    <w:rPr>
      <w:sz w:val="20"/>
    </w:rPr>
  </w:style>
  <w:style w:type="paragraph" w:styleId="12">
    <w:name w:val="Normal Indent"/>
    <w:basedOn w:val="1"/>
    <w:next w:val="1"/>
    <w:link w:val="149"/>
    <w:qFormat/>
    <w:uiPriority w:val="0"/>
    <w:pPr>
      <w:ind w:firstLine="200" w:firstLineChars="200"/>
    </w:pPr>
  </w:style>
  <w:style w:type="paragraph" w:styleId="13">
    <w:name w:val="caption"/>
    <w:basedOn w:val="1"/>
    <w:next w:val="1"/>
    <w:qFormat/>
    <w:uiPriority w:val="0"/>
    <w:pPr>
      <w:spacing w:line="480" w:lineRule="auto"/>
    </w:pPr>
    <w:rPr>
      <w:rFonts w:ascii="华文中宋" w:eastAsia="华文中宋"/>
      <w:kern w:val="2"/>
      <w:sz w:val="36"/>
    </w:rPr>
  </w:style>
  <w:style w:type="paragraph" w:styleId="14">
    <w:name w:val="Document Map"/>
    <w:basedOn w:val="1"/>
    <w:link w:val="150"/>
    <w:qFormat/>
    <w:uiPriority w:val="99"/>
    <w:pPr>
      <w:shd w:val="clear" w:color="auto" w:fill="000080"/>
    </w:pPr>
  </w:style>
  <w:style w:type="paragraph" w:styleId="15">
    <w:name w:val="annotation text"/>
    <w:basedOn w:val="1"/>
    <w:link w:val="145"/>
    <w:qFormat/>
    <w:uiPriority w:val="0"/>
  </w:style>
  <w:style w:type="paragraph" w:styleId="16">
    <w:name w:val="Salutation"/>
    <w:next w:val="1"/>
    <w:link w:val="151"/>
    <w:autoRedefine/>
    <w:qFormat/>
    <w:uiPriority w:val="0"/>
    <w:pPr>
      <w:widowControl w:val="0"/>
      <w:adjustRightInd w:val="0"/>
      <w:snapToGrid w:val="0"/>
      <w:spacing w:line="360" w:lineRule="auto"/>
      <w:jc w:val="both"/>
    </w:pPr>
    <w:rPr>
      <w:rFonts w:ascii="方正仿宋_GBK" w:hAnsi="Times New Roman" w:eastAsia="方正仿宋_GBK" w:cs="方正仿宋_GBK"/>
      <w:sz w:val="32"/>
      <w:szCs w:val="32"/>
      <w:lang w:val="en-US" w:eastAsia="zh-CN" w:bidi="ar-SA"/>
    </w:rPr>
  </w:style>
  <w:style w:type="paragraph" w:styleId="17">
    <w:name w:val="Body Text"/>
    <w:basedOn w:val="1"/>
    <w:next w:val="18"/>
    <w:link w:val="147"/>
    <w:qFormat/>
    <w:uiPriority w:val="0"/>
    <w:pPr>
      <w:adjustRightInd/>
      <w:spacing w:line="240" w:lineRule="auto"/>
      <w:jc w:val="both"/>
      <w:textAlignment w:val="auto"/>
    </w:pPr>
    <w:rPr>
      <w:kern w:val="2"/>
      <w:sz w:val="28"/>
    </w:rPr>
  </w:style>
  <w:style w:type="paragraph" w:styleId="18">
    <w:name w:val="Body Text First Indent"/>
    <w:basedOn w:val="17"/>
    <w:next w:val="19"/>
    <w:link w:val="148"/>
    <w:qFormat/>
    <w:uiPriority w:val="0"/>
    <w:pPr>
      <w:spacing w:after="120"/>
      <w:ind w:firstLine="420" w:firstLineChars="100"/>
    </w:pPr>
    <w:rPr>
      <w:sz w:val="21"/>
      <w:szCs w:val="24"/>
    </w:rPr>
  </w:style>
  <w:style w:type="paragraph" w:styleId="19">
    <w:name w:val="toc 6"/>
    <w:basedOn w:val="1"/>
    <w:next w:val="1"/>
    <w:qFormat/>
    <w:uiPriority w:val="0"/>
    <w:pPr>
      <w:ind w:left="960"/>
    </w:pPr>
    <w:rPr>
      <w:sz w:val="20"/>
    </w:rPr>
  </w:style>
  <w:style w:type="paragraph" w:styleId="20">
    <w:name w:val="Body Text Indent"/>
    <w:basedOn w:val="1"/>
    <w:link w:val="152"/>
    <w:qFormat/>
    <w:uiPriority w:val="0"/>
    <w:pPr>
      <w:spacing w:line="240" w:lineRule="auto"/>
      <w:ind w:left="460" w:leftChars="460"/>
    </w:pPr>
    <w:rPr>
      <w:rFonts w:ascii="宋体"/>
      <w:szCs w:val="21"/>
    </w:rPr>
  </w:style>
  <w:style w:type="paragraph" w:styleId="21">
    <w:name w:val="List Bullet 2"/>
    <w:basedOn w:val="1"/>
    <w:qFormat/>
    <w:uiPriority w:val="0"/>
    <w:pPr>
      <w:numPr>
        <w:ilvl w:val="0"/>
        <w:numId w:val="1"/>
      </w:numPr>
    </w:pPr>
  </w:style>
  <w:style w:type="paragraph" w:styleId="22">
    <w:name w:val="index 4"/>
    <w:basedOn w:val="1"/>
    <w:next w:val="1"/>
    <w:unhideWhenUsed/>
    <w:qFormat/>
    <w:uiPriority w:val="99"/>
    <w:pPr>
      <w:ind w:left="600" w:leftChars="600"/>
    </w:pPr>
    <w:rPr>
      <w:szCs w:val="24"/>
    </w:rPr>
  </w:style>
  <w:style w:type="paragraph" w:styleId="23">
    <w:name w:val="toc 5"/>
    <w:basedOn w:val="1"/>
    <w:next w:val="1"/>
    <w:qFormat/>
    <w:uiPriority w:val="39"/>
    <w:pPr>
      <w:ind w:left="720"/>
    </w:pPr>
    <w:rPr>
      <w:sz w:val="20"/>
    </w:rPr>
  </w:style>
  <w:style w:type="paragraph" w:styleId="24">
    <w:name w:val="toc 3"/>
    <w:basedOn w:val="1"/>
    <w:next w:val="1"/>
    <w:qFormat/>
    <w:uiPriority w:val="39"/>
    <w:pPr>
      <w:ind w:left="240"/>
    </w:pPr>
    <w:rPr>
      <w:sz w:val="20"/>
    </w:rPr>
  </w:style>
  <w:style w:type="paragraph" w:styleId="25">
    <w:name w:val="Plain Text"/>
    <w:basedOn w:val="1"/>
    <w:link w:val="153"/>
    <w:qFormat/>
    <w:uiPriority w:val="0"/>
    <w:pPr>
      <w:adjustRightInd/>
      <w:spacing w:line="240" w:lineRule="auto"/>
      <w:jc w:val="both"/>
      <w:textAlignment w:val="auto"/>
    </w:pPr>
    <w:rPr>
      <w:rFonts w:ascii="宋体"/>
      <w:kern w:val="2"/>
      <w:sz w:val="21"/>
      <w:szCs w:val="21"/>
    </w:rPr>
  </w:style>
  <w:style w:type="paragraph" w:styleId="26">
    <w:name w:val="toc 8"/>
    <w:basedOn w:val="1"/>
    <w:next w:val="1"/>
    <w:qFormat/>
    <w:uiPriority w:val="0"/>
    <w:pPr>
      <w:ind w:left="1440"/>
    </w:pPr>
    <w:rPr>
      <w:sz w:val="20"/>
    </w:rPr>
  </w:style>
  <w:style w:type="paragraph" w:styleId="27">
    <w:name w:val="Date"/>
    <w:basedOn w:val="1"/>
    <w:next w:val="1"/>
    <w:link w:val="154"/>
    <w:qFormat/>
    <w:uiPriority w:val="0"/>
    <w:pPr>
      <w:adjustRightInd/>
      <w:spacing w:line="240" w:lineRule="auto"/>
      <w:ind w:left="2500" w:leftChars="2500"/>
      <w:jc w:val="both"/>
      <w:textAlignment w:val="auto"/>
    </w:pPr>
    <w:rPr>
      <w:kern w:val="2"/>
      <w:sz w:val="21"/>
    </w:rPr>
  </w:style>
  <w:style w:type="paragraph" w:styleId="28">
    <w:name w:val="Body Text Indent 2"/>
    <w:basedOn w:val="1"/>
    <w:link w:val="155"/>
    <w:qFormat/>
    <w:uiPriority w:val="0"/>
    <w:pPr>
      <w:spacing w:line="240" w:lineRule="auto"/>
      <w:ind w:firstLine="244" w:firstLineChars="244"/>
    </w:pPr>
    <w:rPr>
      <w:rFonts w:ascii="宋体"/>
      <w:szCs w:val="21"/>
    </w:rPr>
  </w:style>
  <w:style w:type="paragraph" w:styleId="29">
    <w:name w:val="Balloon Text"/>
    <w:basedOn w:val="1"/>
    <w:link w:val="156"/>
    <w:qFormat/>
    <w:uiPriority w:val="0"/>
    <w:rPr>
      <w:sz w:val="18"/>
      <w:szCs w:val="18"/>
    </w:rPr>
  </w:style>
  <w:style w:type="paragraph" w:styleId="30">
    <w:name w:val="footer"/>
    <w:basedOn w:val="1"/>
    <w:link w:val="157"/>
    <w:qFormat/>
    <w:uiPriority w:val="99"/>
    <w:pPr>
      <w:tabs>
        <w:tab w:val="center" w:pos="4153"/>
        <w:tab w:val="right" w:pos="8306"/>
      </w:tabs>
      <w:spacing w:line="240" w:lineRule="atLeast"/>
    </w:pPr>
    <w:rPr>
      <w:sz w:val="18"/>
    </w:rPr>
  </w:style>
  <w:style w:type="paragraph" w:styleId="31">
    <w:name w:val="header"/>
    <w:basedOn w:val="1"/>
    <w:link w:val="158"/>
    <w:qFormat/>
    <w:uiPriority w:val="99"/>
    <w:pPr>
      <w:pBdr>
        <w:bottom w:val="single" w:color="auto" w:sz="6" w:space="1"/>
      </w:pBdr>
      <w:tabs>
        <w:tab w:val="center" w:pos="4153"/>
        <w:tab w:val="right" w:pos="8306"/>
      </w:tabs>
      <w:spacing w:line="240" w:lineRule="atLeast"/>
      <w:jc w:val="center"/>
    </w:pPr>
    <w:rPr>
      <w:sz w:val="18"/>
    </w:rPr>
  </w:style>
  <w:style w:type="paragraph" w:styleId="32">
    <w:name w:val="toc 1"/>
    <w:basedOn w:val="1"/>
    <w:next w:val="1"/>
    <w:qFormat/>
    <w:uiPriority w:val="39"/>
    <w:pPr>
      <w:spacing w:before="360"/>
    </w:pPr>
    <w:rPr>
      <w:rFonts w:ascii="Arial" w:hAnsi="Arial" w:cs="Arial"/>
      <w:b/>
      <w:bCs/>
      <w:caps/>
      <w:szCs w:val="24"/>
    </w:rPr>
  </w:style>
  <w:style w:type="paragraph" w:styleId="33">
    <w:name w:val="toc 4"/>
    <w:basedOn w:val="1"/>
    <w:next w:val="1"/>
    <w:qFormat/>
    <w:uiPriority w:val="39"/>
    <w:pPr>
      <w:ind w:left="480"/>
    </w:pPr>
    <w:rPr>
      <w:sz w:val="20"/>
    </w:rPr>
  </w:style>
  <w:style w:type="paragraph" w:styleId="34">
    <w:name w:val="Body Text Indent 3"/>
    <w:basedOn w:val="1"/>
    <w:link w:val="159"/>
    <w:qFormat/>
    <w:uiPriority w:val="0"/>
    <w:pPr>
      <w:ind w:firstLine="570"/>
    </w:pPr>
    <w:rPr>
      <w:sz w:val="28"/>
    </w:rPr>
  </w:style>
  <w:style w:type="paragraph" w:styleId="35">
    <w:name w:val="toc 2"/>
    <w:basedOn w:val="1"/>
    <w:next w:val="1"/>
    <w:qFormat/>
    <w:uiPriority w:val="39"/>
    <w:pPr>
      <w:spacing w:before="240"/>
    </w:pPr>
    <w:rPr>
      <w:b/>
      <w:bCs/>
      <w:sz w:val="20"/>
    </w:rPr>
  </w:style>
  <w:style w:type="paragraph" w:styleId="36">
    <w:name w:val="toc 9"/>
    <w:basedOn w:val="1"/>
    <w:next w:val="1"/>
    <w:qFormat/>
    <w:uiPriority w:val="0"/>
    <w:pPr>
      <w:ind w:left="1680"/>
    </w:pPr>
    <w:rPr>
      <w:sz w:val="20"/>
    </w:rPr>
  </w:style>
  <w:style w:type="paragraph" w:styleId="37">
    <w:name w:val="Body Text 2"/>
    <w:basedOn w:val="1"/>
    <w:link w:val="160"/>
    <w:qFormat/>
    <w:uiPriority w:val="0"/>
    <w:pPr>
      <w:spacing w:after="120" w:line="480" w:lineRule="auto"/>
    </w:pPr>
  </w:style>
  <w:style w:type="paragraph" w:styleId="38">
    <w:name w:val="Normal (Web)"/>
    <w:basedOn w:val="1"/>
    <w:qFormat/>
    <w:uiPriority w:val="0"/>
    <w:pPr>
      <w:widowControl/>
      <w:adjustRightInd/>
      <w:spacing w:before="100" w:beforeAutospacing="1" w:after="100" w:afterAutospacing="1" w:line="240" w:lineRule="auto"/>
      <w:textAlignment w:val="auto"/>
    </w:pPr>
    <w:rPr>
      <w:rFonts w:ascii="宋体"/>
      <w:szCs w:val="24"/>
      <w:lang w:eastAsia="en-US"/>
    </w:rPr>
  </w:style>
  <w:style w:type="paragraph" w:styleId="39">
    <w:name w:val="Title"/>
    <w:basedOn w:val="1"/>
    <w:next w:val="1"/>
    <w:qFormat/>
    <w:uiPriority w:val="0"/>
    <w:pPr>
      <w:widowControl/>
      <w:overflowPunct w:val="0"/>
      <w:autoSpaceDE w:val="0"/>
      <w:autoSpaceDN w:val="0"/>
      <w:jc w:val="center"/>
    </w:pPr>
    <w:rPr>
      <w:b/>
      <w:lang w:val="en-GB"/>
    </w:rPr>
  </w:style>
  <w:style w:type="paragraph" w:styleId="40">
    <w:name w:val="annotation subject"/>
    <w:basedOn w:val="15"/>
    <w:next w:val="15"/>
    <w:link w:val="146"/>
    <w:qFormat/>
    <w:uiPriority w:val="0"/>
    <w:rPr>
      <w:b/>
      <w:bCs/>
      <w:kern w:val="2"/>
    </w:rPr>
  </w:style>
  <w:style w:type="paragraph" w:styleId="41">
    <w:name w:val="Body Text First Indent 2"/>
    <w:basedOn w:val="20"/>
    <w:next w:val="1"/>
    <w:unhideWhenUsed/>
    <w:qFormat/>
    <w:uiPriority w:val="99"/>
    <w:pPr>
      <w:spacing w:after="120" w:line="240" w:lineRule="auto"/>
      <w:ind w:left="420" w:leftChars="200" w:firstLine="420"/>
    </w:pPr>
    <w:rPr>
      <w:rFonts w:cs="宋体"/>
      <w:sz w:val="21"/>
      <w:szCs w:val="21"/>
    </w:rPr>
  </w:style>
  <w:style w:type="table" w:styleId="43">
    <w:name w:val="Table Grid"/>
    <w:basedOn w:val="42"/>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5">
    <w:name w:val="Strong"/>
    <w:qFormat/>
    <w:uiPriority w:val="0"/>
    <w:rPr>
      <w:b/>
      <w:bCs/>
    </w:rPr>
  </w:style>
  <w:style w:type="character" w:styleId="46">
    <w:name w:val="page number"/>
    <w:basedOn w:val="44"/>
    <w:qFormat/>
    <w:uiPriority w:val="0"/>
  </w:style>
  <w:style w:type="character" w:styleId="47">
    <w:name w:val="Hyperlink"/>
    <w:basedOn w:val="44"/>
    <w:qFormat/>
    <w:uiPriority w:val="99"/>
    <w:rPr>
      <w:color w:val="0000FF"/>
      <w:u w:val="single"/>
    </w:rPr>
  </w:style>
  <w:style w:type="character" w:styleId="48">
    <w:name w:val="annotation reference"/>
    <w:qFormat/>
    <w:uiPriority w:val="0"/>
    <w:rPr>
      <w:sz w:val="21"/>
      <w:szCs w:val="21"/>
    </w:rPr>
  </w:style>
  <w:style w:type="paragraph" w:customStyle="1" w:styleId="49">
    <w:name w:val="NormalIndent"/>
    <w:basedOn w:val="1"/>
    <w:next w:val="1"/>
    <w:qFormat/>
    <w:uiPriority w:val="0"/>
    <w:pPr>
      <w:ind w:firstLine="420"/>
      <w:jc w:val="both"/>
    </w:pPr>
    <w:rPr>
      <w:kern w:val="2"/>
      <w:sz w:val="21"/>
    </w:rPr>
  </w:style>
  <w:style w:type="paragraph" w:customStyle="1" w:styleId="50">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2">
    <w:name w:val="正文1"/>
    <w:basedOn w:val="1"/>
    <w:next w:val="1"/>
    <w:qFormat/>
    <w:uiPriority w:val="0"/>
    <w:pPr>
      <w:numPr>
        <w:ilvl w:val="0"/>
        <w:numId w:val="2"/>
      </w:numPr>
      <w:adjustRightInd/>
      <w:spacing w:line="360" w:lineRule="auto"/>
      <w:textAlignment w:val="auto"/>
    </w:pPr>
    <w:rPr>
      <w:rFonts w:ascii="宋体" w:hAnsi="Calibri"/>
      <w:color w:val="000000"/>
      <w:kern w:val="2"/>
      <w:szCs w:val="28"/>
    </w:rPr>
  </w:style>
  <w:style w:type="paragraph" w:customStyle="1" w:styleId="53">
    <w:name w:val="无间隔1"/>
    <w:link w:val="167"/>
    <w:qFormat/>
    <w:uiPriority w:val="1"/>
    <w:rPr>
      <w:rFonts w:ascii="Times New Roman" w:hAnsi="Times New Roman" w:eastAsia="等线" w:cs="Times New Roman"/>
      <w:sz w:val="22"/>
      <w:szCs w:val="22"/>
      <w:lang w:val="en-US" w:eastAsia="zh-CN" w:bidi="ar-SA"/>
    </w:rPr>
  </w:style>
  <w:style w:type="paragraph" w:customStyle="1" w:styleId="54">
    <w:name w:val="样式 首行缩进:  0.85 厘米"/>
    <w:basedOn w:val="1"/>
    <w:qFormat/>
    <w:uiPriority w:val="0"/>
    <w:pPr>
      <w:adjustRightInd/>
      <w:spacing w:line="240" w:lineRule="auto"/>
      <w:ind w:firstLine="851"/>
      <w:jc w:val="both"/>
      <w:textAlignment w:val="auto"/>
    </w:pPr>
    <w:rPr>
      <w:rFonts w:cs="宋体"/>
      <w:kern w:val="2"/>
      <w:szCs w:val="24"/>
    </w:rPr>
  </w:style>
  <w:style w:type="paragraph" w:customStyle="1" w:styleId="55">
    <w:name w:val="xl23"/>
    <w:basedOn w:val="1"/>
    <w:qFormat/>
    <w:uiPriority w:val="0"/>
    <w:pPr>
      <w:widowControl/>
      <w:adjustRightInd/>
      <w:spacing w:before="100" w:beforeAutospacing="1" w:after="100" w:afterAutospacing="1" w:line="360" w:lineRule="auto"/>
      <w:jc w:val="both"/>
      <w:textAlignment w:val="top"/>
    </w:pPr>
    <w:rPr>
      <w:szCs w:val="24"/>
    </w:rPr>
  </w:style>
  <w:style w:type="paragraph" w:customStyle="1" w:styleId="56">
    <w:name w:val="彩色列表1"/>
    <w:basedOn w:val="1"/>
    <w:qFormat/>
    <w:uiPriority w:val="0"/>
    <w:pPr>
      <w:adjustRightInd/>
      <w:spacing w:line="240" w:lineRule="auto"/>
      <w:ind w:firstLine="200" w:firstLineChars="200"/>
      <w:jc w:val="both"/>
      <w:textAlignment w:val="auto"/>
    </w:pPr>
    <w:rPr>
      <w:kern w:val="2"/>
      <w:szCs w:val="24"/>
    </w:rPr>
  </w:style>
  <w:style w:type="paragraph" w:customStyle="1" w:styleId="57">
    <w:name w:val="样式 样式 标题 1 + 黑体 三号 + 段前: 1 行 段后: 1 行"/>
    <w:basedOn w:val="1"/>
    <w:qFormat/>
    <w:uiPriority w:val="0"/>
    <w:pPr>
      <w:keepNext/>
      <w:keepLines/>
      <w:tabs>
        <w:tab w:val="left" w:pos="425"/>
      </w:tabs>
      <w:adjustRightInd/>
      <w:spacing w:beforeLines="100" w:afterLines="100" w:line="360" w:lineRule="auto"/>
      <w:ind w:left="425" w:hanging="425"/>
      <w:jc w:val="both"/>
      <w:textAlignment w:val="auto"/>
      <w:outlineLvl w:val="0"/>
    </w:pPr>
    <w:rPr>
      <w:rFonts w:ascii="Arial" w:hAnsi="Arial" w:eastAsia="黑体" w:cs="宋体"/>
      <w:b/>
      <w:bCs/>
      <w:spacing w:val="10"/>
      <w:kern w:val="44"/>
      <w:sz w:val="32"/>
      <w:szCs w:val="32"/>
    </w:rPr>
  </w:style>
  <w:style w:type="paragraph" w:customStyle="1" w:styleId="58">
    <w:name w:val="正文2"/>
    <w:basedOn w:val="1"/>
    <w:qFormat/>
    <w:uiPriority w:val="0"/>
    <w:pPr>
      <w:tabs>
        <w:tab w:val="left" w:pos="3360"/>
      </w:tabs>
      <w:adjustRightInd/>
      <w:spacing w:before="60" w:after="60" w:line="360" w:lineRule="auto"/>
      <w:ind w:left="3360" w:hanging="420"/>
      <w:jc w:val="both"/>
      <w:textAlignment w:val="auto"/>
      <w:outlineLvl w:val="7"/>
    </w:pPr>
    <w:rPr>
      <w:kern w:val="2"/>
      <w:szCs w:val="24"/>
    </w:rPr>
  </w:style>
  <w:style w:type="paragraph" w:customStyle="1" w:styleId="59">
    <w:name w:val="默认段落字体 Para Char Char Char Char"/>
    <w:basedOn w:val="1"/>
    <w:qFormat/>
    <w:uiPriority w:val="0"/>
    <w:pPr>
      <w:adjustRightInd/>
      <w:spacing w:line="240" w:lineRule="auto"/>
      <w:jc w:val="both"/>
      <w:textAlignment w:val="auto"/>
    </w:pPr>
    <w:rPr>
      <w:rFonts w:ascii="Arial" w:hAnsi="Arial" w:cs="Arial"/>
      <w:kern w:val="2"/>
      <w:sz w:val="21"/>
      <w:szCs w:val="21"/>
    </w:rPr>
  </w:style>
  <w:style w:type="paragraph" w:customStyle="1" w:styleId="60">
    <w:name w:val="样式1"/>
    <w:basedOn w:val="1"/>
    <w:qFormat/>
    <w:uiPriority w:val="0"/>
    <w:pPr>
      <w:tabs>
        <w:tab w:val="left" w:pos="0"/>
      </w:tabs>
      <w:spacing w:line="240" w:lineRule="auto"/>
      <w:jc w:val="both"/>
    </w:pPr>
    <w:rPr>
      <w:rFonts w:ascii="宋体"/>
      <w:sz w:val="21"/>
      <w:szCs w:val="21"/>
    </w:rPr>
  </w:style>
  <w:style w:type="paragraph" w:customStyle="1" w:styleId="61">
    <w:name w:val="Char2"/>
    <w:basedOn w:val="1"/>
    <w:qFormat/>
    <w:uiPriority w:val="0"/>
    <w:pPr>
      <w:widowControl/>
      <w:adjustRightInd/>
      <w:spacing w:after="160" w:line="240" w:lineRule="exact"/>
      <w:textAlignment w:val="auto"/>
    </w:pPr>
    <w:rPr>
      <w:kern w:val="2"/>
      <w:sz w:val="21"/>
      <w:szCs w:val="24"/>
    </w:rPr>
  </w:style>
  <w:style w:type="paragraph" w:customStyle="1" w:styleId="62">
    <w:name w:val="样式 标题 5 + 段前: 5 磅 段后: 5 磅 行距: 单倍行距"/>
    <w:basedOn w:val="6"/>
    <w:qFormat/>
    <w:uiPriority w:val="0"/>
    <w:pPr>
      <w:tabs>
        <w:tab w:val="left" w:pos="2100"/>
        <w:tab w:val="clear" w:pos="0"/>
      </w:tabs>
      <w:spacing w:before="100" w:after="100" w:line="240" w:lineRule="auto"/>
      <w:ind w:left="2100" w:hanging="420"/>
    </w:pPr>
    <w:rPr>
      <w:szCs w:val="20"/>
    </w:rPr>
  </w:style>
  <w:style w:type="paragraph" w:customStyle="1" w:styleId="63">
    <w:name w:val="样式 样式 样式 样式 标题 2 + 宋体 五号 非加粗 黑色 + 段前: 6 磅 段后: 0 磅 行距: 单倍行距 + 段前:..."/>
    <w:basedOn w:val="64"/>
    <w:qFormat/>
    <w:uiPriority w:val="0"/>
    <w:pPr>
      <w:tabs>
        <w:tab w:val="left" w:pos="1140"/>
      </w:tabs>
    </w:pPr>
    <w:rPr>
      <w:b/>
      <w:bCs/>
    </w:rPr>
  </w:style>
  <w:style w:type="paragraph" w:customStyle="1" w:styleId="64">
    <w:name w:val="样式 样式 样式 标题 2 + 宋体 五号 非加粗 黑色 + 段前: 6 磅 段后: 0 磅 行距: 单倍行距 + 段前: 12..."/>
    <w:basedOn w:val="65"/>
    <w:qFormat/>
    <w:uiPriority w:val="0"/>
    <w:pPr>
      <w:tabs>
        <w:tab w:val="left" w:pos="1140"/>
      </w:tabs>
      <w:spacing w:before="240"/>
    </w:pPr>
  </w:style>
  <w:style w:type="paragraph" w:customStyle="1" w:styleId="65">
    <w:name w:val="样式 样式 标题 2 + 宋体 五号 非加粗 黑色 + 段前: 6 磅 段后: 0 磅 行距: 单倍行距"/>
    <w:basedOn w:val="66"/>
    <w:qFormat/>
    <w:uiPriority w:val="0"/>
    <w:pPr>
      <w:tabs>
        <w:tab w:val="left" w:pos="1140"/>
      </w:tabs>
      <w:spacing w:before="120" w:after="0" w:line="240" w:lineRule="auto"/>
    </w:pPr>
    <w:rPr>
      <w:szCs w:val="20"/>
    </w:rPr>
  </w:style>
  <w:style w:type="paragraph" w:customStyle="1" w:styleId="66">
    <w:name w:val="样式 标题 2 + 宋体 五号 非加粗 黑色"/>
    <w:basedOn w:val="3"/>
    <w:qFormat/>
    <w:uiPriority w:val="0"/>
    <w:pPr>
      <w:tabs>
        <w:tab w:val="left" w:pos="1140"/>
        <w:tab w:val="clear" w:pos="0"/>
      </w:tabs>
      <w:ind w:left="1140" w:hanging="720"/>
    </w:pPr>
    <w:rPr>
      <w:rFonts w:ascii="宋体" w:eastAsia="宋体"/>
      <w:b w:val="0"/>
      <w:bCs w:val="0"/>
      <w:color w:val="000000"/>
      <w:sz w:val="21"/>
    </w:rPr>
  </w:style>
  <w:style w:type="paragraph" w:customStyle="1" w:styleId="67">
    <w:name w:val="标书正文"/>
    <w:basedOn w:val="1"/>
    <w:next w:val="1"/>
    <w:qFormat/>
    <w:uiPriority w:val="0"/>
    <w:pPr>
      <w:widowControl/>
      <w:adjustRightInd/>
      <w:spacing w:beforeLines="50" w:line="400" w:lineRule="exact"/>
      <w:ind w:firstLine="200" w:firstLineChars="200"/>
      <w:jc w:val="both"/>
      <w:textAlignment w:val="auto"/>
    </w:pPr>
    <w:rPr>
      <w:rFonts w:ascii="黑体"/>
    </w:rPr>
  </w:style>
  <w:style w:type="paragraph" w:customStyle="1" w:styleId="68">
    <w:name w:val="Char Char Char Char"/>
    <w:basedOn w:val="1"/>
    <w:qFormat/>
    <w:uiPriority w:val="0"/>
    <w:pPr>
      <w:adjustRightInd/>
      <w:spacing w:line="240" w:lineRule="auto"/>
      <w:jc w:val="both"/>
      <w:textAlignment w:val="auto"/>
    </w:pPr>
    <w:rPr>
      <w:rFonts w:ascii="Tahoma" w:hAnsi="Tahoma"/>
      <w:kern w:val="2"/>
    </w:rPr>
  </w:style>
  <w:style w:type="paragraph" w:customStyle="1" w:styleId="69">
    <w:name w:val="xl27"/>
    <w:basedOn w:val="1"/>
    <w:qFormat/>
    <w:uiPriority w:val="0"/>
    <w:pPr>
      <w:widowControl/>
      <w:adjustRightInd/>
      <w:spacing w:before="100" w:beforeAutospacing="1" w:after="100" w:afterAutospacing="1" w:line="240" w:lineRule="auto"/>
      <w:jc w:val="center"/>
      <w:textAlignment w:val="auto"/>
    </w:pPr>
    <w:rPr>
      <w:rFonts w:ascii="Arial Unicode MS" w:eastAsia="Arial Unicode MS" w:cs="Arial Unicode MS"/>
      <w:szCs w:val="24"/>
    </w:rPr>
  </w:style>
  <w:style w:type="paragraph" w:customStyle="1" w:styleId="70">
    <w:name w:val="blockquote"/>
    <w:next w:val="34"/>
    <w:qFormat/>
    <w:uiPriority w:val="0"/>
    <w:pPr>
      <w:autoSpaceDE w:val="0"/>
      <w:autoSpaceDN w:val="0"/>
      <w:spacing w:before="100" w:after="100"/>
      <w:ind w:left="360" w:right="360"/>
    </w:pPr>
    <w:rPr>
      <w:rFonts w:ascii="Times New Roman" w:hAnsi="Times New Roman" w:eastAsia="宋体" w:cs="Times New Roman"/>
      <w:sz w:val="24"/>
      <w:szCs w:val="24"/>
      <w:lang w:val="en-US" w:eastAsia="zh-CN" w:bidi="ar-SA"/>
    </w:rPr>
  </w:style>
  <w:style w:type="paragraph" w:customStyle="1" w:styleId="71">
    <w:name w:val="L33"/>
    <w:basedOn w:val="1"/>
    <w:qFormat/>
    <w:uiPriority w:val="0"/>
    <w:pPr>
      <w:numPr>
        <w:ilvl w:val="0"/>
        <w:numId w:val="3"/>
      </w:numPr>
      <w:tabs>
        <w:tab w:val="left" w:pos="1680"/>
        <w:tab w:val="clear" w:pos="0"/>
      </w:tabs>
      <w:adjustRightInd/>
      <w:spacing w:line="240" w:lineRule="auto"/>
      <w:ind w:left="0" w:firstLine="228" w:firstLineChars="228"/>
      <w:jc w:val="both"/>
      <w:textAlignment w:val="auto"/>
    </w:pPr>
    <w:rPr>
      <w:rFonts w:ascii="Calibri" w:hAnsi="Calibri"/>
      <w:bCs/>
      <w:kern w:val="2"/>
      <w:sz w:val="21"/>
    </w:rPr>
  </w:style>
  <w:style w:type="paragraph" w:customStyle="1" w:styleId="72">
    <w:name w:val="样式 标题 4 + 段前: 5 磅 段后: 5 磅 行距: 单倍行距"/>
    <w:basedOn w:val="5"/>
    <w:qFormat/>
    <w:uiPriority w:val="0"/>
    <w:pPr>
      <w:tabs>
        <w:tab w:val="left" w:pos="1680"/>
        <w:tab w:val="clear" w:pos="0"/>
      </w:tabs>
      <w:spacing w:before="100" w:after="100" w:line="240" w:lineRule="auto"/>
      <w:ind w:left="1680" w:hanging="420"/>
    </w:pPr>
    <w:rPr>
      <w:szCs w:val="20"/>
    </w:rPr>
  </w:style>
  <w:style w:type="paragraph" w:customStyle="1" w:styleId="73">
    <w:name w:val="样式2"/>
    <w:basedOn w:val="1"/>
    <w:qFormat/>
    <w:uiPriority w:val="0"/>
    <w:pPr>
      <w:tabs>
        <w:tab w:val="left" w:pos="567"/>
      </w:tabs>
      <w:spacing w:line="240" w:lineRule="auto"/>
      <w:ind w:left="567" w:hanging="567"/>
      <w:jc w:val="both"/>
    </w:pPr>
    <w:rPr>
      <w:rFonts w:ascii="宋体"/>
      <w:sz w:val="21"/>
      <w:szCs w:val="21"/>
    </w:rPr>
  </w:style>
  <w:style w:type="paragraph" w:customStyle="1" w:styleId="74">
    <w:name w:val="Char Char Char Char Char Char Char Char Char Char Char Char Char Char Char Char Char Char Char Char Char Char Char Char Char"/>
    <w:basedOn w:val="1"/>
    <w:qFormat/>
    <w:uiPriority w:val="0"/>
    <w:pPr>
      <w:adjustRightInd/>
      <w:spacing w:line="240" w:lineRule="auto"/>
      <w:jc w:val="both"/>
      <w:textAlignment w:val="auto"/>
    </w:pPr>
    <w:rPr>
      <w:rFonts w:ascii="Tahoma" w:hAnsi="Tahoma"/>
      <w:kern w:val="2"/>
    </w:rPr>
  </w:style>
  <w:style w:type="paragraph" w:customStyle="1" w:styleId="75">
    <w:name w:val="Body Text Indent 21"/>
    <w:basedOn w:val="1"/>
    <w:qFormat/>
    <w:uiPriority w:val="0"/>
    <w:pPr>
      <w:spacing w:line="240" w:lineRule="auto"/>
      <w:ind w:left="720" w:hanging="720"/>
      <w:jc w:val="both"/>
    </w:pPr>
    <w:rPr>
      <w:b/>
      <w:kern w:val="2"/>
      <w:sz w:val="28"/>
    </w:rPr>
  </w:style>
  <w:style w:type="paragraph" w:customStyle="1" w:styleId="76">
    <w:name w:val="样式6"/>
    <w:basedOn w:val="3"/>
    <w:qFormat/>
    <w:uiPriority w:val="0"/>
    <w:pPr>
      <w:adjustRightInd/>
      <w:spacing w:before="0" w:after="0" w:line="560" w:lineRule="exact"/>
      <w:jc w:val="both"/>
      <w:textAlignment w:val="auto"/>
    </w:pPr>
    <w:rPr>
      <w:rFonts w:eastAsia="宋体"/>
      <w:b w:val="0"/>
      <w:kern w:val="2"/>
      <w:sz w:val="28"/>
    </w:rPr>
  </w:style>
  <w:style w:type="paragraph" w:customStyle="1" w:styleId="77">
    <w:name w:val="PMletterTextBullet"/>
    <w:basedOn w:val="78"/>
    <w:qFormat/>
    <w:uiPriority w:val="0"/>
    <w:pPr>
      <w:tabs>
        <w:tab w:val="left" w:pos="840"/>
        <w:tab w:val="left" w:pos="1800"/>
      </w:tabs>
      <w:ind w:left="1800" w:hanging="360"/>
    </w:pPr>
  </w:style>
  <w:style w:type="paragraph" w:customStyle="1" w:styleId="78">
    <w:name w:val="PMletterText"/>
    <w:basedOn w:val="79"/>
    <w:qFormat/>
    <w:uiPriority w:val="0"/>
    <w:pPr>
      <w:spacing w:before="240"/>
      <w:ind w:left="720"/>
    </w:pPr>
  </w:style>
  <w:style w:type="paragraph" w:customStyle="1" w:styleId="79">
    <w:name w:val="PMstyle"/>
    <w:qFormat/>
    <w:uiPriority w:val="0"/>
    <w:rPr>
      <w:rFonts w:ascii="Tahoma" w:hAnsi="Tahoma" w:eastAsia="宋体" w:cs="Times New Roman"/>
      <w:sz w:val="22"/>
      <w:lang w:val="en-US" w:eastAsia="zh-CN" w:bidi="ar-SA"/>
    </w:rPr>
  </w:style>
  <w:style w:type="paragraph" w:customStyle="1" w:styleId="80">
    <w:name w:val="列出段落1"/>
    <w:basedOn w:val="1"/>
    <w:qFormat/>
    <w:uiPriority w:val="34"/>
    <w:pPr>
      <w:adjustRightInd/>
      <w:spacing w:line="240" w:lineRule="auto"/>
      <w:ind w:firstLine="200" w:firstLineChars="200"/>
      <w:jc w:val="both"/>
      <w:textAlignment w:val="auto"/>
    </w:pPr>
    <w:rPr>
      <w:kern w:val="2"/>
      <w:sz w:val="21"/>
      <w:szCs w:val="24"/>
    </w:rPr>
  </w:style>
  <w:style w:type="paragraph" w:customStyle="1" w:styleId="81">
    <w:name w:val="TOC 标题1"/>
    <w:basedOn w:val="2"/>
    <w:next w:val="1"/>
    <w:qFormat/>
    <w:uiPriority w:val="39"/>
    <w:pPr>
      <w:widowControl/>
      <w:tabs>
        <w:tab w:val="clear" w:pos="0"/>
      </w:tabs>
      <w:adjustRightInd/>
      <w:spacing w:before="480" w:after="0" w:line="276" w:lineRule="auto"/>
      <w:textAlignment w:val="auto"/>
      <w:outlineLvl w:val="9"/>
    </w:pPr>
    <w:rPr>
      <w:rFonts w:ascii="Cambria" w:hAnsi="Cambria"/>
      <w:color w:val="365F91"/>
      <w:kern w:val="0"/>
      <w:sz w:val="28"/>
      <w:szCs w:val="28"/>
    </w:rPr>
  </w:style>
  <w:style w:type="paragraph" w:customStyle="1" w:styleId="82">
    <w:name w:val="Char Char Char Char Char Char Char Char Char Char Char Char Char"/>
    <w:basedOn w:val="1"/>
    <w:qFormat/>
    <w:uiPriority w:val="0"/>
    <w:pPr>
      <w:widowControl/>
      <w:adjustRightInd/>
      <w:spacing w:after="160" w:line="240" w:lineRule="exact"/>
      <w:textAlignment w:val="auto"/>
    </w:pPr>
    <w:rPr>
      <w:rFonts w:ascii="Verdana" w:hAnsi="Verdana"/>
      <w:sz w:val="20"/>
      <w:lang w:eastAsia="en-US"/>
    </w:rPr>
  </w:style>
  <w:style w:type="paragraph" w:customStyle="1" w:styleId="83">
    <w:name w:val="样式 标题 5 + 段前: 1 行 段后: 1 行"/>
    <w:basedOn w:val="6"/>
    <w:qFormat/>
    <w:uiPriority w:val="0"/>
    <w:pPr>
      <w:tabs>
        <w:tab w:val="left" w:pos="992"/>
        <w:tab w:val="clear" w:pos="0"/>
      </w:tabs>
      <w:adjustRightInd/>
      <w:spacing w:beforeLines="100" w:afterLines="100" w:line="360" w:lineRule="auto"/>
      <w:ind w:left="992" w:hanging="992"/>
      <w:jc w:val="both"/>
      <w:textAlignment w:val="auto"/>
    </w:pPr>
    <w:rPr>
      <w:rFonts w:ascii="Arial" w:hAnsi="Arial" w:eastAsia="黑体" w:cs="宋体"/>
      <w:b w:val="0"/>
      <w:bCs w:val="0"/>
      <w:spacing w:val="10"/>
      <w:kern w:val="2"/>
      <w:sz w:val="24"/>
      <w:szCs w:val="24"/>
    </w:rPr>
  </w:style>
  <w:style w:type="paragraph" w:customStyle="1" w:styleId="84">
    <w:name w:val="样式 标题 3h3H3sect1.2.3 + 五号 段前: 6 磅 段后: 6 磅 行距: 单倍行距"/>
    <w:basedOn w:val="4"/>
    <w:qFormat/>
    <w:uiPriority w:val="0"/>
    <w:pPr>
      <w:tabs>
        <w:tab w:val="left" w:pos="1260"/>
        <w:tab w:val="clear" w:pos="0"/>
      </w:tabs>
      <w:spacing w:before="120" w:after="120" w:line="240" w:lineRule="auto"/>
      <w:ind w:left="1260" w:hanging="420"/>
    </w:pPr>
    <w:rPr>
      <w:sz w:val="21"/>
      <w:szCs w:val="20"/>
    </w:rPr>
  </w:style>
  <w:style w:type="paragraph" w:customStyle="1" w:styleId="85">
    <w:name w:val="Body Text 21"/>
    <w:basedOn w:val="1"/>
    <w:qFormat/>
    <w:uiPriority w:val="0"/>
    <w:pPr>
      <w:spacing w:before="240" w:line="400" w:lineRule="exact"/>
      <w:ind w:firstLine="357"/>
      <w:jc w:val="both"/>
    </w:pPr>
    <w:rPr>
      <w:kern w:val="2"/>
      <w:sz w:val="28"/>
    </w:rPr>
  </w:style>
  <w:style w:type="paragraph" w:customStyle="1" w:styleId="86">
    <w:name w:val="样式 宋体 五号 行距: 单倍行距"/>
    <w:basedOn w:val="1"/>
    <w:qFormat/>
    <w:uiPriority w:val="0"/>
    <w:pPr>
      <w:spacing w:line="240" w:lineRule="auto"/>
    </w:pPr>
    <w:rPr>
      <w:rFonts w:ascii="宋体"/>
      <w:sz w:val="21"/>
    </w:rPr>
  </w:style>
  <w:style w:type="paragraph" w:customStyle="1" w:styleId="87">
    <w:name w:val="样式4"/>
    <w:basedOn w:val="35"/>
    <w:qFormat/>
    <w:uiPriority w:val="0"/>
    <w:pPr>
      <w:adjustRightInd/>
      <w:spacing w:line="240" w:lineRule="auto"/>
      <w:ind w:left="420"/>
      <w:jc w:val="both"/>
      <w:textAlignment w:val="auto"/>
    </w:pPr>
    <w:rPr>
      <w:kern w:val="2"/>
      <w:sz w:val="28"/>
    </w:rPr>
  </w:style>
  <w:style w:type="paragraph" w:customStyle="1" w:styleId="88">
    <w:name w:val="正文缩进 1 五号字"/>
    <w:basedOn w:val="1"/>
    <w:qFormat/>
    <w:uiPriority w:val="0"/>
    <w:pPr>
      <w:adjustRightInd/>
      <w:spacing w:line="360" w:lineRule="auto"/>
      <w:ind w:firstLine="200" w:firstLineChars="200"/>
      <w:textAlignment w:val="auto"/>
    </w:pPr>
    <w:rPr>
      <w:rFonts w:ascii="宋体"/>
      <w:kern w:val="2"/>
      <w:sz w:val="21"/>
      <w:szCs w:val="21"/>
    </w:rPr>
  </w:style>
  <w:style w:type="paragraph" w:customStyle="1" w:styleId="89">
    <w:name w:val="Indent Normal"/>
    <w:basedOn w:val="1"/>
    <w:qFormat/>
    <w:uiPriority w:val="0"/>
    <w:pPr>
      <w:adjustRightInd/>
      <w:spacing w:line="240" w:lineRule="auto"/>
      <w:ind w:firstLine="420"/>
      <w:jc w:val="both"/>
      <w:textAlignment w:val="auto"/>
    </w:pPr>
    <w:rPr>
      <w:kern w:val="2"/>
      <w:sz w:val="21"/>
      <w:szCs w:val="24"/>
    </w:rPr>
  </w:style>
  <w:style w:type="paragraph" w:customStyle="1" w:styleId="90">
    <w:name w:val="FA正文"/>
    <w:basedOn w:val="1"/>
    <w:qFormat/>
    <w:uiPriority w:val="0"/>
    <w:pPr>
      <w:tabs>
        <w:tab w:val="left" w:pos="3375"/>
      </w:tabs>
      <w:adjustRightInd/>
      <w:spacing w:after="60" w:line="360" w:lineRule="auto"/>
      <w:ind w:firstLine="200" w:firstLineChars="200"/>
      <w:jc w:val="both"/>
      <w:textAlignment w:val="auto"/>
    </w:pPr>
    <w:rPr>
      <w:rFonts w:ascii="宋体"/>
      <w:spacing w:val="10"/>
      <w:kern w:val="2"/>
      <w:sz w:val="21"/>
      <w:szCs w:val="21"/>
    </w:rPr>
  </w:style>
  <w:style w:type="paragraph" w:customStyle="1" w:styleId="91">
    <w:name w:val="样式 标题 4 + (西文) 方正黑体_GBK (中文) 方正黑体_GBK (符号) 宋体 三号 非加粗 段前: 0 ...1"/>
    <w:basedOn w:val="3"/>
    <w:next w:val="1"/>
    <w:qFormat/>
    <w:uiPriority w:val="0"/>
    <w:pPr>
      <w:tabs>
        <w:tab w:val="clear" w:pos="0"/>
      </w:tabs>
      <w:adjustRightInd/>
      <w:spacing w:beforeLines="50" w:after="0" w:line="360" w:lineRule="auto"/>
      <w:ind w:left="432" w:leftChars="355" w:hanging="77" w:hangingChars="77"/>
      <w:textAlignment w:val="auto"/>
    </w:pPr>
    <w:rPr>
      <w:rFonts w:ascii="宋体" w:eastAsia="宋体" w:cs="宋体"/>
      <w:kern w:val="2"/>
    </w:rPr>
  </w:style>
  <w:style w:type="paragraph" w:customStyle="1" w:styleId="92">
    <w:name w:val="Char Char Char Char Char Char1 Char Char Char Char Char Char Char Char Char Char Char"/>
    <w:basedOn w:val="1"/>
    <w:qFormat/>
    <w:uiPriority w:val="0"/>
    <w:pPr>
      <w:widowControl/>
      <w:adjustRightInd/>
      <w:spacing w:after="160" w:line="240" w:lineRule="exact"/>
      <w:textAlignment w:val="auto"/>
    </w:pPr>
    <w:rPr>
      <w:rFonts w:ascii="Verdana" w:hAnsi="Verdana" w:eastAsia="仿宋_GB2312"/>
      <w:kern w:val="2"/>
      <w:szCs w:val="24"/>
      <w:lang w:eastAsia="en-US"/>
    </w:rPr>
  </w:style>
  <w:style w:type="paragraph" w:customStyle="1" w:styleId="93">
    <w:name w:val="样式 样式 标题 4 + 段前: 5 磅 段后: 5 磅 行距: 单倍行距 + 五号"/>
    <w:basedOn w:val="72"/>
    <w:qFormat/>
    <w:uiPriority w:val="0"/>
    <w:rPr>
      <w:sz w:val="21"/>
    </w:rPr>
  </w:style>
  <w:style w:type="paragraph" w:customStyle="1" w:styleId="94">
    <w:name w:val="列出段落11"/>
    <w:basedOn w:val="1"/>
    <w:qFormat/>
    <w:uiPriority w:val="0"/>
    <w:pPr>
      <w:adjustRightInd/>
      <w:spacing w:line="360" w:lineRule="auto"/>
      <w:ind w:firstLine="200" w:firstLineChars="200"/>
      <w:jc w:val="both"/>
      <w:textAlignment w:val="auto"/>
    </w:pPr>
    <w:rPr>
      <w:kern w:val="2"/>
      <w:szCs w:val="21"/>
    </w:rPr>
  </w:style>
  <w:style w:type="paragraph" w:customStyle="1" w:styleId="95">
    <w:name w:val="样式 宋体 小四 行距: 1.5 倍行距"/>
    <w:basedOn w:val="1"/>
    <w:qFormat/>
    <w:uiPriority w:val="0"/>
    <w:pPr>
      <w:adjustRightInd/>
      <w:spacing w:line="240" w:lineRule="auto"/>
      <w:ind w:firstLine="200" w:firstLineChars="200"/>
      <w:jc w:val="both"/>
      <w:textAlignment w:val="auto"/>
    </w:pPr>
    <w:rPr>
      <w:rFonts w:ascii="宋体" w:cs="宋体"/>
      <w:kern w:val="2"/>
    </w:rPr>
  </w:style>
  <w:style w:type="paragraph" w:customStyle="1" w:styleId="96">
    <w:name w:val="修订1"/>
    <w:qFormat/>
    <w:uiPriority w:val="0"/>
    <w:rPr>
      <w:rFonts w:ascii="Times New Roman" w:hAnsi="Times New Roman" w:eastAsia="宋体" w:cs="Times New Roman"/>
      <w:sz w:val="24"/>
      <w:lang w:val="en-US" w:eastAsia="zh-CN" w:bidi="ar-SA"/>
    </w:rPr>
  </w:style>
  <w:style w:type="paragraph" w:customStyle="1" w:styleId="97">
    <w:name w:val="模板正文"/>
    <w:basedOn w:val="1"/>
    <w:qFormat/>
    <w:uiPriority w:val="0"/>
    <w:pPr>
      <w:adjustRightInd/>
      <w:spacing w:beforeLines="50" w:line="400" w:lineRule="exact"/>
      <w:ind w:firstLine="200" w:firstLineChars="200"/>
      <w:jc w:val="both"/>
      <w:textAlignment w:val="auto"/>
    </w:pPr>
    <w:rPr>
      <w:rFonts w:ascii="宋体" w:hAnsi="宋体"/>
      <w:kern w:val="2"/>
      <w:szCs w:val="24"/>
    </w:rPr>
  </w:style>
  <w:style w:type="paragraph" w:customStyle="1" w:styleId="98">
    <w:name w:val="样式 宋体 小四"/>
    <w:basedOn w:val="1"/>
    <w:qFormat/>
    <w:uiPriority w:val="0"/>
    <w:pPr>
      <w:adjustRightInd/>
      <w:spacing w:line="240" w:lineRule="auto"/>
      <w:ind w:firstLine="200" w:firstLineChars="200"/>
      <w:jc w:val="both"/>
      <w:textAlignment w:val="auto"/>
    </w:pPr>
    <w:rPr>
      <w:rFonts w:ascii="宋体" w:cs="宋体"/>
      <w:kern w:val="2"/>
    </w:rPr>
  </w:style>
  <w:style w:type="paragraph" w:customStyle="1" w:styleId="99">
    <w:name w:val="样式 左侧:  2 字符"/>
    <w:basedOn w:val="1"/>
    <w:qFormat/>
    <w:uiPriority w:val="0"/>
    <w:pPr>
      <w:adjustRightInd/>
      <w:spacing w:line="520" w:lineRule="exact"/>
      <w:ind w:firstLine="200" w:firstLineChars="200"/>
      <w:jc w:val="both"/>
      <w:textAlignment w:val="auto"/>
    </w:pPr>
    <w:rPr>
      <w:rFonts w:cs="宋体"/>
      <w:kern w:val="2"/>
      <w:sz w:val="28"/>
    </w:rPr>
  </w:style>
  <w:style w:type="paragraph" w:customStyle="1" w:styleId="100">
    <w:name w:val="样式 样式 标题 5 + 段前: 5 磅 段后: 5 磅 行距: 单倍行距 + 五号"/>
    <w:basedOn w:val="62"/>
    <w:qFormat/>
    <w:uiPriority w:val="0"/>
    <w:rPr>
      <w:sz w:val="21"/>
    </w:rPr>
  </w:style>
  <w:style w:type="paragraph" w:customStyle="1" w:styleId="101">
    <w:name w:val="Char"/>
    <w:basedOn w:val="1"/>
    <w:qFormat/>
    <w:uiPriority w:val="0"/>
    <w:pPr>
      <w:widowControl/>
      <w:adjustRightInd/>
      <w:spacing w:after="160" w:line="240" w:lineRule="exact"/>
      <w:textAlignment w:val="auto"/>
    </w:pPr>
    <w:rPr>
      <w:rFonts w:ascii="Verdana" w:hAnsi="Verdana"/>
      <w:sz w:val="20"/>
      <w:lang w:eastAsia="en-US"/>
    </w:rPr>
  </w:style>
  <w:style w:type="paragraph" w:customStyle="1" w:styleId="102">
    <w:name w:val="Char1 Char Char Char"/>
    <w:basedOn w:val="1"/>
    <w:qFormat/>
    <w:uiPriority w:val="0"/>
    <w:pPr>
      <w:adjustRightInd/>
      <w:spacing w:line="240" w:lineRule="auto"/>
      <w:jc w:val="both"/>
      <w:textAlignment w:val="auto"/>
    </w:pPr>
    <w:rPr>
      <w:rFonts w:ascii="Tahoma" w:hAnsi="Tahoma"/>
      <w:kern w:val="2"/>
    </w:rPr>
  </w:style>
  <w:style w:type="paragraph" w:customStyle="1" w:styleId="103">
    <w:name w:val="标题4"/>
    <w:basedOn w:val="3"/>
    <w:qFormat/>
    <w:uiPriority w:val="0"/>
    <w:pPr>
      <w:spacing w:beforeLines="50" w:afterLines="50" w:line="240" w:lineRule="auto"/>
      <w:jc w:val="center"/>
    </w:pPr>
    <w:rPr>
      <w:rFonts w:ascii="Times New Roman" w:hAnsi="Times New Roman" w:eastAsia="宋体"/>
      <w:color w:val="000000"/>
      <w:sz w:val="24"/>
    </w:rPr>
  </w:style>
  <w:style w:type="paragraph" w:customStyle="1" w:styleId="104">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5">
    <w:name w:val="样式 标题 2 + 宋体 五号 行距: 单倍行距"/>
    <w:basedOn w:val="3"/>
    <w:qFormat/>
    <w:uiPriority w:val="0"/>
    <w:pPr>
      <w:tabs>
        <w:tab w:val="left" w:pos="1140"/>
        <w:tab w:val="clear" w:pos="0"/>
      </w:tabs>
      <w:spacing w:line="240" w:lineRule="auto"/>
      <w:ind w:left="1140" w:hanging="720"/>
    </w:pPr>
    <w:rPr>
      <w:rFonts w:ascii="宋体" w:eastAsia="宋体"/>
      <w:sz w:val="21"/>
      <w:szCs w:val="20"/>
    </w:rPr>
  </w:style>
  <w:style w:type="paragraph" w:customStyle="1" w:styleId="10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7">
    <w:name w:val="Cap_正文"/>
    <w:qFormat/>
    <w:uiPriority w:val="0"/>
    <w:pPr>
      <w:spacing w:after="160"/>
      <w:ind w:firstLine="200" w:firstLineChars="200"/>
    </w:pPr>
    <w:rPr>
      <w:rFonts w:ascii="Times New Roman" w:hAnsi="Times New Roman" w:eastAsia="宋体" w:cs="Times New Roman"/>
      <w:sz w:val="22"/>
      <w:szCs w:val="24"/>
      <w:lang w:val="en-US" w:eastAsia="zh-CN" w:bidi="ar-SA"/>
    </w:rPr>
  </w:style>
  <w:style w:type="paragraph" w:customStyle="1" w:styleId="108">
    <w:name w:val="C1"/>
    <w:basedOn w:val="1"/>
    <w:qFormat/>
    <w:uiPriority w:val="0"/>
    <w:pPr>
      <w:adjustRightInd/>
      <w:spacing w:after="120" w:line="360" w:lineRule="auto"/>
      <w:ind w:firstLine="175" w:firstLineChars="175"/>
      <w:jc w:val="both"/>
      <w:textAlignment w:val="auto"/>
    </w:pPr>
    <w:rPr>
      <w:rFonts w:ascii="Calibri" w:hAnsi="Calibri" w:cs="Arial"/>
      <w:bCs/>
      <w:kern w:val="44"/>
      <w:sz w:val="21"/>
      <w:szCs w:val="24"/>
    </w:rPr>
  </w:style>
  <w:style w:type="paragraph" w:customStyle="1" w:styleId="109">
    <w:name w:val="样式 宋体 五号 两端对齐 行距: 单倍行距"/>
    <w:basedOn w:val="1"/>
    <w:qFormat/>
    <w:uiPriority w:val="0"/>
    <w:pPr>
      <w:spacing w:line="240" w:lineRule="auto"/>
      <w:jc w:val="both"/>
    </w:pPr>
    <w:rPr>
      <w:rFonts w:ascii="宋体"/>
      <w:sz w:val="21"/>
    </w:rPr>
  </w:style>
  <w:style w:type="paragraph" w:customStyle="1" w:styleId="110">
    <w:name w:val="L4"/>
    <w:basedOn w:val="21"/>
    <w:qFormat/>
    <w:uiPriority w:val="0"/>
    <w:pPr>
      <w:tabs>
        <w:tab w:val="left" w:pos="420"/>
        <w:tab w:val="clear" w:pos="0"/>
      </w:tabs>
      <w:adjustRightInd/>
      <w:spacing w:line="240" w:lineRule="auto"/>
      <w:jc w:val="both"/>
      <w:textAlignment w:val="auto"/>
    </w:pPr>
    <w:rPr>
      <w:rFonts w:ascii="Calibri" w:hAnsi="Calibri"/>
      <w:kern w:val="2"/>
      <w:sz w:val="21"/>
    </w:rPr>
  </w:style>
  <w:style w:type="paragraph" w:customStyle="1" w:styleId="111">
    <w:name w:val="Char Char Char Char Char Char Char Char Char Char"/>
    <w:basedOn w:val="1"/>
    <w:qFormat/>
    <w:uiPriority w:val="0"/>
    <w:pPr>
      <w:widowControl/>
      <w:adjustRightInd/>
      <w:spacing w:after="160" w:line="240" w:lineRule="exact"/>
      <w:textAlignment w:val="auto"/>
    </w:pPr>
  </w:style>
  <w:style w:type="paragraph" w:customStyle="1" w:styleId="112">
    <w:name w:val="样式5"/>
    <w:basedOn w:val="2"/>
    <w:qFormat/>
    <w:uiPriority w:val="0"/>
    <w:pPr>
      <w:adjustRightInd/>
      <w:spacing w:line="576" w:lineRule="auto"/>
      <w:jc w:val="both"/>
      <w:textAlignment w:val="auto"/>
    </w:pPr>
    <w:rPr>
      <w:sz w:val="28"/>
    </w:rPr>
  </w:style>
  <w:style w:type="paragraph" w:customStyle="1" w:styleId="113">
    <w:name w:val="PMtextBullet"/>
    <w:basedOn w:val="79"/>
    <w:qFormat/>
    <w:uiPriority w:val="0"/>
    <w:pPr>
      <w:tabs>
        <w:tab w:val="left" w:pos="2520"/>
      </w:tabs>
      <w:spacing w:after="200"/>
      <w:ind w:left="2520" w:firstLine="288"/>
    </w:pPr>
  </w:style>
  <w:style w:type="paragraph" w:customStyle="1" w:styleId="114">
    <w:name w:val="样式 宋体 五号 两端对齐 行距: 单倍行距1"/>
    <w:basedOn w:val="1"/>
    <w:qFormat/>
    <w:uiPriority w:val="0"/>
    <w:pPr>
      <w:spacing w:line="240" w:lineRule="auto"/>
      <w:jc w:val="both"/>
    </w:pPr>
    <w:rPr>
      <w:rFonts w:ascii="宋体"/>
      <w:sz w:val="21"/>
    </w:rPr>
  </w:style>
  <w:style w:type="paragraph" w:customStyle="1" w:styleId="115">
    <w:name w:val="样式 标题 1 + 四号 居中 段前: 12 磅 段后: 12 磅 行距: 单倍行距"/>
    <w:basedOn w:val="2"/>
    <w:qFormat/>
    <w:uiPriority w:val="0"/>
    <w:pPr>
      <w:spacing w:before="240" w:after="240" w:line="240" w:lineRule="auto"/>
      <w:jc w:val="center"/>
    </w:pPr>
    <w:rPr>
      <w:sz w:val="28"/>
      <w:szCs w:val="20"/>
    </w:rPr>
  </w:style>
  <w:style w:type="paragraph" w:customStyle="1" w:styleId="116">
    <w:name w:val="xl4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top"/>
    </w:pPr>
    <w:rPr>
      <w:rFonts w:ascii="宋体" w:hAnsi="宋体" w:cs="宋体"/>
      <w:szCs w:val="24"/>
    </w:rPr>
  </w:style>
  <w:style w:type="paragraph" w:customStyle="1" w:styleId="117">
    <w:name w:val="正文空格"/>
    <w:basedOn w:val="1"/>
    <w:next w:val="1"/>
    <w:qFormat/>
    <w:uiPriority w:val="0"/>
    <w:pPr>
      <w:adjustRightInd/>
      <w:spacing w:line="400" w:lineRule="exact"/>
      <w:ind w:firstLine="200" w:firstLineChars="200"/>
      <w:jc w:val="both"/>
      <w:textAlignment w:val="auto"/>
    </w:pPr>
    <w:rPr>
      <w:kern w:val="2"/>
      <w:szCs w:val="22"/>
    </w:rPr>
  </w:style>
  <w:style w:type="paragraph" w:customStyle="1" w:styleId="118">
    <w:name w:val="一级"/>
    <w:basedOn w:val="1"/>
    <w:next w:val="1"/>
    <w:qFormat/>
    <w:uiPriority w:val="0"/>
    <w:pPr>
      <w:adjustRightInd/>
      <w:spacing w:before="360" w:after="360" w:line="400" w:lineRule="exact"/>
      <w:jc w:val="both"/>
      <w:textAlignment w:val="auto"/>
      <w:outlineLvl w:val="1"/>
    </w:pPr>
    <w:rPr>
      <w:rFonts w:eastAsia="黑体"/>
      <w:kern w:val="2"/>
      <w:sz w:val="28"/>
      <w:szCs w:val="22"/>
    </w:rPr>
  </w:style>
  <w:style w:type="paragraph" w:customStyle="1" w:styleId="119">
    <w:name w:val="表格文字"/>
    <w:basedOn w:val="1"/>
    <w:qFormat/>
    <w:uiPriority w:val="0"/>
    <w:pPr>
      <w:adjustRightInd/>
      <w:spacing w:line="240" w:lineRule="auto"/>
      <w:textAlignment w:val="auto"/>
    </w:pPr>
    <w:rPr>
      <w:kern w:val="2"/>
      <w:sz w:val="21"/>
      <w:szCs w:val="22"/>
    </w:rPr>
  </w:style>
  <w:style w:type="paragraph" w:customStyle="1" w:styleId="120">
    <w:name w:val="三级"/>
    <w:basedOn w:val="1"/>
    <w:next w:val="1"/>
    <w:qFormat/>
    <w:uiPriority w:val="0"/>
    <w:pPr>
      <w:adjustRightInd/>
      <w:spacing w:before="120" w:after="120" w:line="400" w:lineRule="exact"/>
      <w:jc w:val="both"/>
      <w:textAlignment w:val="auto"/>
      <w:outlineLvl w:val="3"/>
    </w:pPr>
    <w:rPr>
      <w:rFonts w:eastAsia="黑体"/>
      <w:kern w:val="2"/>
      <w:szCs w:val="22"/>
    </w:rPr>
  </w:style>
  <w:style w:type="paragraph" w:customStyle="1" w:styleId="121">
    <w:name w:val="章节"/>
    <w:basedOn w:val="1"/>
    <w:next w:val="1"/>
    <w:qFormat/>
    <w:uiPriority w:val="0"/>
    <w:pPr>
      <w:adjustRightInd/>
      <w:spacing w:before="600" w:after="600" w:line="400" w:lineRule="exact"/>
      <w:jc w:val="center"/>
      <w:textAlignment w:val="auto"/>
      <w:outlineLvl w:val="0"/>
    </w:pPr>
    <w:rPr>
      <w:rFonts w:eastAsia="黑体"/>
      <w:kern w:val="2"/>
      <w:sz w:val="30"/>
      <w:szCs w:val="22"/>
    </w:rPr>
  </w:style>
  <w:style w:type="paragraph" w:customStyle="1" w:styleId="122">
    <w:name w:val="二级"/>
    <w:basedOn w:val="1"/>
    <w:next w:val="1"/>
    <w:qFormat/>
    <w:uiPriority w:val="0"/>
    <w:pPr>
      <w:adjustRightInd/>
      <w:spacing w:before="240" w:after="240" w:line="400" w:lineRule="exact"/>
      <w:jc w:val="both"/>
      <w:textAlignment w:val="auto"/>
      <w:outlineLvl w:val="2"/>
    </w:pPr>
    <w:rPr>
      <w:rFonts w:eastAsia="黑体"/>
      <w:kern w:val="2"/>
      <w:sz w:val="28"/>
      <w:szCs w:val="22"/>
    </w:rPr>
  </w:style>
  <w:style w:type="paragraph" w:customStyle="1" w:styleId="123">
    <w:name w:val="图文"/>
    <w:basedOn w:val="1"/>
    <w:qFormat/>
    <w:uiPriority w:val="0"/>
    <w:pPr>
      <w:adjustRightInd/>
      <w:spacing w:before="120" w:line="400" w:lineRule="exact"/>
      <w:jc w:val="both"/>
      <w:textAlignment w:val="auto"/>
    </w:pPr>
    <w:rPr>
      <w:kern w:val="2"/>
      <w:sz w:val="21"/>
      <w:szCs w:val="22"/>
    </w:rPr>
  </w:style>
  <w:style w:type="paragraph" w:customStyle="1" w:styleId="124">
    <w:name w:val="表前正文"/>
    <w:basedOn w:val="117"/>
    <w:next w:val="1"/>
    <w:qFormat/>
    <w:uiPriority w:val="0"/>
    <w:pPr>
      <w:spacing w:after="100"/>
    </w:pPr>
  </w:style>
  <w:style w:type="paragraph" w:customStyle="1" w:styleId="125">
    <w:name w:val="四级"/>
    <w:basedOn w:val="120"/>
    <w:next w:val="1"/>
    <w:qFormat/>
    <w:uiPriority w:val="0"/>
    <w:pPr>
      <w:outlineLvl w:val="4"/>
    </w:pPr>
  </w:style>
  <w:style w:type="paragraph" w:customStyle="1" w:styleId="126">
    <w:name w:val="Char1"/>
    <w:basedOn w:val="1"/>
    <w:qFormat/>
    <w:uiPriority w:val="0"/>
    <w:pPr>
      <w:adjustRightInd/>
      <w:spacing w:line="240" w:lineRule="auto"/>
      <w:jc w:val="both"/>
      <w:textAlignment w:val="auto"/>
    </w:pPr>
    <w:rPr>
      <w:rFonts w:ascii="宋体" w:hAnsi="宋体"/>
      <w:i/>
      <w:kern w:val="2"/>
      <w:szCs w:val="24"/>
    </w:rPr>
  </w:style>
  <w:style w:type="paragraph" w:customStyle="1" w:styleId="127">
    <w:name w:val="样式 标题 2 + 段前: 0.3 行 + 段前: 0.4 行 段后: 0.4 行 + 段前: 0.4 行 段后:... + 段..."/>
    <w:basedOn w:val="1"/>
    <w:qFormat/>
    <w:uiPriority w:val="0"/>
    <w:pPr>
      <w:keepNext/>
      <w:keepLines/>
      <w:numPr>
        <w:ilvl w:val="1"/>
        <w:numId w:val="3"/>
      </w:numPr>
      <w:tabs>
        <w:tab w:val="left" w:pos="532"/>
      </w:tabs>
      <w:spacing w:beforeLines="40" w:afterLines="40" w:line="360" w:lineRule="auto"/>
      <w:jc w:val="both"/>
      <w:textAlignment w:val="auto"/>
      <w:outlineLvl w:val="1"/>
    </w:pPr>
    <w:rPr>
      <w:rFonts w:ascii="Arial" w:hAnsi="Arial" w:eastAsia="黑体" w:cs="宋体"/>
      <w:b/>
      <w:bCs/>
      <w:kern w:val="2"/>
      <w:sz w:val="30"/>
    </w:rPr>
  </w:style>
  <w:style w:type="paragraph" w:customStyle="1" w:styleId="128">
    <w:name w:val="样式 标题 1 + 段前: 0.3 行 + 段前: 0.5 行 段后: 0.5 行 + 段前: 0.5 行 段后: 0.3 行"/>
    <w:basedOn w:val="1"/>
    <w:qFormat/>
    <w:uiPriority w:val="0"/>
    <w:pPr>
      <w:keepNext/>
      <w:keepLines/>
      <w:tabs>
        <w:tab w:val="left" w:pos="0"/>
        <w:tab w:val="left" w:pos="252"/>
      </w:tabs>
      <w:adjustRightInd/>
      <w:spacing w:beforeLines="50" w:afterLines="30" w:line="360" w:lineRule="auto"/>
      <w:ind w:left="1680" w:hanging="420"/>
      <w:jc w:val="both"/>
      <w:textAlignment w:val="auto"/>
      <w:outlineLvl w:val="0"/>
    </w:pPr>
    <w:rPr>
      <w:rFonts w:cs="宋体"/>
      <w:b/>
      <w:bCs/>
      <w:kern w:val="44"/>
      <w:sz w:val="32"/>
    </w:rPr>
  </w:style>
  <w:style w:type="paragraph" w:customStyle="1" w:styleId="129">
    <w:name w:val="hc正文1.5"/>
    <w:basedOn w:val="1"/>
    <w:qFormat/>
    <w:uiPriority w:val="0"/>
    <w:pPr>
      <w:tabs>
        <w:tab w:val="left" w:pos="3265"/>
      </w:tabs>
      <w:adjustRightInd/>
      <w:spacing w:beforeLines="20" w:afterLines="20" w:line="460" w:lineRule="exact"/>
      <w:ind w:firstLine="480" w:firstLineChars="200"/>
      <w:jc w:val="both"/>
      <w:textAlignment w:val="auto"/>
    </w:pPr>
    <w:rPr>
      <w:rFonts w:ascii="宋体" w:hAnsi="宋体" w:cs="仿宋_GB2312"/>
      <w:szCs w:val="24"/>
    </w:rPr>
  </w:style>
  <w:style w:type="paragraph" w:customStyle="1" w:styleId="130">
    <w:name w:val="Table Paragraph"/>
    <w:basedOn w:val="1"/>
    <w:qFormat/>
    <w:uiPriority w:val="1"/>
    <w:pPr>
      <w:autoSpaceDE w:val="0"/>
      <w:autoSpaceDN w:val="0"/>
    </w:pPr>
    <w:rPr>
      <w:rFonts w:ascii="Times" w:hAnsi="Times"/>
    </w:rPr>
  </w:style>
  <w:style w:type="paragraph" w:customStyle="1" w:styleId="13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DEEAF6"/>
      <w:adjustRightInd/>
      <w:spacing w:before="100" w:beforeAutospacing="1" w:after="100" w:afterAutospacing="1" w:line="240" w:lineRule="auto"/>
      <w:jc w:val="center"/>
      <w:textAlignment w:val="center"/>
    </w:pPr>
    <w:rPr>
      <w:rFonts w:ascii="宋体" w:hAnsi="宋体" w:cs="宋体"/>
      <w:b/>
      <w:bCs/>
      <w:color w:val="000000"/>
      <w:sz w:val="21"/>
      <w:szCs w:val="21"/>
    </w:rPr>
  </w:style>
  <w:style w:type="paragraph" w:customStyle="1" w:styleId="132">
    <w:name w:val="论文"/>
    <w:basedOn w:val="1"/>
    <w:qFormat/>
    <w:uiPriority w:val="0"/>
    <w:pPr>
      <w:adjustRightInd/>
      <w:spacing w:line="400" w:lineRule="exact"/>
      <w:jc w:val="both"/>
      <w:textAlignment w:val="auto"/>
    </w:pPr>
    <w:rPr>
      <w:kern w:val="2"/>
      <w:szCs w:val="22"/>
    </w:rPr>
  </w:style>
  <w:style w:type="paragraph" w:customStyle="1" w:styleId="133">
    <w:name w:val="文档正文"/>
    <w:basedOn w:val="1"/>
    <w:qFormat/>
    <w:uiPriority w:val="0"/>
    <w:pPr>
      <w:spacing w:line="312" w:lineRule="atLeast"/>
      <w:ind w:firstLine="567"/>
    </w:pPr>
    <w:rPr>
      <w:rFonts w:ascii="长城仿宋" w:eastAsia="长城仿宋"/>
      <w:sz w:val="28"/>
    </w:rPr>
  </w:style>
  <w:style w:type="paragraph" w:customStyle="1" w:styleId="134">
    <w:name w:val="正文2b"/>
    <w:basedOn w:val="1"/>
    <w:next w:val="1"/>
    <w:qFormat/>
    <w:uiPriority w:val="0"/>
    <w:pPr>
      <w:spacing w:line="360" w:lineRule="auto"/>
      <w:ind w:firstLine="200" w:firstLineChars="200"/>
    </w:pPr>
    <w:rPr>
      <w:rFonts w:ascii="仿宋_GB2312" w:hAnsi="Calibri" w:eastAsia="仿宋_GB2312"/>
      <w:szCs w:val="22"/>
    </w:rPr>
  </w:style>
  <w:style w:type="paragraph" w:customStyle="1" w:styleId="135">
    <w:name w:val="纯文本1"/>
    <w:basedOn w:val="1"/>
    <w:qFormat/>
    <w:uiPriority w:val="0"/>
    <w:rPr>
      <w:rFonts w:ascii="宋体" w:hAnsi="Courier New"/>
    </w:rPr>
  </w:style>
  <w:style w:type="character" w:customStyle="1" w:styleId="136">
    <w:name w:val="标题 1 字符"/>
    <w:link w:val="2"/>
    <w:qFormat/>
    <w:uiPriority w:val="0"/>
    <w:rPr>
      <w:rFonts w:eastAsia="宋体"/>
      <w:b/>
      <w:bCs/>
      <w:kern w:val="44"/>
      <w:sz w:val="44"/>
      <w:szCs w:val="44"/>
    </w:rPr>
  </w:style>
  <w:style w:type="character" w:customStyle="1" w:styleId="137">
    <w:name w:val="标题 2 字符"/>
    <w:link w:val="3"/>
    <w:qFormat/>
    <w:uiPriority w:val="0"/>
    <w:rPr>
      <w:rFonts w:ascii="Arial" w:hAnsi="Arial" w:eastAsia="黑体"/>
      <w:b/>
      <w:bCs/>
      <w:sz w:val="32"/>
      <w:szCs w:val="32"/>
    </w:rPr>
  </w:style>
  <w:style w:type="character" w:customStyle="1" w:styleId="138">
    <w:name w:val="标题 3 字符"/>
    <w:link w:val="4"/>
    <w:qFormat/>
    <w:uiPriority w:val="9"/>
    <w:rPr>
      <w:rFonts w:eastAsia="宋体"/>
      <w:b/>
      <w:bCs/>
      <w:sz w:val="32"/>
      <w:szCs w:val="32"/>
    </w:rPr>
  </w:style>
  <w:style w:type="character" w:customStyle="1" w:styleId="139">
    <w:name w:val="标题 4 字符"/>
    <w:link w:val="5"/>
    <w:qFormat/>
    <w:uiPriority w:val="9"/>
    <w:rPr>
      <w:rFonts w:ascii="Arial" w:hAnsi="Arial" w:eastAsia="黑体"/>
      <w:b/>
      <w:bCs/>
      <w:sz w:val="28"/>
      <w:szCs w:val="28"/>
    </w:rPr>
  </w:style>
  <w:style w:type="character" w:customStyle="1" w:styleId="140">
    <w:name w:val="标题 5 字符"/>
    <w:link w:val="6"/>
    <w:qFormat/>
    <w:uiPriority w:val="0"/>
    <w:rPr>
      <w:rFonts w:eastAsia="宋体"/>
      <w:b/>
      <w:bCs/>
      <w:sz w:val="28"/>
      <w:szCs w:val="28"/>
    </w:rPr>
  </w:style>
  <w:style w:type="character" w:customStyle="1" w:styleId="141">
    <w:name w:val="标题 6 字符"/>
    <w:link w:val="7"/>
    <w:qFormat/>
    <w:uiPriority w:val="0"/>
    <w:rPr>
      <w:rFonts w:ascii="Arial" w:hAnsi="Arial" w:eastAsia="黑体"/>
      <w:b/>
      <w:bCs/>
      <w:sz w:val="24"/>
      <w:szCs w:val="24"/>
    </w:rPr>
  </w:style>
  <w:style w:type="character" w:customStyle="1" w:styleId="142">
    <w:name w:val="标题 7 字符"/>
    <w:link w:val="8"/>
    <w:qFormat/>
    <w:uiPriority w:val="0"/>
    <w:rPr>
      <w:rFonts w:eastAsia="宋体"/>
      <w:b/>
      <w:bCs/>
      <w:sz w:val="24"/>
      <w:szCs w:val="24"/>
    </w:rPr>
  </w:style>
  <w:style w:type="character" w:customStyle="1" w:styleId="143">
    <w:name w:val="标题 8 字符"/>
    <w:link w:val="9"/>
    <w:qFormat/>
    <w:uiPriority w:val="0"/>
    <w:rPr>
      <w:rFonts w:ascii="Arial" w:hAnsi="Arial" w:eastAsia="黑体"/>
      <w:sz w:val="24"/>
      <w:szCs w:val="24"/>
    </w:rPr>
  </w:style>
  <w:style w:type="character" w:customStyle="1" w:styleId="144">
    <w:name w:val="标题 9 字符"/>
    <w:link w:val="10"/>
    <w:qFormat/>
    <w:uiPriority w:val="0"/>
    <w:rPr>
      <w:rFonts w:ascii="Arial" w:hAnsi="Arial" w:eastAsia="黑体"/>
      <w:sz w:val="21"/>
      <w:szCs w:val="21"/>
    </w:rPr>
  </w:style>
  <w:style w:type="character" w:customStyle="1" w:styleId="145">
    <w:name w:val="批注文字 字符"/>
    <w:link w:val="15"/>
    <w:qFormat/>
    <w:uiPriority w:val="0"/>
    <w:rPr>
      <w:rFonts w:eastAsia="宋体"/>
      <w:sz w:val="24"/>
    </w:rPr>
  </w:style>
  <w:style w:type="character" w:customStyle="1" w:styleId="146">
    <w:name w:val="批注主题 字符"/>
    <w:link w:val="40"/>
    <w:qFormat/>
    <w:uiPriority w:val="0"/>
    <w:rPr>
      <w:rFonts w:eastAsia="宋体"/>
      <w:b/>
      <w:bCs/>
      <w:kern w:val="2"/>
      <w:sz w:val="24"/>
    </w:rPr>
  </w:style>
  <w:style w:type="character" w:customStyle="1" w:styleId="147">
    <w:name w:val="正文文本 字符"/>
    <w:link w:val="17"/>
    <w:qFormat/>
    <w:uiPriority w:val="0"/>
    <w:rPr>
      <w:rFonts w:eastAsia="宋体"/>
      <w:kern w:val="2"/>
      <w:sz w:val="28"/>
    </w:rPr>
  </w:style>
  <w:style w:type="character" w:customStyle="1" w:styleId="148">
    <w:name w:val="正文首行缩进 字符"/>
    <w:link w:val="18"/>
    <w:qFormat/>
    <w:uiPriority w:val="0"/>
    <w:rPr>
      <w:rFonts w:eastAsia="宋体"/>
      <w:kern w:val="2"/>
      <w:sz w:val="21"/>
      <w:szCs w:val="24"/>
    </w:rPr>
  </w:style>
  <w:style w:type="character" w:customStyle="1" w:styleId="149">
    <w:name w:val="正文缩进 字符"/>
    <w:link w:val="12"/>
    <w:qFormat/>
    <w:uiPriority w:val="0"/>
    <w:rPr>
      <w:rFonts w:eastAsia="宋体"/>
      <w:sz w:val="24"/>
    </w:rPr>
  </w:style>
  <w:style w:type="character" w:customStyle="1" w:styleId="150">
    <w:name w:val="文档结构图 字符"/>
    <w:link w:val="14"/>
    <w:qFormat/>
    <w:uiPriority w:val="99"/>
    <w:rPr>
      <w:rFonts w:eastAsia="宋体"/>
      <w:sz w:val="24"/>
      <w:shd w:val="clear" w:color="auto" w:fill="000080"/>
    </w:rPr>
  </w:style>
  <w:style w:type="character" w:customStyle="1" w:styleId="151">
    <w:name w:val="称呼 字符"/>
    <w:link w:val="16"/>
    <w:qFormat/>
    <w:uiPriority w:val="0"/>
    <w:rPr>
      <w:rFonts w:ascii="方正仿宋_GBK" w:eastAsia="方正仿宋_GBK" w:cs="方正仿宋_GBK"/>
      <w:sz w:val="32"/>
      <w:szCs w:val="32"/>
      <w:lang w:val="en-US" w:eastAsia="zh-CN" w:bidi="ar-SA"/>
    </w:rPr>
  </w:style>
  <w:style w:type="character" w:customStyle="1" w:styleId="152">
    <w:name w:val="正文文本缩进 字符"/>
    <w:link w:val="20"/>
    <w:qFormat/>
    <w:uiPriority w:val="0"/>
    <w:rPr>
      <w:rFonts w:ascii="宋体" w:eastAsia="宋体"/>
      <w:sz w:val="24"/>
      <w:szCs w:val="21"/>
    </w:rPr>
  </w:style>
  <w:style w:type="character" w:customStyle="1" w:styleId="153">
    <w:name w:val="纯文本 字符"/>
    <w:link w:val="25"/>
    <w:qFormat/>
    <w:uiPriority w:val="0"/>
    <w:rPr>
      <w:rFonts w:ascii="宋体" w:eastAsia="宋体"/>
      <w:kern w:val="2"/>
      <w:sz w:val="21"/>
      <w:szCs w:val="21"/>
    </w:rPr>
  </w:style>
  <w:style w:type="character" w:customStyle="1" w:styleId="154">
    <w:name w:val="日期 字符"/>
    <w:link w:val="27"/>
    <w:qFormat/>
    <w:uiPriority w:val="0"/>
    <w:rPr>
      <w:rFonts w:eastAsia="宋体"/>
      <w:kern w:val="2"/>
      <w:sz w:val="21"/>
    </w:rPr>
  </w:style>
  <w:style w:type="character" w:customStyle="1" w:styleId="155">
    <w:name w:val="正文文本缩进 2 字符"/>
    <w:link w:val="28"/>
    <w:qFormat/>
    <w:uiPriority w:val="0"/>
    <w:rPr>
      <w:rFonts w:ascii="宋体" w:eastAsia="宋体"/>
      <w:sz w:val="24"/>
      <w:szCs w:val="21"/>
    </w:rPr>
  </w:style>
  <w:style w:type="character" w:customStyle="1" w:styleId="156">
    <w:name w:val="批注框文本 字符"/>
    <w:link w:val="29"/>
    <w:qFormat/>
    <w:uiPriority w:val="0"/>
    <w:rPr>
      <w:rFonts w:eastAsia="宋体"/>
      <w:sz w:val="18"/>
      <w:szCs w:val="18"/>
    </w:rPr>
  </w:style>
  <w:style w:type="character" w:customStyle="1" w:styleId="157">
    <w:name w:val="页脚 字符"/>
    <w:link w:val="30"/>
    <w:qFormat/>
    <w:uiPriority w:val="99"/>
    <w:rPr>
      <w:rFonts w:eastAsia="宋体"/>
      <w:sz w:val="18"/>
      <w:lang w:val="en-US" w:eastAsia="zh-CN" w:bidi="ar-SA"/>
    </w:rPr>
  </w:style>
  <w:style w:type="character" w:customStyle="1" w:styleId="158">
    <w:name w:val="页眉 字符"/>
    <w:link w:val="31"/>
    <w:qFormat/>
    <w:uiPriority w:val="99"/>
    <w:rPr>
      <w:rFonts w:eastAsia="宋体"/>
      <w:sz w:val="18"/>
    </w:rPr>
  </w:style>
  <w:style w:type="character" w:customStyle="1" w:styleId="159">
    <w:name w:val="正文文本缩进 3 字符"/>
    <w:link w:val="34"/>
    <w:qFormat/>
    <w:uiPriority w:val="0"/>
    <w:rPr>
      <w:rFonts w:eastAsia="宋体"/>
      <w:sz w:val="28"/>
    </w:rPr>
  </w:style>
  <w:style w:type="character" w:customStyle="1" w:styleId="160">
    <w:name w:val="正文文本 2 字符"/>
    <w:link w:val="37"/>
    <w:qFormat/>
    <w:uiPriority w:val="0"/>
    <w:rPr>
      <w:rFonts w:eastAsia="宋体"/>
      <w:sz w:val="24"/>
    </w:rPr>
  </w:style>
  <w:style w:type="character" w:customStyle="1" w:styleId="161">
    <w:name w:val="已访问的超链接1"/>
    <w:qFormat/>
    <w:uiPriority w:val="0"/>
    <w:rPr>
      <w:color w:val="800080"/>
      <w:u w:val="single"/>
    </w:rPr>
  </w:style>
  <w:style w:type="character" w:customStyle="1" w:styleId="162">
    <w:name w:val="批注文字 Char1"/>
    <w:qFormat/>
    <w:uiPriority w:val="0"/>
    <w:rPr>
      <w:rFonts w:eastAsia="宋体"/>
      <w:kern w:val="2"/>
      <w:sz w:val="21"/>
    </w:rPr>
  </w:style>
  <w:style w:type="character" w:customStyle="1" w:styleId="163">
    <w:name w:val="样式 标题 1 + (西文) 方正黑体_GBK (中文) 方正黑体_GBK (符号) 宋体 三号 非加粗 黑色"/>
    <w:qFormat/>
    <w:uiPriority w:val="0"/>
    <w:rPr>
      <w:rFonts w:ascii="方正黑体_GBK" w:eastAsia="方正黑体_GBK" w:cs="宋体"/>
      <w:color w:val="000000"/>
      <w:sz w:val="32"/>
      <w:szCs w:val="32"/>
      <w:lang w:val="zh-CN" w:eastAsia="zh-CN" w:bidi="ar-SA"/>
    </w:rPr>
  </w:style>
  <w:style w:type="character" w:customStyle="1" w:styleId="164">
    <w:name w:val="批注文字 Char2"/>
    <w:semiHidden/>
    <w:qFormat/>
    <w:uiPriority w:val="99"/>
    <w:rPr>
      <w:kern w:val="2"/>
      <w:sz w:val="21"/>
    </w:rPr>
  </w:style>
  <w:style w:type="character" w:customStyle="1" w:styleId="165">
    <w:name w:val="样式1 Char Char"/>
    <w:qFormat/>
    <w:uiPriority w:val="0"/>
    <w:rPr>
      <w:rFonts w:ascii="宋体" w:eastAsia="宋体"/>
      <w:sz w:val="21"/>
      <w:szCs w:val="21"/>
      <w:lang w:val="en-US" w:eastAsia="zh-CN" w:bidi="ar-SA"/>
    </w:rPr>
  </w:style>
  <w:style w:type="character" w:customStyle="1" w:styleId="166">
    <w:name w:val="标题 2 Char Char Char"/>
    <w:qFormat/>
    <w:uiPriority w:val="0"/>
    <w:rPr>
      <w:rFonts w:ascii="Arial" w:hAnsi="Arial" w:eastAsia="黑体"/>
      <w:b/>
      <w:bCs/>
      <w:kern w:val="2"/>
      <w:sz w:val="32"/>
      <w:szCs w:val="32"/>
      <w:lang w:val="en-US" w:eastAsia="zh-CN" w:bidi="ar-SA"/>
    </w:rPr>
  </w:style>
  <w:style w:type="character" w:customStyle="1" w:styleId="167">
    <w:name w:val="无间隔 Char"/>
    <w:link w:val="53"/>
    <w:qFormat/>
    <w:locked/>
    <w:uiPriority w:val="1"/>
    <w:rPr>
      <w:sz w:val="22"/>
      <w:szCs w:val="22"/>
      <w:lang w:val="en-US" w:eastAsia="zh-CN" w:bidi="ar-SA"/>
    </w:rPr>
  </w:style>
  <w:style w:type="character" w:customStyle="1" w:styleId="168">
    <w:name w:val="h3 Char"/>
    <w:qFormat/>
    <w:uiPriority w:val="0"/>
    <w:rPr>
      <w:rFonts w:eastAsia="宋体"/>
      <w:b/>
      <w:bCs/>
      <w:sz w:val="32"/>
      <w:szCs w:val="32"/>
      <w:lang w:val="en-US" w:eastAsia="zh-CN" w:bidi="ar-SA"/>
    </w:rPr>
  </w:style>
  <w:style w:type="character" w:customStyle="1" w:styleId="169">
    <w:name w:val="font01"/>
    <w:basedOn w:val="44"/>
    <w:qFormat/>
    <w:uiPriority w:val="0"/>
    <w:rPr>
      <w:rFonts w:hint="eastAsia" w:ascii="宋体" w:hAnsi="宋体" w:eastAsia="宋体" w:cs="宋体"/>
      <w:color w:val="000000"/>
      <w:sz w:val="22"/>
      <w:szCs w:val="22"/>
      <w:u w:val="none"/>
    </w:rPr>
  </w:style>
  <w:style w:type="character" w:customStyle="1" w:styleId="170">
    <w:name w:val="font101"/>
    <w:basedOn w:val="44"/>
    <w:qFormat/>
    <w:uiPriority w:val="0"/>
    <w:rPr>
      <w:rFonts w:hint="eastAsia" w:ascii="宋体" w:hAnsi="宋体" w:eastAsia="宋体" w:cs="宋体"/>
      <w:color w:val="000000"/>
      <w:sz w:val="22"/>
      <w:szCs w:val="22"/>
      <w:u w:val="none"/>
      <w:vertAlign w:val="superscript"/>
    </w:rPr>
  </w:style>
  <w:style w:type="character" w:customStyle="1" w:styleId="171">
    <w:name w:val="font31"/>
    <w:basedOn w:val="44"/>
    <w:qFormat/>
    <w:uiPriority w:val="0"/>
    <w:rPr>
      <w:rFonts w:hint="eastAsia" w:ascii="宋体" w:hAnsi="宋体" w:eastAsia="宋体" w:cs="宋体"/>
      <w:color w:val="000000"/>
      <w:sz w:val="22"/>
      <w:szCs w:val="22"/>
      <w:u w:val="none"/>
    </w:rPr>
  </w:style>
  <w:style w:type="character" w:customStyle="1" w:styleId="172">
    <w:name w:val="font21"/>
    <w:basedOn w:val="44"/>
    <w:qFormat/>
    <w:uiPriority w:val="0"/>
    <w:rPr>
      <w:rFonts w:hint="eastAsia" w:ascii="宋体" w:hAnsi="宋体" w:eastAsia="宋体" w:cs="宋体"/>
      <w:color w:val="000000"/>
      <w:sz w:val="22"/>
      <w:szCs w:val="22"/>
      <w:u w:val="none"/>
      <w:vertAlign w:val="superscript"/>
    </w:rPr>
  </w:style>
  <w:style w:type="character" w:customStyle="1" w:styleId="173">
    <w:name w:val="font91"/>
    <w:basedOn w:val="44"/>
    <w:qFormat/>
    <w:uiPriority w:val="0"/>
    <w:rPr>
      <w:rFonts w:hint="eastAsia" w:ascii="宋体" w:hAnsi="宋体" w:eastAsia="宋体" w:cs="宋体"/>
      <w:color w:val="000000"/>
      <w:sz w:val="22"/>
      <w:szCs w:val="22"/>
      <w:u w:val="none"/>
      <w:vertAlign w:val="superscript"/>
    </w:rPr>
  </w:style>
  <w:style w:type="character" w:customStyle="1" w:styleId="174">
    <w:name w:val="font81"/>
    <w:basedOn w:val="44"/>
    <w:qFormat/>
    <w:uiPriority w:val="0"/>
    <w:rPr>
      <w:rFonts w:hint="eastAsia" w:ascii="宋体" w:hAnsi="宋体" w:eastAsia="宋体" w:cs="宋体"/>
      <w:color w:val="000000"/>
      <w:sz w:val="20"/>
      <w:szCs w:val="20"/>
      <w:u w:val="none"/>
    </w:rPr>
  </w:style>
  <w:style w:type="character" w:customStyle="1" w:styleId="175">
    <w:name w:val="font11"/>
    <w:basedOn w:val="44"/>
    <w:autoRedefine/>
    <w:qFormat/>
    <w:uiPriority w:val="0"/>
    <w:rPr>
      <w:rFonts w:hint="eastAsia" w:ascii="宋体" w:hAnsi="宋体" w:eastAsia="宋体" w:cs="宋体"/>
      <w:color w:val="000000"/>
      <w:sz w:val="20"/>
      <w:szCs w:val="20"/>
      <w:u w:val="none"/>
      <w:vertAlign w:val="superscript"/>
    </w:rPr>
  </w:style>
  <w:style w:type="character" w:customStyle="1" w:styleId="176">
    <w:name w:val="font13"/>
    <w:basedOn w:val="44"/>
    <w:qFormat/>
    <w:uiPriority w:val="0"/>
    <w:rPr>
      <w:rFonts w:hint="eastAsia" w:ascii="宋体" w:hAnsi="宋体" w:eastAsia="宋体" w:cs="宋体"/>
      <w:color w:val="000000"/>
      <w:sz w:val="20"/>
      <w:szCs w:val="20"/>
      <w:u w:val="none"/>
      <w:vertAlign w:val="superscript"/>
    </w:rPr>
  </w:style>
  <w:style w:type="character" w:customStyle="1" w:styleId="177">
    <w:name w:val="批注主题 Char1"/>
    <w:qFormat/>
    <w:uiPriority w:val="0"/>
    <w:rPr>
      <w:rFonts w:ascii="Times New Roman" w:hAnsi="Times New Roman" w:eastAsia="宋体" w:cs="Times New Roman"/>
      <w:szCs w:val="20"/>
    </w:rPr>
  </w:style>
  <w:style w:type="character" w:customStyle="1" w:styleId="178">
    <w:name w:val="标题 1 Char Char"/>
    <w:qFormat/>
    <w:uiPriority w:val="0"/>
    <w:rPr>
      <w:rFonts w:eastAsia="宋体"/>
      <w:b/>
      <w:spacing w:val="-2"/>
      <w:sz w:val="24"/>
      <w:lang w:val="en-US" w:eastAsia="zh-CN"/>
    </w:rPr>
  </w:style>
  <w:style w:type="paragraph" w:customStyle="1" w:styleId="179">
    <w:name w:val="列表段落2"/>
    <w:basedOn w:val="1"/>
    <w:qFormat/>
    <w:uiPriority w:val="34"/>
    <w:pPr>
      <w:ind w:firstLine="420" w:firstLineChars="200"/>
    </w:pPr>
  </w:style>
  <w:style w:type="paragraph" w:styleId="180">
    <w:name w:val="List Paragraph"/>
    <w:basedOn w:val="1"/>
    <w:qFormat/>
    <w:uiPriority w:val="34"/>
    <w:pPr>
      <w:ind w:firstLine="420" w:firstLineChars="200"/>
    </w:pPr>
  </w:style>
  <w:style w:type="character" w:customStyle="1" w:styleId="181">
    <w:name w:val="font41"/>
    <w:basedOn w:val="44"/>
    <w:qFormat/>
    <w:uiPriority w:val="0"/>
    <w:rPr>
      <w:rFonts w:hint="eastAsia" w:ascii="等线" w:hAnsi="等线" w:eastAsia="等线" w:cs="等线"/>
      <w:color w:val="000000"/>
      <w:sz w:val="22"/>
      <w:szCs w:val="22"/>
      <w:u w:val="none"/>
    </w:rPr>
  </w:style>
  <w:style w:type="character" w:customStyle="1" w:styleId="182">
    <w:name w:val="font51"/>
    <w:basedOn w:val="44"/>
    <w:qFormat/>
    <w:uiPriority w:val="0"/>
    <w:rPr>
      <w:rFonts w:ascii="等线 Light" w:hAnsi="等线 Light" w:eastAsia="等线 Light" w:cs="等线 Light"/>
      <w:color w:val="000000"/>
      <w:sz w:val="20"/>
      <w:szCs w:val="20"/>
      <w:u w:val="none"/>
      <w:vertAlign w:val="superscript"/>
    </w:rPr>
  </w:style>
  <w:style w:type="paragraph" w:customStyle="1" w:styleId="183">
    <w:name w:val="正文_0_0"/>
    <w:qFormat/>
    <w:uiPriority w:val="0"/>
    <w:rPr>
      <w:rFonts w:ascii="Times New Roman" w:hAnsi="Times New Roman" w:eastAsia="宋体" w:cs="Times New Roman"/>
      <w:lang w:val="en-US" w:eastAsia="zh-CN" w:bidi="ar-SA"/>
    </w:rPr>
  </w:style>
  <w:style w:type="paragraph" w:customStyle="1" w:styleId="184">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185">
    <w:name w:val="正文_1_0_1"/>
    <w:qFormat/>
    <w:uiPriority w:val="0"/>
    <w:rPr>
      <w:rFonts w:ascii="Times New Roman" w:hAnsi="Times New Roman" w:eastAsia="宋体" w:cs="Times New Roman"/>
      <w:sz w:val="21"/>
      <w:lang w:val="en-US" w:eastAsia="zh-CN" w:bidi="ar-SA"/>
    </w:rPr>
  </w:style>
  <w:style w:type="paragraph" w:customStyle="1" w:styleId="186">
    <w:name w:val="正文_1_0_1_0"/>
    <w:qFormat/>
    <w:uiPriority w:val="0"/>
    <w:rPr>
      <w:rFonts w:ascii="Times New Roman" w:hAnsi="Times New Roman" w:eastAsia="宋体" w:cs="Times New Roman"/>
      <w:sz w:val="21"/>
      <w:lang w:val="en-US" w:eastAsia="zh-CN" w:bidi="ar-SA"/>
    </w:rPr>
  </w:style>
  <w:style w:type="paragraph" w:customStyle="1" w:styleId="187">
    <w:name w:val="正文文本缩进_0"/>
    <w:basedOn w:val="185"/>
    <w:qFormat/>
    <w:uiPriority w:val="0"/>
    <w:pPr>
      <w:spacing w:after="120"/>
      <w:ind w:left="420" w:leftChars="200"/>
    </w:pPr>
    <w:rPr>
      <w:rFonts w:ascii="Calibri" w:hAnsi="Calibri"/>
    </w:rPr>
  </w:style>
  <w:style w:type="paragraph" w:customStyle="1" w:styleId="188">
    <w:name w:val="正文_0_0_1"/>
    <w:qFormat/>
    <w:uiPriority w:val="0"/>
    <w:rPr>
      <w:rFonts w:ascii="Times New Roman" w:hAnsi="Times New Roman" w:eastAsia="宋体" w:cs="Times New Roman"/>
      <w:lang w:val="en-US" w:eastAsia="zh-CN" w:bidi="ar-SA"/>
    </w:rPr>
  </w:style>
  <w:style w:type="paragraph" w:customStyle="1" w:styleId="189">
    <w:name w:val="正文_0_0_0_1"/>
    <w:qFormat/>
    <w:uiPriority w:val="0"/>
    <w:rPr>
      <w:rFonts w:ascii="Times New Roman" w:hAnsi="Times New Roman" w:eastAsia="宋体" w:cs="Times New Roman"/>
      <w:sz w:val="21"/>
      <w:lang w:val="en-US" w:eastAsia="zh-CN" w:bidi="ar-SA"/>
    </w:rPr>
  </w:style>
  <w:style w:type="paragraph" w:customStyle="1" w:styleId="190">
    <w:name w:val="正文_0_0_0_0"/>
    <w:qFormat/>
    <w:uiPriority w:val="0"/>
    <w:rPr>
      <w:rFonts w:ascii="Times New Roman" w:hAnsi="Times New Roman" w:eastAsia="宋体" w:cs="Times New Roman"/>
      <w:sz w:val="21"/>
      <w:lang w:val="en-US" w:eastAsia="zh-CN" w:bidi="ar-SA"/>
    </w:rPr>
  </w:style>
  <w:style w:type="paragraph" w:customStyle="1" w:styleId="191">
    <w:name w:val="正文_1_1_0"/>
    <w:qFormat/>
    <w:uiPriority w:val="0"/>
    <w:rPr>
      <w:rFonts w:ascii="Times New Roman" w:hAnsi="Times New Roman" w:eastAsia="宋体" w:cs="Times New Roman"/>
      <w:sz w:val="21"/>
      <w:lang w:val="en-US" w:eastAsia="zh-CN" w:bidi="ar-SA"/>
    </w:rPr>
  </w:style>
  <w:style w:type="paragraph" w:customStyle="1" w:styleId="192">
    <w:name w:val="正文_0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3">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4">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5">
    <w:name w:val="正文_1_0_1_1"/>
    <w:qFormat/>
    <w:uiPriority w:val="0"/>
    <w:rPr>
      <w:rFonts w:ascii="Times New Roman" w:hAnsi="Times New Roman" w:eastAsia="宋体" w:cs="Times New Roman"/>
      <w:sz w:val="21"/>
      <w:lang w:val="en-US" w:eastAsia="zh-CN" w:bidi="ar-SA"/>
    </w:rPr>
  </w:style>
  <w:style w:type="paragraph" w:customStyle="1" w:styleId="196">
    <w:name w:val="正文_0_1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7">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8">
    <w:name w:val="正文_0_0_0"/>
    <w:qFormat/>
    <w:uiPriority w:val="0"/>
    <w:rPr>
      <w:rFonts w:ascii="Times New Roman" w:hAnsi="Times New Roman" w:eastAsia="宋体" w:cs="Times New Roman"/>
      <w:sz w:val="21"/>
      <w:lang w:val="en-US" w:eastAsia="zh-CN" w:bidi="ar-SA"/>
    </w:rPr>
  </w:style>
  <w:style w:type="paragraph" w:customStyle="1" w:styleId="199">
    <w:name w:val="正文_1_0"/>
    <w:qFormat/>
    <w:uiPriority w:val="0"/>
    <w:rPr>
      <w:rFonts w:ascii="Times New Roman" w:hAnsi="Times New Roman" w:eastAsia="宋体" w:cs="Times New Roman"/>
      <w:sz w:val="21"/>
      <w:lang w:val="en-US" w:eastAsia="zh-CN" w:bidi="ar-SA"/>
    </w:rPr>
  </w:style>
  <w:style w:type="paragraph" w:customStyle="1" w:styleId="200">
    <w:name w:val="正文_1_0_0"/>
    <w:qFormat/>
    <w:uiPriority w:val="0"/>
    <w:rPr>
      <w:rFonts w:ascii="Times New Roman" w:hAnsi="Times New Roman" w:eastAsia="宋体" w:cs="Times New Roman"/>
      <w:sz w:val="21"/>
      <w:lang w:val="en-US" w:eastAsia="zh-CN" w:bidi="ar-SA"/>
    </w:rPr>
  </w:style>
  <w:style w:type="paragraph" w:customStyle="1" w:styleId="201">
    <w:name w:val="标题 3_0"/>
    <w:basedOn w:val="194"/>
    <w:next w:val="194"/>
    <w:qFormat/>
    <w:uiPriority w:val="9"/>
    <w:pPr>
      <w:keepNext/>
      <w:keepLines/>
      <w:numPr>
        <w:ilvl w:val="2"/>
        <w:numId w:val="1"/>
      </w:numPr>
      <w:spacing w:before="260" w:after="260" w:line="416" w:lineRule="auto"/>
      <w:outlineLvl w:val="2"/>
    </w:pPr>
    <w:rPr>
      <w:b/>
      <w:bCs/>
      <w:kern w:val="0"/>
      <w:sz w:val="32"/>
      <w:szCs w:val="32"/>
    </w:rPr>
  </w:style>
  <w:style w:type="paragraph" w:customStyle="1" w:styleId="202">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3">
    <w:name w:val="正文_0_1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4">
    <w:name w:val="要求正文"/>
    <w:basedOn w:val="1"/>
    <w:qFormat/>
    <w:uiPriority w:val="0"/>
    <w:pPr>
      <w:adjustRightInd/>
      <w:spacing w:line="400" w:lineRule="exact"/>
      <w:jc w:val="both"/>
      <w:textAlignment w:val="auto"/>
    </w:pPr>
    <w:rPr>
      <w:kern w:val="2"/>
      <w:szCs w:val="22"/>
    </w:rPr>
  </w:style>
  <w:style w:type="paragraph" w:customStyle="1" w:styleId="205">
    <w:name w:val="普通正文"/>
    <w:basedOn w:val="1"/>
    <w:qFormat/>
    <w:uiPriority w:val="0"/>
    <w:pPr>
      <w:spacing w:before="120" w:after="120" w:line="360" w:lineRule="auto"/>
      <w:ind w:firstLine="480"/>
    </w:pPr>
    <w:rPr>
      <w:rFonts w:ascii="Arial" w:hAnsi="Arial"/>
      <w:szCs w:val="24"/>
    </w:rPr>
  </w:style>
  <w:style w:type="paragraph" w:customStyle="1" w:styleId="206">
    <w:name w:val="List Paragraph1"/>
    <w:basedOn w:val="1"/>
    <w:qFormat/>
    <w:uiPriority w:val="99"/>
    <w:pPr>
      <w:ind w:firstLine="420" w:firstLineChars="200"/>
    </w:pPr>
    <w:rPr>
      <w:rFonts w:ascii="等线" w:hAnsi="等线" w:eastAsia="等线" w:cs="宋体"/>
    </w:rPr>
  </w:style>
  <w:style w:type="table" w:customStyle="1" w:styleId="207">
    <w:name w:val="Table Normal"/>
    <w:unhideWhenUsed/>
    <w:qFormat/>
    <w:uiPriority w:val="0"/>
    <w:tblPr>
      <w:tblCellMar>
        <w:top w:w="0" w:type="dxa"/>
        <w:left w:w="0" w:type="dxa"/>
        <w:bottom w:w="0" w:type="dxa"/>
        <w:right w:w="0" w:type="dxa"/>
      </w:tblCellMar>
    </w:tblPr>
  </w:style>
  <w:style w:type="paragraph" w:customStyle="1" w:styleId="208">
    <w:name w:val="Table Text"/>
    <w:basedOn w:val="1"/>
    <w:qFormat/>
    <w:uiPriority w:val="0"/>
    <w:pPr>
      <w:widowControl/>
      <w:spacing w:before="60" w:after="60"/>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105</Pages>
  <Words>15285</Words>
  <Characters>16010</Characters>
  <Lines>263</Lines>
  <Paragraphs>74</Paragraphs>
  <TotalTime>0</TotalTime>
  <ScaleCrop>false</ScaleCrop>
  <LinksUpToDate>false</LinksUpToDate>
  <CharactersWithSpaces>17962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2022-09-26T00:35:00Z</dcterms:created>
  <dc:creator>dell</dc:creator>
  <cp:lastModifiedBy>Helios、</cp:lastModifiedBy>
  <cp:lastPrinted>2023-07-10T08:49:00Z</cp:lastPrinted>
  <dcterms:modified xsi:type="dcterms:W3CDTF">2025-07-08T03:11:14Z</dcterms:modified>
  <dc:title>海关总署网络设备采购招标项目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AACA0EC0878745AFA4330C0B041E05E6_13</vt:lpwstr>
  </property>
  <property fmtid="{D5CDD505-2E9C-101B-9397-08002B2CF9AE}" pid="4" name="KSOTemplateDocerSaveRecord">
    <vt:lpwstr>eyJoZGlkIjoiOWQ2ZWExMDIwMTAyNTlkY2I3MDQ0MGE2NzkwYzQ5NGQiLCJ1c2VySWQiOiI1MTU3OTAxNTIifQ==</vt:lpwstr>
  </property>
</Properties>
</file>