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12BEE">
      <w:pPr>
        <w:tabs>
          <w:tab w:val="left" w:pos="1490"/>
        </w:tabs>
        <w:adjustRightInd/>
        <w:spacing w:line="360" w:lineRule="auto"/>
        <w:jc w:val="left"/>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48"/>
          <w:szCs w:val="48"/>
          <w:highlight w:val="none"/>
          <w:lang w:val="en-US" w:eastAsia="zh-CN"/>
        </w:rPr>
        <w:tab/>
      </w:r>
      <w:bookmarkStart w:id="435" w:name="_GoBack"/>
    </w:p>
    <w:p w14:paraId="034CAC58">
      <w:pPr>
        <w:adjustRightInd/>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sz w:val="48"/>
          <w:szCs w:val="48"/>
          <w:highlight w:val="none"/>
          <w:lang w:val="en-US" w:eastAsia="zh-CN"/>
        </w:rPr>
        <w:t>奉化区莼湖街道中心小学校舍改造提升工程 </w:t>
      </w:r>
    </w:p>
    <w:p w14:paraId="229D7456">
      <w:pPr>
        <w:rPr>
          <w:rFonts w:hint="eastAsia" w:ascii="仿宋" w:hAnsi="仿宋" w:eastAsia="仿宋" w:cs="仿宋"/>
          <w:color w:val="auto"/>
          <w:lang w:val="en-US" w:eastAsia="zh-CN"/>
        </w:rPr>
      </w:pPr>
    </w:p>
    <w:p w14:paraId="660E7D11">
      <w:pPr>
        <w:pStyle w:val="7"/>
        <w:rPr>
          <w:rFonts w:hint="eastAsia"/>
          <w:color w:val="auto"/>
          <w:lang w:val="en-US" w:eastAsia="zh-CN"/>
        </w:rPr>
      </w:pPr>
    </w:p>
    <w:p w14:paraId="00B3F58A">
      <w:pPr>
        <w:pStyle w:val="7"/>
        <w:rPr>
          <w:rFonts w:hint="eastAsia"/>
          <w:color w:val="auto"/>
          <w:lang w:val="en-US" w:eastAsia="zh-CN"/>
        </w:rPr>
      </w:pPr>
    </w:p>
    <w:p w14:paraId="0FF35D0B">
      <w:pPr>
        <w:pStyle w:val="7"/>
        <w:rPr>
          <w:rFonts w:hint="eastAsia"/>
          <w:color w:val="auto"/>
          <w:lang w:val="en-US" w:eastAsia="zh-CN"/>
        </w:rPr>
      </w:pPr>
    </w:p>
    <w:p w14:paraId="10CB540A">
      <w:pPr>
        <w:pStyle w:val="7"/>
        <w:rPr>
          <w:rFonts w:hint="eastAsia"/>
          <w:color w:val="auto"/>
          <w:lang w:val="en-US" w:eastAsia="zh-CN"/>
        </w:rPr>
      </w:pPr>
    </w:p>
    <w:p w14:paraId="325EEA01">
      <w:pPr>
        <w:rPr>
          <w:rFonts w:hint="eastAsia" w:ascii="仿宋" w:hAnsi="仿宋" w:eastAsia="仿宋" w:cs="仿宋"/>
          <w:color w:val="auto"/>
          <w:lang w:val="en-US" w:eastAsia="zh-CN"/>
        </w:rPr>
      </w:pPr>
    </w:p>
    <w:p w14:paraId="0D92C2AB">
      <w:pPr>
        <w:pStyle w:val="7"/>
        <w:rPr>
          <w:rFonts w:hint="eastAsia"/>
          <w:color w:val="auto"/>
          <w:lang w:val="en-US" w:eastAsia="zh-CN"/>
        </w:rPr>
      </w:pPr>
    </w:p>
    <w:p w14:paraId="298FA413">
      <w:pPr>
        <w:pStyle w:val="17"/>
        <w:rPr>
          <w:rFonts w:hint="eastAsia" w:ascii="仿宋" w:hAnsi="仿宋" w:eastAsia="仿宋" w:cs="仿宋"/>
          <w:color w:val="auto"/>
          <w:lang w:val="en-US" w:eastAsia="zh-CN"/>
        </w:rPr>
      </w:pPr>
    </w:p>
    <w:p w14:paraId="6383261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竞争性磋商采购</w:t>
      </w:r>
      <w:r>
        <w:rPr>
          <w:rFonts w:hint="eastAsia" w:ascii="仿宋" w:hAnsi="仿宋" w:eastAsia="仿宋" w:cs="仿宋"/>
          <w:color w:val="auto"/>
          <w:sz w:val="48"/>
          <w:szCs w:val="48"/>
          <w:highlight w:val="none"/>
        </w:rPr>
        <w:t>文件</w:t>
      </w:r>
    </w:p>
    <w:p w14:paraId="463BAB06">
      <w:pPr>
        <w:adjustRightInd/>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rPr>
        <w:t xml:space="preserve"> （电子招投标）</w:t>
      </w:r>
    </w:p>
    <w:p w14:paraId="6F077BDB">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FHZFCG(2025)147D</w:t>
      </w:r>
    </w:p>
    <w:p w14:paraId="325110FA">
      <w:pPr>
        <w:adjustRightInd/>
        <w:spacing w:line="360" w:lineRule="auto"/>
        <w:rPr>
          <w:rFonts w:hint="eastAsia" w:ascii="仿宋" w:hAnsi="仿宋" w:eastAsia="仿宋" w:cs="仿宋"/>
          <w:color w:val="auto"/>
          <w:sz w:val="28"/>
          <w:szCs w:val="20"/>
          <w:highlight w:val="none"/>
        </w:rPr>
      </w:pPr>
    </w:p>
    <w:p w14:paraId="557B731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E449396">
      <w:pPr>
        <w:spacing w:line="360" w:lineRule="auto"/>
        <w:jc w:val="center"/>
        <w:rPr>
          <w:rFonts w:hint="eastAsia" w:ascii="仿宋" w:hAnsi="仿宋" w:eastAsia="仿宋" w:cs="仿宋"/>
          <w:b/>
          <w:color w:val="auto"/>
          <w:sz w:val="44"/>
          <w:szCs w:val="44"/>
          <w:highlight w:val="none"/>
        </w:rPr>
      </w:pPr>
    </w:p>
    <w:p w14:paraId="238E9886">
      <w:pPr>
        <w:spacing w:line="360" w:lineRule="auto"/>
        <w:jc w:val="both"/>
        <w:rPr>
          <w:rFonts w:hint="eastAsia" w:ascii="仿宋" w:hAnsi="仿宋" w:eastAsia="仿宋" w:cs="仿宋"/>
          <w:color w:val="auto"/>
          <w:sz w:val="24"/>
          <w:highlight w:val="none"/>
        </w:rPr>
      </w:pPr>
    </w:p>
    <w:p w14:paraId="291CCA87">
      <w:pPr>
        <w:spacing w:line="360" w:lineRule="auto"/>
        <w:rPr>
          <w:rFonts w:hint="eastAsia" w:ascii="仿宋" w:hAnsi="仿宋" w:eastAsia="仿宋" w:cs="仿宋"/>
          <w:color w:val="auto"/>
          <w:sz w:val="32"/>
          <w:szCs w:val="32"/>
          <w:highlight w:val="none"/>
        </w:rPr>
      </w:pPr>
    </w:p>
    <w:p w14:paraId="2DD1A526">
      <w:pPr>
        <w:keepNext w:val="0"/>
        <w:keepLines w:val="0"/>
        <w:pageBreakBefore w:val="0"/>
        <w:widowControl w:val="0"/>
        <w:kinsoku/>
        <w:wordWrap/>
        <w:overflowPunct/>
        <w:topLinePunct w:val="0"/>
        <w:autoSpaceDE/>
        <w:autoSpaceDN/>
        <w:bidi w:val="0"/>
        <w:adjustRightInd/>
        <w:snapToGrid w:val="0"/>
        <w:spacing w:line="360" w:lineRule="auto"/>
        <w:ind w:firstLine="1280" w:firstLineChars="4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采购人：宁波市奉化区莼湖街道中心小学</w:t>
      </w:r>
    </w:p>
    <w:p w14:paraId="7CC69921">
      <w:pPr>
        <w:keepNext w:val="0"/>
        <w:keepLines w:val="0"/>
        <w:pageBreakBefore w:val="0"/>
        <w:widowControl w:val="0"/>
        <w:kinsoku/>
        <w:wordWrap/>
        <w:overflowPunct/>
        <w:topLinePunct w:val="0"/>
        <w:autoSpaceDE/>
        <w:autoSpaceDN/>
        <w:bidi w:val="0"/>
        <w:adjustRightInd/>
        <w:snapToGrid w:val="0"/>
        <w:spacing w:line="360" w:lineRule="auto"/>
        <w:ind w:firstLine="1280" w:firstLineChars="400"/>
        <w:jc w:val="both"/>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采购代理机构：</w:t>
      </w:r>
      <w:r>
        <w:rPr>
          <w:rFonts w:hint="eastAsia" w:ascii="仿宋" w:hAnsi="仿宋" w:eastAsia="仿宋" w:cs="仿宋"/>
          <w:bCs/>
          <w:color w:val="auto"/>
          <w:sz w:val="32"/>
          <w:szCs w:val="32"/>
          <w:highlight w:val="none"/>
          <w:lang w:val="en-US" w:eastAsia="zh-CN"/>
        </w:rPr>
        <w:t>宁波慧泽工程管理咨询有限公司</w:t>
      </w:r>
    </w:p>
    <w:p w14:paraId="6BA728B8">
      <w:pPr>
        <w:snapToGrid w:val="0"/>
        <w:spacing w:line="360" w:lineRule="auto"/>
        <w:jc w:val="center"/>
        <w:rPr>
          <w:rFonts w:hint="eastAsia" w:ascii="仿宋" w:hAnsi="仿宋" w:eastAsia="仿宋" w:cs="仿宋"/>
          <w:bCs/>
          <w:color w:val="auto"/>
          <w:sz w:val="32"/>
          <w:szCs w:val="32"/>
          <w:highlight w:val="none"/>
        </w:rPr>
      </w:pPr>
    </w:p>
    <w:p w14:paraId="50DD196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lang w:eastAsia="zh-CN"/>
        </w:rPr>
        <w:t>月</w:t>
      </w:r>
    </w:p>
    <w:p w14:paraId="01B00098">
      <w:pPr>
        <w:spacing w:line="360" w:lineRule="auto"/>
        <w:jc w:val="center"/>
        <w:rPr>
          <w:rFonts w:hint="eastAsia" w:ascii="仿宋" w:hAnsi="仿宋" w:eastAsia="仿宋" w:cs="仿宋"/>
          <w:color w:val="auto"/>
          <w:sz w:val="24"/>
          <w:highlight w:val="none"/>
        </w:rPr>
        <w:sectPr>
          <w:headerReference r:id="rId3" w:type="default"/>
          <w:footerReference r:id="rId4"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0" w:name="_Hlt67893495"/>
      <w:bookmarkEnd w:id="0"/>
    </w:p>
    <w:sdt>
      <w:sdtPr>
        <w:rPr>
          <w:rFonts w:ascii="宋体" w:hAnsi="宋体" w:eastAsia="宋体" w:cs="Times New Roman"/>
          <w:color w:val="auto"/>
          <w:kern w:val="2"/>
          <w:sz w:val="21"/>
          <w:lang w:val="en-US" w:eastAsia="zh-CN" w:bidi="ar-SA"/>
        </w:rPr>
        <w:id w:val="147475255"/>
        <w15:color w:val="DBDBDB"/>
        <w:docPartObj>
          <w:docPartGallery w:val="Table of Contents"/>
          <w:docPartUnique/>
        </w:docPartObj>
      </w:sdtPr>
      <w:sdtEndPr>
        <w:rPr>
          <w:rFonts w:hint="eastAsia" w:ascii="Calibri" w:hAnsi="Calibri" w:eastAsia="宋体" w:cs="Times New Roman"/>
          <w:color w:val="auto"/>
          <w:kern w:val="2"/>
          <w:sz w:val="21"/>
          <w:szCs w:val="22"/>
          <w:lang w:val="en-US" w:eastAsia="zh-CN" w:bidi="ar-SA"/>
        </w:rPr>
      </w:sdtEndPr>
      <w:sdtContent>
        <w:p w14:paraId="450871E8">
          <w:pPr>
            <w:spacing w:before="0" w:beforeLines="0" w:after="0" w:afterLines="0" w:line="240" w:lineRule="auto"/>
            <w:ind w:left="0" w:leftChars="0" w:right="0" w:rightChars="0" w:firstLine="0" w:firstLineChars="0"/>
            <w:jc w:val="center"/>
            <w:rPr>
              <w:rFonts w:hint="eastAsia" w:ascii="仿宋" w:hAnsi="仿宋" w:eastAsia="仿宋" w:cs="仿宋"/>
              <w:color w:val="auto"/>
              <w:sz w:val="44"/>
              <w:szCs w:val="44"/>
            </w:rPr>
          </w:pPr>
          <w:r>
            <w:rPr>
              <w:rFonts w:hint="eastAsia" w:ascii="仿宋" w:hAnsi="仿宋" w:eastAsia="仿宋" w:cs="仿宋"/>
              <w:color w:val="auto"/>
              <w:sz w:val="44"/>
              <w:szCs w:val="44"/>
            </w:rPr>
            <w:t>目录</w:t>
          </w:r>
        </w:p>
        <w:p w14:paraId="5CDB26E4">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eastAsia="宋体"/>
              <w:color w:val="auto"/>
              <w:lang w:val="en-US" w:eastAsia="zh-CN"/>
            </w:rPr>
            <w:fldChar w:fldCharType="begin"/>
          </w:r>
          <w:r>
            <w:rPr>
              <w:rFonts w:hint="eastAsia" w:eastAsia="宋体"/>
              <w:color w:val="auto"/>
              <w:lang w:val="en-US" w:eastAsia="zh-CN"/>
            </w:rPr>
            <w:instrText xml:space="preserve">TOC \o "1-1" \h \u </w:instrText>
          </w:r>
          <w:r>
            <w:rPr>
              <w:rFonts w:hint="eastAsia" w:eastAsia="宋体"/>
              <w:color w:val="auto"/>
              <w:lang w:val="en-US" w:eastAsia="zh-CN"/>
            </w:rPr>
            <w:fldChar w:fldCharType="separate"/>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_Toc30494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第一部分 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_Toc30494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39604720">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_Toc4861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 xml:space="preserve">第二部分 </w:t>
          </w:r>
          <w:r>
            <w:rPr>
              <w:rFonts w:hint="eastAsia" w:ascii="仿宋" w:hAnsi="仿宋" w:eastAsia="仿宋" w:cs="仿宋"/>
              <w:color w:val="auto"/>
              <w:sz w:val="28"/>
              <w:szCs w:val="28"/>
              <w:lang w:val="en-US" w:eastAsia="zh-CN"/>
            </w:rPr>
            <w:t>竞争性磋商须知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1A434F8D">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_Toc12745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_Toc12745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20F9E826">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_Toc23959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 xml:space="preserve">第四部分 </w:t>
          </w:r>
          <w:r>
            <w:rPr>
              <w:rFonts w:hint="eastAsia" w:ascii="仿宋" w:hAnsi="仿宋" w:eastAsia="仿宋" w:cs="仿宋"/>
              <w:color w:val="auto"/>
              <w:sz w:val="28"/>
              <w:szCs w:val="28"/>
              <w:highlight w:val="none"/>
              <w:lang w:val="en-US" w:eastAsia="zh-CN"/>
            </w:rPr>
            <w:t>评审</w:t>
          </w:r>
          <w:r>
            <w:rPr>
              <w:rFonts w:hint="eastAsia" w:ascii="仿宋" w:hAnsi="仿宋" w:eastAsia="仿宋" w:cs="仿宋"/>
              <w:color w:val="auto"/>
              <w:sz w:val="28"/>
              <w:szCs w:val="28"/>
              <w:highlight w:val="none"/>
            </w:rPr>
            <w:t>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_Toc23959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742BC725">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_Toc17903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 xml:space="preserve">第五部分 </w:t>
          </w:r>
          <w:r>
            <w:rPr>
              <w:rFonts w:hint="eastAsia" w:ascii="仿宋" w:hAnsi="仿宋" w:eastAsia="仿宋" w:cs="仿宋"/>
              <w:color w:val="auto"/>
              <w:sz w:val="28"/>
              <w:szCs w:val="28"/>
              <w:highlight w:val="none"/>
            </w:rPr>
            <w:t>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_Toc17903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527957FF">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_Toc20938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 xml:space="preserve">第六部分 </w:t>
          </w:r>
          <w:r>
            <w:rPr>
              <w:rFonts w:hint="eastAsia" w:ascii="仿宋" w:hAnsi="仿宋" w:eastAsia="仿宋" w:cs="仿宋"/>
              <w:color w:val="auto"/>
              <w:sz w:val="28"/>
              <w:szCs w:val="28"/>
              <w:highlight w:val="none"/>
              <w:lang w:val="en-US" w:eastAsia="zh-CN"/>
            </w:rPr>
            <w:t>工程量清单及图纸</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_Toc20938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5650117D">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\l _Toc1794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 xml:space="preserve">第七部分 </w:t>
          </w:r>
          <w:r>
            <w:rPr>
              <w:rFonts w:hint="eastAsia" w:ascii="仿宋" w:hAnsi="仿宋" w:eastAsia="仿宋" w:cs="仿宋"/>
              <w:color w:val="auto"/>
              <w:sz w:val="28"/>
              <w:szCs w:val="28"/>
              <w:highlight w:val="none"/>
            </w:rPr>
            <w:t>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fldChar w:fldCharType="end"/>
          </w:r>
        </w:p>
        <w:p w14:paraId="2BB06510">
          <w:pPr>
            <w:pStyle w:val="11"/>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color w:val="auto"/>
            </w:rPr>
          </w:pPr>
        </w:p>
        <w:p w14:paraId="5131220F">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color w:val="auto"/>
              <w:kern w:val="2"/>
              <w:sz w:val="21"/>
              <w:szCs w:val="22"/>
              <w:lang w:val="en-US" w:eastAsia="zh-CN" w:bidi="ar-SA"/>
            </w:rPr>
          </w:pPr>
          <w:r>
            <w:rPr>
              <w:rFonts w:hint="eastAsia" w:eastAsia="宋体"/>
              <w:color w:val="auto"/>
              <w:lang w:val="en-US" w:eastAsia="zh-CN"/>
            </w:rPr>
            <w:fldChar w:fldCharType="end"/>
          </w:r>
        </w:p>
      </w:sdtContent>
    </w:sdt>
    <w:p w14:paraId="012B64B3">
      <w:pPr>
        <w:pStyle w:val="22"/>
        <w:rPr>
          <w:rFonts w:hint="eastAsia" w:ascii="Calibri" w:hAnsi="Calibri" w:eastAsia="宋体" w:cs="Times New Roman"/>
          <w:color w:val="auto"/>
          <w:kern w:val="2"/>
          <w:sz w:val="21"/>
          <w:szCs w:val="22"/>
          <w:lang w:val="en-US" w:eastAsia="zh-CN" w:bidi="ar-SA"/>
        </w:rPr>
        <w:sectPr>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7E2A358">
      <w:pPr>
        <w:shd w:val="clear"/>
        <w:spacing w:line="360" w:lineRule="auto"/>
        <w:ind w:firstLine="361"/>
        <w:jc w:val="center"/>
        <w:outlineLvl w:val="0"/>
        <w:rPr>
          <w:rFonts w:asciiTheme="minorEastAsia" w:hAnsiTheme="minorEastAsia" w:eastAsiaTheme="minorEastAsia" w:cstheme="minorEastAsia"/>
          <w:b/>
          <w:color w:val="auto"/>
          <w:sz w:val="24"/>
        </w:rPr>
      </w:pPr>
      <w:bookmarkStart w:id="1" w:name="_Toc30494"/>
      <w:r>
        <w:rPr>
          <w:rFonts w:hint="eastAsia" w:asciiTheme="minorEastAsia" w:hAnsiTheme="minorEastAsia" w:eastAsiaTheme="minorEastAsia" w:cstheme="minorEastAsia"/>
          <w:b/>
          <w:color w:val="auto"/>
          <w:sz w:val="36"/>
          <w:szCs w:val="20"/>
        </w:rPr>
        <w:t>第一部分 竞争性磋商公告</w:t>
      </w:r>
      <w:bookmarkEnd w:id="1"/>
    </w:p>
    <w:p w14:paraId="25C490EE">
      <w:pPr>
        <w:keepNext w:val="0"/>
        <w:keepLines w:val="0"/>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0769BA98">
      <w:pPr>
        <w:keepNext w:val="0"/>
        <w:keepLines w:val="0"/>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奉化区莼湖街道中心小学校舍改造提升工程</w:t>
      </w:r>
      <w:r>
        <w:rPr>
          <w:rFonts w:hint="eastAsia" w:ascii="仿宋" w:hAnsi="仿宋" w:eastAsia="仿宋" w:cs="仿宋"/>
          <w:color w:val="auto"/>
          <w:sz w:val="24"/>
          <w:szCs w:val="24"/>
        </w:rPr>
        <w:t>的潜在供应商应在政采云平台（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"https://www.zcygov.cn/）获取（下载）招标文件，并于2022年00月00日14点30分00秒"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https：//www.zcygov.cn/）获取（下载）采购文件，并于2025年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点</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秒</w:t>
      </w:r>
      <w:r>
        <w:rPr>
          <w:rFonts w:hint="eastAsia" w:ascii="仿宋" w:hAnsi="仿宋" w:eastAsia="仿宋" w:cs="仿宋"/>
          <w:color w:val="auto"/>
          <w:sz w:val="24"/>
          <w:szCs w:val="24"/>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递交（上传）响应文件。</w:t>
      </w:r>
    </w:p>
    <w:p w14:paraId="0EBBAEB8">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5376E873">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项目编号：</w:t>
      </w:r>
      <w:r>
        <w:rPr>
          <w:rFonts w:hint="eastAsia" w:ascii="仿宋" w:hAnsi="仿宋" w:eastAsia="仿宋" w:cs="仿宋"/>
          <w:b/>
          <w:color w:val="auto"/>
          <w:sz w:val="24"/>
          <w:szCs w:val="24"/>
          <w:lang w:val="en-US" w:eastAsia="zh-CN"/>
        </w:rPr>
        <w:t>FHZFCG(2025)147D</w:t>
      </w:r>
    </w:p>
    <w:p w14:paraId="497ECD5D">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Cs/>
          <w:snapToGrid w:val="0"/>
          <w:color w:val="auto"/>
          <w:sz w:val="24"/>
          <w:szCs w:val="24"/>
          <w:lang w:eastAsia="zh-CN"/>
        </w:rPr>
        <w:t>奉化区莼湖街道中心小学校舍改造提升工程</w:t>
      </w:r>
      <w:r>
        <w:rPr>
          <w:rFonts w:hint="eastAsia" w:ascii="仿宋" w:hAnsi="仿宋" w:eastAsia="仿宋" w:cs="仿宋"/>
          <w:bCs/>
          <w:snapToGrid w:val="0"/>
          <w:color w:val="auto"/>
          <w:sz w:val="24"/>
          <w:szCs w:val="24"/>
        </w:rPr>
        <w:t> </w:t>
      </w:r>
    </w:p>
    <w:p w14:paraId="6DD8DFBC">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Cs/>
          <w:snapToGrid w:val="0"/>
          <w:color w:val="auto"/>
          <w:sz w:val="24"/>
          <w:szCs w:val="24"/>
          <w:lang w:val="en-US" w:eastAsia="zh-CN"/>
        </w:rPr>
      </w:pP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986633</w:t>
      </w:r>
      <w:r>
        <w:rPr>
          <w:rFonts w:hint="eastAsia" w:ascii="仿宋" w:hAnsi="仿宋" w:eastAsia="仿宋" w:cs="仿宋"/>
          <w:b w:val="0"/>
          <w:bCs/>
          <w:color w:val="auto"/>
          <w:sz w:val="24"/>
          <w:szCs w:val="24"/>
          <w:lang w:val="en-US" w:eastAsia="zh-CN"/>
        </w:rPr>
        <w:t>元</w:t>
      </w:r>
    </w:p>
    <w:p w14:paraId="78B5257D">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default" w:ascii="仿宋" w:hAnsi="仿宋" w:eastAsia="仿宋" w:cs="仿宋"/>
          <w:color w:val="auto"/>
          <w:sz w:val="24"/>
          <w:szCs w:val="24"/>
          <w:lang w:val="en-US"/>
        </w:rPr>
      </w:pP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rPr>
        <w:t>986633</w:t>
      </w:r>
      <w:r>
        <w:rPr>
          <w:rFonts w:hint="eastAsia" w:ascii="仿宋" w:hAnsi="仿宋" w:eastAsia="仿宋" w:cs="仿宋"/>
          <w:b w:val="0"/>
          <w:bCs/>
          <w:color w:val="auto"/>
          <w:sz w:val="24"/>
          <w:szCs w:val="24"/>
          <w:lang w:val="en-US" w:eastAsia="zh-CN"/>
        </w:rPr>
        <w:t>元，最高综合折扣率95%</w:t>
      </w:r>
    </w:p>
    <w:p w14:paraId="04BD1D3E">
      <w:pPr>
        <w:pStyle w:val="23"/>
        <w:keepNext w:val="0"/>
        <w:keepLines w:val="0"/>
        <w:pageBreakBefore w:val="0"/>
        <w:kinsoku/>
        <w:wordWrap/>
        <w:overflowPunct/>
        <w:topLinePunct w:val="0"/>
        <w:autoSpaceDE/>
        <w:autoSpaceDN/>
        <w:bidi w:val="0"/>
        <w:adjustRightInd/>
        <w:spacing w:before="0" w:line="360" w:lineRule="auto"/>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0DB719E0">
      <w:pPr>
        <w:pStyle w:val="23"/>
        <w:keepNext w:val="0"/>
        <w:keepLines w:val="0"/>
        <w:pageBreakBefore w:val="0"/>
        <w:kinsoku/>
        <w:wordWrap/>
        <w:overflowPunct/>
        <w:topLinePunct w:val="0"/>
        <w:autoSpaceDE/>
        <w:autoSpaceDN/>
        <w:bidi w:val="0"/>
        <w:adjustRightInd/>
        <w:spacing w:before="0" w:line="360" w:lineRule="auto"/>
        <w:textAlignment w:val="auto"/>
        <w:outlineLvl w:val="2"/>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
          <w:color w:val="auto"/>
          <w:highlight w:val="none"/>
          <w:lang w:val="en-US" w:eastAsia="zh-CN"/>
        </w:rPr>
        <w:t>标项名称：</w:t>
      </w:r>
      <w:r>
        <w:rPr>
          <w:rFonts w:hint="eastAsia" w:ascii="仿宋" w:hAnsi="仿宋" w:eastAsia="仿宋" w:cs="仿宋"/>
          <w:bCs/>
          <w:snapToGrid w:val="0"/>
          <w:color w:val="auto"/>
          <w:sz w:val="24"/>
          <w:szCs w:val="24"/>
          <w:lang w:eastAsia="zh-CN"/>
        </w:rPr>
        <w:t>奉化区莼湖街道中心小学校舍改造提升工程</w:t>
      </w:r>
    </w:p>
    <w:p w14:paraId="274573DF">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数量：1项</w:t>
      </w:r>
    </w:p>
    <w:p w14:paraId="06CB23A0">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Cs/>
          <w:snapToGrid w:val="0"/>
          <w:color w:val="auto"/>
          <w:sz w:val="24"/>
          <w:szCs w:val="24"/>
          <w:lang w:val="en-US" w:eastAsia="zh-CN"/>
        </w:rPr>
      </w:pPr>
      <w:r>
        <w:rPr>
          <w:rFonts w:hint="eastAsia" w:ascii="仿宋" w:hAnsi="仿宋" w:eastAsia="仿宋" w:cs="仿宋"/>
          <w:b/>
          <w:color w:val="auto"/>
          <w:sz w:val="24"/>
          <w:szCs w:val="24"/>
          <w:lang w:val="en-US" w:eastAsia="zh-CN"/>
        </w:rPr>
        <w:t>简要规格描述：</w:t>
      </w:r>
      <w:r>
        <w:rPr>
          <w:rFonts w:hint="eastAsia" w:ascii="仿宋" w:hAnsi="仿宋" w:eastAsia="仿宋" w:cs="仿宋"/>
          <w:bCs/>
          <w:snapToGrid w:val="0"/>
          <w:color w:val="auto"/>
          <w:sz w:val="24"/>
          <w:szCs w:val="24"/>
          <w:lang w:eastAsia="zh-CN"/>
        </w:rPr>
        <w:t>奉化区莼湖街道中心小学校舍改造提升工程，</w:t>
      </w:r>
      <w:r>
        <w:rPr>
          <w:rFonts w:hint="eastAsia" w:ascii="仿宋" w:hAnsi="仿宋" w:eastAsia="仿宋" w:cs="仿宋"/>
          <w:bCs/>
          <w:snapToGrid w:val="0"/>
          <w:color w:val="auto"/>
          <w:sz w:val="24"/>
          <w:szCs w:val="24"/>
          <w:lang w:val="en-US" w:eastAsia="zh-CN"/>
        </w:rPr>
        <w:t>详见竞争性磋商文件第三章“采购需求”</w:t>
      </w:r>
    </w:p>
    <w:p w14:paraId="008E5DDC">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备注： /</w:t>
      </w:r>
    </w:p>
    <w:p w14:paraId="6A4E4C6C">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合同履约期限：</w:t>
      </w:r>
      <w:r>
        <w:rPr>
          <w:rFonts w:hint="eastAsia" w:ascii="仿宋" w:hAnsi="仿宋" w:eastAsia="仿宋" w:cs="仿宋"/>
          <w:bCs/>
          <w:snapToGrid w:val="0"/>
          <w:color w:val="auto"/>
          <w:sz w:val="24"/>
          <w:szCs w:val="24"/>
          <w:lang w:val="en-US" w:eastAsia="zh-CN"/>
        </w:rPr>
        <w:t>详见竞争性磋商文件第三章“采购需求”</w:t>
      </w:r>
    </w:p>
    <w:p w14:paraId="5B67D887">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本项目接受联合体投标：</w:t>
      </w:r>
      <w:r>
        <w:rPr>
          <w:rFonts w:hint="eastAsia" w:ascii="仿宋" w:hAnsi="仿宋" w:eastAsia="仿宋" w:cs="仿宋"/>
          <w:b/>
          <w:color w:val="auto"/>
          <w:sz w:val="24"/>
          <w:szCs w:val="24"/>
          <w:lang w:val="en-US" w:eastAsia="zh-CN"/>
        </w:rPr>
        <w:sym w:font="Wingdings" w:char="00A8"/>
      </w:r>
      <w:r>
        <w:rPr>
          <w:rFonts w:hint="eastAsia" w:ascii="仿宋" w:hAnsi="仿宋" w:eastAsia="仿宋" w:cs="仿宋"/>
          <w:b/>
          <w:color w:val="auto"/>
          <w:sz w:val="24"/>
          <w:szCs w:val="24"/>
          <w:lang w:val="en-US" w:eastAsia="zh-CN"/>
        </w:rPr>
        <w:t>是，</w:t>
      </w:r>
      <w:r>
        <w:rPr>
          <w:rFonts w:hint="eastAsia" w:ascii="仿宋" w:hAnsi="仿宋" w:eastAsia="仿宋" w:cs="仿宋"/>
          <w:b/>
          <w:color w:val="auto"/>
          <w:sz w:val="24"/>
          <w:szCs w:val="24"/>
          <w:lang w:val="en-US" w:eastAsia="zh-CN"/>
        </w:rPr>
        <w:sym w:font="Wingdings" w:char="00FE"/>
      </w:r>
      <w:r>
        <w:rPr>
          <w:rFonts w:hint="eastAsia" w:ascii="仿宋" w:hAnsi="仿宋" w:eastAsia="仿宋" w:cs="仿宋"/>
          <w:b/>
          <w:color w:val="auto"/>
          <w:sz w:val="24"/>
          <w:szCs w:val="24"/>
          <w:lang w:val="en-US" w:eastAsia="zh-CN"/>
        </w:rPr>
        <w:t>否。</w:t>
      </w:r>
    </w:p>
    <w:p w14:paraId="2F512DC0">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二、申请人的资格要求：</w:t>
      </w:r>
    </w:p>
    <w:p w14:paraId="1DCAF843">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8BA52B5">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2.</w:t>
      </w:r>
      <w:r>
        <w:rPr>
          <w:rFonts w:hint="eastAsia" w:ascii="仿宋" w:hAnsi="仿宋" w:eastAsia="仿宋" w:cs="仿宋"/>
          <w:color w:val="auto"/>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8BE5AA">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3.落实政府采购政策需满足的资格要求：</w:t>
      </w:r>
      <w:r>
        <w:rPr>
          <w:rFonts w:hint="eastAsia" w:ascii="仿宋" w:hAnsi="仿宋" w:eastAsia="仿宋" w:cs="仿宋"/>
          <w:snapToGrid w:val="0"/>
          <w:color w:val="auto"/>
          <w:kern w:val="28"/>
          <w:sz w:val="24"/>
          <w:szCs w:val="24"/>
          <w:lang w:val="en-US" w:eastAsia="zh-CN"/>
        </w:rPr>
        <w:t>本项目</w:t>
      </w:r>
      <w:r>
        <w:rPr>
          <w:rFonts w:hint="eastAsia" w:ascii="仿宋" w:hAnsi="仿宋" w:eastAsia="仿宋" w:cs="仿宋"/>
          <w:snapToGrid w:val="0"/>
          <w:color w:val="auto"/>
          <w:kern w:val="28"/>
          <w:sz w:val="24"/>
          <w:szCs w:val="24"/>
        </w:rPr>
        <w:t>专门面向中小企业（工程全部由符合政策要求的中小企业承接，提供中小企业声明函）</w:t>
      </w:r>
    </w:p>
    <w:p w14:paraId="59CCB9AE">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4.本项目的特定资格要求：供应商须具备市政公用工程施工总承包叁级及以上资质并具备有效的建筑施工企业安全生产许可证。</w:t>
      </w:r>
    </w:p>
    <w:p w14:paraId="73206A18">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三、获取采购文件 </w:t>
      </w:r>
    </w:p>
    <w:p w14:paraId="4B7D9529">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时间：</w:t>
      </w:r>
      <w:r>
        <w:rPr>
          <w:rFonts w:hint="eastAsia" w:ascii="仿宋" w:hAnsi="仿宋" w:eastAsia="仿宋" w:cs="仿宋"/>
          <w:color w:val="auto"/>
          <w:sz w:val="24"/>
          <w:szCs w:val="24"/>
          <w:u w:val="single"/>
        </w:rPr>
        <w:t>2025年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2025年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26</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，每天上午00：00至12：00 ，下午12：00至23：59（北京时间）。</w:t>
      </w:r>
    </w:p>
    <w:p w14:paraId="258575F4">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地点（网址）：</w:t>
      </w:r>
      <w:r>
        <w:rPr>
          <w:rFonts w:hint="eastAsia" w:ascii="仿宋" w:hAnsi="仿宋" w:eastAsia="仿宋" w:cs="仿宋"/>
          <w:color w:val="auto"/>
          <w:sz w:val="24"/>
          <w:szCs w:val="24"/>
        </w:rPr>
        <w:t>政采云平台（https：//www.zcygov.cn/）。</w:t>
      </w:r>
    </w:p>
    <w:p w14:paraId="407E13CB">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方式：</w:t>
      </w:r>
      <w:r>
        <w:rPr>
          <w:rFonts w:hint="eastAsia" w:ascii="仿宋" w:hAnsi="仿宋" w:eastAsia="仿宋" w:cs="仿宋"/>
          <w:color w:val="auto"/>
          <w:sz w:val="24"/>
          <w:szCs w:val="24"/>
        </w:rPr>
        <w:t xml:space="preserve">供应商登录政采云平台https：//www.zcygov.cn/在线申请获取采购文件（进入“项目采购”应用，在获取采购文件菜单中选择项目，申请获取采购文件）。 </w:t>
      </w:r>
    </w:p>
    <w:p w14:paraId="66B05F9D">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售价（元）：</w:t>
      </w:r>
      <w:r>
        <w:rPr>
          <w:rFonts w:hint="eastAsia" w:ascii="仿宋" w:hAnsi="仿宋" w:eastAsia="仿宋" w:cs="仿宋"/>
          <w:color w:val="auto"/>
          <w:sz w:val="24"/>
          <w:szCs w:val="24"/>
        </w:rPr>
        <w:t xml:space="preserve">0 </w:t>
      </w:r>
      <w:r>
        <w:rPr>
          <w:rFonts w:hint="eastAsia" w:ascii="仿宋" w:hAnsi="仿宋" w:eastAsia="仿宋" w:cs="仿宋"/>
          <w:color w:val="auto"/>
          <w:sz w:val="24"/>
          <w:szCs w:val="24"/>
        </w:rPr>
        <w:tab/>
      </w:r>
    </w:p>
    <w:p w14:paraId="68067BAD">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四、首次提交响应文件截止时间、磋商时间和地点</w:t>
      </w:r>
    </w:p>
    <w:p w14:paraId="530C6E78">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首次提交响应文件截止时间：</w:t>
      </w:r>
      <w:r>
        <w:rPr>
          <w:rFonts w:hint="eastAsia" w:ascii="仿宋" w:hAnsi="仿宋" w:eastAsia="仿宋" w:cs="仿宋"/>
          <w:color w:val="auto"/>
          <w:sz w:val="24"/>
          <w:szCs w:val="24"/>
          <w:u w:val="single"/>
        </w:rPr>
        <w:t>2025年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（北京时间）</w:t>
      </w:r>
      <w:r>
        <w:rPr>
          <w:rFonts w:hint="eastAsia" w:ascii="仿宋" w:hAnsi="仿宋" w:eastAsia="仿宋" w:cs="仿宋"/>
          <w:color w:val="auto"/>
          <w:sz w:val="24"/>
          <w:szCs w:val="24"/>
        </w:rPr>
        <w:t>。</w:t>
      </w:r>
    </w:p>
    <w:p w14:paraId="3D6FC40B">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提交响应文件地点（网址）：</w:t>
      </w:r>
      <w:r>
        <w:rPr>
          <w:rFonts w:hint="eastAsia" w:ascii="仿宋" w:hAnsi="仿宋" w:eastAsia="仿宋" w:cs="仿宋"/>
          <w:color w:val="auto"/>
          <w:sz w:val="24"/>
          <w:szCs w:val="24"/>
        </w:rPr>
        <w:t>政采云平台（https：//www.zcygov.cn/）。</w:t>
      </w:r>
    </w:p>
    <w:p w14:paraId="577D4F09">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Cs/>
          <w:color w:val="auto"/>
          <w:sz w:val="24"/>
          <w:szCs w:val="24"/>
          <w:u w:val="single"/>
        </w:rPr>
      </w:pPr>
      <w:r>
        <w:rPr>
          <w:rFonts w:hint="eastAsia" w:ascii="仿宋" w:hAnsi="仿宋" w:eastAsia="仿宋" w:cs="仿宋"/>
          <w:b/>
          <w:color w:val="auto"/>
          <w:sz w:val="24"/>
          <w:szCs w:val="24"/>
        </w:rPr>
        <w:t>首次提交响应文件开启时间：</w:t>
      </w:r>
      <w:r>
        <w:rPr>
          <w:rFonts w:hint="eastAsia" w:ascii="仿宋" w:hAnsi="仿宋" w:eastAsia="仿宋" w:cs="仿宋"/>
          <w:color w:val="auto"/>
          <w:sz w:val="24"/>
          <w:szCs w:val="24"/>
          <w:u w:val="single"/>
        </w:rPr>
        <w:t>2025年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rPr>
        <w:t>。</w:t>
      </w:r>
    </w:p>
    <w:p w14:paraId="1E51BD4A">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首次提交响应文件开启地点（网址）：</w:t>
      </w:r>
      <w:r>
        <w:rPr>
          <w:rFonts w:hint="eastAsia" w:ascii="仿宋" w:hAnsi="仿宋" w:eastAsia="仿宋" w:cs="仿宋"/>
          <w:color w:val="auto"/>
          <w:sz w:val="24"/>
          <w:szCs w:val="24"/>
        </w:rPr>
        <w:t>政采云平台（https：//www.zcygov.cn/）。</w:t>
      </w:r>
    </w:p>
    <w:p w14:paraId="7AE67EE2">
      <w:pPr>
        <w:keepNext w:val="0"/>
        <w:keepLines w:val="0"/>
        <w:pageBreakBefore w:val="0"/>
        <w:shd w:val="clear"/>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首次提交响应文件开启地点（</w:t>
      </w:r>
      <w:r>
        <w:rPr>
          <w:rFonts w:hint="eastAsia" w:ascii="仿宋" w:hAnsi="仿宋" w:eastAsia="仿宋" w:cs="仿宋"/>
          <w:b/>
          <w:color w:val="auto"/>
          <w:sz w:val="24"/>
          <w:szCs w:val="24"/>
          <w:u w:val="none"/>
        </w:rPr>
        <w:t>线下）：</w:t>
      </w:r>
      <w:r>
        <w:rPr>
          <w:rFonts w:hint="eastAsia" w:ascii="仿宋" w:hAnsi="仿宋" w:eastAsia="仿宋" w:cs="仿宋"/>
          <w:bCs/>
          <w:color w:val="auto"/>
          <w:sz w:val="24"/>
          <w:szCs w:val="24"/>
          <w:u w:val="none"/>
        </w:rPr>
        <w:t>宁波市奉化区公共资源交易中心开标厅</w:t>
      </w:r>
      <w:r>
        <w:rPr>
          <w:rFonts w:hint="eastAsia" w:ascii="仿宋" w:hAnsi="仿宋" w:eastAsia="仿宋" w:cs="仿宋"/>
          <w:bCs/>
          <w:color w:val="auto"/>
          <w:sz w:val="24"/>
          <w:szCs w:val="24"/>
          <w:u w:val="none"/>
          <w:lang w:val="en-US" w:eastAsia="zh-CN"/>
        </w:rPr>
        <w:t>一</w:t>
      </w:r>
      <w:r>
        <w:rPr>
          <w:rFonts w:hint="eastAsia" w:ascii="仿宋" w:hAnsi="仿宋" w:eastAsia="仿宋" w:cs="仿宋"/>
          <w:bCs/>
          <w:color w:val="auto"/>
          <w:sz w:val="24"/>
          <w:szCs w:val="24"/>
          <w:u w:val="none"/>
        </w:rPr>
        <w:t>（宁波市奉化区大成东路277号4楼）</w:t>
      </w:r>
    </w:p>
    <w:p w14:paraId="0D15B39C">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五、公告期限 </w:t>
      </w:r>
    </w:p>
    <w:p w14:paraId="7897B0E4">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38E5D812">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六、其他补充事宜</w:t>
      </w:r>
    </w:p>
    <w:p w14:paraId="6871105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4DB72D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C4C14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6B57C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按照平台提示和招标文件的规定在半小时内完成在线解密。⑨具体操作指南：详见政采云平台“服务中心-帮助文档-项目采购-操作流程-电子招投标-政府采购项目电子交易管理操作指南-供应商”。</w:t>
      </w:r>
    </w:p>
    <w:p w14:paraId="4133BF34">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七、对本次采购提出询问、质疑、投诉，请按以下方式联系</w:t>
      </w:r>
    </w:p>
    <w:p w14:paraId="54DFB87A">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45E25AE6">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称：宁波市奉化区莼湖街道中心小学</w:t>
      </w:r>
    </w:p>
    <w:p w14:paraId="1002E0FC">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址：宁波市奉化区莼湖街道振兴路1号</w:t>
      </w:r>
    </w:p>
    <w:p w14:paraId="71B35ECE">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戴老师</w:t>
      </w:r>
    </w:p>
    <w:p w14:paraId="1C86E594">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0574-</w:t>
      </w:r>
      <w:r>
        <w:rPr>
          <w:rFonts w:hint="eastAsia" w:ascii="仿宋" w:hAnsi="仿宋" w:eastAsia="仿宋" w:cs="仿宋"/>
          <w:color w:val="auto"/>
          <w:sz w:val="24"/>
          <w:szCs w:val="24"/>
        </w:rPr>
        <w:t>59519355</w:t>
      </w:r>
    </w:p>
    <w:p w14:paraId="130CF7DE">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王老师</w:t>
      </w:r>
    </w:p>
    <w:p w14:paraId="2A02843C">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0574-</w:t>
      </w:r>
      <w:r>
        <w:rPr>
          <w:rFonts w:hint="eastAsia" w:ascii="仿宋" w:hAnsi="仿宋" w:eastAsia="仿宋" w:cs="仿宋"/>
          <w:color w:val="auto"/>
          <w:sz w:val="24"/>
          <w:szCs w:val="24"/>
        </w:rPr>
        <w:t>59519358</w:t>
      </w:r>
    </w:p>
    <w:p w14:paraId="010A9141">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p>
    <w:p w14:paraId="428297D8">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rPr>
        <w:t>采购代理机构信息</w:t>
      </w:r>
    </w:p>
    <w:p w14:paraId="0D043A10">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称：宁波慧泽工程管理咨询有限公司</w:t>
      </w:r>
    </w:p>
    <w:p w14:paraId="019524EC">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    址：宁波市鄞州区朝晖路17号上海银行大厦11-2-5 </w:t>
      </w:r>
    </w:p>
    <w:p w14:paraId="19DC9AD3">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真：/             </w:t>
      </w:r>
    </w:p>
    <w:p w14:paraId="1C50D701">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 </w:t>
      </w:r>
      <w:r>
        <w:rPr>
          <w:rFonts w:hint="eastAsia" w:ascii="仿宋" w:hAnsi="仿宋" w:eastAsia="仿宋" w:cs="仿宋"/>
          <w:color w:val="auto"/>
          <w:sz w:val="24"/>
          <w:szCs w:val="24"/>
          <w:lang w:val="en-US" w:eastAsia="zh-CN"/>
        </w:rPr>
        <w:t>汪源洁</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刘静蕾、朱真真</w:t>
      </w:r>
      <w:r>
        <w:rPr>
          <w:rFonts w:hint="eastAsia" w:ascii="仿宋" w:hAnsi="仿宋" w:eastAsia="仿宋" w:cs="仿宋"/>
          <w:color w:val="auto"/>
          <w:sz w:val="24"/>
          <w:szCs w:val="24"/>
        </w:rPr>
        <w:t xml:space="preserve"> </w:t>
      </w:r>
    </w:p>
    <w:p w14:paraId="772E434A">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0574-87300622</w:t>
      </w:r>
    </w:p>
    <w:p w14:paraId="38AB032A">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沈志翔</w:t>
      </w:r>
      <w:r>
        <w:rPr>
          <w:rFonts w:hint="eastAsia" w:ascii="仿宋" w:hAnsi="仿宋" w:eastAsia="仿宋" w:cs="仿宋"/>
          <w:color w:val="auto"/>
          <w:sz w:val="24"/>
          <w:szCs w:val="24"/>
        </w:rPr>
        <w:t xml:space="preserve">             </w:t>
      </w:r>
    </w:p>
    <w:p w14:paraId="45B9FA9B">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0574-87300622</w:t>
      </w:r>
      <w:r>
        <w:rPr>
          <w:rFonts w:hint="eastAsia" w:ascii="仿宋" w:hAnsi="仿宋" w:eastAsia="仿宋" w:cs="仿宋"/>
          <w:color w:val="auto"/>
          <w:sz w:val="24"/>
          <w:szCs w:val="24"/>
        </w:rPr>
        <w:t xml:space="preserve"> </w:t>
      </w:r>
    </w:p>
    <w:p w14:paraId="116EBE17">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p>
    <w:p w14:paraId="7504FDF8">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3.同级监督管理部门            </w:t>
      </w:r>
    </w:p>
    <w:p w14:paraId="5C065E1B">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称：宁波市奉化区财政局政府采购监管科</w:t>
      </w:r>
    </w:p>
    <w:p w14:paraId="4C40537F">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址：宁波市奉化区大成东路275号1015办公室</w:t>
      </w:r>
    </w:p>
    <w:p w14:paraId="5F027CC2">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真：0574-89285326</w:t>
      </w:r>
    </w:p>
    <w:p w14:paraId="45965835">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系</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人：何老师</w:t>
      </w:r>
    </w:p>
    <w:p w14:paraId="1722B419">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监督投诉电话：0574-89285326、13906846318</w:t>
      </w:r>
    </w:p>
    <w:p w14:paraId="12F035AA">
      <w:pPr>
        <w:keepNext w:val="0"/>
        <w:keepLines w:val="0"/>
        <w:pageBreakBefore w:val="0"/>
        <w:shd w:val="clear"/>
        <w:kinsoku/>
        <w:wordWrap/>
        <w:overflowPunct/>
        <w:topLinePunct w:val="0"/>
        <w:autoSpaceDE/>
        <w:autoSpaceDN/>
        <w:bidi w:val="0"/>
        <w:adjustRightInd/>
        <w:spacing w:line="400" w:lineRule="exact"/>
        <w:ind w:firstLine="21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3DA4D1E">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若对项目采购电子交易系统操作有疑问，可登录政采云（https：//www.zcygov.cn/），点击右侧咨询小采，获取采小蜜智能服务管家帮助，或拨打政采云服务热线95763获取热线服务帮助。</w:t>
      </w:r>
    </w:p>
    <w:p w14:paraId="351B30C0">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p w14:paraId="4B84A20C">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413365B8">
      <w:pPr>
        <w:shd w:val="clear"/>
        <w:spacing w:line="360" w:lineRule="auto"/>
        <w:ind w:firstLine="361"/>
        <w:jc w:val="center"/>
        <w:outlineLvl w:val="0"/>
        <w:rPr>
          <w:rFonts w:hint="eastAsia" w:asciiTheme="minorEastAsia" w:hAnsiTheme="minorEastAsia" w:eastAsiaTheme="minorEastAsia" w:cstheme="minorEastAsia"/>
          <w:b/>
          <w:color w:val="auto"/>
          <w:sz w:val="36"/>
          <w:szCs w:val="20"/>
        </w:rPr>
      </w:pPr>
      <w:bookmarkStart w:id="2" w:name="_Toc4861"/>
      <w:r>
        <w:rPr>
          <w:rFonts w:hint="eastAsia" w:asciiTheme="minorEastAsia" w:hAnsiTheme="minorEastAsia" w:eastAsiaTheme="minorEastAsia" w:cstheme="minorEastAsia"/>
          <w:b/>
          <w:color w:val="auto"/>
          <w:sz w:val="36"/>
          <w:szCs w:val="20"/>
        </w:rPr>
        <w:t xml:space="preserve">第二部分 </w:t>
      </w:r>
      <w:r>
        <w:rPr>
          <w:rFonts w:hint="eastAsia" w:asciiTheme="minorEastAsia" w:hAnsiTheme="minorEastAsia" w:eastAsiaTheme="minorEastAsia" w:cstheme="minorEastAsia"/>
          <w:b/>
          <w:color w:val="auto"/>
          <w:sz w:val="36"/>
          <w:szCs w:val="20"/>
          <w:lang w:val="en-US" w:eastAsia="zh-CN"/>
        </w:rPr>
        <w:t>竞争性磋商须知</w:t>
      </w:r>
      <w:bookmarkEnd w:id="2"/>
    </w:p>
    <w:p w14:paraId="0A4F2375">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8"/>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58"/>
      </w:tblGrid>
      <w:tr w14:paraId="791E1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top"/>
          </w:tcPr>
          <w:p w14:paraId="27FDE2A5">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70A3DD56">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52D894DF">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B36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2"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top"/>
          </w:tcPr>
          <w:p w14:paraId="437408FF">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07377318">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5FE78499">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73965674">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300C94A3">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70B5F5FE">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754EAFF8">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32175313">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53DE8BAE">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0E082C61">
            <w:pPr>
              <w:keepNext w:val="0"/>
              <w:keepLines w:val="0"/>
              <w:pageBreakBefore w:val="0"/>
              <w:widowControl w:val="0"/>
              <w:kinsoku/>
              <w:wordWrap/>
              <w:overflowPunct/>
              <w:topLinePunct w:val="0"/>
              <w:autoSpaceDE/>
              <w:autoSpaceDN/>
              <w:bidi w:val="0"/>
              <w:adjustRightInd/>
              <w:snapToGrid w:val="0"/>
              <w:spacing w:line="400" w:lineRule="exact"/>
              <w:ind w:leftChars="0" w:firstLine="0" w:firstLineChars="0"/>
              <w:jc w:val="left"/>
              <w:textAlignment w:val="auto"/>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开标一览表是报价的唯一载体</w:t>
            </w:r>
            <w:r>
              <w:rPr>
                <w:rFonts w:hint="eastAsia" w:ascii="仿宋" w:hAnsi="仿宋" w:eastAsia="仿宋" w:cs="仿宋"/>
                <w:color w:val="auto"/>
                <w:kern w:val="0"/>
                <w:sz w:val="24"/>
                <w:highlight w:val="none"/>
                <w:lang w:val="zh-CN"/>
              </w:rPr>
              <w:t>。投标文件中价格全部采用人民币报价。招标文件未列明，而供应商认为必需的费用也需列入报价。</w:t>
            </w:r>
            <w:r>
              <w:rPr>
                <w:rFonts w:hint="eastAsia" w:ascii="仿宋" w:hAnsi="仿宋" w:eastAsia="仿宋" w:cs="仿宋"/>
                <w:b/>
                <w:bCs/>
                <w:color w:val="auto"/>
                <w:kern w:val="0"/>
                <w:sz w:val="24"/>
                <w:highlight w:val="none"/>
                <w:lang w:val="en-US" w:eastAsia="zh-CN"/>
              </w:rPr>
              <w:t>本项目采用综合折扣率报价。</w:t>
            </w:r>
          </w:p>
          <w:p w14:paraId="56672472">
            <w:pPr>
              <w:keepNext w:val="0"/>
              <w:keepLines w:val="0"/>
              <w:pageBreakBefore w:val="0"/>
              <w:widowControl w:val="0"/>
              <w:kinsoku/>
              <w:wordWrap/>
              <w:overflowPunct/>
              <w:topLinePunct w:val="0"/>
              <w:autoSpaceDE/>
              <w:autoSpaceDN/>
              <w:bidi w:val="0"/>
              <w:adjustRightInd/>
              <w:snapToGrid w:val="0"/>
              <w:spacing w:line="400" w:lineRule="exact"/>
              <w:ind w:leftChars="0" w:firstLine="0" w:firstLineChars="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DD583B7">
            <w:pPr>
              <w:keepNext w:val="0"/>
              <w:keepLines w:val="0"/>
              <w:pageBreakBefore w:val="0"/>
              <w:widowControl w:val="0"/>
              <w:kinsoku/>
              <w:wordWrap/>
              <w:overflowPunct/>
              <w:topLinePunct w:val="0"/>
              <w:autoSpaceDE/>
              <w:autoSpaceDN/>
              <w:bidi w:val="0"/>
              <w:adjustRightInd/>
              <w:snapToGrid w:val="0"/>
              <w:spacing w:line="400" w:lineRule="exact"/>
              <w:ind w:leftChars="0" w:firstLine="0" w:firstLineChars="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8A344E6">
            <w:pPr>
              <w:keepNext w:val="0"/>
              <w:keepLines w:val="0"/>
              <w:pageBreakBefore w:val="0"/>
              <w:widowControl w:val="0"/>
              <w:kinsoku/>
              <w:wordWrap/>
              <w:overflowPunct/>
              <w:topLinePunct w:val="0"/>
              <w:autoSpaceDE/>
              <w:autoSpaceDN/>
              <w:bidi w:val="0"/>
              <w:adjustRightInd/>
              <w:snapToGrid w:val="0"/>
              <w:spacing w:line="400" w:lineRule="exact"/>
              <w:ind w:leftChars="0" w:firstLine="0" w:firstLineChars="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w:t>
            </w:r>
            <w:r>
              <w:rPr>
                <w:rFonts w:hint="eastAsia" w:ascii="仿宋" w:hAnsi="仿宋" w:eastAsia="仿宋" w:cs="仿宋"/>
                <w:b/>
                <w:color w:val="auto"/>
                <w:kern w:val="0"/>
                <w:sz w:val="24"/>
                <w:highlight w:val="none"/>
                <w:lang w:val="en-US" w:eastAsia="zh-CN"/>
              </w:rPr>
              <w:t>竞争性磋商</w:t>
            </w:r>
            <w:r>
              <w:rPr>
                <w:rFonts w:hint="eastAsia" w:ascii="仿宋" w:hAnsi="仿宋" w:eastAsia="仿宋" w:cs="仿宋"/>
                <w:b/>
                <w:color w:val="auto"/>
                <w:kern w:val="0"/>
                <w:sz w:val="24"/>
                <w:highlight w:val="none"/>
                <w:lang w:val="zh-CN"/>
              </w:rPr>
              <w:t>文件中规定的预算金额或者最高限价的</w:t>
            </w:r>
            <w:r>
              <w:rPr>
                <w:rFonts w:hint="eastAsia" w:ascii="仿宋" w:hAnsi="仿宋" w:eastAsia="仿宋" w:cs="仿宋"/>
                <w:b/>
                <w:color w:val="auto"/>
                <w:kern w:val="0"/>
                <w:sz w:val="24"/>
                <w:highlight w:val="none"/>
                <w:lang w:val="en-US" w:eastAsia="zh-CN"/>
              </w:rPr>
              <w:t>或最高综合折扣率的</w:t>
            </w:r>
            <w:r>
              <w:rPr>
                <w:rFonts w:hint="eastAsia" w:ascii="仿宋" w:hAnsi="仿宋" w:eastAsia="仿宋" w:cs="仿宋"/>
                <w:b/>
                <w:color w:val="auto"/>
                <w:kern w:val="0"/>
                <w:sz w:val="24"/>
                <w:highlight w:val="none"/>
                <w:lang w:val="zh-CN"/>
              </w:rPr>
              <w:t>；</w:t>
            </w:r>
          </w:p>
          <w:p w14:paraId="25BA3E1B">
            <w:pPr>
              <w:keepNext w:val="0"/>
              <w:keepLines w:val="0"/>
              <w:pageBreakBefore w:val="0"/>
              <w:widowControl w:val="0"/>
              <w:kinsoku/>
              <w:wordWrap/>
              <w:overflowPunct/>
              <w:topLinePunct w:val="0"/>
              <w:autoSpaceDE/>
              <w:autoSpaceDN/>
              <w:bidi w:val="0"/>
              <w:adjustRightInd/>
              <w:spacing w:line="400" w:lineRule="exact"/>
              <w:ind w:leftChars="0"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w:t>
            </w:r>
            <w:r>
              <w:rPr>
                <w:rFonts w:hint="eastAsia" w:ascii="仿宋" w:hAnsi="仿宋" w:eastAsia="仿宋" w:cs="仿宋"/>
                <w:b/>
                <w:color w:val="auto"/>
                <w:kern w:val="0"/>
                <w:sz w:val="24"/>
                <w:highlight w:val="none"/>
                <w:lang w:eastAsia="zh-CN"/>
              </w:rPr>
              <w:t>查供应商</w:t>
            </w:r>
            <w:r>
              <w:rPr>
                <w:rFonts w:hint="eastAsia" w:ascii="仿宋" w:hAnsi="仿宋" w:eastAsia="仿宋" w:cs="仿宋"/>
                <w:b/>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highlight w:val="none"/>
                <w:lang w:eastAsia="zh-CN"/>
              </w:rPr>
              <w:t>；</w:t>
            </w:r>
          </w:p>
          <w:p w14:paraId="2DEC13F5">
            <w:pPr>
              <w:keepNext w:val="0"/>
              <w:keepLines w:val="0"/>
              <w:pageBreakBefore w:val="0"/>
              <w:widowControl w:val="0"/>
              <w:kinsoku/>
              <w:wordWrap/>
              <w:overflowPunct/>
              <w:topLinePunct w:val="0"/>
              <w:autoSpaceDE/>
              <w:autoSpaceDN/>
              <w:bidi w:val="0"/>
              <w:adjustRightInd/>
              <w:spacing w:line="400" w:lineRule="exact"/>
              <w:ind w:leftChars="0" w:firstLine="0" w:firstLineChars="0"/>
              <w:textAlignment w:val="auto"/>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lang w:eastAsia="zh-CN"/>
              </w:rPr>
              <w:t>供应商</w:t>
            </w:r>
            <w:r>
              <w:rPr>
                <w:rFonts w:hint="eastAsia" w:ascii="仿宋" w:hAnsi="仿宋" w:eastAsia="仿宋" w:cs="仿宋"/>
                <w:b/>
                <w:color w:val="auto"/>
                <w:kern w:val="0"/>
                <w:sz w:val="24"/>
                <w:highlight w:val="none"/>
              </w:rPr>
              <w:t>对根据修正原则修正后的报价不确认的</w:t>
            </w:r>
            <w:r>
              <w:rPr>
                <w:rFonts w:hint="eastAsia" w:ascii="仿宋" w:hAnsi="仿宋" w:eastAsia="仿宋" w:cs="仿宋"/>
                <w:b/>
                <w:color w:val="auto"/>
                <w:kern w:val="0"/>
                <w:sz w:val="24"/>
                <w:highlight w:val="none"/>
                <w:lang w:eastAsia="zh-CN"/>
              </w:rPr>
              <w:t>。</w:t>
            </w:r>
          </w:p>
          <w:p w14:paraId="73B3B058">
            <w:pPr>
              <w:keepNext w:val="0"/>
              <w:keepLines w:val="0"/>
              <w:pageBreakBefore w:val="0"/>
              <w:widowControl w:val="0"/>
              <w:kinsoku/>
              <w:wordWrap/>
              <w:overflowPunct/>
              <w:topLinePunct w:val="0"/>
              <w:autoSpaceDE/>
              <w:autoSpaceDN/>
              <w:bidi w:val="0"/>
              <w:adjustRightInd/>
              <w:spacing w:line="400" w:lineRule="exact"/>
              <w:ind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所有有效供应商应在规定时间内在线提交第二次报价（即最终报价），磋商小组以第二次报价（即最终报价）作为价格评议的标准</w:t>
            </w:r>
            <w:r>
              <w:rPr>
                <w:rFonts w:hint="eastAsia" w:ascii="仿宋" w:hAnsi="仿宋" w:eastAsia="仿宋" w:cs="仿宋"/>
                <w:b/>
                <w:color w:val="auto"/>
                <w:sz w:val="24"/>
                <w:highlight w:val="none"/>
              </w:rPr>
              <w:t>。</w:t>
            </w:r>
          </w:p>
        </w:tc>
      </w:tr>
      <w:tr w14:paraId="414F5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370D4777">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00783A88">
            <w:pPr>
              <w:pStyle w:val="7"/>
              <w:keepNext w:val="0"/>
              <w:keepLines w:val="0"/>
              <w:pageBreakBefore w:val="0"/>
              <w:kinsoku/>
              <w:wordWrap/>
              <w:overflowPunct/>
              <w:topLinePunct w:val="0"/>
              <w:bidi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kern w:val="28"/>
                <w:sz w:val="24"/>
                <w:szCs w:val="24"/>
                <w:highlight w:val="none"/>
                <w:lang w:val="en-US" w:eastAsia="zh-CN"/>
              </w:rPr>
              <w:t>磋商</w:t>
            </w:r>
            <w:r>
              <w:rPr>
                <w:rFonts w:hint="eastAsia" w:ascii="仿宋" w:hAnsi="仿宋" w:eastAsia="仿宋" w:cs="仿宋"/>
                <w:b/>
                <w:color w:val="auto"/>
                <w:kern w:val="28"/>
                <w:sz w:val="24"/>
                <w:szCs w:val="24"/>
                <w:highlight w:val="none"/>
              </w:rPr>
              <w:t>保证金</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34847D66">
            <w:pPr>
              <w:pStyle w:val="4"/>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本项目不需缴纳保证金。</w:t>
            </w:r>
          </w:p>
        </w:tc>
      </w:tr>
      <w:tr w14:paraId="3B23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6042C957">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0DAE4036">
            <w:pPr>
              <w:keepNext w:val="0"/>
              <w:keepLines w:val="0"/>
              <w:pageBreakBefore w:val="0"/>
              <w:kinsoku/>
              <w:wordWrap/>
              <w:overflowPunct/>
              <w:topLinePunct w:val="0"/>
              <w:bidi w:val="0"/>
              <w:snapToGrid w:val="0"/>
              <w:spacing w:line="400" w:lineRule="exact"/>
              <w:ind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62E4CFF2">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工作分包。</w:t>
            </w:r>
          </w:p>
          <w:p w14:paraId="393480B1">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2758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2D24F9B4">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685F5582">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应当提供的资格文件</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66B9AAAE">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p>
          <w:p w14:paraId="29D3FF33">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资格证明文件不全的或者不符合</w:t>
            </w:r>
            <w:r>
              <w:rPr>
                <w:rFonts w:hint="eastAsia" w:ascii="仿宋" w:hAnsi="仿宋" w:eastAsia="仿宋" w:cs="仿宋"/>
                <w:color w:val="auto"/>
                <w:kern w:val="0"/>
                <w:sz w:val="24"/>
                <w:highlight w:val="none"/>
                <w:lang w:val="zh-CN"/>
              </w:rPr>
              <w:t>竞争性磋商文件</w:t>
            </w:r>
            <w:r>
              <w:rPr>
                <w:rFonts w:hint="eastAsia" w:ascii="仿宋" w:hAnsi="仿宋" w:eastAsia="仿宋" w:cs="仿宋"/>
                <w:color w:val="auto"/>
                <w:sz w:val="24"/>
                <w:highlight w:val="none"/>
              </w:rPr>
              <w:t>标明的资格要求的</w:t>
            </w:r>
            <w:r>
              <w:rPr>
                <w:rFonts w:hint="eastAsia" w:ascii="仿宋" w:hAnsi="仿宋" w:eastAsia="仿宋" w:cs="仿宋"/>
                <w:color w:val="auto"/>
                <w:sz w:val="24"/>
                <w:highlight w:val="none"/>
                <w:lang w:val="zh-CN"/>
              </w:rPr>
              <w:t>，视为供应商不具备</w:t>
            </w:r>
            <w:r>
              <w:rPr>
                <w:rFonts w:hint="eastAsia" w:ascii="仿宋" w:hAnsi="仿宋" w:eastAsia="仿宋" w:cs="仿宋"/>
                <w:color w:val="auto"/>
                <w:kern w:val="0"/>
                <w:sz w:val="24"/>
                <w:highlight w:val="none"/>
                <w:lang w:val="zh-CN"/>
              </w:rPr>
              <w:t>竞争性磋商文件</w:t>
            </w:r>
            <w:r>
              <w:rPr>
                <w:rFonts w:hint="eastAsia" w:ascii="仿宋" w:hAnsi="仿宋" w:eastAsia="仿宋" w:cs="仿宋"/>
                <w:color w:val="auto"/>
                <w:sz w:val="24"/>
                <w:highlight w:val="none"/>
                <w:lang w:val="zh-CN"/>
              </w:rPr>
              <w:t>中规定的资格要求，响应无效。</w:t>
            </w:r>
          </w:p>
        </w:tc>
      </w:tr>
      <w:tr w14:paraId="20AA6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top"/>
          </w:tcPr>
          <w:p w14:paraId="25BAEF70">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rPr>
            </w:pPr>
          </w:p>
          <w:p w14:paraId="639347F6">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232720AD">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55115AB7">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3861C5C">
            <w:pPr>
              <w:pStyle w:val="5"/>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258B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691DA9C6">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19E509F0">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32E6E280">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1E48E9F">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tc>
      </w:tr>
      <w:tr w14:paraId="0F82D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788D4715">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53EC9431">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237F2398">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5864BBD">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tc>
      </w:tr>
      <w:tr w14:paraId="4AD87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2CCC0358">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51454EEF">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61EB7133">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5643774B">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EB4A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48F3DADE">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569D0829">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69BC951C">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工程类</w:t>
            </w:r>
          </w:p>
        </w:tc>
      </w:tr>
      <w:tr w14:paraId="0A746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72A42315">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0BF6AE3C">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71945032">
            <w:pPr>
              <w:keepNext w:val="0"/>
              <w:keepLines w:val="0"/>
              <w:pageBreakBefore w:val="0"/>
              <w:kinsoku/>
              <w:wordWrap/>
              <w:overflowPunct/>
              <w:topLinePunct w:val="0"/>
              <w:bidi w:val="0"/>
              <w:snapToGrid w:val="0"/>
              <w:spacing w:line="400" w:lineRule="exact"/>
              <w:ind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eastAsia="zh-CN"/>
              </w:rPr>
              <w:t>奉化区莼湖街道中心小学校舍改造提升工程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建筑业 </w:t>
            </w:r>
            <w:r>
              <w:rPr>
                <w:rFonts w:hint="eastAsia" w:ascii="仿宋" w:hAnsi="仿宋" w:eastAsia="仿宋" w:cs="仿宋"/>
                <w:color w:val="auto"/>
                <w:kern w:val="0"/>
                <w:sz w:val="24"/>
                <w:highlight w:val="none"/>
              </w:rPr>
              <w:t>行业</w:t>
            </w:r>
            <w:r>
              <w:rPr>
                <w:rFonts w:hint="eastAsia" w:ascii="仿宋" w:hAnsi="仿宋" w:eastAsia="仿宋" w:cs="仿宋"/>
                <w:color w:val="auto"/>
                <w:kern w:val="0"/>
                <w:sz w:val="24"/>
                <w:highlight w:val="none"/>
                <w:lang w:eastAsia="zh-CN"/>
              </w:rPr>
              <w:t>；</w:t>
            </w:r>
          </w:p>
        </w:tc>
      </w:tr>
      <w:tr w14:paraId="64EC1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03D92451">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35D911AA">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中标服务费</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2BA314F9">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rPr>
              <w:t>中标通知书发出后5个工作日内，中标人向采购代理机构支付中标服务费</w:t>
            </w:r>
            <w:r>
              <w:rPr>
                <w:rFonts w:hint="eastAsia" w:ascii="仿宋" w:hAnsi="仿宋" w:eastAsia="仿宋" w:cs="仿宋"/>
                <w:color w:val="auto"/>
                <w:kern w:val="0"/>
                <w:sz w:val="24"/>
                <w:highlight w:val="none"/>
                <w:u w:val="single"/>
                <w:lang w:val="en-US" w:eastAsia="zh-CN"/>
              </w:rPr>
              <w:t>9800</w:t>
            </w:r>
            <w:r>
              <w:rPr>
                <w:rFonts w:hint="eastAsia" w:ascii="仿宋" w:hAnsi="仿宋" w:eastAsia="仿宋" w:cs="仿宋"/>
                <w:color w:val="auto"/>
                <w:kern w:val="0"/>
                <w:sz w:val="24"/>
                <w:highlight w:val="none"/>
                <w:lang w:val="en-US" w:eastAsia="zh-CN"/>
              </w:rPr>
              <w:t>元</w:t>
            </w:r>
            <w:r>
              <w:rPr>
                <w:rFonts w:hint="eastAsia" w:ascii="仿宋" w:hAnsi="仿宋" w:eastAsia="仿宋" w:cs="仿宋"/>
                <w:color w:val="auto"/>
                <w:kern w:val="0"/>
                <w:sz w:val="24"/>
                <w:highlight w:val="none"/>
              </w:rPr>
              <w:t>。</w:t>
            </w:r>
          </w:p>
        </w:tc>
      </w:tr>
      <w:tr w14:paraId="286BF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0B4A68F3">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78ED2410">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1306D4AF">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公益一类事业单位不属于政府购买服务的承接主体，不得参与承接政府购买服务。</w:t>
            </w:r>
          </w:p>
        </w:tc>
      </w:tr>
      <w:tr w14:paraId="734B7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tcBorders>
              <w:top w:val="single" w:color="000000" w:sz="8" w:space="0"/>
              <w:left w:val="single" w:color="000000" w:sz="8" w:space="0"/>
              <w:bottom w:val="single" w:color="000000" w:sz="8" w:space="0"/>
              <w:right w:val="single" w:color="000000" w:sz="8" w:space="0"/>
            </w:tcBorders>
            <w:noWrap w:val="0"/>
            <w:vAlign w:val="center"/>
          </w:tcPr>
          <w:p w14:paraId="14958221">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13</w:t>
            </w:r>
          </w:p>
        </w:tc>
        <w:tc>
          <w:tcPr>
            <w:tcW w:w="1843" w:type="dxa"/>
            <w:tcBorders>
              <w:top w:val="single" w:color="000000" w:sz="8" w:space="0"/>
              <w:left w:val="single" w:color="000000" w:sz="8" w:space="0"/>
              <w:bottom w:val="single" w:color="000000" w:sz="8" w:space="0"/>
              <w:right w:val="single" w:color="000000" w:sz="8" w:space="0"/>
            </w:tcBorders>
            <w:noWrap w:val="0"/>
            <w:vAlign w:val="center"/>
          </w:tcPr>
          <w:p w14:paraId="7A9A3DE7">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rPr>
              <w:t>中小企业信用融资</w:t>
            </w:r>
          </w:p>
        </w:tc>
        <w:tc>
          <w:tcPr>
            <w:tcW w:w="6558" w:type="dxa"/>
            <w:tcBorders>
              <w:top w:val="single" w:color="000000" w:sz="8" w:space="0"/>
              <w:left w:val="single" w:color="000000" w:sz="8" w:space="0"/>
              <w:bottom w:val="single" w:color="000000" w:sz="8" w:space="0"/>
              <w:right w:val="single" w:color="000000" w:sz="8" w:space="0"/>
            </w:tcBorders>
            <w:noWrap w:val="0"/>
            <w:vAlign w:val="center"/>
          </w:tcPr>
          <w:p w14:paraId="74307C7C">
            <w:pPr>
              <w:keepNext w:val="0"/>
              <w:keepLines w:val="0"/>
              <w:pageBreakBefore w:val="0"/>
              <w:kinsoku/>
              <w:wordWrap/>
              <w:overflowPunct/>
              <w:topLinePunct w:val="0"/>
              <w:bidi w:val="0"/>
              <w:spacing w:line="400" w:lineRule="exact"/>
              <w:ind w:leftChars="0"/>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6E74079D">
      <w:pPr>
        <w:keepNext w:val="0"/>
        <w:keepLines w:val="0"/>
        <w:pageBreakBefore w:val="0"/>
        <w:kinsoku/>
        <w:wordWrap/>
        <w:overflowPunct/>
        <w:topLinePunct w:val="0"/>
        <w:bidi w:val="0"/>
        <w:snapToGrid w:val="0"/>
        <w:spacing w:line="400" w:lineRule="exact"/>
        <w:ind w:leftChars="0"/>
        <w:jc w:val="center"/>
        <w:textAlignment w:val="auto"/>
        <w:rPr>
          <w:rFonts w:hint="eastAsia" w:ascii="仿宋" w:hAnsi="仿宋" w:eastAsia="仿宋" w:cs="仿宋"/>
          <w:b/>
          <w:color w:val="auto"/>
          <w:sz w:val="32"/>
          <w:szCs w:val="20"/>
          <w:highlight w:val="none"/>
        </w:rPr>
      </w:pPr>
    </w:p>
    <w:p w14:paraId="45AE2B15">
      <w:pPr>
        <w:keepNext w:val="0"/>
        <w:keepLines w:val="0"/>
        <w:pageBreakBefore w:val="0"/>
        <w:kinsoku/>
        <w:wordWrap/>
        <w:overflowPunct/>
        <w:topLinePunct w:val="0"/>
        <w:bidi w:val="0"/>
        <w:adjustRightInd/>
        <w:spacing w:line="360" w:lineRule="auto"/>
        <w:ind w:leftChars="0" w:firstLine="3845" w:firstLineChars="1197"/>
        <w:textAlignment w:val="auto"/>
        <w:outlineLvl w:val="0"/>
        <w:rPr>
          <w:rFonts w:hint="eastAsia" w:ascii="仿宋" w:hAnsi="仿宋" w:eastAsia="仿宋" w:cs="仿宋"/>
          <w:b/>
          <w:color w:val="auto"/>
          <w:sz w:val="32"/>
          <w:szCs w:val="20"/>
          <w:highlight w:val="none"/>
        </w:rPr>
      </w:pPr>
      <w:bookmarkStart w:id="3" w:name="_Toc164416483"/>
      <w:bookmarkStart w:id="4" w:name="第三部分"/>
      <w:r>
        <w:rPr>
          <w:rFonts w:hint="eastAsia" w:ascii="仿宋" w:hAnsi="仿宋" w:eastAsia="仿宋" w:cs="仿宋"/>
          <w:b/>
          <w:color w:val="auto"/>
          <w:sz w:val="32"/>
          <w:szCs w:val="20"/>
          <w:highlight w:val="none"/>
        </w:rPr>
        <w:br w:type="page"/>
      </w:r>
      <w:bookmarkStart w:id="5" w:name="_Toc29695"/>
      <w:r>
        <w:rPr>
          <w:rFonts w:hint="eastAsia" w:ascii="仿宋" w:hAnsi="仿宋" w:eastAsia="仿宋" w:cs="仿宋"/>
          <w:b/>
          <w:color w:val="auto"/>
          <w:sz w:val="32"/>
          <w:szCs w:val="20"/>
          <w:highlight w:val="none"/>
        </w:rPr>
        <w:t>一、总则</w:t>
      </w:r>
      <w:bookmarkEnd w:id="5"/>
    </w:p>
    <w:p w14:paraId="7D157FDE">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适用范围</w:t>
      </w:r>
    </w:p>
    <w:p w14:paraId="38A76F4E">
      <w:pPr>
        <w:keepNext w:val="0"/>
        <w:keepLines w:val="0"/>
        <w:pageBreakBefore w:val="0"/>
        <w:kinsoku/>
        <w:wordWrap/>
        <w:overflowPunct/>
        <w:topLinePunct w:val="0"/>
        <w:bidi w:val="0"/>
        <w:snapToGrid w:val="0"/>
        <w:spacing w:line="400" w:lineRule="exact"/>
        <w:ind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文件适用于该项目的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响应文件开启</w:t>
      </w:r>
      <w:r>
        <w:rPr>
          <w:rFonts w:hint="eastAsia" w:ascii="仿宋" w:hAnsi="仿宋" w:eastAsia="仿宋" w:cs="仿宋"/>
          <w:color w:val="auto"/>
          <w:sz w:val="24"/>
          <w:highlight w:val="none"/>
        </w:rPr>
        <w:t>、资格审查及信用信息查询、评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成交供应商确定</w:t>
      </w:r>
      <w:r>
        <w:rPr>
          <w:rFonts w:hint="eastAsia" w:ascii="仿宋" w:hAnsi="仿宋" w:eastAsia="仿宋" w:cs="仿宋"/>
          <w:color w:val="auto"/>
          <w:sz w:val="24"/>
          <w:highlight w:val="none"/>
        </w:rPr>
        <w:t>、合同、验收等行为（法律、法规另有规定的，从其规定）。</w:t>
      </w:r>
    </w:p>
    <w:p w14:paraId="7C51CEC3">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71A1135E">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259980F7">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机构”系指竞争性磋商公告中载明的本项目的采购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w:t>
      </w:r>
    </w:p>
    <w:p w14:paraId="19682B00">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”系指是指响应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竞争的法人、其他组织或者自然人。</w:t>
      </w:r>
    </w:p>
    <w:p w14:paraId="6933D88C">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4B454C6">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08ACFECC">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254C29B">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szCs w:val="24"/>
          <w:highlight w:val="none"/>
          <w:lang w:val="en-US" w:eastAsia="zh-CN" w:bidi="ar-SA"/>
        </w:rPr>
        <w:sym w:font="Wingdings 2" w:char="0052"/>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468CD61A">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采购项目需要落实的政府采购政策</w:t>
      </w:r>
    </w:p>
    <w:p w14:paraId="2D798945">
      <w:pPr>
        <w:keepNext w:val="0"/>
        <w:keepLines w:val="0"/>
        <w:pageBreakBefore w:val="0"/>
        <w:numPr>
          <w:ilvl w:val="1"/>
          <w:numId w:val="2"/>
        </w:numPr>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本项目不允许采购进口产品。</w:t>
      </w:r>
    </w:p>
    <w:p w14:paraId="1A05D07F">
      <w:pPr>
        <w:keepNext w:val="0"/>
        <w:keepLines w:val="0"/>
        <w:pageBreakBefore w:val="0"/>
        <w:numPr>
          <w:ilvl w:val="0"/>
          <w:numId w:val="0"/>
        </w:numPr>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E5295A">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7D8E6A4">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068E63">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D17332C">
      <w:pPr>
        <w:keepNext w:val="0"/>
        <w:keepLines w:val="0"/>
        <w:pageBreakBefore w:val="0"/>
        <w:widowControl/>
        <w:kinsoku/>
        <w:wordWrap/>
        <w:overflowPunct/>
        <w:topLinePunct w:val="0"/>
        <w:bidi w:val="0"/>
        <w:spacing w:line="400" w:lineRule="exact"/>
        <w:ind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提供的货物、工程或者服务符合下列情形的，享受中小企业扶持政策：</w:t>
      </w:r>
    </w:p>
    <w:p w14:paraId="4F5A136B">
      <w:pPr>
        <w:keepNext w:val="0"/>
        <w:keepLines w:val="0"/>
        <w:pageBreakBefore w:val="0"/>
        <w:widowControl/>
        <w:kinsoku/>
        <w:wordWrap/>
        <w:overflowPunct/>
        <w:topLinePunct w:val="0"/>
        <w:bidi w:val="0"/>
        <w:spacing w:line="400" w:lineRule="exact"/>
        <w:ind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9A1003E">
      <w:pPr>
        <w:keepNext w:val="0"/>
        <w:keepLines w:val="0"/>
        <w:pageBreakBefore w:val="0"/>
        <w:widowControl/>
        <w:kinsoku/>
        <w:wordWrap/>
        <w:overflowPunct/>
        <w:topLinePunct w:val="0"/>
        <w:bidi w:val="0"/>
        <w:spacing w:line="400" w:lineRule="exact"/>
        <w:ind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433606E3">
      <w:pPr>
        <w:keepNext w:val="0"/>
        <w:keepLines w:val="0"/>
        <w:pageBreakBefore w:val="0"/>
        <w:widowControl/>
        <w:kinsoku/>
        <w:wordWrap/>
        <w:overflowPunct/>
        <w:topLinePunct w:val="0"/>
        <w:bidi w:val="0"/>
        <w:spacing w:line="400" w:lineRule="exact"/>
        <w:ind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5DCD1A47">
      <w:pPr>
        <w:keepNext w:val="0"/>
        <w:keepLines w:val="0"/>
        <w:pageBreakBefore w:val="0"/>
        <w:widowControl/>
        <w:kinsoku/>
        <w:wordWrap/>
        <w:overflowPunct/>
        <w:topLinePunct w:val="0"/>
        <w:bidi w:val="0"/>
        <w:spacing w:line="400" w:lineRule="exact"/>
        <w:ind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提供的货物既有中小企业制造货物，也有大型企业制造货物的，不享受中小企业扶持政策。</w:t>
      </w:r>
    </w:p>
    <w:p w14:paraId="6A443047">
      <w:pPr>
        <w:keepNext w:val="0"/>
        <w:keepLines w:val="0"/>
        <w:pageBreakBefore w:val="0"/>
        <w:widowControl/>
        <w:kinsoku/>
        <w:wordWrap/>
        <w:overflowPunct/>
        <w:topLinePunct w:val="0"/>
        <w:bidi w:val="0"/>
        <w:spacing w:line="400" w:lineRule="exact"/>
        <w:ind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0A0DF4B">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3.3.3对于未预留份额专门面向中小企业的政府采购货物或服务或工程项目，以及预留份额政府采购货物或服务项目中的非预留部分标项，对小型和微型企业的</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%（工程项目为 2%）的扣除，用扣除后的价格参加评审。组成联合体或者接受分包的小微企业与联合体内其他企业、分包企业之间存在直接控股、管理关系的，不享受价格扣除优惠政策。</w:t>
      </w:r>
    </w:p>
    <w:p w14:paraId="3B03FD21">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3.3.4符合《关于促进残疾人就业政府采购政策的通知》（财库〔2017〕141号）规定的条件并提供《残疾人福利性单位声明函》的残疾人福利性单位视同小型、微型企业；</w:t>
      </w:r>
    </w:p>
    <w:p w14:paraId="0559B3E3">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A88121">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应按照</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文件格式要求提供《中小企业声明函》，</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提供的《中小企业声明函》与实际情况不符的，不享受中小企业扶持政策。声明内容不实的，属于提供虚假材料谋取中标、成交的，依法承担法律责任。</w:t>
      </w:r>
    </w:p>
    <w:p w14:paraId="52C6BB90">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A3B1F87">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14:paraId="1DD2EDD6">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3997D030">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3AAA593">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特别说明</w:t>
      </w:r>
    </w:p>
    <w:p w14:paraId="0931DFFB">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关于分公司</w:t>
      </w:r>
      <w:r>
        <w:rPr>
          <w:rFonts w:hint="eastAsia" w:ascii="仿宋" w:hAnsi="仿宋" w:eastAsia="仿宋" w:cs="仿宋"/>
          <w:color w:val="auto"/>
          <w:sz w:val="24"/>
          <w:highlight w:val="none"/>
          <w:lang w:eastAsia="zh-CN"/>
        </w:rPr>
        <w:t>磋商响应</w:t>
      </w:r>
    </w:p>
    <w:p w14:paraId="26541A94">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除银行、保险、石油石化、电力、电信等特殊行业外。法人的分支机构由于不能独立承担民事责任，不能以分支机构的身份参加政府采购，只能</w:t>
      </w:r>
      <w:r>
        <w:rPr>
          <w:rFonts w:hint="eastAsia" w:ascii="仿宋" w:hAnsi="仿宋" w:eastAsia="仿宋" w:cs="仿宋"/>
          <w:color w:val="auto"/>
          <w:sz w:val="24"/>
          <w:highlight w:val="none"/>
          <w:lang w:eastAsia="zh-CN"/>
        </w:rPr>
        <w:t>以</w:t>
      </w:r>
      <w:r>
        <w:rPr>
          <w:rFonts w:hint="eastAsia" w:ascii="仿宋" w:hAnsi="仿宋" w:eastAsia="仿宋" w:cs="仿宋"/>
          <w:color w:val="auto"/>
          <w:sz w:val="24"/>
          <w:highlight w:val="none"/>
        </w:rPr>
        <w:t xml:space="preserve">法人身份参加。 </w:t>
      </w:r>
    </w:p>
    <w:p w14:paraId="7E0611DF">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4.2关于知识产权</w:t>
      </w:r>
    </w:p>
    <w:p w14:paraId="3A7BE167">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必须保证，采购人在中华人民共和国境内使用</w:t>
      </w:r>
      <w:r>
        <w:rPr>
          <w:rFonts w:hint="eastAsia" w:ascii="仿宋" w:hAnsi="仿宋" w:eastAsia="仿宋" w:cs="仿宋"/>
          <w:color w:val="auto"/>
          <w:sz w:val="24"/>
          <w:highlight w:val="none"/>
          <w:lang w:eastAsia="zh-CN"/>
        </w:rPr>
        <w:t>磋商响应</w:t>
      </w:r>
      <w:r>
        <w:rPr>
          <w:rFonts w:hint="eastAsia" w:ascii="仿宋" w:hAnsi="仿宋" w:eastAsia="仿宋" w:cs="仿宋"/>
          <w:color w:val="auto"/>
          <w:sz w:val="24"/>
          <w:highlight w:val="none"/>
        </w:rPr>
        <w:t>货物、资料、技术、服务或其任何一部分时，享有不受限制的无偿使用权，如有第三方向采购人提出侵犯其专利权、商标权或其它知识产权的主张，该责任应由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w:t>
      </w:r>
    </w:p>
    <w:p w14:paraId="0DB36DC2">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报价应包含所有应向所有权人支付的专利权、商标权或其它知识产权的一切相关费用。</w:t>
      </w:r>
    </w:p>
    <w:p w14:paraId="2E2553D0">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系统软件、通用软件必须是具有在中国境内的合法使用权或版权的正版软件，涉及到第三方提出侵权或知识产权的起诉及支付版税等费用由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承担所有责任及费用。</w:t>
      </w:r>
    </w:p>
    <w:p w14:paraId="1AE3A1EC">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lang w:val="en-US" w:eastAsia="zh-CN"/>
        </w:rPr>
        <w:t>的风险</w:t>
      </w:r>
    </w:p>
    <w:p w14:paraId="62BAF0FC">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应详细阅读</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中的全部内容和要求，按照</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的要求提交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文件，没有按照</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要求提供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文件和资料导致的风险由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承担,并对所提供的全部资料的真实性承担法律责任。</w:t>
      </w:r>
    </w:p>
    <w:p w14:paraId="5FDE5908">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无论因何种原因导致本次采购活动终止致</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损失的，相关责任人均不承担任何责任。</w:t>
      </w:r>
    </w:p>
    <w:p w14:paraId="4509E5C2">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询问、质疑、投诉</w:t>
      </w:r>
    </w:p>
    <w:p w14:paraId="3845A80A">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.1供应商询问</w:t>
      </w:r>
    </w:p>
    <w:p w14:paraId="797A244B">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0657CD">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.2供应商质疑</w:t>
      </w:r>
    </w:p>
    <w:p w14:paraId="5606F48B">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文件的，可以对该文件提出质疑。</w:t>
      </w:r>
    </w:p>
    <w:p w14:paraId="200AE0F3">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.2供应商认为</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w:t>
      </w:r>
      <w:r>
        <w:rPr>
          <w:rFonts w:hint="eastAsia" w:ascii="仿宋" w:hAnsi="仿宋" w:eastAsia="仿宋" w:cs="仿宋"/>
          <w:color w:val="auto"/>
          <w:sz w:val="24"/>
          <w:highlight w:val="none"/>
          <w:lang w:val="en-US" w:eastAsia="zh-CN"/>
        </w:rPr>
        <w:t>提出质疑，否则，采购人或者</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w:t>
      </w:r>
      <w:r>
        <w:rPr>
          <w:rFonts w:hint="eastAsia" w:ascii="仿宋" w:hAnsi="仿宋" w:eastAsia="仿宋" w:cs="仿宋"/>
          <w:color w:val="auto"/>
          <w:sz w:val="24"/>
          <w:highlight w:val="none"/>
          <w:lang w:val="en-US" w:eastAsia="zh-CN"/>
        </w:rPr>
        <w:t>不予受理：</w:t>
      </w:r>
    </w:p>
    <w:p w14:paraId="5E2FD500">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5.2.2.1对</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文件提出质疑的，质疑期限为供应商获得</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文件之日或者</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文件公告期限届满之日起计算。</w:t>
      </w:r>
    </w:p>
    <w:p w14:paraId="344F2197">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5.2.2.2对采购过程提出质疑的，质疑期限为各采购程序环节结束之日起计算。</w:t>
      </w:r>
    </w:p>
    <w:p w14:paraId="32BDECBD">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5.2.2.3对采购结果提出质疑的，质疑期限自采购结果公告期限届满之日起计算。</w:t>
      </w:r>
    </w:p>
    <w:p w14:paraId="5074D4D1">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5.2.2.4对同一采购程序环节的质疑，供应商须一次性提出。</w:t>
      </w:r>
    </w:p>
    <w:p w14:paraId="781AB1BD">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w:t>
      </w:r>
      <w:r>
        <w:rPr>
          <w:rFonts w:hint="eastAsia" w:ascii="仿宋" w:hAnsi="仿宋" w:eastAsia="仿宋" w:cs="仿宋"/>
          <w:color w:val="auto"/>
          <w:sz w:val="24"/>
          <w:highlight w:val="none"/>
          <w:lang w:val="en-US" w:eastAsia="zh-CN"/>
        </w:rPr>
        <w:t>供应商提出质疑应当提交质疑函和必要的证明材料。质疑函应当包括下列内容：</w:t>
      </w:r>
    </w:p>
    <w:p w14:paraId="38C9FE66">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.2.3.1供应商的姓名或者名称、地址、邮编、联系人及联系电话；</w:t>
      </w:r>
    </w:p>
    <w:p w14:paraId="5D30A23D">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.2.3.2质疑项目的名称、编号；</w:t>
      </w:r>
    </w:p>
    <w:p w14:paraId="1740BD4D">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.2.3.3具体、明确的质疑事项和与质疑事项相关的请求；</w:t>
      </w:r>
    </w:p>
    <w:p w14:paraId="210D59E2">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.2.3.4事实依据；</w:t>
      </w:r>
    </w:p>
    <w:p w14:paraId="5DDFDF88">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.2.3.5必要的法律依据；</w:t>
      </w:r>
    </w:p>
    <w:p w14:paraId="47AD1B7A">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.2.3.6提出质疑的日期。</w:t>
      </w:r>
    </w:p>
    <w:p w14:paraId="5EAC7E6F">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5.2.3.7对</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文件提出质疑的需要提供在政采云平台获取</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文件的截图。</w:t>
      </w:r>
    </w:p>
    <w:p w14:paraId="6134605A">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13CA3C81">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质疑函范本请到浙江政府采购网下载专区下载。</w:t>
      </w:r>
    </w:p>
    <w:p w14:paraId="4A2321BF">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.4采购人或者</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w:t>
      </w:r>
      <w:r>
        <w:rPr>
          <w:rFonts w:hint="eastAsia" w:ascii="仿宋" w:hAnsi="仿宋" w:eastAsia="仿宋" w:cs="仿宋"/>
          <w:color w:val="auto"/>
          <w:sz w:val="24"/>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6C70265F">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.5询问或者质疑事项可能影响采购结果的，采购人应当暂停签订合同，已经签订合同的，应当中止履行合同。</w:t>
      </w:r>
    </w:p>
    <w:p w14:paraId="287C2E82">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.3供应商投诉</w:t>
      </w:r>
    </w:p>
    <w:p w14:paraId="22C278B4">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5.3.1质疑供应商对采购人、采购代理机构的答复不满意或者采购人、采购代理机构未在规定的时间内作出答复的，可以在答复期满后十五个工作日内向同级政府采购监督管理部门提出投诉。</w:t>
      </w:r>
    </w:p>
    <w:p w14:paraId="25D2666C">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w:t>
      </w: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供应商投诉的事项不得超出已质疑事项的范围，基于质疑答复内容提出的投诉事项除外。</w:t>
      </w:r>
    </w:p>
    <w:p w14:paraId="115D1EA2">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5.3.3供应商投诉应当有明确的请求和必要的证明材料。</w:t>
      </w:r>
    </w:p>
    <w:p w14:paraId="256DDCBB">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5.3.5 以联合体形式参加政府采购活动的，其投诉应当由组成联合体的所有供应商共同提出。</w:t>
      </w:r>
    </w:p>
    <w:p w14:paraId="1AC3C57F">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b/>
          <w:color w:val="auto"/>
          <w:sz w:val="32"/>
          <w:szCs w:val="20"/>
          <w:highlight w:val="none"/>
        </w:rPr>
      </w:pPr>
      <w:r>
        <w:rPr>
          <w:rFonts w:hint="eastAsia" w:ascii="仿宋" w:hAnsi="仿宋" w:eastAsia="仿宋" w:cs="仿宋"/>
          <w:color w:val="auto"/>
          <w:sz w:val="24"/>
          <w:highlight w:val="none"/>
          <w:lang w:eastAsia="zh-CN"/>
        </w:rPr>
        <w:t>投诉书范本请到浙江政府采购网下载专区下载。</w:t>
      </w:r>
      <w:r>
        <w:rPr>
          <w:rFonts w:hint="eastAsia" w:ascii="仿宋" w:hAnsi="仿宋" w:eastAsia="仿宋" w:cs="仿宋"/>
          <w:b/>
          <w:color w:val="auto"/>
          <w:sz w:val="32"/>
          <w:szCs w:val="20"/>
          <w:highlight w:val="none"/>
        </w:rPr>
        <w:t xml:space="preserve">      </w:t>
      </w:r>
    </w:p>
    <w:p w14:paraId="6B10B7E8">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p>
    <w:p w14:paraId="5C6CC929">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bookmarkStart w:id="6" w:name="_Toc390"/>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val="en-US" w:eastAsia="zh-CN"/>
        </w:rPr>
        <w:t>竞争性磋商</w:t>
      </w:r>
      <w:r>
        <w:rPr>
          <w:rFonts w:hint="eastAsia" w:ascii="仿宋" w:hAnsi="仿宋" w:eastAsia="仿宋" w:cs="仿宋"/>
          <w:b/>
          <w:color w:val="auto"/>
          <w:sz w:val="32"/>
          <w:szCs w:val="20"/>
          <w:highlight w:val="none"/>
        </w:rPr>
        <w:t>文件的构成、澄清、修改</w:t>
      </w:r>
      <w:bookmarkEnd w:id="6"/>
    </w:p>
    <w:p w14:paraId="585FA7AE">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招标文件的构成</w:t>
      </w:r>
    </w:p>
    <w:p w14:paraId="06F5DADC">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文件包括下列文件</w:t>
      </w:r>
      <w:r>
        <w:rPr>
          <w:rFonts w:hint="eastAsia" w:ascii="仿宋" w:hAnsi="仿宋" w:eastAsia="仿宋" w:cs="仿宋"/>
          <w:b w:val="0"/>
          <w:bCs w:val="0"/>
          <w:color w:val="auto"/>
          <w:sz w:val="24"/>
          <w:szCs w:val="24"/>
          <w:highlight w:val="none"/>
        </w:rPr>
        <w:t>及附件：</w:t>
      </w:r>
    </w:p>
    <w:p w14:paraId="61F2C7FD">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6.1.1 竞争性磋商公告；</w:t>
      </w:r>
    </w:p>
    <w:p w14:paraId="2594B7F0">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6.1.2 响应须知；</w:t>
      </w:r>
    </w:p>
    <w:p w14:paraId="44D40BAF">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6.1.3 采购需求；</w:t>
      </w:r>
    </w:p>
    <w:p w14:paraId="7DD8DB3D">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6.1.4 评审办法；</w:t>
      </w:r>
    </w:p>
    <w:p w14:paraId="43954B0E">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6.1.5 拟签订的合同文本；</w:t>
      </w:r>
    </w:p>
    <w:p w14:paraId="5D96F24A">
      <w:pPr>
        <w:pStyle w:val="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6.1.6 应提交的有关格式范例。</w:t>
      </w:r>
    </w:p>
    <w:p w14:paraId="17C29D27">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3A47582">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竞争性磋商文件的澄清、修改</w:t>
      </w:r>
    </w:p>
    <w:p w14:paraId="2E567F76">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 采购人对竞争性磋商文件进行必要的澄清或者修改的，在采购信息发布网站上发布更正公告。澄清或者修改的内容可能影响投标文件编制的，更正公告在投标截止时间至少5日前发出；不足5日的，顺延提交投标文件截止时间。</w:t>
      </w:r>
    </w:p>
    <w:p w14:paraId="22F601C1">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 更正公告为竞争性磋商文件的组成部分，一经在网站发布，视同已通知所有招标文件的收受人，不再采用其他方式传达相关信息， 若因未能及时了解到上述网站上发布的相关信息而导致的一切后果自行承担。</w:t>
      </w:r>
    </w:p>
    <w:p w14:paraId="7FD88812">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 如更正公告有重新发布电子招标文件的，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lang w:val="en-US" w:eastAsia="zh-CN"/>
        </w:rPr>
        <w:t>应下载最新发布的电子招标文件制作投标文件。</w:t>
      </w:r>
    </w:p>
    <w:p w14:paraId="679BF66D">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7.4 已获取竞争性磋商文件的潜在</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lang w:val="en-US" w:eastAsia="zh-CN"/>
        </w:rPr>
        <w:t>，若有问题需要澄清，应于响应截止时间前，以书面形式向采购代理机构提出。</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lang w:val="en-US" w:eastAsia="zh-CN"/>
        </w:rPr>
        <w:t>在规定的时间内未对竞争性磋商文件提出疑问、质疑或要求澄清的，将视其为无异议。对招标文件中描述有歧义或前后不一致的地方，磋商小组有权进行评判，但对同一条款的评判应适用于每个</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lang w:val="en-US" w:eastAsia="zh-CN"/>
        </w:rPr>
        <w:t>。</w:t>
      </w:r>
    </w:p>
    <w:p w14:paraId="31DABD91">
      <w:pPr>
        <w:pStyle w:val="7"/>
        <w:rPr>
          <w:rFonts w:hint="eastAsia"/>
          <w:color w:val="auto"/>
        </w:rPr>
      </w:pPr>
    </w:p>
    <w:p w14:paraId="3E11D7E5">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lang w:eastAsia="zh-CN"/>
        </w:rPr>
      </w:pPr>
      <w:bookmarkStart w:id="7" w:name="_Toc7160"/>
      <w:r>
        <w:rPr>
          <w:rFonts w:hint="eastAsia" w:ascii="仿宋" w:hAnsi="仿宋" w:eastAsia="仿宋" w:cs="仿宋"/>
          <w:b/>
          <w:color w:val="auto"/>
          <w:sz w:val="32"/>
          <w:szCs w:val="20"/>
          <w:highlight w:val="none"/>
        </w:rPr>
        <w:t>三、</w:t>
      </w:r>
      <w:r>
        <w:rPr>
          <w:rFonts w:hint="eastAsia" w:ascii="仿宋" w:hAnsi="仿宋" w:eastAsia="仿宋" w:cs="仿宋"/>
          <w:b/>
          <w:color w:val="auto"/>
          <w:sz w:val="32"/>
          <w:szCs w:val="20"/>
          <w:highlight w:val="none"/>
          <w:lang w:val="en-US" w:eastAsia="zh-CN"/>
        </w:rPr>
        <w:t>响应</w:t>
      </w:r>
      <w:bookmarkEnd w:id="7"/>
    </w:p>
    <w:p w14:paraId="070E851C">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响应文件的语言</w:t>
      </w:r>
    </w:p>
    <w:p w14:paraId="79DF3FDA">
      <w:pPr>
        <w:keepNext w:val="0"/>
        <w:keepLines w:val="0"/>
        <w:pageBreakBefore w:val="0"/>
        <w:kinsoku/>
        <w:wordWrap/>
        <w:overflowPunct/>
        <w:topLinePunct w:val="0"/>
        <w:autoSpaceDE w:val="0"/>
        <w:autoSpaceDN w:val="0"/>
        <w:bidi w:val="0"/>
        <w:spacing w:line="400" w:lineRule="exact"/>
        <w:ind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与采购有关的来往通知、函件和文件均应使用中文。</w:t>
      </w:r>
    </w:p>
    <w:p w14:paraId="6C84BD23">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响应文件的组成</w:t>
      </w:r>
    </w:p>
    <w:p w14:paraId="616B9745">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8F2DAC4">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9.1.1有效的企业法人营业执照（或事业法人登记证）、其他组织（个体工商户）的营业执照或者民办非企业单位登记证书；</w:t>
      </w:r>
    </w:p>
    <w:p w14:paraId="479995A6">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9.1.2符合参加政府采购活动应当具备的一般条件的承诺函（格式见第八部分）；</w:t>
      </w:r>
    </w:p>
    <w:p w14:paraId="1767EEA2">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9.1.3落实政府采购政策需满足的资格要求；</w:t>
      </w:r>
    </w:p>
    <w:p w14:paraId="4AD01F5E">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9.1.3.1 中小企业声明函；</w:t>
      </w:r>
    </w:p>
    <w:p w14:paraId="7221BCE2">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9.1.3.2 残疾人福利性单位声明函（如有）；</w:t>
      </w:r>
    </w:p>
    <w:p w14:paraId="024E0814">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9.1.3.3 监狱企业的证明文件（如有）；</w:t>
      </w:r>
    </w:p>
    <w:p w14:paraId="2A7659E0">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9.1.4本项目的特定资格要求（相关证明资料复印件）；</w:t>
      </w:r>
    </w:p>
    <w:p w14:paraId="4AF4296C">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sz w:val="24"/>
          <w:highlight w:val="none"/>
          <w:lang w:val="en-US" w:eastAsia="zh-CN"/>
        </w:rPr>
        <w:t>9.1.5其他资料（如有）。</w:t>
      </w:r>
    </w:p>
    <w:p w14:paraId="7A64C7F6">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D32780F">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9.2.1 评分索引表；</w:t>
      </w:r>
    </w:p>
    <w:p w14:paraId="03F20E7A">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9.2.2符合性自查表；</w:t>
      </w:r>
    </w:p>
    <w:p w14:paraId="4414C13B">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9.2.3 响应承诺函及响应承诺函附件；</w:t>
      </w:r>
      <w:r>
        <w:rPr>
          <w:rFonts w:hint="eastAsia" w:ascii="仿宋" w:hAnsi="仿宋" w:eastAsia="仿宋" w:cs="仿宋"/>
          <w:color w:val="auto"/>
          <w:sz w:val="24"/>
          <w:highlight w:val="none"/>
          <w:lang w:val="zh-CN" w:eastAsia="zh-CN"/>
        </w:rPr>
        <w:t xml:space="preserve"> </w:t>
      </w:r>
    </w:p>
    <w:p w14:paraId="404988B2">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9.2.4 授权委托书或法定代表人（单位负责人、自然人本人）身份证明；</w:t>
      </w:r>
    </w:p>
    <w:p w14:paraId="60296189">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9.2.5 供应商情况表；</w:t>
      </w:r>
    </w:p>
    <w:p w14:paraId="7EBF6458">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9.2.6 距采购人最近或者能为本项目提供最优服务的网点情况表；</w:t>
      </w:r>
    </w:p>
    <w:p w14:paraId="72C32223">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7 评标标准相应的商务技术资料；</w:t>
      </w:r>
    </w:p>
    <w:p w14:paraId="7E7857E1">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9.2.8 商务</w:t>
      </w:r>
      <w:r>
        <w:rPr>
          <w:rFonts w:hint="eastAsia" w:ascii="仿宋" w:hAnsi="仿宋" w:eastAsia="仿宋" w:cs="仿宋"/>
          <w:b/>
          <w:bCs/>
          <w:color w:val="auto"/>
          <w:sz w:val="24"/>
          <w:highlight w:val="none"/>
          <w:lang w:val="en-US" w:eastAsia="zh-CN"/>
        </w:rPr>
        <w:t>响应</w:t>
      </w:r>
      <w:r>
        <w:rPr>
          <w:rFonts w:hint="eastAsia" w:ascii="仿宋" w:hAnsi="仿宋" w:eastAsia="仿宋" w:cs="仿宋"/>
          <w:color w:val="auto"/>
          <w:sz w:val="24"/>
          <w:highlight w:val="none"/>
          <w:lang w:val="en-US" w:eastAsia="zh-CN"/>
        </w:rPr>
        <w:t>表；</w:t>
      </w:r>
    </w:p>
    <w:p w14:paraId="25006CA6">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9.2.9 技术</w:t>
      </w:r>
      <w:r>
        <w:rPr>
          <w:rFonts w:hint="eastAsia" w:ascii="仿宋" w:hAnsi="仿宋" w:eastAsia="仿宋" w:cs="仿宋"/>
          <w:b/>
          <w:bCs/>
          <w:color w:val="auto"/>
          <w:sz w:val="24"/>
          <w:highlight w:val="none"/>
          <w:lang w:val="en-US" w:eastAsia="zh-CN"/>
        </w:rPr>
        <w:t>响应</w:t>
      </w:r>
      <w:r>
        <w:rPr>
          <w:rFonts w:hint="eastAsia" w:ascii="仿宋" w:hAnsi="仿宋" w:eastAsia="仿宋" w:cs="仿宋"/>
          <w:color w:val="auto"/>
          <w:sz w:val="24"/>
          <w:highlight w:val="none"/>
          <w:lang w:val="en-US" w:eastAsia="zh-CN"/>
        </w:rPr>
        <w:t>表；</w:t>
      </w:r>
    </w:p>
    <w:p w14:paraId="4CDD0E55">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9.2.10 同类业绩情况一览表；</w:t>
      </w:r>
    </w:p>
    <w:p w14:paraId="78CE636A">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9.2.11</w:t>
      </w:r>
      <w:r>
        <w:rPr>
          <w:rFonts w:hint="eastAsia" w:ascii="仿宋" w:hAnsi="仿宋" w:eastAsia="仿宋" w:cs="仿宋"/>
          <w:color w:val="auto"/>
          <w:sz w:val="24"/>
          <w:highlight w:val="none"/>
          <w:lang w:val="zh-CN" w:eastAsia="zh-CN"/>
        </w:rPr>
        <w:t>政府采购供应商廉洁自律承诺书；</w:t>
      </w:r>
    </w:p>
    <w:p w14:paraId="11C2B8B2">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9.2.12其他资料（如有）。</w:t>
      </w:r>
    </w:p>
    <w:p w14:paraId="66A737F0">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0C5EE11">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9.3.1 报价一览表；</w:t>
      </w:r>
    </w:p>
    <w:p w14:paraId="4B81D159">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9.3.2 政府采购统计基础信息表；</w:t>
      </w:r>
    </w:p>
    <w:p w14:paraId="6EDEBFA4">
      <w:pPr>
        <w:keepNext w:val="0"/>
        <w:keepLines w:val="0"/>
        <w:pageBreakBefore w:val="0"/>
        <w:kinsoku/>
        <w:wordWrap/>
        <w:overflowPunct/>
        <w:topLinePunct w:val="0"/>
        <w:bidi w:val="0"/>
        <w:snapToGrid w:val="0"/>
        <w:spacing w:line="40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9.3.3其他资料（如有）。</w:t>
      </w:r>
    </w:p>
    <w:p w14:paraId="2325FA47">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响应文件的编制</w:t>
      </w:r>
    </w:p>
    <w:p w14:paraId="01BE09A5">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文件分为资格文件、商务技术文件、报价文件三部分。各供应商在编制</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文件时请按照</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kern w:val="0"/>
          <w:sz w:val="24"/>
          <w:highlight w:val="none"/>
          <w:lang w:val="zh-CN"/>
        </w:rPr>
        <w:t>文件第</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lang w:val="zh-CN"/>
        </w:rPr>
        <w:t>部分规定的格式进行。</w:t>
      </w:r>
      <w:r>
        <w:rPr>
          <w:rFonts w:hint="eastAsia" w:ascii="仿宋" w:hAnsi="仿宋" w:eastAsia="仿宋" w:cs="仿宋"/>
          <w:color w:val="auto"/>
          <w:kern w:val="0"/>
          <w:sz w:val="24"/>
          <w:highlight w:val="none"/>
          <w:lang w:val="en-US" w:eastAsia="zh-CN"/>
        </w:rPr>
        <w:t>未有规定格式的资料，</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lang w:val="en-US" w:eastAsia="zh-CN"/>
        </w:rPr>
        <w:t>应自行编制，但至少须包含9.投标文件组成中的内容。</w:t>
      </w:r>
      <w:r>
        <w:rPr>
          <w:rFonts w:hint="eastAsia" w:ascii="仿宋" w:hAnsi="仿宋" w:eastAsia="仿宋" w:cs="仿宋"/>
          <w:color w:val="auto"/>
          <w:kern w:val="0"/>
          <w:sz w:val="24"/>
          <w:highlight w:val="none"/>
          <w:lang w:val="zh-CN"/>
        </w:rPr>
        <w:t>混乱的编排导致投标文件被误读或评标委员会查找不到有效文件是供应商的风险。</w:t>
      </w:r>
    </w:p>
    <w:p w14:paraId="6687AAFA">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.2供应商进行电子投标应安装客户端软件—“政采云电子交易客户端”，并按照招标文件和电子交易平台的要求编制并加密</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文件。供应商未按规定加密的</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文件，电子交易平台将拒收并提示。</w:t>
      </w:r>
    </w:p>
    <w:p w14:paraId="19824A08">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356DF969">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响应文件的签署、盖章</w:t>
      </w:r>
    </w:p>
    <w:p w14:paraId="1BE4373D">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文件未按照竞争性磋商文件要求签署、盖章的，其投标无效</w:t>
      </w:r>
      <w:r>
        <w:rPr>
          <w:rFonts w:hint="eastAsia" w:ascii="仿宋" w:hAnsi="仿宋" w:eastAsia="仿宋" w:cs="仿宋"/>
          <w:color w:val="auto"/>
          <w:szCs w:val="24"/>
          <w:highlight w:val="none"/>
        </w:rPr>
        <w:t>。</w:t>
      </w:r>
    </w:p>
    <w:p w14:paraId="2521A7A1">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.2为确保网上操作合法、有效和安全，</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截止时间前完成在“政府采购云平台”的身份认证，确保在电子投标过程中能够对相关数据电文进行加密和使用电子签名。</w:t>
      </w:r>
    </w:p>
    <w:p w14:paraId="4108D413">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.3</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highlight w:val="none"/>
        </w:rPr>
        <w:t>文件对</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文件签署、盖章的要求适用于电子签名。</w:t>
      </w:r>
    </w:p>
    <w:p w14:paraId="550E2454">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响应文件的提交、补充、修改、撤回</w:t>
      </w:r>
    </w:p>
    <w:p w14:paraId="210BFD37">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截止时间前完成</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文件的传输递交，并可以补充、修改或者撤回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文件。补充或者修改</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文件的，应当先行撤回原文件，补充、修改后重新传输递交。</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截止时间前未完成传输的，视为撤回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截止时间后递交的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文件，电子交易平台将拒收。</w:t>
      </w:r>
    </w:p>
    <w:p w14:paraId="771CBC3F">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文件，将妥善保存并即时向供应商发出确认回执通知。在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截止时间前，除供应商补充、修改或者撤回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文件外，任何单位和个人不得解密或提取</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p>
    <w:p w14:paraId="6C86177E">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w:t>
      </w:r>
    </w:p>
    <w:p w14:paraId="1198B8BE">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响应有效期</w:t>
      </w:r>
    </w:p>
    <w:p w14:paraId="4482A5C6">
      <w:pPr>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文件的截止之日起90天。▲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w:t>
      </w:r>
      <w:r>
        <w:rPr>
          <w:rFonts w:hint="eastAsia" w:ascii="仿宋" w:hAnsi="仿宋" w:eastAsia="仿宋" w:cs="仿宋"/>
          <w:b/>
          <w:color w:val="auto"/>
          <w:sz w:val="24"/>
          <w:szCs w:val="20"/>
          <w:highlight w:val="none"/>
        </w:rPr>
        <w:t>文件中承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竞争性磋商</w:t>
      </w:r>
      <w:r>
        <w:rPr>
          <w:rFonts w:hint="eastAsia" w:ascii="仿宋" w:hAnsi="仿宋" w:eastAsia="仿宋" w:cs="仿宋"/>
          <w:b/>
          <w:color w:val="auto"/>
          <w:sz w:val="24"/>
          <w:szCs w:val="21"/>
          <w:highlight w:val="none"/>
        </w:rPr>
        <w:t>文件中载明的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无效。</w:t>
      </w:r>
    </w:p>
    <w:p w14:paraId="6FFF3747">
      <w:pPr>
        <w:pStyle w:val="7"/>
        <w:rPr>
          <w:rFonts w:hint="eastAsia"/>
          <w:color w:val="auto"/>
        </w:rPr>
      </w:pPr>
    </w:p>
    <w:p w14:paraId="334651DB">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bookmarkStart w:id="8" w:name="_Toc17787"/>
      <w:r>
        <w:rPr>
          <w:rFonts w:hint="eastAsia" w:ascii="仿宋" w:hAnsi="仿宋" w:eastAsia="仿宋" w:cs="仿宋"/>
          <w:b/>
          <w:color w:val="auto"/>
          <w:sz w:val="32"/>
          <w:szCs w:val="20"/>
          <w:highlight w:val="none"/>
        </w:rPr>
        <w:t>四、开标、资格审查与信用信息查询</w:t>
      </w:r>
      <w:bookmarkEnd w:id="8"/>
    </w:p>
    <w:p w14:paraId="0394E699">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开标 </w:t>
      </w:r>
    </w:p>
    <w:p w14:paraId="19195A06">
      <w:pPr>
        <w:pStyle w:val="25"/>
        <w:keepNext w:val="0"/>
        <w:keepLines w:val="0"/>
        <w:pageBreakBefore w:val="0"/>
        <w:kinsoku/>
        <w:wordWrap/>
        <w:overflowPunct/>
        <w:topLinePunct w:val="0"/>
        <w:bidi w:val="0"/>
        <w:spacing w:before="0" w:line="400" w:lineRule="exact"/>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文件规定的时间通过电子交易平台组织</w:t>
      </w:r>
      <w:r>
        <w:rPr>
          <w:rFonts w:hint="eastAsia" w:ascii="仿宋" w:hAnsi="仿宋" w:eastAsia="仿宋" w:cs="仿宋"/>
          <w:color w:val="auto"/>
          <w:sz w:val="24"/>
          <w:highlight w:val="none"/>
          <w:lang w:val="en-US" w:eastAsia="zh-CN"/>
        </w:rPr>
        <w:t>响应文件开启</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不足3家的，不得开</w:t>
      </w:r>
      <w:r>
        <w:rPr>
          <w:rFonts w:hint="eastAsia" w:ascii="仿宋" w:hAnsi="仿宋" w:eastAsia="仿宋" w:cs="仿宋"/>
          <w:color w:val="auto"/>
          <w:sz w:val="24"/>
          <w:highlight w:val="none"/>
          <w:lang w:eastAsia="zh-CN"/>
        </w:rPr>
        <w:t>启响应文件</w:t>
      </w:r>
      <w:r>
        <w:rPr>
          <w:rFonts w:hint="eastAsia" w:ascii="仿宋" w:hAnsi="仿宋" w:eastAsia="仿宋" w:cs="仿宋"/>
          <w:color w:val="auto"/>
          <w:sz w:val="24"/>
          <w:highlight w:val="none"/>
        </w:rPr>
        <w:t>。</w:t>
      </w:r>
    </w:p>
    <w:p w14:paraId="78D6BE7E">
      <w:pPr>
        <w:pStyle w:val="25"/>
        <w:keepNext w:val="0"/>
        <w:keepLines w:val="0"/>
        <w:pageBreakBefore w:val="0"/>
        <w:kinsoku/>
        <w:wordWrap/>
        <w:overflowPunct/>
        <w:topLinePunct w:val="0"/>
        <w:bidi w:val="0"/>
        <w:spacing w:before="0" w:line="400" w:lineRule="exact"/>
        <w:ind w:left="0" w:leftChars="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.2开启响应文件时，电子交易平台按响应文件开启时间自动提取所有响应文件。采购代理机构依托电子交易平台发起开始解密指令，供应商按照平台提示和竞争性磋商文件的规定在半小时内完成在线解密。</w:t>
      </w:r>
    </w:p>
    <w:p w14:paraId="7ADAC4F2">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w:t>
      </w:r>
    </w:p>
    <w:p w14:paraId="0649D5FC">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.1响应文件开启后，采购人或采购代理机构依据法律法规和竞争性磋商文件的规定，对供应商的资格条件进行审查。</w:t>
      </w:r>
    </w:p>
    <w:p w14:paraId="3A6AD388">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19E31DC7">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w:t>
      </w:r>
      <w:r>
        <w:rPr>
          <w:rFonts w:hint="eastAsia" w:ascii="仿宋" w:hAnsi="仿宋" w:eastAsia="仿宋" w:cs="仿宋"/>
          <w:color w:val="auto"/>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r>
        <w:rPr>
          <w:rFonts w:hint="eastAsia" w:ascii="仿宋" w:hAnsi="仿宋" w:eastAsia="仿宋" w:cs="仿宋"/>
          <w:color w:val="auto"/>
          <w:highlight w:val="none"/>
        </w:rPr>
        <w:t>。</w:t>
      </w:r>
    </w:p>
    <w:p w14:paraId="3ECF15A5">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信用信息查询</w:t>
      </w:r>
    </w:p>
    <w:p w14:paraId="7A4E6441">
      <w:pPr>
        <w:pStyle w:val="23"/>
        <w:keepNext w:val="0"/>
        <w:keepLines w:val="0"/>
        <w:pageBreakBefore w:val="0"/>
        <w:kinsoku/>
        <w:wordWrap/>
        <w:overflowPunct/>
        <w:topLinePunct w:val="0"/>
        <w:bidi w:val="0"/>
        <w:spacing w:before="0" w:line="400" w:lineRule="exact"/>
        <w:ind w:leftChars="0"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16</w:t>
      </w:r>
      <w:r>
        <w:rPr>
          <w:rFonts w:hint="eastAsia" w:ascii="仿宋" w:hAnsi="仿宋" w:eastAsia="仿宋" w:cs="仿宋"/>
          <w:color w:val="auto"/>
          <w:kern w:val="0"/>
          <w:szCs w:val="24"/>
          <w:highlight w:val="none"/>
        </w:rPr>
        <w:t>.1信用信息查询渠道及截止时间：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www.creditchina.gov.cn</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、中国政府采购网</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www.ccgp.gov.cn</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渠道查询</w:t>
      </w:r>
      <w:r>
        <w:rPr>
          <w:rFonts w:hint="eastAsia" w:ascii="仿宋" w:hAnsi="仿宋" w:eastAsia="仿宋" w:cs="仿宋"/>
          <w:color w:val="auto"/>
          <w:kern w:val="0"/>
          <w:szCs w:val="24"/>
          <w:highlight w:val="none"/>
          <w:lang w:eastAsia="zh-CN"/>
        </w:rPr>
        <w:t>供应商响应</w:t>
      </w:r>
      <w:r>
        <w:rPr>
          <w:rFonts w:hint="eastAsia" w:ascii="仿宋" w:hAnsi="仿宋" w:eastAsia="仿宋" w:cs="仿宋"/>
          <w:color w:val="auto"/>
          <w:kern w:val="0"/>
          <w:szCs w:val="24"/>
          <w:highlight w:val="none"/>
        </w:rPr>
        <w:t>截止时间当天的信用记录。</w:t>
      </w:r>
    </w:p>
    <w:p w14:paraId="6F2A9251">
      <w:pPr>
        <w:pStyle w:val="23"/>
        <w:keepNext w:val="0"/>
        <w:keepLines w:val="0"/>
        <w:pageBreakBefore w:val="0"/>
        <w:kinsoku/>
        <w:wordWrap/>
        <w:overflowPunct/>
        <w:topLinePunct w:val="0"/>
        <w:bidi w:val="0"/>
        <w:spacing w:before="0" w:line="400" w:lineRule="exact"/>
        <w:ind w:leftChars="0"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16</w:t>
      </w:r>
      <w:r>
        <w:rPr>
          <w:rFonts w:hint="eastAsia" w:ascii="仿宋" w:hAnsi="仿宋" w:eastAsia="仿宋" w:cs="仿宋"/>
          <w:color w:val="auto"/>
          <w:kern w:val="0"/>
          <w:szCs w:val="24"/>
          <w:highlight w:val="none"/>
        </w:rPr>
        <w:t>.2信用信息的使用规则：经查询列入失信被执行人名单、重大税收违法案件当事人名单、政府采购严重违法失信行为记录名单的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将被拒绝参与政府采购活动。</w:t>
      </w:r>
    </w:p>
    <w:p w14:paraId="4CDD1585">
      <w:pPr>
        <w:pStyle w:val="23"/>
        <w:keepNext w:val="0"/>
        <w:keepLines w:val="0"/>
        <w:pageBreakBefore w:val="0"/>
        <w:kinsoku/>
        <w:wordWrap/>
        <w:overflowPunct/>
        <w:topLinePunct w:val="0"/>
        <w:bidi w:val="0"/>
        <w:spacing w:before="0" w:line="400" w:lineRule="exact"/>
        <w:ind w:leftChars="0" w:firstLine="495" w:firstLineChars="0"/>
        <w:textAlignment w:val="auto"/>
        <w:rPr>
          <w:rFonts w:hint="eastAsia" w:ascii="仿宋" w:hAnsi="仿宋" w:eastAsia="仿宋" w:cs="仿宋"/>
          <w:color w:val="auto"/>
          <w:kern w:val="0"/>
          <w:szCs w:val="24"/>
          <w:highlight w:val="none"/>
        </w:rPr>
      </w:pPr>
    </w:p>
    <w:p w14:paraId="4A44313B">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bookmarkStart w:id="9" w:name="_Toc22680"/>
      <w:r>
        <w:rPr>
          <w:rFonts w:hint="eastAsia" w:ascii="仿宋" w:hAnsi="仿宋" w:eastAsia="仿宋" w:cs="仿宋"/>
          <w:b/>
          <w:color w:val="auto"/>
          <w:sz w:val="32"/>
          <w:szCs w:val="20"/>
          <w:highlight w:val="none"/>
        </w:rPr>
        <w:t>五、评标</w:t>
      </w:r>
      <w:bookmarkEnd w:id="9"/>
    </w:p>
    <w:p w14:paraId="01BFC09D">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bookmarkStart w:id="10" w:name="_Toc91899903"/>
      <w:r>
        <w:rPr>
          <w:rFonts w:hint="eastAsia" w:ascii="仿宋" w:hAnsi="仿宋" w:eastAsia="仿宋" w:cs="仿宋"/>
          <w:b/>
          <w:color w:val="auto"/>
          <w:sz w:val="24"/>
          <w:highlight w:val="none"/>
          <w:lang w:val="en-US" w:eastAsia="zh-CN"/>
        </w:rPr>
        <w:t>评标委员会</w:t>
      </w:r>
    </w:p>
    <w:p w14:paraId="3EE1B71B">
      <w:pPr>
        <w:keepNext w:val="0"/>
        <w:keepLines w:val="0"/>
        <w:pageBreakBefore w:val="0"/>
        <w:kinsoku/>
        <w:wordWrap/>
        <w:overflowPunct/>
        <w:topLinePunct w:val="0"/>
        <w:autoSpaceDE w:val="0"/>
        <w:autoSpaceDN w:val="0"/>
        <w:bidi w:val="0"/>
        <w:spacing w:line="400" w:lineRule="exact"/>
        <w:ind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17.1 依法组建磋商小组，磋商小组由采购人代表和评审专家共3人以上（含3人）单数组成，评审专家从政采云专家库中随机抽取。磋商小组负责对响应文件进行评审。</w:t>
      </w:r>
    </w:p>
    <w:p w14:paraId="3AE921D9">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17.2 评审原则。磋商小组必须遵循公平、公正、客观、科学的原则和规定的程序进行评审；评审的依据为采购文件和响应文件；评审人员应独立评审，不得带有任何倾向性和启发性影响他人评审；任何单位和个人不得干扰、影响评审的正常进行；磋商小组及有关工作人员不得私下与供应商接触，不得向外界透露任何与评审有关的内容。</w:t>
      </w:r>
    </w:p>
    <w:p w14:paraId="27116066">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 评审专家有下列情形之一的，应主动提出回避，采购当事人也可以要求该评审专家回避：</w:t>
      </w:r>
    </w:p>
    <w:p w14:paraId="5AFCC532">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17.3.1 参加采购活动前3年内与供应商存在劳动关系；</w:t>
      </w:r>
    </w:p>
    <w:p w14:paraId="4EEE6C9B">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17.3.2 参加采购活动前3年内担任供应商的董事、监事；</w:t>
      </w:r>
    </w:p>
    <w:p w14:paraId="7BD139AA">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17.3.3 参加采购活动前3年内是供应商的控股股东或者实际控制人；</w:t>
      </w:r>
    </w:p>
    <w:p w14:paraId="00E6862A">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17.3.4 与供应商的法定代表人或者负责人有夫妻、直系血亲、三代以内旁系血亲或者近姻亲关系；</w:t>
      </w:r>
    </w:p>
    <w:p w14:paraId="4FD95131">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17.3.5 与供应商有其他可能影响政府采购活动公平、公正进行的关系。</w:t>
      </w:r>
    </w:p>
    <w:p w14:paraId="6084AC62">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AA2DAF">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17.4 评标委员会判断响应文件的有效性、合格性和响应情况，仅依据供应商所递交一切文件的真实表述，不受与本项目无直接关联的外部信息、传言而影响自身的专业判断。</w:t>
      </w:r>
    </w:p>
    <w:p w14:paraId="513C4B3F">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lang w:val="en-US" w:eastAsia="zh-CN"/>
        </w:rPr>
        <w:t>17.5 评委依法独立评审，并对评审意见承担个人责任。评委对需要共同认定的事项存在争议的，按照少数服从多数的原则作出结论。持不同意见的评委应当在评审报告上签署不同意见并说明理由，否则视为同意。</w:t>
      </w:r>
    </w:p>
    <w:p w14:paraId="5235CE76">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评标</w:t>
      </w:r>
    </w:p>
    <w:p w14:paraId="7BF22037">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磋商小组将根据</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kern w:val="0"/>
          <w:szCs w:val="24"/>
          <w:highlight w:val="none"/>
          <w:lang w:val="en-US" w:eastAsia="zh-CN"/>
        </w:rPr>
        <w:t>文件和有关规定，履行评标工作职责，并按照评审方法及评分标准，全面衡量各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lang w:val="en-US" w:eastAsia="zh-CN"/>
        </w:rPr>
        <w:t>对</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kern w:val="0"/>
          <w:szCs w:val="24"/>
          <w:highlight w:val="none"/>
          <w:lang w:val="en-US" w:eastAsia="zh-CN"/>
        </w:rPr>
        <w:t>文件的响应情况。对实质上响应</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kern w:val="0"/>
          <w:szCs w:val="24"/>
          <w:highlight w:val="none"/>
          <w:lang w:val="en-US" w:eastAsia="zh-CN"/>
        </w:rPr>
        <w:t>文件的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lang w:val="en-US" w:eastAsia="zh-CN"/>
        </w:rPr>
        <w:t>，按照评审得分最高的，推荐为中标候选人。</w:t>
      </w:r>
    </w:p>
    <w:p w14:paraId="0087FD1A">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得分相同的，按投标报价由低到高顺序排列。得分且投标报价相同的，按照技术指标优劣顺序排序。</w:t>
      </w:r>
    </w:p>
    <w:p w14:paraId="4F14BDF6">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详见竞争性磋商文件第四部分评审办法。</w:t>
      </w:r>
    </w:p>
    <w:p w14:paraId="2AE51FE6">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p>
    <w:p w14:paraId="764A4CDB">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6"/>
          <w:szCs w:val="36"/>
          <w:highlight w:val="none"/>
        </w:rPr>
      </w:pPr>
      <w:bookmarkStart w:id="11" w:name="_Toc16834"/>
      <w:r>
        <w:rPr>
          <w:rFonts w:hint="eastAsia" w:ascii="仿宋" w:hAnsi="仿宋" w:eastAsia="仿宋" w:cs="仿宋"/>
          <w:b/>
          <w:color w:val="auto"/>
          <w:sz w:val="32"/>
          <w:szCs w:val="20"/>
          <w:highlight w:val="none"/>
        </w:rPr>
        <w:t>六、定 标</w:t>
      </w:r>
      <w:bookmarkEnd w:id="11"/>
    </w:p>
    <w:p w14:paraId="2DE00CF3">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确定中标供应商</w:t>
      </w:r>
    </w:p>
    <w:p w14:paraId="3F3E5144">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本项目由磋商小组推荐</w:t>
      </w:r>
      <w:r>
        <w:rPr>
          <w:rFonts w:hint="eastAsia" w:ascii="仿宋" w:hAnsi="仿宋" w:eastAsia="仿宋" w:cs="仿宋"/>
          <w:b/>
          <w:bCs/>
          <w:color w:val="auto"/>
          <w:kern w:val="0"/>
          <w:szCs w:val="24"/>
          <w:highlight w:val="none"/>
          <w:lang w:val="en-US" w:eastAsia="zh-CN"/>
        </w:rPr>
        <w:t>三个成交候选供应商</w:t>
      </w:r>
      <w:r>
        <w:rPr>
          <w:rFonts w:hint="eastAsia" w:ascii="仿宋" w:hAnsi="仿宋" w:eastAsia="仿宋" w:cs="仿宋"/>
          <w:color w:val="auto"/>
          <w:kern w:val="0"/>
          <w:szCs w:val="24"/>
          <w:highlight w:val="none"/>
          <w:lang w:val="en-US" w:eastAsia="zh-CN"/>
        </w:rPr>
        <w:t>。</w:t>
      </w:r>
    </w:p>
    <w:p w14:paraId="16A48387">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D007846">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采购代理机构应当在成交供应商确定后2个工作日内，在政府采购信息发布媒体上公告成交结果，同时向成交供应商发出成交通知书。</w:t>
      </w:r>
    </w:p>
    <w:p w14:paraId="6E0C4244">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中标通知与中标结果公告</w:t>
      </w:r>
    </w:p>
    <w:p w14:paraId="4F36ECFF">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20.1自中标人确定之日起2个工作日内，采购代理机构通过电子交易平台向中标人发出中标通知书，同时编制发布采购结果公告。采购代理机构也可以以纸质形式进行中标通知。</w:t>
      </w:r>
    </w:p>
    <w:p w14:paraId="22CA79BA">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w:t>
      </w:r>
      <w:r>
        <w:rPr>
          <w:rFonts w:hint="eastAsia" w:ascii="仿宋" w:hAnsi="仿宋" w:eastAsia="仿宋" w:cs="仿宋"/>
          <w:b/>
          <w:bCs/>
          <w:color w:val="auto"/>
          <w:kern w:val="0"/>
          <w:szCs w:val="24"/>
          <w:highlight w:val="none"/>
          <w:lang w:val="en-US" w:eastAsia="zh-CN"/>
        </w:rPr>
        <w:t>评分汇总及明细。</w:t>
      </w:r>
    </w:p>
    <w:p w14:paraId="71839B6B">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20.3公告期限为1个工作日。</w:t>
      </w:r>
    </w:p>
    <w:p w14:paraId="50F39858">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bookmarkStart w:id="12" w:name="_Toc27254"/>
      <w:r>
        <w:rPr>
          <w:rFonts w:hint="eastAsia" w:ascii="仿宋" w:hAnsi="仿宋" w:eastAsia="仿宋" w:cs="仿宋"/>
          <w:b/>
          <w:color w:val="auto"/>
          <w:sz w:val="32"/>
          <w:szCs w:val="20"/>
          <w:highlight w:val="none"/>
        </w:rPr>
        <w:t>七、合同授予</w:t>
      </w:r>
      <w:bookmarkEnd w:id="12"/>
    </w:p>
    <w:p w14:paraId="114F8EAA">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合同授予</w:t>
      </w:r>
    </w:p>
    <w:p w14:paraId="5805E82A">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合同主要条款详见第五部分拟签订的合同文本。</w:t>
      </w:r>
    </w:p>
    <w:p w14:paraId="2272C131">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合同的签订</w:t>
      </w:r>
    </w:p>
    <w:p w14:paraId="0DDA0A40">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333AFA72">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zh-CN" w:eastAsia="zh-CN"/>
        </w:rPr>
        <w:t>2</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14A0C272">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22.3如签订合同并生效后，供应商无故拒绝或延期，除按照合同条款处理外，列入不良行为记录名单，并给予通报。</w:t>
      </w:r>
    </w:p>
    <w:p w14:paraId="48C452A8">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22.4</w:t>
      </w:r>
      <w:r>
        <w:rPr>
          <w:rFonts w:hint="eastAsia" w:ascii="仿宋" w:hAnsi="仿宋" w:eastAsia="仿宋" w:cs="仿宋"/>
          <w:color w:val="auto"/>
          <w:kern w:val="0"/>
          <w:szCs w:val="24"/>
          <w:highlight w:val="none"/>
          <w:lang w:val="zh-CN" w:eastAsia="zh-CN"/>
        </w:rPr>
        <w:t>成交</w:t>
      </w:r>
      <w:r>
        <w:rPr>
          <w:rFonts w:hint="eastAsia" w:ascii="仿宋" w:hAnsi="仿宋" w:eastAsia="仿宋" w:cs="仿宋"/>
          <w:color w:val="auto"/>
          <w:kern w:val="0"/>
          <w:szCs w:val="24"/>
          <w:highlight w:val="none"/>
          <w:lang w:val="en-US" w:eastAsia="zh-CN"/>
        </w:rPr>
        <w:t>供应商拒绝与采购人签订合同的，列入不良行为记录名单，采购人、采购代理机构重新开展政府采购活动。</w:t>
      </w:r>
    </w:p>
    <w:p w14:paraId="25C2FEEC">
      <w:pPr>
        <w:pStyle w:val="23"/>
        <w:keepNext w:val="0"/>
        <w:keepLines w:val="0"/>
        <w:pageBreakBefore w:val="0"/>
        <w:kinsoku/>
        <w:wordWrap/>
        <w:overflowPunct/>
        <w:topLinePunct w:val="0"/>
        <w:bidi w:val="0"/>
        <w:spacing w:before="0" w:line="400" w:lineRule="exact"/>
        <w:ind w:leftChars="0" w:firstLine="48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22.5采购合同由采购人与</w:t>
      </w:r>
      <w:r>
        <w:rPr>
          <w:rFonts w:hint="eastAsia" w:ascii="仿宋" w:hAnsi="仿宋" w:eastAsia="仿宋" w:cs="仿宋"/>
          <w:color w:val="auto"/>
          <w:kern w:val="0"/>
          <w:szCs w:val="24"/>
          <w:highlight w:val="none"/>
          <w:lang w:val="zh-CN" w:eastAsia="zh-CN"/>
        </w:rPr>
        <w:t>成交</w:t>
      </w:r>
      <w:r>
        <w:rPr>
          <w:rFonts w:hint="eastAsia" w:ascii="仿宋" w:hAnsi="仿宋" w:eastAsia="仿宋" w:cs="仿宋"/>
          <w:color w:val="auto"/>
          <w:kern w:val="0"/>
          <w:szCs w:val="24"/>
          <w:highlight w:val="none"/>
          <w:lang w:val="en-US" w:eastAsia="zh-CN"/>
        </w:rPr>
        <w:t>供应商根据竞争性磋商文件、响应文件等内容通过政府采购电子交易平台在线签订，自动备案。</w:t>
      </w:r>
    </w:p>
    <w:p w14:paraId="4676813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履约保证金：1%。</w:t>
      </w:r>
    </w:p>
    <w:p w14:paraId="1FEEDCC0">
      <w:pPr>
        <w:pStyle w:val="7"/>
        <w:rPr>
          <w:rFonts w:hint="eastAsia"/>
          <w:color w:val="auto"/>
        </w:rPr>
      </w:pPr>
    </w:p>
    <w:p w14:paraId="64DA2CCE">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bookmarkStart w:id="13" w:name="_Toc8370"/>
      <w:r>
        <w:rPr>
          <w:rFonts w:hint="eastAsia" w:ascii="仿宋" w:hAnsi="仿宋" w:eastAsia="仿宋" w:cs="仿宋"/>
          <w:b/>
          <w:color w:val="auto"/>
          <w:sz w:val="32"/>
          <w:szCs w:val="20"/>
          <w:highlight w:val="none"/>
        </w:rPr>
        <w:t>八、电子交易活动的中止</w:t>
      </w:r>
      <w:bookmarkEnd w:id="13"/>
    </w:p>
    <w:p w14:paraId="2D8EE55B">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电子交易活动的中止</w:t>
      </w:r>
    </w:p>
    <w:p w14:paraId="321534FD">
      <w:pPr>
        <w:keepNext w:val="0"/>
        <w:keepLines w:val="0"/>
        <w:pageBreakBefore w:val="0"/>
        <w:tabs>
          <w:tab w:val="left" w:pos="0"/>
        </w:tabs>
        <w:kinsoku/>
        <w:wordWrap/>
        <w:overflowPunct/>
        <w:topLinePunct w:val="0"/>
        <w:bidi w:val="0"/>
        <w:spacing w:line="400" w:lineRule="exact"/>
        <w:ind w:leftChars="0"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606674EA">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.1电子交易平台发生故障而无法登录访问的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49F073E0">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.2电子交易平台应用或数据库出现错误，不能进行正常操作的</w:t>
      </w:r>
      <w:r>
        <w:rPr>
          <w:rFonts w:hint="eastAsia" w:ascii="仿宋" w:hAnsi="仿宋" w:eastAsia="仿宋" w:cs="仿宋"/>
          <w:color w:val="auto"/>
          <w:highlight w:val="none"/>
          <w:lang w:eastAsia="zh-CN"/>
        </w:rPr>
        <w:t>；</w:t>
      </w:r>
    </w:p>
    <w:p w14:paraId="73EF1E05">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.3电子交易平台发现严重安全漏洞，有潜在泄密危险的</w:t>
      </w:r>
      <w:r>
        <w:rPr>
          <w:rFonts w:hint="eastAsia" w:ascii="仿宋" w:hAnsi="仿宋" w:eastAsia="仿宋" w:cs="仿宋"/>
          <w:color w:val="auto"/>
          <w:highlight w:val="none"/>
          <w:lang w:eastAsia="zh-CN"/>
        </w:rPr>
        <w:t>；</w:t>
      </w:r>
    </w:p>
    <w:p w14:paraId="0108376A">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.4病毒发作导致不能进行正常操作的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5B5DE2E3">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.5其他无法保证电子交易的公平、公正和安全的情况。</w:t>
      </w:r>
    </w:p>
    <w:p w14:paraId="4681E45D">
      <w:pPr>
        <w:pStyle w:val="23"/>
        <w:keepNext w:val="0"/>
        <w:keepLines w:val="0"/>
        <w:pageBreakBefore w:val="0"/>
        <w:kinsoku/>
        <w:wordWrap/>
        <w:overflowPunct/>
        <w:topLinePunct w:val="0"/>
        <w:bidi w:val="0"/>
        <w:snapToGrid w:val="0"/>
        <w:spacing w:before="0" w:line="400" w:lineRule="exact"/>
        <w:ind w:leftChars="0" w:firstLine="480"/>
        <w:textAlignment w:val="auto"/>
        <w:rPr>
          <w:rFonts w:hint="eastAsia" w:ascii="仿宋" w:hAnsi="仿宋" w:eastAsia="仿宋" w:cs="仿宋"/>
          <w:color w:val="auto"/>
          <w:highlight w:val="none"/>
        </w:rPr>
      </w:pPr>
    </w:p>
    <w:p w14:paraId="2A47D150">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bookmarkStart w:id="14" w:name="_Toc5669"/>
      <w:r>
        <w:rPr>
          <w:rFonts w:hint="eastAsia" w:ascii="仿宋" w:hAnsi="仿宋" w:eastAsia="仿宋" w:cs="仿宋"/>
          <w:b/>
          <w:color w:val="auto"/>
          <w:sz w:val="32"/>
          <w:szCs w:val="20"/>
          <w:highlight w:val="none"/>
        </w:rPr>
        <w:t>九、验收</w:t>
      </w:r>
      <w:bookmarkEnd w:id="14"/>
    </w:p>
    <w:p w14:paraId="41D418D1">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验收</w:t>
      </w:r>
    </w:p>
    <w:p w14:paraId="640D5FFD">
      <w:pPr>
        <w:keepNext w:val="0"/>
        <w:keepLines w:val="0"/>
        <w:pageBreakBefore w:val="0"/>
        <w:tabs>
          <w:tab w:val="left" w:pos="0"/>
        </w:tabs>
        <w:kinsoku/>
        <w:wordWrap/>
        <w:overflowPunct/>
        <w:topLinePunct w:val="0"/>
        <w:bidi w:val="0"/>
        <w:spacing w:line="400" w:lineRule="exact"/>
        <w:ind w:leftChars="0"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831DBF">
      <w:pPr>
        <w:keepNext w:val="0"/>
        <w:keepLines w:val="0"/>
        <w:pageBreakBefore w:val="0"/>
        <w:tabs>
          <w:tab w:val="left" w:pos="0"/>
        </w:tabs>
        <w:kinsoku/>
        <w:wordWrap/>
        <w:overflowPunct/>
        <w:topLinePunct w:val="0"/>
        <w:bidi w:val="0"/>
        <w:spacing w:line="400" w:lineRule="exact"/>
        <w:ind w:leftChars="0" w:firstLine="48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.2采购预算100万元（含）以上的采购项目履约完成后，采购人必须成立验收小组进行验收，并出具验收报告，作为财务货款支出的原始凭证。采购预算300万元（含）以上的采购项目履约完成后，未中标供应商</w:t>
      </w:r>
      <w:r>
        <w:rPr>
          <w:rFonts w:hint="eastAsia" w:ascii="仿宋" w:hAnsi="仿宋" w:eastAsia="仿宋" w:cs="仿宋"/>
          <w:color w:val="auto"/>
          <w:kern w:val="0"/>
          <w:sz w:val="24"/>
          <w:highlight w:val="none"/>
          <w:lang w:val="en-US" w:eastAsia="zh-CN"/>
        </w:rPr>
        <w:t>可以</w:t>
      </w:r>
      <w:r>
        <w:rPr>
          <w:rFonts w:hint="eastAsia" w:ascii="仿宋" w:hAnsi="仿宋" w:eastAsia="仿宋" w:cs="仿宋"/>
          <w:color w:val="auto"/>
          <w:kern w:val="0"/>
          <w:sz w:val="24"/>
          <w:highlight w:val="none"/>
        </w:rPr>
        <w:t>参加项目验收活动，但不属于验收小组成员，中标供应商须积极配合未中标供应商参与项目验收。</w:t>
      </w:r>
    </w:p>
    <w:p w14:paraId="7AA8FFCD">
      <w:pPr>
        <w:keepNext w:val="0"/>
        <w:keepLines w:val="0"/>
        <w:pageBreakBefore w:val="0"/>
        <w:tabs>
          <w:tab w:val="left" w:pos="0"/>
        </w:tabs>
        <w:kinsoku/>
        <w:wordWrap/>
        <w:overflowPunct/>
        <w:topLinePunct w:val="0"/>
        <w:bidi w:val="0"/>
        <w:spacing w:line="400" w:lineRule="exact"/>
        <w:ind w:leftChars="0"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严格按照采购合同开展履约验收。采购人成立验收小组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为社会公众提供的公共服务项目验收时，验收小组成员必须包含部分服务对象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265E38A6">
      <w:pPr>
        <w:pStyle w:val="5"/>
        <w:keepNext w:val="0"/>
        <w:keepLines w:val="0"/>
        <w:pageBreakBefore w:val="0"/>
        <w:kinsoku/>
        <w:wordWrap/>
        <w:overflowPunct/>
        <w:topLinePunct w:val="0"/>
        <w:bidi w:val="0"/>
        <w:spacing w:line="400" w:lineRule="exact"/>
        <w:ind w:leftChars="0"/>
        <w:textAlignment w:val="auto"/>
        <w:rPr>
          <w:rFonts w:hint="eastAsia" w:ascii="仿宋" w:hAnsi="仿宋" w:eastAsia="仿宋" w:cs="仿宋"/>
          <w:color w:val="auto"/>
          <w:kern w:val="0"/>
          <w:sz w:val="24"/>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bookmarkEnd w:id="3"/>
      <w:bookmarkEnd w:id="4"/>
      <w:bookmarkEnd w:id="10"/>
      <w:bookmarkStart w:id="15" w:name="_Hlt75236290"/>
      <w:bookmarkEnd w:id="15"/>
      <w:bookmarkStart w:id="16" w:name="_Hlt68403820"/>
      <w:bookmarkEnd w:id="16"/>
      <w:bookmarkStart w:id="17" w:name="_Hlt74707468"/>
      <w:bookmarkEnd w:id="17"/>
      <w:bookmarkStart w:id="18" w:name="_Hlt74730295"/>
      <w:bookmarkEnd w:id="18"/>
      <w:bookmarkStart w:id="19" w:name="_Hlt68072998"/>
      <w:bookmarkEnd w:id="19"/>
      <w:bookmarkStart w:id="20" w:name="_Hlt74729768"/>
      <w:bookmarkEnd w:id="20"/>
      <w:bookmarkStart w:id="21" w:name="_Hlt74714665"/>
      <w:bookmarkEnd w:id="21"/>
      <w:bookmarkStart w:id="22" w:name="_Hlt68073093"/>
      <w:bookmarkEnd w:id="22"/>
      <w:bookmarkStart w:id="23" w:name="_Hlt68057669"/>
      <w:bookmarkEnd w:id="23"/>
      <w:bookmarkStart w:id="24" w:name="_Hlt75236101"/>
      <w:bookmarkEnd w:id="24"/>
      <w:bookmarkStart w:id="25" w:name="_Hlt75236011"/>
      <w:bookmarkEnd w:id="25"/>
      <w:bookmarkStart w:id="26" w:name="_Hlt68072990"/>
      <w:bookmarkEnd w:id="26"/>
      <w:r>
        <w:rPr>
          <w:rFonts w:hint="eastAsia" w:ascii="仿宋" w:hAnsi="仿宋" w:eastAsia="仿宋" w:cs="仿宋"/>
          <w:color w:val="auto"/>
          <w:kern w:val="0"/>
          <w:sz w:val="24"/>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32D7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7" w:name="_Toc12745"/>
      <w:r>
        <w:rPr>
          <w:rFonts w:hint="eastAsia" w:ascii="仿宋" w:hAnsi="仿宋" w:eastAsia="仿宋" w:cs="仿宋"/>
          <w:b/>
          <w:color w:val="auto"/>
          <w:sz w:val="36"/>
          <w:szCs w:val="20"/>
          <w:highlight w:val="none"/>
        </w:rPr>
        <w:t>第三部分   采购需求</w:t>
      </w:r>
      <w:bookmarkEnd w:id="27"/>
    </w:p>
    <w:p w14:paraId="0287E07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400" w:lineRule="exact"/>
        <w:jc w:val="left"/>
        <w:textAlignment w:val="auto"/>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28"/>
          <w:szCs w:val="28"/>
          <w:highlight w:val="none"/>
          <w:lang w:val="en-US" w:eastAsia="zh-CN"/>
        </w:rPr>
        <w:t>一、项目情况</w:t>
      </w:r>
    </w:p>
    <w:p w14:paraId="678F4DE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（一）建设规模和主要建设内容：项目位于莼湖街道，奉化区莼湖街道振兴路1号，主要内容为施工图范围内的土建、安装及市政等所有施工内容。</w:t>
      </w:r>
    </w:p>
    <w:p w14:paraId="040CEAE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（二）工程量清单、图纸</w:t>
      </w:r>
    </w:p>
    <w:p w14:paraId="547CB95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详见采购文件附件：工程造价咨询报告书、图纸、工程量清单。</w:t>
      </w:r>
    </w:p>
    <w:p w14:paraId="70A3102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400" w:lineRule="exact"/>
        <w:jc w:val="left"/>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二、技术要求</w:t>
      </w:r>
    </w:p>
    <w:p w14:paraId="6DE7CE3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1、本项目工程量清单是根据采购文件中包括的有关工程量清单的国家标准、行业标准、合同条款中约定的工程量计算规则编制。计量采用中华人民共和国法定计量单位。</w:t>
      </w:r>
    </w:p>
    <w:p w14:paraId="509545E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2、本项目工程量清单应与采购文件中的竞争性磋商须知、合同条款、技术标准和要求等一起阅读和理解。</w:t>
      </w:r>
    </w:p>
    <w:p w14:paraId="4833B2B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本项目工程量清单中标明的单价已包括为实施本工程所需的人工、材料、机械使用等定额直接费、临时设施、施工辅助、进退场等其他直接费、间接费、管理费、措施费、规费、保险、利润、税金、中标服务费等一切费用，以及合同中所需要承担的所有责任、义务和风险。</w:t>
      </w:r>
    </w:p>
    <w:p w14:paraId="43AC32D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4、符合合同条款规定的全部费用应认为已被计入有标价的工程量清单所列各子目之中，未列子目不予计量的工作，其费用应视为已分摊在本合同工程的有关子目的单价之中。</w:t>
      </w:r>
    </w:p>
    <w:p w14:paraId="00D51A4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5、供应商按采购文件提供的《工程量清单》报统一固定综合单价折扣率。</w:t>
      </w:r>
    </w:p>
    <w:p w14:paraId="697BEE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6、供应商应在报价中综合考虑施工区域封闭的措施费用，工程实施过程中采购人不再补偿相关费用。</w:t>
      </w:r>
    </w:p>
    <w:p w14:paraId="42378BD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7、本工程施工用电、施工用水均由承包人自行考虑，费用包含在合同总价内，结算时不做调整；</w:t>
      </w:r>
    </w:p>
    <w:p w14:paraId="0030E25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8、本工程要求承包人做好现场安全文明施工；现场悬挂“五牌一图”和安全文明施工警示牌、对施工造成的道路上的洒落进行清理、材料堆放要求整齐并做好维护等；此部分费用均包含在投标报价内。</w:t>
      </w:r>
    </w:p>
    <w:p w14:paraId="7CD8A2F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9、承包人在施工过程中与其他项目发生的任何冲突问题由采购人组织解决，不允许收取任何进场费、配合费等其他任何费用。</w:t>
      </w:r>
    </w:p>
    <w:p w14:paraId="5CF94D9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10、发包人无施工设备和临时设施提供，均需由承包人自行提供，承包人须配备满足施工要求的主要施工机械设备（包括但不限于挖掘机、装载机、推土机、运输车辆、搅拌机、水泵等）。</w:t>
      </w:r>
    </w:p>
    <w:p w14:paraId="2BFBBFC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11、建立健全安全生产责任制。从派往项目实施的项目负责人到生产工人（包括临时雇请的民工）必须接受安全技术教育，熟知和遵守本工种的各项安全技术操作规程，定期进行安全技术考核，合格者方准上岗操作。</w:t>
      </w:r>
    </w:p>
    <w:p w14:paraId="49A32E6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12、安全文明作业要求：中标人必须为全体作业员工购买工伤保险，中标人必须重视安全生产工作，确保全年不出安全生产责任事故。在维修过程中，如因中标人原因发生安全生产责任事故(人员伤亡)或交通事故，由中标人承担一切责任及损失，且采购人有权终止合同。另行签订安全生产合同及安全生产责任书。</w:t>
      </w:r>
    </w:p>
    <w:p w14:paraId="3C57AB6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中标人必须切实搞好安全施工、文明施工，遵守社会治安等有关规定，搞好环境卫生及施工人员人身安全保险等工作，确保安全等级达到合格标准。若发生重大伤亡及其它安全事故，中标人应按有关规定立即上报有关部门并通知采购人，同时按政府有关部门要求进行事故处理，并由事故责任方承担发生的事故费用，与采购人无涉。</w:t>
      </w:r>
    </w:p>
    <w:p w14:paraId="356CC7EA">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承包人须配备满足施工要求的主要施工人员（包括但不限于项目负责人、技术负责人、施工员、安全员、质量员等）。</w:t>
      </w:r>
    </w:p>
    <w:p w14:paraId="1282C5B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400" w:lineRule="exact"/>
        <w:ind w:left="0" w:leftChars="0" w:firstLine="562" w:firstLineChars="200"/>
        <w:jc w:val="left"/>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三、商务要求</w:t>
      </w:r>
    </w:p>
    <w:tbl>
      <w:tblPr>
        <w:tblStyle w:val="18"/>
        <w:tblW w:w="9258" w:type="dxa"/>
        <w:jc w:val="center"/>
        <w:tblLayout w:type="fixed"/>
        <w:tblCellMar>
          <w:top w:w="0" w:type="dxa"/>
          <w:left w:w="108" w:type="dxa"/>
          <w:bottom w:w="0" w:type="dxa"/>
          <w:right w:w="108" w:type="dxa"/>
        </w:tblCellMar>
      </w:tblPr>
      <w:tblGrid>
        <w:gridCol w:w="2341"/>
        <w:gridCol w:w="6917"/>
      </w:tblGrid>
      <w:tr w14:paraId="72563B5A">
        <w:tblPrEx>
          <w:tblCellMar>
            <w:top w:w="0" w:type="dxa"/>
            <w:left w:w="108" w:type="dxa"/>
            <w:bottom w:w="0" w:type="dxa"/>
            <w:right w:w="108" w:type="dxa"/>
          </w:tblCellMar>
        </w:tblPrEx>
        <w:trPr>
          <w:trHeight w:val="35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3B3F203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2373F33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要 求</w:t>
            </w:r>
          </w:p>
        </w:tc>
      </w:tr>
      <w:tr w14:paraId="5F9E04C9">
        <w:tblPrEx>
          <w:tblCellMar>
            <w:top w:w="0" w:type="dxa"/>
            <w:left w:w="108" w:type="dxa"/>
            <w:bottom w:w="0" w:type="dxa"/>
            <w:right w:w="108" w:type="dxa"/>
          </w:tblCellMar>
        </w:tblPrEx>
        <w:trPr>
          <w:trHeight w:val="422"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46AD8A3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▲采购范围</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652AE3A3">
            <w:pPr>
              <w:pStyle w:val="7"/>
              <w:rPr>
                <w:rFonts w:hint="eastAsia" w:ascii="仿宋" w:hAnsi="仿宋" w:eastAsia="仿宋" w:cs="仿宋"/>
                <w:color w:val="auto"/>
                <w:lang w:val="en-US" w:eastAsia="zh-CN"/>
              </w:rPr>
            </w:pPr>
            <w:r>
              <w:rPr>
                <w:rFonts w:hint="eastAsia" w:ascii="仿宋" w:hAnsi="仿宋" w:eastAsia="仿宋" w:cs="仿宋"/>
                <w:color w:val="auto"/>
                <w:lang w:val="en-US" w:eastAsia="zh-CN"/>
              </w:rPr>
              <w:t>施工图范围内的室外道路工程、室外管道工程等。</w:t>
            </w:r>
          </w:p>
        </w:tc>
      </w:tr>
      <w:tr w14:paraId="2E351AB1">
        <w:tblPrEx>
          <w:tblCellMar>
            <w:top w:w="0" w:type="dxa"/>
            <w:left w:w="108" w:type="dxa"/>
            <w:bottom w:w="0" w:type="dxa"/>
            <w:right w:w="108" w:type="dxa"/>
          </w:tblCellMar>
        </w:tblPrEx>
        <w:trPr>
          <w:trHeight w:val="35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4DACC99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▲承包方式</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7A79302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包工包料</w:t>
            </w:r>
          </w:p>
        </w:tc>
      </w:tr>
      <w:tr w14:paraId="786B73ED">
        <w:tblPrEx>
          <w:tblCellMar>
            <w:top w:w="0" w:type="dxa"/>
            <w:left w:w="108" w:type="dxa"/>
            <w:bottom w:w="0" w:type="dxa"/>
            <w:right w:w="108" w:type="dxa"/>
          </w:tblCellMar>
        </w:tblPrEx>
        <w:trPr>
          <w:trHeight w:val="35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5B2629B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▲质量要求</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224A49D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达到国家和行业施工验收规范一次性验收合格</w:t>
            </w:r>
          </w:p>
        </w:tc>
      </w:tr>
      <w:tr w14:paraId="28BC31F6">
        <w:tblPrEx>
          <w:tblCellMar>
            <w:top w:w="0" w:type="dxa"/>
            <w:left w:w="108" w:type="dxa"/>
            <w:bottom w:w="0" w:type="dxa"/>
            <w:right w:w="108" w:type="dxa"/>
          </w:tblCellMar>
        </w:tblPrEx>
        <w:trPr>
          <w:trHeight w:val="35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226B5B5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▲安全要求</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79E10755">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合格</w:t>
            </w:r>
          </w:p>
        </w:tc>
      </w:tr>
      <w:tr w14:paraId="742E8164">
        <w:tblPrEx>
          <w:tblCellMar>
            <w:top w:w="0" w:type="dxa"/>
            <w:left w:w="108" w:type="dxa"/>
            <w:bottom w:w="0" w:type="dxa"/>
            <w:right w:w="108" w:type="dxa"/>
          </w:tblCellMar>
        </w:tblPrEx>
        <w:trPr>
          <w:trHeight w:val="35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4A1E908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▲计划工期</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4A89B5C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50日历天</w:t>
            </w:r>
          </w:p>
        </w:tc>
      </w:tr>
      <w:tr w14:paraId="7523B0ED">
        <w:tblPrEx>
          <w:tblCellMar>
            <w:top w:w="0" w:type="dxa"/>
            <w:left w:w="108" w:type="dxa"/>
            <w:bottom w:w="0" w:type="dxa"/>
            <w:right w:w="108" w:type="dxa"/>
          </w:tblCellMar>
        </w:tblPrEx>
        <w:trPr>
          <w:trHeight w:val="35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4894B0F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▲合同条款</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616E43C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按《第五部分</w:t>
            </w:r>
            <w:r>
              <w:rPr>
                <w:rFonts w:hint="eastAsia" w:ascii="仿宋" w:hAnsi="仿宋" w:eastAsia="仿宋" w:cs="仿宋"/>
                <w:color w:val="auto"/>
                <w:kern w:val="0"/>
                <w:sz w:val="21"/>
                <w:szCs w:val="21"/>
                <w:highlight w:val="none"/>
                <w:lang w:eastAsia="zh-CN"/>
              </w:rPr>
              <w:t>拟签订的合同文本》执行</w:t>
            </w:r>
          </w:p>
        </w:tc>
      </w:tr>
      <w:tr w14:paraId="22BD199A">
        <w:tblPrEx>
          <w:tblCellMar>
            <w:top w:w="0" w:type="dxa"/>
            <w:left w:w="108" w:type="dxa"/>
            <w:bottom w:w="0" w:type="dxa"/>
            <w:right w:w="108" w:type="dxa"/>
          </w:tblCellMar>
        </w:tblPrEx>
        <w:trPr>
          <w:trHeight w:val="46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0586224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▲付款条件</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05523B8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同生效以及具备实施条件后7个工作日内支付合同价的40%，待工程交工验收合格后支付至合同价款的85%（含农民工工资性进度款），余款待审计结束后支付至结算审定价款的98.5%，扣留结算审定价款的1.5%作为工程质量保修金，待保修期满后退还。</w:t>
            </w:r>
          </w:p>
        </w:tc>
      </w:tr>
      <w:tr w14:paraId="3CBF68CF">
        <w:tblPrEx>
          <w:tblCellMar>
            <w:top w:w="0" w:type="dxa"/>
            <w:left w:w="108" w:type="dxa"/>
            <w:bottom w:w="0" w:type="dxa"/>
            <w:right w:w="108" w:type="dxa"/>
          </w:tblCellMar>
        </w:tblPrEx>
        <w:trPr>
          <w:trHeight w:val="469"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242F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拟派项目管理人员要求</w:t>
            </w:r>
          </w:p>
        </w:tc>
        <w:tc>
          <w:tcPr>
            <w:tcW w:w="6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A6EB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1.项目负责人1名，</w:t>
            </w:r>
            <w:r>
              <w:rPr>
                <w:rFonts w:hint="eastAsia" w:ascii="仿宋" w:hAnsi="仿宋" w:eastAsia="仿宋" w:cs="仿宋"/>
                <w:color w:val="auto"/>
                <w:kern w:val="0"/>
                <w:sz w:val="21"/>
                <w:szCs w:val="21"/>
                <w:highlight w:val="none"/>
                <w:lang w:eastAsia="zh-CN"/>
              </w:rPr>
              <w:t>具有</w:t>
            </w:r>
            <w:r>
              <w:rPr>
                <w:rFonts w:hint="eastAsia" w:ascii="仿宋" w:hAnsi="仿宋" w:eastAsia="仿宋" w:cs="仿宋"/>
                <w:color w:val="auto"/>
                <w:kern w:val="0"/>
                <w:sz w:val="21"/>
                <w:szCs w:val="21"/>
                <w:highlight w:val="none"/>
                <w:lang w:val="en-US" w:eastAsia="zh-CN"/>
              </w:rPr>
              <w:t>市政</w:t>
            </w:r>
            <w:r>
              <w:rPr>
                <w:rFonts w:hint="eastAsia" w:ascii="仿宋" w:hAnsi="仿宋" w:eastAsia="仿宋" w:cs="仿宋"/>
                <w:color w:val="auto"/>
                <w:kern w:val="0"/>
                <w:sz w:val="21"/>
                <w:szCs w:val="21"/>
                <w:highlight w:val="none"/>
                <w:lang w:eastAsia="zh-CN"/>
              </w:rPr>
              <w:t>工程专业二级注册建造师证书，并具有有效的安全生产考核合格证书（B类）。</w:t>
            </w:r>
          </w:p>
          <w:p w14:paraId="6BCF7AF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项目专职安全员1名，具备安全生产考核合格证书（C类）。</w:t>
            </w:r>
          </w:p>
          <w:p w14:paraId="1E1EF4D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提供证书复印件及开标前近三个月的本单位社保缴纳证明。</w:t>
            </w:r>
          </w:p>
        </w:tc>
      </w:tr>
      <w:tr w14:paraId="3F598A48">
        <w:tblPrEx>
          <w:tblCellMar>
            <w:top w:w="0" w:type="dxa"/>
            <w:left w:w="108" w:type="dxa"/>
            <w:bottom w:w="0" w:type="dxa"/>
            <w:right w:w="108" w:type="dxa"/>
          </w:tblCellMar>
        </w:tblPrEx>
        <w:trPr>
          <w:trHeight w:val="58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178BCDD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lang w:val="en-US" w:eastAsia="zh-CN"/>
              </w:rPr>
              <w:t>履约保证金</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3F09D2E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金额：签约合同价款的1%；</w:t>
            </w:r>
          </w:p>
          <w:p w14:paraId="6F7485D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形式：电汇、银行支票、银行保函、保险公司担保等；</w:t>
            </w:r>
          </w:p>
          <w:p w14:paraId="435DA52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递交时间：于签订合同前缴纳给采购人，项目交工验收后退回。</w:t>
            </w:r>
          </w:p>
        </w:tc>
      </w:tr>
      <w:tr w14:paraId="66377C69">
        <w:tblPrEx>
          <w:tblCellMar>
            <w:top w:w="0" w:type="dxa"/>
            <w:left w:w="108" w:type="dxa"/>
            <w:bottom w:w="0" w:type="dxa"/>
            <w:right w:w="108" w:type="dxa"/>
          </w:tblCellMar>
        </w:tblPrEx>
        <w:trPr>
          <w:trHeight w:val="71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2651FA9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缺陷责任期</w:t>
            </w:r>
          </w:p>
          <w:p w14:paraId="70160A0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工程质量保修期</w:t>
            </w:r>
            <w:r>
              <w:rPr>
                <w:rFonts w:hint="eastAsia" w:ascii="仿宋" w:hAnsi="仿宋" w:eastAsia="仿宋" w:cs="仿宋"/>
                <w:color w:val="auto"/>
                <w:sz w:val="21"/>
                <w:szCs w:val="21"/>
                <w:highlight w:val="none"/>
                <w:lang w:eastAsia="zh-CN"/>
              </w:rPr>
              <w:t>）</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0E924D8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年。</w:t>
            </w:r>
          </w:p>
        </w:tc>
      </w:tr>
      <w:tr w14:paraId="25AA863E">
        <w:tblPrEx>
          <w:tblCellMar>
            <w:top w:w="0" w:type="dxa"/>
            <w:left w:w="108" w:type="dxa"/>
            <w:bottom w:w="0" w:type="dxa"/>
            <w:right w:w="108" w:type="dxa"/>
          </w:tblCellMar>
        </w:tblPrEx>
        <w:trPr>
          <w:trHeight w:val="71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60C6D90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其他</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3D5D611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D10EE8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本工程为固定综合单价合同，工程量按实际工程量结算。</w:t>
            </w:r>
          </w:p>
          <w:p w14:paraId="461497C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46874E7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施工单位须落实安全生产措施，在施工中发生的一切生产安全事故及其他事故由施工单位负责，同采购人无涉。</w:t>
            </w:r>
          </w:p>
        </w:tc>
      </w:tr>
      <w:tr w14:paraId="633CB00A">
        <w:tblPrEx>
          <w:tblCellMar>
            <w:top w:w="0" w:type="dxa"/>
            <w:left w:w="108" w:type="dxa"/>
            <w:bottom w:w="0" w:type="dxa"/>
            <w:right w:w="108" w:type="dxa"/>
          </w:tblCellMar>
        </w:tblPrEx>
        <w:trPr>
          <w:trHeight w:val="71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017E99C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报价方式</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1049BA5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按竞争性磋商文件第</w:t>
            </w:r>
            <w:r>
              <w:rPr>
                <w:rFonts w:hint="eastAsia" w:ascii="仿宋" w:hAnsi="仿宋" w:eastAsia="仿宋" w:cs="仿宋"/>
                <w:color w:val="auto"/>
                <w:kern w:val="0"/>
                <w:sz w:val="21"/>
                <w:szCs w:val="21"/>
                <w:highlight w:val="none"/>
                <w:lang w:val="en-US" w:eastAsia="zh-CN"/>
              </w:rPr>
              <w:t>六</w:t>
            </w:r>
            <w:r>
              <w:rPr>
                <w:rFonts w:hint="eastAsia" w:ascii="仿宋" w:hAnsi="仿宋" w:eastAsia="仿宋" w:cs="仿宋"/>
                <w:color w:val="auto"/>
                <w:kern w:val="0"/>
                <w:sz w:val="21"/>
                <w:szCs w:val="21"/>
                <w:highlight w:val="none"/>
                <w:lang w:eastAsia="zh-CN"/>
              </w:rPr>
              <w:t>部分“工程量清单”的价格报统一</w:t>
            </w:r>
            <w:r>
              <w:rPr>
                <w:rFonts w:hint="eastAsia" w:ascii="仿宋" w:hAnsi="仿宋" w:eastAsia="仿宋" w:cs="仿宋"/>
                <w:color w:val="auto"/>
                <w:kern w:val="0"/>
                <w:sz w:val="21"/>
                <w:szCs w:val="21"/>
                <w:highlight w:val="none"/>
                <w:lang w:val="en-US" w:eastAsia="zh-CN"/>
              </w:rPr>
              <w:t>综合折扣率（</w:t>
            </w:r>
            <w:r>
              <w:rPr>
                <w:rFonts w:hint="eastAsia" w:ascii="仿宋" w:hAnsi="仿宋" w:eastAsia="仿宋" w:cs="仿宋"/>
                <w:b/>
                <w:bCs/>
                <w:color w:val="auto"/>
                <w:kern w:val="0"/>
                <w:sz w:val="21"/>
                <w:szCs w:val="21"/>
                <w:highlight w:val="none"/>
                <w:lang w:val="en-US" w:eastAsia="zh-CN"/>
              </w:rPr>
              <w:t>保留一位小数</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b/>
                <w:bCs/>
                <w:color w:val="auto"/>
                <w:kern w:val="0"/>
                <w:sz w:val="21"/>
                <w:szCs w:val="21"/>
                <w:highlight w:val="none"/>
                <w:lang w:eastAsia="zh-CN"/>
              </w:rPr>
              <w:t>综合</w:t>
            </w:r>
            <w:r>
              <w:rPr>
                <w:rFonts w:hint="eastAsia" w:ascii="仿宋" w:hAnsi="仿宋" w:eastAsia="仿宋" w:cs="仿宋"/>
                <w:b/>
                <w:bCs/>
                <w:color w:val="auto"/>
                <w:kern w:val="0"/>
                <w:sz w:val="21"/>
                <w:szCs w:val="21"/>
                <w:highlight w:val="none"/>
                <w:lang w:val="en-US" w:eastAsia="zh-CN"/>
              </w:rPr>
              <w:t>折扣率不得高于95%</w:t>
            </w:r>
            <w:r>
              <w:rPr>
                <w:rFonts w:hint="eastAsia" w:ascii="仿宋" w:hAnsi="仿宋" w:eastAsia="仿宋" w:cs="仿宋"/>
                <w:color w:val="auto"/>
                <w:kern w:val="0"/>
                <w:sz w:val="21"/>
                <w:szCs w:val="21"/>
                <w:highlight w:val="none"/>
                <w:lang w:val="en-US" w:eastAsia="zh-CN"/>
              </w:rPr>
              <w:t>。</w:t>
            </w:r>
          </w:p>
          <w:p w14:paraId="5C4AA81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highlight w:val="none"/>
                <w:lang w:eastAsia="zh-CN"/>
              </w:rPr>
              <w:t>本工程实行工程量清单固定综合单价，工程量按实际结算。</w:t>
            </w:r>
          </w:p>
        </w:tc>
      </w:tr>
      <w:tr w14:paraId="47D2784D">
        <w:tblPrEx>
          <w:tblCellMar>
            <w:top w:w="0" w:type="dxa"/>
            <w:left w:w="108" w:type="dxa"/>
            <w:bottom w:w="0" w:type="dxa"/>
            <w:right w:w="108" w:type="dxa"/>
          </w:tblCellMar>
        </w:tblPrEx>
        <w:trPr>
          <w:trHeight w:val="719" w:hRule="atLeast"/>
          <w:jc w:val="center"/>
        </w:trPr>
        <w:tc>
          <w:tcPr>
            <w:tcW w:w="2341" w:type="dxa"/>
            <w:tcBorders>
              <w:top w:val="single" w:color="000000" w:sz="4" w:space="0"/>
              <w:left w:val="single" w:color="000000" w:sz="4" w:space="0"/>
              <w:bottom w:val="single" w:color="000000" w:sz="4" w:space="0"/>
              <w:right w:val="single" w:color="000000" w:sz="4" w:space="0"/>
            </w:tcBorders>
            <w:noWrap w:val="0"/>
            <w:vAlign w:val="center"/>
          </w:tcPr>
          <w:p w14:paraId="6DA0F25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zh-CN" w:eastAsia="zh-CN"/>
              </w:rPr>
              <w:t>签约合同价</w:t>
            </w:r>
          </w:p>
        </w:tc>
        <w:tc>
          <w:tcPr>
            <w:tcW w:w="6917" w:type="dxa"/>
            <w:tcBorders>
              <w:top w:val="single" w:color="000000" w:sz="4" w:space="0"/>
              <w:left w:val="single" w:color="000000" w:sz="4" w:space="0"/>
              <w:bottom w:val="single" w:color="000000" w:sz="4" w:space="0"/>
              <w:right w:val="single" w:color="000000" w:sz="4" w:space="0"/>
            </w:tcBorders>
            <w:noWrap w:val="0"/>
            <w:vAlign w:val="center"/>
          </w:tcPr>
          <w:p w14:paraId="6B31212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zh-CN" w:eastAsia="zh-CN"/>
              </w:rPr>
              <w:t>签约合同价</w:t>
            </w:r>
            <w:r>
              <w:rPr>
                <w:rFonts w:hint="eastAsia" w:ascii="仿宋" w:hAnsi="仿宋" w:eastAsia="仿宋" w:cs="仿宋"/>
                <w:color w:val="auto"/>
                <w:kern w:val="0"/>
                <w:sz w:val="21"/>
                <w:szCs w:val="21"/>
                <w:highlight w:val="none"/>
                <w:lang w:val="en-US" w:eastAsia="zh-CN"/>
              </w:rPr>
              <w:t>=预算金额×综合折扣率</w:t>
            </w:r>
          </w:p>
          <w:p w14:paraId="1927DB3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特别说明：预算金额具体以预算报告为准。</w:t>
            </w:r>
          </w:p>
        </w:tc>
      </w:tr>
    </w:tbl>
    <w:p w14:paraId="6326EC9C">
      <w:pPr>
        <w:keepNext w:val="0"/>
        <w:keepLines w:val="0"/>
        <w:pageBreakBefore w:val="0"/>
        <w:widowControl/>
        <w:numPr>
          <w:ilvl w:val="0"/>
          <w:numId w:val="4"/>
        </w:numPr>
        <w:kinsoku/>
        <w:wordWrap/>
        <w:overflowPunct/>
        <w:topLinePunct w:val="0"/>
        <w:autoSpaceDE/>
        <w:autoSpaceDN/>
        <w:bidi w:val="0"/>
        <w:adjustRightInd/>
        <w:snapToGrid w:val="0"/>
        <w:spacing w:line="360" w:lineRule="auto"/>
        <w:ind w:firstLine="0" w:firstLineChars="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 xml:space="preserve">  </w:t>
      </w:r>
      <w:bookmarkStart w:id="28" w:name="_Toc184312136"/>
      <w:bookmarkEnd w:id="28"/>
      <w:bookmarkStart w:id="29" w:name="_Toc184308095"/>
      <w:bookmarkEnd w:id="29"/>
      <w:bookmarkStart w:id="30" w:name="_Toc184310278"/>
      <w:bookmarkEnd w:id="30"/>
      <w:bookmarkStart w:id="31" w:name="_Toc184313241"/>
      <w:bookmarkEnd w:id="31"/>
      <w:bookmarkStart w:id="32" w:name="_Toc184314436"/>
      <w:bookmarkEnd w:id="32"/>
      <w:bookmarkStart w:id="33" w:name="_Toc184308046"/>
      <w:bookmarkEnd w:id="33"/>
      <w:bookmarkStart w:id="34" w:name="_Toc184313269"/>
      <w:bookmarkEnd w:id="34"/>
      <w:bookmarkStart w:id="35" w:name="_Toc184312074"/>
      <w:bookmarkEnd w:id="35"/>
      <w:bookmarkStart w:id="36" w:name="_Toc184308094"/>
      <w:bookmarkEnd w:id="36"/>
      <w:bookmarkStart w:id="37" w:name="_Toc184314459"/>
      <w:bookmarkEnd w:id="37"/>
      <w:bookmarkStart w:id="38" w:name="_Toc184314475"/>
      <w:bookmarkEnd w:id="38"/>
      <w:bookmarkStart w:id="39" w:name="_Toc184314472"/>
      <w:bookmarkEnd w:id="39"/>
      <w:bookmarkStart w:id="40" w:name="_Toc184314480"/>
      <w:bookmarkEnd w:id="40"/>
      <w:bookmarkStart w:id="41" w:name="_Toc184310292"/>
      <w:bookmarkEnd w:id="41"/>
      <w:bookmarkStart w:id="42" w:name="_Toc184312098"/>
      <w:bookmarkEnd w:id="42"/>
      <w:bookmarkStart w:id="43" w:name="_Toc184313258"/>
      <w:bookmarkEnd w:id="43"/>
      <w:bookmarkStart w:id="44" w:name="_Toc184314429"/>
      <w:bookmarkEnd w:id="44"/>
      <w:bookmarkStart w:id="45" w:name="_Toc184308037"/>
      <w:bookmarkEnd w:id="45"/>
      <w:bookmarkStart w:id="46" w:name="_Toc184313272"/>
      <w:bookmarkEnd w:id="46"/>
      <w:bookmarkStart w:id="47" w:name="_Toc184310340"/>
      <w:bookmarkEnd w:id="47"/>
      <w:bookmarkStart w:id="48" w:name="_Toc184308078"/>
      <w:bookmarkEnd w:id="48"/>
      <w:bookmarkStart w:id="49" w:name="_Toc184308075"/>
      <w:bookmarkEnd w:id="49"/>
      <w:bookmarkStart w:id="50" w:name="_Toc184308105"/>
      <w:bookmarkEnd w:id="50"/>
      <w:bookmarkStart w:id="51" w:name="_Toc184308040"/>
      <w:bookmarkEnd w:id="51"/>
      <w:bookmarkStart w:id="52" w:name="_Toc184308089"/>
      <w:bookmarkEnd w:id="52"/>
      <w:bookmarkStart w:id="53" w:name="_Toc184312070"/>
      <w:bookmarkEnd w:id="53"/>
      <w:bookmarkStart w:id="54" w:name="_Toc184314448"/>
      <w:bookmarkEnd w:id="54"/>
      <w:bookmarkStart w:id="55" w:name="_Toc184310309"/>
      <w:bookmarkEnd w:id="55"/>
      <w:bookmarkStart w:id="56" w:name="_Toc184308070"/>
      <w:bookmarkEnd w:id="56"/>
      <w:bookmarkStart w:id="57" w:name="_Toc184313270"/>
      <w:bookmarkEnd w:id="57"/>
      <w:bookmarkStart w:id="58" w:name="_Toc184313286"/>
      <w:bookmarkEnd w:id="58"/>
      <w:bookmarkStart w:id="59" w:name="_Toc184313296"/>
      <w:bookmarkEnd w:id="59"/>
      <w:bookmarkStart w:id="60" w:name="_Toc184313295"/>
      <w:bookmarkEnd w:id="60"/>
      <w:bookmarkStart w:id="61" w:name="_Toc184310326"/>
      <w:bookmarkEnd w:id="61"/>
      <w:bookmarkStart w:id="62" w:name="_Toc184312080"/>
      <w:bookmarkEnd w:id="62"/>
      <w:bookmarkStart w:id="63" w:name="_Toc184308082"/>
      <w:bookmarkEnd w:id="63"/>
      <w:bookmarkStart w:id="64" w:name="_Toc184314458"/>
      <w:bookmarkEnd w:id="64"/>
      <w:bookmarkStart w:id="65" w:name="_Toc184310343"/>
      <w:bookmarkEnd w:id="65"/>
      <w:bookmarkStart w:id="66" w:name="_Toc184312069"/>
      <w:bookmarkEnd w:id="66"/>
      <w:bookmarkStart w:id="67" w:name="_Toc184313288"/>
      <w:bookmarkEnd w:id="67"/>
      <w:bookmarkStart w:id="68" w:name="_Toc184308092"/>
      <w:bookmarkEnd w:id="68"/>
      <w:bookmarkStart w:id="69" w:name="_Toc184313248"/>
      <w:bookmarkEnd w:id="69"/>
      <w:bookmarkStart w:id="70" w:name="_Toc184313279"/>
      <w:bookmarkEnd w:id="70"/>
      <w:bookmarkStart w:id="71" w:name="_Toc184310289"/>
      <w:bookmarkEnd w:id="71"/>
      <w:bookmarkStart w:id="72" w:name="_Toc184308050"/>
      <w:bookmarkEnd w:id="72"/>
      <w:bookmarkStart w:id="73" w:name="_Toc184313297"/>
      <w:bookmarkEnd w:id="73"/>
      <w:bookmarkStart w:id="74" w:name="_Toc184313291"/>
      <w:bookmarkEnd w:id="74"/>
      <w:bookmarkStart w:id="75" w:name="_Toc184308041"/>
      <w:bookmarkEnd w:id="75"/>
      <w:bookmarkStart w:id="76" w:name="_Toc184308044"/>
      <w:bookmarkEnd w:id="76"/>
      <w:bookmarkStart w:id="77" w:name="_Toc184310339"/>
      <w:bookmarkEnd w:id="77"/>
      <w:bookmarkStart w:id="78" w:name="_Toc184314440"/>
      <w:bookmarkEnd w:id="78"/>
      <w:bookmarkStart w:id="79" w:name="_Toc184312092"/>
      <w:bookmarkEnd w:id="79"/>
      <w:bookmarkStart w:id="80" w:name="_Toc184310307"/>
      <w:bookmarkEnd w:id="80"/>
      <w:bookmarkStart w:id="81" w:name="_Toc184310308"/>
      <w:bookmarkEnd w:id="81"/>
      <w:bookmarkStart w:id="82" w:name="_Toc184312071"/>
      <w:bookmarkEnd w:id="82"/>
      <w:bookmarkStart w:id="83" w:name="_Toc184308042"/>
      <w:bookmarkEnd w:id="83"/>
      <w:bookmarkStart w:id="84" w:name="_Toc184313252"/>
      <w:bookmarkEnd w:id="84"/>
      <w:bookmarkStart w:id="85" w:name="_Toc184313262"/>
      <w:bookmarkEnd w:id="85"/>
      <w:bookmarkStart w:id="86" w:name="_Toc184313310"/>
      <w:bookmarkEnd w:id="86"/>
      <w:bookmarkStart w:id="87" w:name="_Toc184312085"/>
      <w:bookmarkEnd w:id="87"/>
      <w:bookmarkStart w:id="88" w:name="_Toc184313267"/>
      <w:bookmarkEnd w:id="88"/>
      <w:bookmarkStart w:id="89" w:name="_Toc184310319"/>
      <w:bookmarkEnd w:id="89"/>
      <w:bookmarkStart w:id="90" w:name="_Toc184312122"/>
      <w:bookmarkEnd w:id="90"/>
      <w:bookmarkStart w:id="91" w:name="_Toc184314456"/>
      <w:bookmarkEnd w:id="91"/>
      <w:bookmarkStart w:id="92" w:name="_Toc184308099"/>
      <w:bookmarkEnd w:id="92"/>
      <w:bookmarkStart w:id="93" w:name="_Toc184314426"/>
      <w:bookmarkEnd w:id="93"/>
      <w:bookmarkStart w:id="94" w:name="_Toc184308071"/>
      <w:bookmarkEnd w:id="94"/>
      <w:bookmarkStart w:id="95" w:name="_Toc184308074"/>
      <w:bookmarkEnd w:id="95"/>
      <w:bookmarkStart w:id="96" w:name="_Toc184310335"/>
      <w:bookmarkEnd w:id="96"/>
      <w:bookmarkStart w:id="97" w:name="_Toc184314417"/>
      <w:bookmarkEnd w:id="97"/>
      <w:bookmarkStart w:id="98" w:name="_Toc184308103"/>
      <w:bookmarkEnd w:id="98"/>
      <w:bookmarkStart w:id="99" w:name="_Toc184314418"/>
      <w:bookmarkEnd w:id="99"/>
      <w:bookmarkStart w:id="100" w:name="_Toc184314476"/>
      <w:bookmarkEnd w:id="100"/>
      <w:bookmarkStart w:id="101" w:name="_Toc184308069"/>
      <w:bookmarkEnd w:id="101"/>
      <w:bookmarkStart w:id="102" w:name="_Toc184308090"/>
      <w:bookmarkEnd w:id="102"/>
      <w:bookmarkStart w:id="103" w:name="_Toc184312099"/>
      <w:bookmarkEnd w:id="103"/>
      <w:bookmarkStart w:id="104" w:name="_Toc184314439"/>
      <w:bookmarkEnd w:id="104"/>
      <w:bookmarkStart w:id="105" w:name="_Toc184310330"/>
      <w:bookmarkEnd w:id="105"/>
      <w:bookmarkStart w:id="106" w:name="_Toc184314441"/>
      <w:bookmarkEnd w:id="106"/>
      <w:bookmarkStart w:id="107" w:name="_Toc184310317"/>
      <w:bookmarkEnd w:id="107"/>
      <w:bookmarkStart w:id="108" w:name="_Toc184313253"/>
      <w:bookmarkEnd w:id="108"/>
      <w:bookmarkStart w:id="109" w:name="_Toc184312139"/>
      <w:bookmarkEnd w:id="109"/>
      <w:bookmarkStart w:id="110" w:name="_Toc184310279"/>
      <w:bookmarkEnd w:id="110"/>
      <w:bookmarkStart w:id="111" w:name="_Toc184308064"/>
      <w:bookmarkEnd w:id="111"/>
      <w:bookmarkStart w:id="112" w:name="_Toc184313244"/>
      <w:bookmarkEnd w:id="112"/>
      <w:bookmarkStart w:id="113" w:name="_Toc184312124"/>
      <w:bookmarkEnd w:id="113"/>
      <w:bookmarkStart w:id="114" w:name="_Toc184312119"/>
      <w:bookmarkEnd w:id="114"/>
      <w:bookmarkStart w:id="115" w:name="_Toc184313309"/>
      <w:bookmarkEnd w:id="115"/>
      <w:bookmarkStart w:id="116" w:name="_Toc184310333"/>
      <w:bookmarkEnd w:id="116"/>
      <w:bookmarkStart w:id="117" w:name="_Toc184313292"/>
      <w:bookmarkEnd w:id="117"/>
      <w:bookmarkStart w:id="118" w:name="_Toc184310315"/>
      <w:bookmarkEnd w:id="118"/>
      <w:bookmarkStart w:id="119" w:name="_Toc184308084"/>
      <w:bookmarkEnd w:id="119"/>
      <w:bookmarkStart w:id="120" w:name="_Toc184314471"/>
      <w:bookmarkEnd w:id="120"/>
      <w:bookmarkStart w:id="121" w:name="_Toc184310311"/>
      <w:bookmarkEnd w:id="121"/>
      <w:bookmarkStart w:id="122" w:name="_Toc184313251"/>
      <w:bookmarkEnd w:id="122"/>
      <w:bookmarkStart w:id="123" w:name="_Toc184314411"/>
      <w:bookmarkEnd w:id="123"/>
      <w:bookmarkStart w:id="124" w:name="_Toc184308088"/>
      <w:bookmarkEnd w:id="124"/>
      <w:bookmarkStart w:id="125" w:name="_Toc184313300"/>
      <w:bookmarkEnd w:id="125"/>
      <w:bookmarkStart w:id="126" w:name="_Toc184313281"/>
      <w:bookmarkEnd w:id="126"/>
      <w:bookmarkStart w:id="127" w:name="_Toc184313247"/>
      <w:bookmarkEnd w:id="127"/>
      <w:bookmarkStart w:id="128" w:name="_Toc184314457"/>
      <w:bookmarkEnd w:id="128"/>
      <w:bookmarkStart w:id="129" w:name="_Toc184313249"/>
      <w:bookmarkEnd w:id="129"/>
      <w:bookmarkStart w:id="130" w:name="_Toc184312079"/>
      <w:bookmarkEnd w:id="130"/>
      <w:bookmarkStart w:id="131" w:name="_Toc184308066"/>
      <w:bookmarkEnd w:id="131"/>
      <w:bookmarkStart w:id="132" w:name="_Toc184310285"/>
      <w:bookmarkEnd w:id="132"/>
      <w:bookmarkStart w:id="133" w:name="_Toc184310344"/>
      <w:bookmarkEnd w:id="133"/>
      <w:bookmarkStart w:id="134" w:name="_Toc184313298"/>
      <w:bookmarkEnd w:id="134"/>
      <w:bookmarkStart w:id="135" w:name="_Toc184312083"/>
      <w:bookmarkEnd w:id="135"/>
      <w:bookmarkStart w:id="136" w:name="_Toc184308057"/>
      <w:bookmarkEnd w:id="136"/>
      <w:bookmarkStart w:id="137" w:name="_Toc184312135"/>
      <w:bookmarkEnd w:id="137"/>
      <w:bookmarkStart w:id="138" w:name="_Toc184310337"/>
      <w:bookmarkEnd w:id="138"/>
      <w:bookmarkStart w:id="139" w:name="_Toc184312075"/>
      <w:bookmarkEnd w:id="139"/>
      <w:bookmarkStart w:id="140" w:name="_Toc184312067"/>
      <w:bookmarkEnd w:id="140"/>
      <w:bookmarkStart w:id="141" w:name="_Toc184314446"/>
      <w:bookmarkEnd w:id="141"/>
      <w:bookmarkStart w:id="142" w:name="_Toc184313301"/>
      <w:bookmarkEnd w:id="142"/>
      <w:bookmarkStart w:id="143" w:name="_Toc184313245"/>
      <w:bookmarkEnd w:id="143"/>
      <w:bookmarkStart w:id="144" w:name="_Toc184313265"/>
      <w:bookmarkEnd w:id="144"/>
      <w:bookmarkStart w:id="145" w:name="_Toc184310331"/>
      <w:bookmarkEnd w:id="145"/>
      <w:bookmarkStart w:id="146" w:name="_Toc184310286"/>
      <w:bookmarkEnd w:id="146"/>
      <w:bookmarkStart w:id="147" w:name="_Toc184308058"/>
      <w:bookmarkEnd w:id="147"/>
      <w:bookmarkStart w:id="148" w:name="_Toc184314443"/>
      <w:bookmarkEnd w:id="148"/>
      <w:bookmarkStart w:id="149" w:name="_Toc184308079"/>
      <w:bookmarkEnd w:id="149"/>
      <w:bookmarkStart w:id="150" w:name="_Toc184313277"/>
      <w:bookmarkEnd w:id="150"/>
      <w:bookmarkStart w:id="151" w:name="_Toc184310276"/>
      <w:bookmarkEnd w:id="151"/>
      <w:bookmarkStart w:id="152" w:name="_Toc184314479"/>
      <w:bookmarkEnd w:id="152"/>
      <w:bookmarkStart w:id="153" w:name="_Toc184312096"/>
      <w:bookmarkEnd w:id="153"/>
      <w:bookmarkStart w:id="154" w:name="_Toc184312128"/>
      <w:bookmarkEnd w:id="154"/>
      <w:bookmarkStart w:id="155" w:name="_Toc184308072"/>
      <w:bookmarkEnd w:id="155"/>
      <w:bookmarkStart w:id="156" w:name="_Toc184314423"/>
      <w:bookmarkEnd w:id="156"/>
      <w:bookmarkStart w:id="157" w:name="_Toc184313275"/>
      <w:bookmarkEnd w:id="157"/>
      <w:bookmarkStart w:id="158" w:name="_Toc184310329"/>
      <w:bookmarkEnd w:id="158"/>
      <w:bookmarkStart w:id="159" w:name="_Toc184308056"/>
      <w:bookmarkEnd w:id="159"/>
      <w:bookmarkStart w:id="160" w:name="_Toc184308065"/>
      <w:bookmarkEnd w:id="160"/>
      <w:bookmarkStart w:id="161" w:name="_Toc184308038"/>
      <w:bookmarkEnd w:id="161"/>
      <w:bookmarkStart w:id="162" w:name="_Toc184314453"/>
      <w:bookmarkEnd w:id="162"/>
      <w:bookmarkStart w:id="163" w:name="_Toc184308108"/>
      <w:bookmarkEnd w:id="163"/>
      <w:bookmarkStart w:id="164" w:name="_Toc184310334"/>
      <w:bookmarkEnd w:id="164"/>
      <w:bookmarkStart w:id="165" w:name="_Toc184310296"/>
      <w:bookmarkEnd w:id="165"/>
      <w:bookmarkStart w:id="166" w:name="_Toc184310300"/>
      <w:bookmarkEnd w:id="166"/>
      <w:bookmarkStart w:id="167" w:name="_Toc184310316"/>
      <w:bookmarkEnd w:id="167"/>
      <w:bookmarkStart w:id="168" w:name="_Toc184310288"/>
      <w:bookmarkEnd w:id="168"/>
      <w:bookmarkStart w:id="169" w:name="_Toc184312090"/>
      <w:bookmarkEnd w:id="169"/>
      <w:bookmarkStart w:id="170" w:name="_Toc184314468"/>
      <w:bookmarkEnd w:id="170"/>
      <w:bookmarkStart w:id="171" w:name="_Toc184313273"/>
      <w:bookmarkEnd w:id="171"/>
      <w:bookmarkStart w:id="172" w:name="_Toc184312117"/>
      <w:bookmarkEnd w:id="172"/>
      <w:bookmarkStart w:id="173" w:name="_Toc184308085"/>
      <w:bookmarkEnd w:id="173"/>
      <w:bookmarkStart w:id="174" w:name="_Toc184312102"/>
      <w:bookmarkEnd w:id="174"/>
      <w:bookmarkStart w:id="175" w:name="_Toc184314464"/>
      <w:bookmarkEnd w:id="175"/>
      <w:bookmarkStart w:id="176" w:name="_Toc184313289"/>
      <w:bookmarkEnd w:id="176"/>
      <w:bookmarkStart w:id="177" w:name="_Toc184308086"/>
      <w:bookmarkEnd w:id="177"/>
      <w:bookmarkStart w:id="178" w:name="_Toc184313283"/>
      <w:bookmarkEnd w:id="178"/>
      <w:bookmarkStart w:id="179" w:name="_Toc184312088"/>
      <w:bookmarkEnd w:id="179"/>
      <w:bookmarkStart w:id="180" w:name="_Toc184308062"/>
      <w:bookmarkEnd w:id="180"/>
      <w:bookmarkStart w:id="181" w:name="_Toc184308100"/>
      <w:bookmarkEnd w:id="181"/>
      <w:bookmarkStart w:id="182" w:name="_Toc184308098"/>
      <w:bookmarkEnd w:id="182"/>
      <w:bookmarkStart w:id="183" w:name="_Toc184313238"/>
      <w:bookmarkEnd w:id="183"/>
      <w:bookmarkStart w:id="184" w:name="_Toc184308097"/>
      <w:bookmarkEnd w:id="184"/>
      <w:bookmarkStart w:id="185" w:name="_Toc184308039"/>
      <w:bookmarkEnd w:id="185"/>
      <w:bookmarkStart w:id="186" w:name="_Toc184313276"/>
      <w:bookmarkEnd w:id="186"/>
      <w:bookmarkStart w:id="187" w:name="_Toc184312111"/>
      <w:bookmarkEnd w:id="187"/>
      <w:bookmarkStart w:id="188" w:name="_Toc184313302"/>
      <w:bookmarkEnd w:id="188"/>
      <w:bookmarkStart w:id="189" w:name="_Toc184310318"/>
      <w:bookmarkEnd w:id="189"/>
      <w:bookmarkStart w:id="190" w:name="_Toc184314465"/>
      <w:bookmarkEnd w:id="190"/>
      <w:bookmarkStart w:id="191" w:name="_Toc184308049"/>
      <w:bookmarkEnd w:id="191"/>
      <w:bookmarkStart w:id="192" w:name="_Toc184308055"/>
      <w:bookmarkEnd w:id="192"/>
      <w:bookmarkStart w:id="193" w:name="_Toc184314474"/>
      <w:bookmarkEnd w:id="193"/>
      <w:bookmarkStart w:id="194" w:name="_Toc184313306"/>
      <w:bookmarkEnd w:id="194"/>
      <w:bookmarkStart w:id="195" w:name="_Toc184314414"/>
      <w:bookmarkEnd w:id="195"/>
      <w:bookmarkStart w:id="196" w:name="_Toc184312073"/>
      <w:bookmarkEnd w:id="196"/>
      <w:bookmarkStart w:id="197" w:name="_Toc184308087"/>
      <w:bookmarkEnd w:id="197"/>
      <w:bookmarkStart w:id="198" w:name="_Toc184314473"/>
      <w:bookmarkEnd w:id="198"/>
      <w:bookmarkStart w:id="199" w:name="_Toc184310277"/>
      <w:bookmarkEnd w:id="199"/>
      <w:bookmarkStart w:id="200" w:name="_Toc184312082"/>
      <w:bookmarkEnd w:id="200"/>
      <w:bookmarkStart w:id="201" w:name="_Toc184310281"/>
      <w:bookmarkEnd w:id="201"/>
      <w:bookmarkStart w:id="202" w:name="_Toc184313284"/>
      <w:bookmarkEnd w:id="202"/>
      <w:bookmarkStart w:id="203" w:name="_Toc184314433"/>
      <w:bookmarkEnd w:id="203"/>
      <w:bookmarkStart w:id="204" w:name="_Toc184310338"/>
      <w:bookmarkEnd w:id="204"/>
      <w:bookmarkStart w:id="205" w:name="_Toc184310328"/>
      <w:bookmarkEnd w:id="205"/>
      <w:bookmarkStart w:id="206" w:name="_Toc184308102"/>
      <w:bookmarkEnd w:id="206"/>
      <w:bookmarkStart w:id="207" w:name="_Toc184312137"/>
      <w:bookmarkEnd w:id="207"/>
      <w:bookmarkStart w:id="208" w:name="_Toc184308060"/>
      <w:bookmarkEnd w:id="208"/>
      <w:bookmarkStart w:id="209" w:name="_Toc184314427"/>
      <w:bookmarkEnd w:id="209"/>
      <w:bookmarkStart w:id="210" w:name="_Toc184313268"/>
      <w:bookmarkEnd w:id="210"/>
      <w:bookmarkStart w:id="211" w:name="_Toc184310291"/>
      <w:bookmarkEnd w:id="211"/>
      <w:bookmarkStart w:id="212" w:name="_Toc184310274"/>
      <w:bookmarkEnd w:id="212"/>
      <w:bookmarkStart w:id="213" w:name="_Toc184313250"/>
      <w:bookmarkEnd w:id="213"/>
      <w:bookmarkStart w:id="214" w:name="_Toc184314428"/>
      <w:bookmarkEnd w:id="214"/>
      <w:bookmarkStart w:id="215" w:name="_Toc184310302"/>
      <w:bookmarkEnd w:id="215"/>
      <w:bookmarkStart w:id="216" w:name="_Toc184314438"/>
      <w:bookmarkEnd w:id="216"/>
      <w:bookmarkStart w:id="217" w:name="_Toc184310305"/>
      <w:bookmarkEnd w:id="217"/>
      <w:bookmarkStart w:id="218" w:name="_Toc184314445"/>
      <w:bookmarkEnd w:id="218"/>
      <w:bookmarkStart w:id="219" w:name="_Toc184314421"/>
      <w:bookmarkEnd w:id="219"/>
      <w:bookmarkStart w:id="220" w:name="_Toc184312133"/>
      <w:bookmarkEnd w:id="220"/>
      <w:bookmarkStart w:id="221" w:name="_Toc184314435"/>
      <w:bookmarkEnd w:id="221"/>
      <w:bookmarkStart w:id="222" w:name="_Toc184312108"/>
      <w:bookmarkEnd w:id="222"/>
      <w:bookmarkStart w:id="223" w:name="_Toc184308093"/>
      <w:bookmarkEnd w:id="223"/>
      <w:bookmarkStart w:id="224" w:name="_Toc184308048"/>
      <w:bookmarkEnd w:id="224"/>
      <w:bookmarkStart w:id="225" w:name="_Toc184310325"/>
      <w:bookmarkEnd w:id="225"/>
      <w:bookmarkStart w:id="226" w:name="_Toc184314463"/>
      <w:bookmarkEnd w:id="226"/>
      <w:bookmarkStart w:id="227" w:name="_Toc184308106"/>
      <w:bookmarkEnd w:id="227"/>
      <w:bookmarkStart w:id="228" w:name="_Toc184313305"/>
      <w:bookmarkEnd w:id="228"/>
      <w:bookmarkStart w:id="229" w:name="_Toc184310294"/>
      <w:bookmarkEnd w:id="229"/>
      <w:bookmarkStart w:id="230" w:name="_Toc184310293"/>
      <w:bookmarkEnd w:id="230"/>
      <w:bookmarkStart w:id="231" w:name="_Toc184310313"/>
      <w:bookmarkEnd w:id="231"/>
      <w:bookmarkStart w:id="232" w:name="_Toc184312097"/>
      <w:bookmarkEnd w:id="232"/>
      <w:bookmarkStart w:id="233" w:name="_Toc184308061"/>
      <w:bookmarkEnd w:id="233"/>
      <w:bookmarkStart w:id="234" w:name="_Toc184314416"/>
      <w:bookmarkEnd w:id="234"/>
      <w:bookmarkStart w:id="235" w:name="_Toc184312123"/>
      <w:bookmarkEnd w:id="235"/>
      <w:bookmarkStart w:id="236" w:name="_Toc184312120"/>
      <w:bookmarkEnd w:id="236"/>
      <w:bookmarkStart w:id="237" w:name="_Toc184313274"/>
      <w:bookmarkEnd w:id="237"/>
      <w:bookmarkStart w:id="238" w:name="_Toc184313256"/>
      <w:bookmarkEnd w:id="238"/>
      <w:bookmarkStart w:id="239" w:name="_Toc184312121"/>
      <w:bookmarkEnd w:id="239"/>
      <w:bookmarkStart w:id="240" w:name="_Toc184312068"/>
      <w:bookmarkEnd w:id="240"/>
      <w:bookmarkStart w:id="241" w:name="_Toc184313271"/>
      <w:bookmarkEnd w:id="241"/>
      <w:bookmarkStart w:id="242" w:name="_Toc184313285"/>
      <w:bookmarkEnd w:id="242"/>
      <w:bookmarkStart w:id="243" w:name="_Toc184310314"/>
      <w:bookmarkEnd w:id="243"/>
      <w:bookmarkStart w:id="244" w:name="_Toc184313240"/>
      <w:bookmarkEnd w:id="244"/>
      <w:bookmarkStart w:id="245" w:name="_Toc184313243"/>
      <w:bookmarkEnd w:id="245"/>
      <w:bookmarkStart w:id="246" w:name="_Toc184312126"/>
      <w:bookmarkEnd w:id="246"/>
      <w:bookmarkStart w:id="247" w:name="_Toc184310304"/>
      <w:bookmarkEnd w:id="247"/>
      <w:bookmarkStart w:id="248" w:name="_Toc184314424"/>
      <w:bookmarkEnd w:id="248"/>
      <w:bookmarkStart w:id="249" w:name="_Toc184308104"/>
      <w:bookmarkEnd w:id="249"/>
      <w:bookmarkStart w:id="250" w:name="_Toc184312089"/>
      <w:bookmarkEnd w:id="250"/>
      <w:bookmarkStart w:id="251" w:name="_Toc184312095"/>
      <w:bookmarkEnd w:id="251"/>
      <w:bookmarkStart w:id="252" w:name="_Toc184312077"/>
      <w:bookmarkEnd w:id="252"/>
      <w:bookmarkStart w:id="253" w:name="_Toc184308045"/>
      <w:bookmarkEnd w:id="253"/>
      <w:bookmarkStart w:id="254" w:name="_Toc184314451"/>
      <w:bookmarkEnd w:id="254"/>
      <w:bookmarkStart w:id="255" w:name="_Toc184310341"/>
      <w:bookmarkEnd w:id="255"/>
      <w:bookmarkStart w:id="256" w:name="_Toc184310273"/>
      <w:bookmarkEnd w:id="256"/>
      <w:bookmarkStart w:id="257" w:name="_Toc184310336"/>
      <w:bookmarkEnd w:id="257"/>
      <w:bookmarkStart w:id="258" w:name="_Toc184308053"/>
      <w:bookmarkEnd w:id="258"/>
      <w:bookmarkStart w:id="259" w:name="_Toc184308067"/>
      <w:bookmarkEnd w:id="259"/>
      <w:bookmarkStart w:id="260" w:name="_Toc184308068"/>
      <w:bookmarkEnd w:id="260"/>
      <w:bookmarkStart w:id="261" w:name="_Toc184313260"/>
      <w:bookmarkEnd w:id="261"/>
      <w:bookmarkStart w:id="262" w:name="_Toc184314467"/>
      <w:bookmarkEnd w:id="262"/>
      <w:bookmarkStart w:id="263" w:name="_Toc184308107"/>
      <w:bookmarkEnd w:id="263"/>
      <w:bookmarkStart w:id="264" w:name="_Toc184312115"/>
      <w:bookmarkEnd w:id="264"/>
      <w:bookmarkStart w:id="265" w:name="_Toc184310272"/>
      <w:bookmarkEnd w:id="265"/>
      <w:bookmarkStart w:id="266" w:name="_Toc184312109"/>
      <w:bookmarkEnd w:id="266"/>
      <w:bookmarkStart w:id="267" w:name="_Toc184314454"/>
      <w:bookmarkEnd w:id="267"/>
      <w:bookmarkStart w:id="268" w:name="_Toc184313259"/>
      <w:bookmarkEnd w:id="268"/>
      <w:bookmarkStart w:id="269" w:name="_Toc184314466"/>
      <w:bookmarkEnd w:id="269"/>
      <w:bookmarkStart w:id="270" w:name="_Toc184308096"/>
      <w:bookmarkEnd w:id="270"/>
      <w:bookmarkStart w:id="271" w:name="_Toc184308059"/>
      <w:bookmarkEnd w:id="271"/>
      <w:bookmarkStart w:id="272" w:name="_Toc184310312"/>
      <w:bookmarkEnd w:id="272"/>
      <w:bookmarkStart w:id="273" w:name="_Toc184310297"/>
      <w:bookmarkEnd w:id="273"/>
      <w:bookmarkStart w:id="274" w:name="_Toc184308077"/>
      <w:bookmarkEnd w:id="274"/>
      <w:bookmarkStart w:id="275" w:name="_Toc184314442"/>
      <w:bookmarkEnd w:id="275"/>
      <w:bookmarkStart w:id="276" w:name="_Toc184314434"/>
      <w:bookmarkEnd w:id="276"/>
      <w:bookmarkStart w:id="277" w:name="_Toc184314413"/>
      <w:bookmarkEnd w:id="277"/>
      <w:bookmarkStart w:id="278" w:name="_Toc184313242"/>
      <w:bookmarkEnd w:id="278"/>
      <w:bookmarkStart w:id="279" w:name="_Toc184314430"/>
      <w:bookmarkEnd w:id="279"/>
      <w:bookmarkStart w:id="280" w:name="_Toc184314461"/>
      <w:bookmarkEnd w:id="280"/>
      <w:bookmarkStart w:id="281" w:name="_Toc184312100"/>
      <w:bookmarkEnd w:id="281"/>
      <w:bookmarkStart w:id="282" w:name="_Toc184310303"/>
      <w:bookmarkEnd w:id="282"/>
      <w:bookmarkStart w:id="283" w:name="_Toc184313266"/>
      <w:bookmarkEnd w:id="283"/>
      <w:bookmarkStart w:id="284" w:name="_Toc184313308"/>
      <w:bookmarkEnd w:id="284"/>
      <w:bookmarkStart w:id="285" w:name="_Toc184312076"/>
      <w:bookmarkEnd w:id="285"/>
      <w:bookmarkStart w:id="286" w:name="_Toc184314482"/>
      <w:bookmarkEnd w:id="286"/>
      <w:bookmarkStart w:id="287" w:name="_Toc184310275"/>
      <w:bookmarkEnd w:id="287"/>
      <w:bookmarkStart w:id="288" w:name="_Toc184310323"/>
      <w:bookmarkEnd w:id="288"/>
      <w:bookmarkStart w:id="289" w:name="_Toc184310298"/>
      <w:bookmarkEnd w:id="289"/>
      <w:bookmarkStart w:id="290" w:name="_Toc184313299"/>
      <w:bookmarkEnd w:id="290"/>
      <w:bookmarkStart w:id="291" w:name="_Toc184308043"/>
      <w:bookmarkEnd w:id="291"/>
      <w:bookmarkStart w:id="292" w:name="_Toc184310299"/>
      <w:bookmarkEnd w:id="292"/>
      <w:bookmarkStart w:id="293" w:name="_Toc184313280"/>
      <w:bookmarkEnd w:id="293"/>
      <w:bookmarkStart w:id="294" w:name="_Toc184308054"/>
      <w:bookmarkEnd w:id="294"/>
      <w:bookmarkStart w:id="295" w:name="_Toc184312114"/>
      <w:bookmarkEnd w:id="295"/>
      <w:bookmarkStart w:id="296" w:name="_Toc184313263"/>
      <w:bookmarkEnd w:id="296"/>
      <w:bookmarkStart w:id="297" w:name="_Toc184312107"/>
      <w:bookmarkEnd w:id="297"/>
      <w:bookmarkStart w:id="298" w:name="_Toc184308080"/>
      <w:bookmarkEnd w:id="298"/>
      <w:bookmarkStart w:id="299" w:name="_Toc184314477"/>
      <w:bookmarkEnd w:id="299"/>
      <w:bookmarkStart w:id="300" w:name="_Toc184314432"/>
      <w:bookmarkEnd w:id="300"/>
      <w:bookmarkStart w:id="301" w:name="_Toc184308081"/>
      <w:bookmarkEnd w:id="301"/>
      <w:bookmarkStart w:id="302" w:name="_Toc184314422"/>
      <w:bookmarkEnd w:id="302"/>
      <w:bookmarkStart w:id="303" w:name="_Toc184310327"/>
      <w:bookmarkEnd w:id="303"/>
      <w:bookmarkStart w:id="304" w:name="_Toc184312101"/>
      <w:bookmarkEnd w:id="304"/>
      <w:bookmarkStart w:id="305" w:name="_Toc184313278"/>
      <w:bookmarkEnd w:id="305"/>
      <w:bookmarkStart w:id="306" w:name="_Toc184312134"/>
      <w:bookmarkEnd w:id="306"/>
      <w:bookmarkStart w:id="307" w:name="_Toc184314437"/>
      <w:bookmarkEnd w:id="307"/>
      <w:bookmarkStart w:id="308" w:name="_Toc184310301"/>
      <w:bookmarkEnd w:id="308"/>
      <w:bookmarkStart w:id="309" w:name="_Toc184312116"/>
      <w:bookmarkEnd w:id="309"/>
      <w:bookmarkStart w:id="310" w:name="_Toc184312129"/>
      <w:bookmarkEnd w:id="310"/>
      <w:bookmarkStart w:id="311" w:name="_Toc184308091"/>
      <w:bookmarkEnd w:id="311"/>
      <w:bookmarkStart w:id="312" w:name="_Toc184312110"/>
      <w:bookmarkEnd w:id="312"/>
      <w:bookmarkStart w:id="313" w:name="_Toc184313303"/>
      <w:bookmarkEnd w:id="313"/>
      <w:bookmarkStart w:id="314" w:name="_Toc184313304"/>
      <w:bookmarkEnd w:id="314"/>
      <w:bookmarkStart w:id="315" w:name="_Toc184314419"/>
      <w:bookmarkEnd w:id="315"/>
      <w:bookmarkStart w:id="316" w:name="_Toc184314431"/>
      <w:bookmarkEnd w:id="316"/>
      <w:bookmarkStart w:id="317" w:name="_Toc184310310"/>
      <w:bookmarkEnd w:id="317"/>
      <w:bookmarkStart w:id="318" w:name="_Toc184314412"/>
      <w:bookmarkEnd w:id="318"/>
      <w:bookmarkStart w:id="319" w:name="_Toc184313261"/>
      <w:bookmarkEnd w:id="319"/>
      <w:bookmarkStart w:id="320" w:name="_Toc184308051"/>
      <w:bookmarkEnd w:id="320"/>
      <w:bookmarkStart w:id="321" w:name="_Toc184312112"/>
      <w:bookmarkEnd w:id="321"/>
      <w:bookmarkStart w:id="322" w:name="_Toc184310332"/>
      <w:bookmarkEnd w:id="322"/>
      <w:bookmarkStart w:id="323" w:name="_Toc184312105"/>
      <w:bookmarkEnd w:id="323"/>
      <w:bookmarkStart w:id="324" w:name="_Toc184308052"/>
      <w:bookmarkEnd w:id="324"/>
      <w:bookmarkStart w:id="325" w:name="_Toc184313307"/>
      <w:bookmarkEnd w:id="325"/>
      <w:bookmarkStart w:id="326" w:name="_Toc184312093"/>
      <w:bookmarkEnd w:id="326"/>
      <w:bookmarkStart w:id="327" w:name="_Toc184312078"/>
      <w:bookmarkEnd w:id="327"/>
      <w:bookmarkStart w:id="328" w:name="_Toc184308076"/>
      <w:bookmarkEnd w:id="328"/>
      <w:bookmarkStart w:id="329" w:name="_Toc184312091"/>
      <w:bookmarkEnd w:id="329"/>
      <w:bookmarkStart w:id="330" w:name="_Toc184310321"/>
      <w:bookmarkEnd w:id="330"/>
      <w:bookmarkStart w:id="331" w:name="_Toc184313255"/>
      <w:bookmarkEnd w:id="331"/>
      <w:bookmarkStart w:id="332" w:name="_Toc184313246"/>
      <w:bookmarkEnd w:id="332"/>
      <w:bookmarkStart w:id="333" w:name="_Toc184312113"/>
      <w:bookmarkEnd w:id="333"/>
      <w:bookmarkStart w:id="334" w:name="_Toc184312106"/>
      <w:bookmarkEnd w:id="334"/>
      <w:bookmarkStart w:id="335" w:name="_Toc184310290"/>
      <w:bookmarkEnd w:id="335"/>
      <w:bookmarkStart w:id="336" w:name="_Toc184313257"/>
      <w:bookmarkEnd w:id="336"/>
      <w:bookmarkStart w:id="337" w:name="_Toc184313282"/>
      <w:bookmarkEnd w:id="337"/>
      <w:bookmarkStart w:id="338" w:name="_Toc184314470"/>
      <w:bookmarkEnd w:id="338"/>
      <w:bookmarkStart w:id="339" w:name="_Toc184312103"/>
      <w:bookmarkEnd w:id="339"/>
      <w:bookmarkStart w:id="340" w:name="_Toc184314420"/>
      <w:bookmarkEnd w:id="340"/>
      <w:bookmarkStart w:id="341" w:name="_Toc184313254"/>
      <w:bookmarkEnd w:id="341"/>
      <w:bookmarkStart w:id="342" w:name="_Toc184314450"/>
      <w:bookmarkEnd w:id="342"/>
      <w:bookmarkStart w:id="343" w:name="_Toc184313293"/>
      <w:bookmarkEnd w:id="343"/>
      <w:bookmarkStart w:id="344" w:name="_Toc184314460"/>
      <w:bookmarkEnd w:id="344"/>
      <w:bookmarkStart w:id="345" w:name="_Toc184314444"/>
      <w:bookmarkEnd w:id="345"/>
      <w:bookmarkStart w:id="346" w:name="_Toc184310295"/>
      <w:bookmarkEnd w:id="346"/>
      <w:bookmarkStart w:id="347" w:name="_Toc184313239"/>
      <w:bookmarkEnd w:id="347"/>
      <w:bookmarkStart w:id="348" w:name="_Toc184310306"/>
      <w:bookmarkEnd w:id="348"/>
      <w:bookmarkStart w:id="349" w:name="_Toc184312086"/>
      <w:bookmarkEnd w:id="349"/>
      <w:bookmarkStart w:id="350" w:name="_Toc184310282"/>
      <w:bookmarkEnd w:id="350"/>
      <w:bookmarkStart w:id="351" w:name="_Toc184308063"/>
      <w:bookmarkEnd w:id="351"/>
      <w:bookmarkStart w:id="352" w:name="_Toc184314425"/>
      <w:bookmarkEnd w:id="352"/>
      <w:bookmarkStart w:id="353" w:name="_Toc184310287"/>
      <w:bookmarkEnd w:id="353"/>
      <w:bookmarkStart w:id="354" w:name="_Toc184314478"/>
      <w:bookmarkEnd w:id="354"/>
      <w:bookmarkStart w:id="355" w:name="_Toc184312118"/>
      <w:bookmarkEnd w:id="355"/>
      <w:bookmarkStart w:id="356" w:name="_Toc184312087"/>
      <w:bookmarkEnd w:id="356"/>
      <w:bookmarkStart w:id="357" w:name="_Toc184310283"/>
      <w:bookmarkEnd w:id="357"/>
      <w:bookmarkStart w:id="358" w:name="_Toc184314462"/>
      <w:bookmarkEnd w:id="358"/>
      <w:bookmarkStart w:id="359" w:name="_Toc184310342"/>
      <w:bookmarkEnd w:id="359"/>
      <w:bookmarkStart w:id="360" w:name="_Toc184313287"/>
      <w:bookmarkEnd w:id="360"/>
      <w:bookmarkStart w:id="361" w:name="_Toc184312138"/>
      <w:bookmarkEnd w:id="361"/>
      <w:bookmarkStart w:id="362" w:name="_Toc184308073"/>
      <w:bookmarkEnd w:id="362"/>
      <w:bookmarkStart w:id="363" w:name="_Toc184308047"/>
      <w:bookmarkEnd w:id="363"/>
      <w:bookmarkStart w:id="364" w:name="_Toc184312094"/>
      <w:bookmarkEnd w:id="364"/>
      <w:bookmarkStart w:id="365" w:name="_Toc184310284"/>
      <w:bookmarkEnd w:id="365"/>
      <w:bookmarkStart w:id="366" w:name="_Toc184312072"/>
      <w:bookmarkEnd w:id="366"/>
      <w:bookmarkStart w:id="367" w:name="_Toc184313294"/>
      <w:bookmarkEnd w:id="367"/>
      <w:bookmarkStart w:id="368" w:name="_Toc184314449"/>
      <w:bookmarkEnd w:id="368"/>
      <w:bookmarkStart w:id="369" w:name="_Toc184312104"/>
      <w:bookmarkEnd w:id="369"/>
      <w:bookmarkStart w:id="370" w:name="_Toc184312131"/>
      <w:bookmarkEnd w:id="370"/>
      <w:bookmarkStart w:id="371" w:name="_Toc184314469"/>
      <w:bookmarkEnd w:id="371"/>
      <w:bookmarkStart w:id="372" w:name="_Toc184310320"/>
      <w:bookmarkEnd w:id="372"/>
      <w:bookmarkStart w:id="373" w:name="_Toc184312125"/>
      <w:bookmarkEnd w:id="373"/>
      <w:bookmarkStart w:id="374" w:name="_Toc184310324"/>
      <w:bookmarkEnd w:id="374"/>
      <w:bookmarkStart w:id="375" w:name="_Toc184310280"/>
      <w:bookmarkEnd w:id="375"/>
      <w:bookmarkStart w:id="376" w:name="_Toc184314455"/>
      <w:bookmarkEnd w:id="376"/>
      <w:bookmarkStart w:id="377" w:name="_Toc184313264"/>
      <w:bookmarkEnd w:id="377"/>
      <w:bookmarkStart w:id="378" w:name="_Toc184314415"/>
      <w:bookmarkEnd w:id="378"/>
      <w:bookmarkStart w:id="379" w:name="_Toc184308083"/>
      <w:bookmarkEnd w:id="379"/>
      <w:bookmarkStart w:id="380" w:name="_Toc184314447"/>
      <w:bookmarkEnd w:id="380"/>
      <w:bookmarkStart w:id="381" w:name="_Toc184312084"/>
      <w:bookmarkEnd w:id="381"/>
      <w:bookmarkStart w:id="382" w:name="_Toc184314481"/>
      <w:bookmarkEnd w:id="382"/>
      <w:bookmarkStart w:id="383" w:name="_Toc184310322"/>
      <w:bookmarkEnd w:id="383"/>
      <w:bookmarkStart w:id="384" w:name="_Toc184312127"/>
      <w:bookmarkEnd w:id="384"/>
      <w:bookmarkStart w:id="385" w:name="_Toc184314452"/>
      <w:bookmarkEnd w:id="385"/>
      <w:bookmarkStart w:id="386" w:name="_Toc184314410"/>
      <w:bookmarkEnd w:id="386"/>
      <w:bookmarkStart w:id="387" w:name="_Toc184312132"/>
      <w:bookmarkEnd w:id="387"/>
      <w:bookmarkStart w:id="388" w:name="_Toc184308036"/>
      <w:bookmarkEnd w:id="388"/>
      <w:bookmarkStart w:id="389" w:name="_Toc184312081"/>
      <w:bookmarkEnd w:id="389"/>
      <w:bookmarkStart w:id="390" w:name="_Toc184312130"/>
      <w:bookmarkEnd w:id="390"/>
      <w:bookmarkStart w:id="391" w:name="_Toc184308101"/>
      <w:bookmarkEnd w:id="391"/>
      <w:bookmarkStart w:id="392" w:name="_Toc184313290"/>
      <w:bookmarkEnd w:id="392"/>
      <w:bookmarkStart w:id="393" w:name="_Toc23959"/>
      <w:r>
        <w:rPr>
          <w:rFonts w:hint="eastAsia" w:ascii="仿宋" w:hAnsi="仿宋" w:eastAsia="仿宋" w:cs="仿宋"/>
          <w:b/>
          <w:color w:val="auto"/>
          <w:sz w:val="36"/>
          <w:szCs w:val="36"/>
          <w:highlight w:val="none"/>
          <w:lang w:val="en-US" w:eastAsia="zh-CN"/>
        </w:rPr>
        <w:t>评审</w:t>
      </w:r>
      <w:r>
        <w:rPr>
          <w:rFonts w:hint="eastAsia" w:ascii="仿宋" w:hAnsi="仿宋" w:eastAsia="仿宋" w:cs="仿宋"/>
          <w:b/>
          <w:color w:val="auto"/>
          <w:sz w:val="36"/>
          <w:szCs w:val="36"/>
          <w:highlight w:val="none"/>
        </w:rPr>
        <w:t>办法</w:t>
      </w:r>
      <w:bookmarkEnd w:id="393"/>
    </w:p>
    <w:p w14:paraId="33961D8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18"/>
        <w:tblW w:w="8878" w:type="dxa"/>
        <w:tblInd w:w="-34" w:type="dxa"/>
        <w:tblLayout w:type="fixed"/>
        <w:tblCellMar>
          <w:top w:w="0" w:type="dxa"/>
          <w:left w:w="108" w:type="dxa"/>
          <w:bottom w:w="0" w:type="dxa"/>
          <w:right w:w="108" w:type="dxa"/>
        </w:tblCellMar>
      </w:tblPr>
      <w:tblGrid>
        <w:gridCol w:w="748"/>
        <w:gridCol w:w="1200"/>
        <w:gridCol w:w="6930"/>
      </w:tblGrid>
      <w:tr w14:paraId="1DF361A0">
        <w:tblPrEx>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noWrap w:val="0"/>
            <w:vAlign w:val="center"/>
          </w:tcPr>
          <w:p w14:paraId="039A1847">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BE2269D">
            <w:pPr>
              <w:snapToGrid w:val="0"/>
              <w:spacing w:line="360" w:lineRule="auto"/>
              <w:jc w:val="center"/>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项目</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68B659F8">
            <w:pPr>
              <w:snapToGrid w:val="0"/>
              <w:spacing w:line="360" w:lineRule="auto"/>
              <w:jc w:val="center"/>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评分细则</w:t>
            </w:r>
          </w:p>
        </w:tc>
      </w:tr>
      <w:tr w14:paraId="0E7678FA">
        <w:tblPrEx>
          <w:tblCellMar>
            <w:top w:w="0" w:type="dxa"/>
            <w:left w:w="108" w:type="dxa"/>
            <w:bottom w:w="0" w:type="dxa"/>
            <w:right w:w="108" w:type="dxa"/>
          </w:tblCellMar>
        </w:tblPrEx>
        <w:tc>
          <w:tcPr>
            <w:tcW w:w="748" w:type="dxa"/>
            <w:vMerge w:val="restart"/>
            <w:tcBorders>
              <w:top w:val="single" w:color="auto" w:sz="4" w:space="0"/>
              <w:left w:val="single" w:color="auto" w:sz="4" w:space="0"/>
              <w:right w:val="single" w:color="auto" w:sz="4" w:space="0"/>
            </w:tcBorders>
            <w:noWrap w:val="0"/>
            <w:vAlign w:val="center"/>
          </w:tcPr>
          <w:p w14:paraId="55BCAEE5">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商务技术</w:t>
            </w:r>
            <w:r>
              <w:rPr>
                <w:rFonts w:hint="eastAsia" w:ascii="仿宋" w:hAnsi="仿宋" w:eastAsia="仿宋" w:cs="仿宋"/>
                <w:color w:val="auto"/>
                <w:sz w:val="21"/>
                <w:szCs w:val="21"/>
                <w:highlight w:val="none"/>
                <w:shd w:val="clear" w:color="auto" w:fill="FFFFFF"/>
              </w:rPr>
              <w:t>部分</w:t>
            </w:r>
            <w:r>
              <w:rPr>
                <w:rFonts w:hint="eastAsia" w:ascii="仿宋" w:hAnsi="仿宋" w:eastAsia="仿宋" w:cs="仿宋"/>
                <w:color w:val="auto"/>
                <w:sz w:val="21"/>
                <w:szCs w:val="21"/>
                <w:highlight w:val="none"/>
                <w:shd w:val="clear" w:color="auto" w:fill="FFFFFF"/>
                <w:lang w:val="en-US" w:eastAsia="zh-CN"/>
              </w:rPr>
              <w:t>65</w:t>
            </w:r>
            <w:r>
              <w:rPr>
                <w:rFonts w:hint="eastAsia" w:ascii="仿宋" w:hAnsi="仿宋" w:eastAsia="仿宋" w:cs="仿宋"/>
                <w:color w:val="auto"/>
                <w:sz w:val="21"/>
                <w:szCs w:val="21"/>
                <w:highlight w:val="none"/>
                <w:shd w:val="clear" w:color="auto" w:fill="FFFFFF"/>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E015D6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1.</w:t>
            </w:r>
            <w:r>
              <w:rPr>
                <w:rFonts w:hint="eastAsia" w:ascii="仿宋" w:hAnsi="仿宋" w:eastAsia="仿宋" w:cs="仿宋"/>
                <w:color w:val="auto"/>
                <w:sz w:val="21"/>
                <w:szCs w:val="21"/>
                <w:highlight w:val="none"/>
                <w:shd w:val="clear" w:color="auto" w:fill="FFFFFF"/>
              </w:rPr>
              <w:t>技</w:t>
            </w:r>
            <w:r>
              <w:rPr>
                <w:rFonts w:hint="eastAsia" w:ascii="仿宋" w:hAnsi="仿宋" w:eastAsia="仿宋" w:cs="仿宋"/>
                <w:color w:val="auto"/>
                <w:sz w:val="21"/>
                <w:szCs w:val="21"/>
                <w:highlight w:val="none"/>
                <w:shd w:val="clear" w:color="auto" w:fill="FFFFFF"/>
                <w:lang w:val="en-US" w:eastAsia="zh-CN"/>
              </w:rPr>
              <w:t>术条款</w:t>
            </w:r>
          </w:p>
          <w:p w14:paraId="5F9F83B0">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响应情况</w:t>
            </w:r>
          </w:p>
          <w:p w14:paraId="7C3DECF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（12分）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30DAF53E">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响应文件对采购文件的技术条款响应情况：技术条款全部满足采购文件要求的得12分。一般技术参数（无任何标注）每负偏离一项扣减2分。允许负偏离的技术参数负偏离项达到6项的响应文件无效。</w:t>
            </w:r>
          </w:p>
          <w:p w14:paraId="0D4B6C8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标“▲”的实质性条款不允许任何负偏离，否则响应文件无效。</w:t>
            </w:r>
          </w:p>
        </w:tc>
      </w:tr>
      <w:tr w14:paraId="3641D90F">
        <w:tblPrEx>
          <w:tblCellMar>
            <w:top w:w="0" w:type="dxa"/>
            <w:left w:w="108" w:type="dxa"/>
            <w:bottom w:w="0" w:type="dxa"/>
            <w:right w:w="108" w:type="dxa"/>
          </w:tblCellMar>
        </w:tblPrEx>
        <w:tc>
          <w:tcPr>
            <w:tcW w:w="748" w:type="dxa"/>
            <w:vMerge w:val="continue"/>
            <w:tcBorders>
              <w:left w:val="single" w:color="auto" w:sz="4" w:space="0"/>
              <w:right w:val="single" w:color="auto" w:sz="4" w:space="0"/>
            </w:tcBorders>
            <w:noWrap w:val="0"/>
            <w:vAlign w:val="center"/>
          </w:tcPr>
          <w:p w14:paraId="73339543">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restart"/>
            <w:tcBorders>
              <w:top w:val="single" w:color="auto" w:sz="4" w:space="0"/>
              <w:left w:val="single" w:color="auto" w:sz="4" w:space="0"/>
              <w:right w:val="single" w:color="auto" w:sz="4" w:space="0"/>
            </w:tcBorders>
            <w:noWrap w:val="0"/>
            <w:vAlign w:val="center"/>
          </w:tcPr>
          <w:p w14:paraId="7A60FED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2.施工组织方案</w:t>
            </w:r>
          </w:p>
          <w:p w14:paraId="4FC43E77">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（30分）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287410C3">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2.1施工组织方案（5分）</w:t>
            </w:r>
          </w:p>
          <w:p w14:paraId="0BAE28F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675E77B7">
        <w:tblPrEx>
          <w:tblCellMar>
            <w:top w:w="0" w:type="dxa"/>
            <w:left w:w="108" w:type="dxa"/>
            <w:bottom w:w="0" w:type="dxa"/>
            <w:right w:w="108" w:type="dxa"/>
          </w:tblCellMar>
        </w:tblPrEx>
        <w:tc>
          <w:tcPr>
            <w:tcW w:w="748" w:type="dxa"/>
            <w:vMerge w:val="continue"/>
            <w:tcBorders>
              <w:left w:val="single" w:color="auto" w:sz="4" w:space="0"/>
              <w:right w:val="single" w:color="auto" w:sz="4" w:space="0"/>
            </w:tcBorders>
            <w:noWrap w:val="0"/>
            <w:vAlign w:val="center"/>
          </w:tcPr>
          <w:p w14:paraId="3518BF2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continue"/>
            <w:tcBorders>
              <w:left w:val="single" w:color="auto" w:sz="4" w:space="0"/>
              <w:right w:val="single" w:color="auto" w:sz="4" w:space="0"/>
            </w:tcBorders>
            <w:noWrap w:val="0"/>
            <w:vAlign w:val="center"/>
          </w:tcPr>
          <w:p w14:paraId="025FD659">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6096BBA9">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2.2工程质量保证措施（5分）</w:t>
            </w:r>
          </w:p>
          <w:p w14:paraId="51D2F3C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委对工程质量保证措施进行综合评议并打分：各项保障措施有力、符合行业规范、符合本项目需求的得5分，保障措施上有部分非主体内容的欠缺，尚不影响履约的得3分，措施上有主体内容的缺项或缺少具体有效的保证措施，难以保证满足项目需求的得1分；未提供不得分。</w:t>
            </w:r>
          </w:p>
        </w:tc>
      </w:tr>
      <w:tr w14:paraId="3D172A6D">
        <w:tblPrEx>
          <w:tblCellMar>
            <w:top w:w="0" w:type="dxa"/>
            <w:left w:w="108" w:type="dxa"/>
            <w:bottom w:w="0" w:type="dxa"/>
            <w:right w:w="108" w:type="dxa"/>
          </w:tblCellMar>
        </w:tblPrEx>
        <w:tc>
          <w:tcPr>
            <w:tcW w:w="748" w:type="dxa"/>
            <w:vMerge w:val="continue"/>
            <w:tcBorders>
              <w:left w:val="single" w:color="auto" w:sz="4" w:space="0"/>
              <w:right w:val="single" w:color="auto" w:sz="4" w:space="0"/>
            </w:tcBorders>
            <w:noWrap w:val="0"/>
            <w:vAlign w:val="center"/>
          </w:tcPr>
          <w:p w14:paraId="128A28B7">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continue"/>
            <w:tcBorders>
              <w:left w:val="single" w:color="auto" w:sz="4" w:space="0"/>
              <w:right w:val="single" w:color="auto" w:sz="4" w:space="0"/>
            </w:tcBorders>
            <w:noWrap w:val="0"/>
            <w:vAlign w:val="center"/>
          </w:tcPr>
          <w:p w14:paraId="34EBCCD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4355F97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2.3施工进度管理与控制（5分）</w:t>
            </w:r>
          </w:p>
          <w:p w14:paraId="3D57CB3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22E47A5C">
        <w:tblPrEx>
          <w:tblCellMar>
            <w:top w:w="0" w:type="dxa"/>
            <w:left w:w="108" w:type="dxa"/>
            <w:bottom w:w="0" w:type="dxa"/>
            <w:right w:w="108" w:type="dxa"/>
          </w:tblCellMar>
        </w:tblPrEx>
        <w:tc>
          <w:tcPr>
            <w:tcW w:w="748" w:type="dxa"/>
            <w:vMerge w:val="continue"/>
            <w:tcBorders>
              <w:left w:val="single" w:color="auto" w:sz="4" w:space="0"/>
              <w:right w:val="single" w:color="auto" w:sz="4" w:space="0"/>
            </w:tcBorders>
            <w:noWrap w:val="0"/>
            <w:vAlign w:val="center"/>
          </w:tcPr>
          <w:p w14:paraId="018B8DA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continue"/>
            <w:tcBorders>
              <w:left w:val="single" w:color="auto" w:sz="4" w:space="0"/>
              <w:right w:val="single" w:color="auto" w:sz="4" w:space="0"/>
            </w:tcBorders>
            <w:noWrap w:val="0"/>
            <w:vAlign w:val="center"/>
          </w:tcPr>
          <w:p w14:paraId="54A409B9">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456A1D2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2.4安全生产、文明施工措施（5分）</w:t>
            </w:r>
          </w:p>
          <w:p w14:paraId="20C3040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委对安全生产、文明施工措施进行综合评议并打分：施工噪音、施工震动、施工扬尘等保障措施具体有效、符合本项目需求的得5分，保障措施上存在细节部分欠缺，尚不影响履约的得3分，措施有缺项或缺少有效保障手段，难以保证项目实施的得1分；未提供不得分。</w:t>
            </w:r>
          </w:p>
        </w:tc>
      </w:tr>
      <w:tr w14:paraId="4AE79341">
        <w:tblPrEx>
          <w:tblCellMar>
            <w:top w:w="0" w:type="dxa"/>
            <w:left w:w="108" w:type="dxa"/>
            <w:bottom w:w="0" w:type="dxa"/>
            <w:right w:w="108" w:type="dxa"/>
          </w:tblCellMar>
        </w:tblPrEx>
        <w:trPr>
          <w:trHeight w:val="1674" w:hRule="atLeast"/>
        </w:trPr>
        <w:tc>
          <w:tcPr>
            <w:tcW w:w="748" w:type="dxa"/>
            <w:vMerge w:val="continue"/>
            <w:tcBorders>
              <w:left w:val="single" w:color="auto" w:sz="4" w:space="0"/>
              <w:right w:val="single" w:color="auto" w:sz="4" w:space="0"/>
            </w:tcBorders>
            <w:noWrap w:val="0"/>
            <w:vAlign w:val="center"/>
          </w:tcPr>
          <w:p w14:paraId="3E1A129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continue"/>
            <w:tcBorders>
              <w:left w:val="single" w:color="auto" w:sz="4" w:space="0"/>
              <w:right w:val="single" w:color="auto" w:sz="4" w:space="0"/>
            </w:tcBorders>
            <w:noWrap w:val="0"/>
            <w:vAlign w:val="center"/>
          </w:tcPr>
          <w:p w14:paraId="0B5B12A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715CF16C">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2.5环保管理体系和措施（5分）</w:t>
            </w:r>
          </w:p>
          <w:p w14:paraId="3EEA360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委对环保管理体系和措施进行综合评议并打分：环保管理体系健全有效、保障措施具体细致、符合本项目需求的得5分，体系及保障措施上有部分欠缺，但尚不影响履约的得3分，体系及措施有明显缺漏项，或过于笼统无法保证项目实施的得1分；未提供不得分。</w:t>
            </w:r>
          </w:p>
        </w:tc>
      </w:tr>
      <w:tr w14:paraId="48DCFB3D">
        <w:tblPrEx>
          <w:tblCellMar>
            <w:top w:w="0" w:type="dxa"/>
            <w:left w:w="108" w:type="dxa"/>
            <w:bottom w:w="0" w:type="dxa"/>
            <w:right w:w="108" w:type="dxa"/>
          </w:tblCellMar>
        </w:tblPrEx>
        <w:trPr>
          <w:trHeight w:val="90" w:hRule="atLeast"/>
        </w:trPr>
        <w:tc>
          <w:tcPr>
            <w:tcW w:w="748" w:type="dxa"/>
            <w:vMerge w:val="continue"/>
            <w:tcBorders>
              <w:left w:val="single" w:color="auto" w:sz="4" w:space="0"/>
              <w:right w:val="single" w:color="auto" w:sz="4" w:space="0"/>
            </w:tcBorders>
            <w:noWrap w:val="0"/>
            <w:vAlign w:val="center"/>
          </w:tcPr>
          <w:p w14:paraId="525FAF3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continue"/>
            <w:tcBorders>
              <w:left w:val="single" w:color="auto" w:sz="4" w:space="0"/>
              <w:bottom w:val="single" w:color="auto" w:sz="4" w:space="0"/>
              <w:right w:val="single" w:color="auto" w:sz="4" w:space="0"/>
            </w:tcBorders>
            <w:noWrap w:val="0"/>
            <w:vAlign w:val="center"/>
          </w:tcPr>
          <w:p w14:paraId="0DA6819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0DE86599">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2.6主要施工机械设备的选用和布置（5分）</w:t>
            </w:r>
          </w:p>
          <w:p w14:paraId="63709BD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委对施工机械设备进行综合评议并打分：施工机械设备种类齐全、规格型号较新、完全满足本项目需求的得5分，施工机械设备种类齐全、但部分非主体设备略为陈旧的得3分，施工机械设备不全或陈旧落后难以满足项目需求的得1分。</w:t>
            </w:r>
          </w:p>
          <w:p w14:paraId="247B68E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注：</w:t>
            </w:r>
            <w:r>
              <w:rPr>
                <w:rFonts w:hint="eastAsia" w:ascii="仿宋" w:hAnsi="仿宋" w:eastAsia="仿宋" w:cs="仿宋"/>
                <w:color w:val="auto"/>
                <w:sz w:val="21"/>
                <w:szCs w:val="21"/>
                <w:highlight w:val="none"/>
                <w:shd w:val="clear" w:color="auto" w:fill="FFFFFF"/>
              </w:rPr>
              <w:t>提供主要施工机械设备清单</w:t>
            </w:r>
            <w:r>
              <w:rPr>
                <w:rFonts w:hint="eastAsia" w:ascii="仿宋" w:hAnsi="仿宋" w:eastAsia="仿宋" w:cs="仿宋"/>
                <w:color w:val="auto"/>
                <w:sz w:val="21"/>
                <w:szCs w:val="21"/>
                <w:highlight w:val="none"/>
                <w:shd w:val="clear" w:color="auto" w:fill="FFFFFF"/>
                <w:lang w:val="en-US" w:eastAsia="zh-CN"/>
              </w:rPr>
              <w:t>等证明材料</w:t>
            </w:r>
            <w:r>
              <w:rPr>
                <w:rFonts w:hint="eastAsia" w:ascii="仿宋" w:hAnsi="仿宋" w:eastAsia="仿宋" w:cs="仿宋"/>
                <w:color w:val="auto"/>
                <w:sz w:val="21"/>
                <w:szCs w:val="21"/>
                <w:highlight w:val="none"/>
                <w:shd w:val="clear" w:color="auto" w:fill="FFFFFF"/>
                <w:lang w:eastAsia="zh-CN"/>
              </w:rPr>
              <w:t>，</w:t>
            </w:r>
            <w:r>
              <w:rPr>
                <w:rFonts w:hint="eastAsia" w:ascii="仿宋" w:hAnsi="仿宋" w:eastAsia="仿宋" w:cs="仿宋"/>
                <w:color w:val="auto"/>
                <w:sz w:val="21"/>
                <w:szCs w:val="21"/>
                <w:highlight w:val="none"/>
                <w:shd w:val="clear" w:color="auto" w:fill="FFFFFF"/>
                <w:lang w:val="en-US" w:eastAsia="zh-CN"/>
              </w:rPr>
              <w:t>未提供不得分。</w:t>
            </w:r>
          </w:p>
        </w:tc>
      </w:tr>
      <w:tr w14:paraId="7BDA6108">
        <w:tblPrEx>
          <w:tblCellMar>
            <w:top w:w="0" w:type="dxa"/>
            <w:left w:w="108" w:type="dxa"/>
            <w:bottom w:w="0" w:type="dxa"/>
            <w:right w:w="108" w:type="dxa"/>
          </w:tblCellMar>
        </w:tblPrEx>
        <w:trPr>
          <w:trHeight w:val="822" w:hRule="atLeast"/>
        </w:trPr>
        <w:tc>
          <w:tcPr>
            <w:tcW w:w="748" w:type="dxa"/>
            <w:vMerge w:val="continue"/>
            <w:tcBorders>
              <w:left w:val="single" w:color="auto" w:sz="4" w:space="0"/>
              <w:right w:val="single" w:color="auto" w:sz="4" w:space="0"/>
            </w:tcBorders>
            <w:noWrap w:val="0"/>
            <w:vAlign w:val="center"/>
          </w:tcPr>
          <w:p w14:paraId="5EF0FC4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restart"/>
            <w:tcBorders>
              <w:top w:val="single" w:color="auto" w:sz="4" w:space="0"/>
              <w:left w:val="single" w:color="auto" w:sz="4" w:space="0"/>
              <w:right w:val="single" w:color="auto" w:sz="4" w:space="0"/>
            </w:tcBorders>
            <w:noWrap w:val="0"/>
            <w:vAlign w:val="center"/>
          </w:tcPr>
          <w:p w14:paraId="58B83150">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3.项目团队（5分）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37713D0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3.1供应商拟投入本项目的项目技术负责人具有市政专业中级及以上职称的得1分。</w:t>
            </w:r>
          </w:p>
          <w:p w14:paraId="7A8DDFFC">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注：响应文件中提供项目技术负责人的职称证书复印件未提供不得分。</w:t>
            </w:r>
          </w:p>
        </w:tc>
      </w:tr>
      <w:tr w14:paraId="38F95D18">
        <w:tblPrEx>
          <w:tblCellMar>
            <w:top w:w="0" w:type="dxa"/>
            <w:left w:w="108" w:type="dxa"/>
            <w:bottom w:w="0" w:type="dxa"/>
            <w:right w:w="108" w:type="dxa"/>
          </w:tblCellMar>
        </w:tblPrEx>
        <w:trPr>
          <w:trHeight w:val="822" w:hRule="atLeast"/>
        </w:trPr>
        <w:tc>
          <w:tcPr>
            <w:tcW w:w="748" w:type="dxa"/>
            <w:vMerge w:val="continue"/>
            <w:tcBorders>
              <w:left w:val="single" w:color="auto" w:sz="4" w:space="0"/>
              <w:right w:val="single" w:color="auto" w:sz="4" w:space="0"/>
            </w:tcBorders>
            <w:noWrap w:val="0"/>
            <w:vAlign w:val="center"/>
          </w:tcPr>
          <w:p w14:paraId="284FA89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color w:val="auto"/>
              </w:rPr>
            </w:pPr>
          </w:p>
        </w:tc>
        <w:tc>
          <w:tcPr>
            <w:tcW w:w="1200" w:type="dxa"/>
            <w:vMerge w:val="continue"/>
            <w:tcBorders>
              <w:left w:val="single" w:color="auto" w:sz="4" w:space="0"/>
              <w:bottom w:val="single" w:color="auto" w:sz="4" w:space="0"/>
              <w:right w:val="single" w:color="auto" w:sz="4" w:space="0"/>
            </w:tcBorders>
            <w:noWrap w:val="0"/>
            <w:vAlign w:val="center"/>
          </w:tcPr>
          <w:p w14:paraId="42846C4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color w:val="auto"/>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55104EDA">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3.2评委根据供应商拟派本项目人员配备进行综合评议并打分：人员配置满足项目需求、人员经过规范的上岗前培训并考试合格的得4分，人员配置满足项目需求的、上岗培训不足的得2.5分，人员配置难以满足项目需求或未经上岗前培训的得1分；未提供不得分</w:t>
            </w:r>
          </w:p>
        </w:tc>
      </w:tr>
      <w:tr w14:paraId="5FC19B65">
        <w:tblPrEx>
          <w:tblCellMar>
            <w:top w:w="0" w:type="dxa"/>
            <w:left w:w="108" w:type="dxa"/>
            <w:bottom w:w="0" w:type="dxa"/>
            <w:right w:w="108" w:type="dxa"/>
          </w:tblCellMar>
        </w:tblPrEx>
        <w:trPr>
          <w:trHeight w:val="1312" w:hRule="atLeast"/>
        </w:trPr>
        <w:tc>
          <w:tcPr>
            <w:tcW w:w="748" w:type="dxa"/>
            <w:vMerge w:val="continue"/>
            <w:tcBorders>
              <w:left w:val="single" w:color="auto" w:sz="4" w:space="0"/>
              <w:right w:val="single" w:color="auto" w:sz="4" w:space="0"/>
            </w:tcBorders>
            <w:noWrap w:val="0"/>
            <w:vAlign w:val="center"/>
          </w:tcPr>
          <w:p w14:paraId="1DE5748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vMerge w:val="restart"/>
            <w:tcBorders>
              <w:top w:val="single" w:color="auto" w:sz="4" w:space="0"/>
              <w:left w:val="single" w:color="auto" w:sz="4" w:space="0"/>
              <w:right w:val="single" w:color="auto" w:sz="4" w:space="0"/>
            </w:tcBorders>
            <w:noWrap w:val="0"/>
            <w:vAlign w:val="center"/>
          </w:tcPr>
          <w:p w14:paraId="64040485">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4.售后服务方案</w:t>
            </w:r>
          </w:p>
          <w:p w14:paraId="4E37106B">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（6分）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0D4A4C3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4.1售后服务的响应时间，到达现场时间（3分）：响应时间与到达时间迅速、能在30分钟内响应并在2小时内到达项目现场的得3分；在1小时内响应并在4小时内到达现场的得1分；响应时间超过1小时或到达时间超过4小时的不得分。</w:t>
            </w:r>
          </w:p>
          <w:p w14:paraId="1BCB09C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注：响应文件内提供确保按时到达的承诺及措施等资料，包含但不仅限于投标人的办公场所证明、行进路线（电子地图）及用时等，由评委根据投标人提供的资料评定，未提供证明资料不得分。</w:t>
            </w:r>
          </w:p>
        </w:tc>
      </w:tr>
      <w:tr w14:paraId="3565DD4A">
        <w:tblPrEx>
          <w:tblCellMar>
            <w:top w:w="0" w:type="dxa"/>
            <w:left w:w="108" w:type="dxa"/>
            <w:bottom w:w="0" w:type="dxa"/>
            <w:right w:w="108" w:type="dxa"/>
          </w:tblCellMar>
        </w:tblPrEx>
        <w:trPr>
          <w:trHeight w:val="1312" w:hRule="atLeast"/>
        </w:trPr>
        <w:tc>
          <w:tcPr>
            <w:tcW w:w="748" w:type="dxa"/>
            <w:vMerge w:val="continue"/>
            <w:tcBorders>
              <w:left w:val="single" w:color="auto" w:sz="4" w:space="0"/>
              <w:right w:val="single" w:color="auto" w:sz="4" w:space="0"/>
            </w:tcBorders>
            <w:noWrap w:val="0"/>
            <w:vAlign w:val="center"/>
          </w:tcPr>
          <w:p w14:paraId="6FA4DE55">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color w:val="auto"/>
              </w:rPr>
            </w:pPr>
          </w:p>
        </w:tc>
        <w:tc>
          <w:tcPr>
            <w:tcW w:w="1200" w:type="dxa"/>
            <w:vMerge w:val="continue"/>
            <w:tcBorders>
              <w:left w:val="single" w:color="auto" w:sz="4" w:space="0"/>
              <w:bottom w:val="single" w:color="auto" w:sz="4" w:space="0"/>
              <w:right w:val="single" w:color="auto" w:sz="4" w:space="0"/>
            </w:tcBorders>
            <w:noWrap w:val="0"/>
            <w:vAlign w:val="center"/>
          </w:tcPr>
          <w:p w14:paraId="3F101BC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color w:val="auto"/>
              </w:rPr>
            </w:pPr>
          </w:p>
        </w:tc>
        <w:tc>
          <w:tcPr>
            <w:tcW w:w="6930" w:type="dxa"/>
            <w:tcBorders>
              <w:top w:val="single" w:color="auto" w:sz="4" w:space="0"/>
              <w:left w:val="single" w:color="auto" w:sz="4" w:space="0"/>
              <w:bottom w:val="single" w:color="auto" w:sz="4" w:space="0"/>
              <w:right w:val="single" w:color="auto" w:sz="4" w:space="0"/>
            </w:tcBorders>
            <w:noWrap w:val="0"/>
            <w:vAlign w:val="center"/>
          </w:tcPr>
          <w:p w14:paraId="05FFE323">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4.2售后服务内容承诺（3分）：服务保障体系完备、服务内容具体、详细、服务质量有保障的得3分，有服务保障体系但部分内容有欠缺、但尚不影响履约得1分；没有服务保障体系或内容存在明显缺漏项、不符合规范的不得分。</w:t>
            </w:r>
          </w:p>
        </w:tc>
      </w:tr>
      <w:tr w14:paraId="2C10D55A">
        <w:tblPrEx>
          <w:tblCellMar>
            <w:top w:w="0" w:type="dxa"/>
            <w:left w:w="108" w:type="dxa"/>
            <w:bottom w:w="0" w:type="dxa"/>
            <w:right w:w="108" w:type="dxa"/>
          </w:tblCellMar>
        </w:tblPrEx>
        <w:tc>
          <w:tcPr>
            <w:tcW w:w="748" w:type="dxa"/>
            <w:vMerge w:val="continue"/>
            <w:tcBorders>
              <w:left w:val="single" w:color="auto" w:sz="4" w:space="0"/>
              <w:right w:val="single" w:color="auto" w:sz="4" w:space="0"/>
            </w:tcBorders>
            <w:noWrap w:val="0"/>
            <w:vAlign w:val="center"/>
          </w:tcPr>
          <w:p w14:paraId="78CBF56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1F487CB">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5.突发事件 应急预案</w:t>
            </w:r>
          </w:p>
          <w:p w14:paraId="370D90A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（5 ）</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639E646E">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对本项目实施期间的突发事件应急预案进行评议并打分：</w:t>
            </w:r>
          </w:p>
          <w:p w14:paraId="66F9733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应急预案条款内容完整、具体、完全满足本项目需求的，得5分；内容完整、但具体预案措施与项目实际情况略有偏差、尚不影响履约的，得3分；内容不完整或措施没有实际效果、无法满足本项目需求的，得1分；未提供不得分。</w:t>
            </w:r>
          </w:p>
        </w:tc>
      </w:tr>
      <w:tr w14:paraId="1508A87D">
        <w:tblPrEx>
          <w:tblCellMar>
            <w:top w:w="0" w:type="dxa"/>
            <w:left w:w="108" w:type="dxa"/>
            <w:bottom w:w="0" w:type="dxa"/>
            <w:right w:w="108" w:type="dxa"/>
          </w:tblCellMar>
        </w:tblPrEx>
        <w:trPr>
          <w:trHeight w:val="1100" w:hRule="atLeast"/>
        </w:trPr>
        <w:tc>
          <w:tcPr>
            <w:tcW w:w="748" w:type="dxa"/>
            <w:vMerge w:val="continue"/>
            <w:tcBorders>
              <w:left w:val="single" w:color="auto" w:sz="4" w:space="0"/>
              <w:right w:val="single" w:color="auto" w:sz="4" w:space="0"/>
            </w:tcBorders>
            <w:noWrap w:val="0"/>
            <w:vAlign w:val="center"/>
          </w:tcPr>
          <w:p w14:paraId="4186FAEC">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BD84D2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6.</w:t>
            </w:r>
            <w:r>
              <w:rPr>
                <w:rFonts w:hint="eastAsia" w:ascii="仿宋" w:hAnsi="仿宋" w:eastAsia="仿宋" w:cs="仿宋"/>
                <w:color w:val="auto"/>
                <w:sz w:val="21"/>
                <w:szCs w:val="21"/>
                <w:highlight w:val="none"/>
                <w:shd w:val="clear" w:color="auto" w:fill="FFFFFF"/>
              </w:rPr>
              <w:t>合理化建议（</w:t>
            </w:r>
            <w:r>
              <w:rPr>
                <w:rFonts w:hint="eastAsia" w:ascii="仿宋" w:hAnsi="仿宋" w:eastAsia="仿宋" w:cs="仿宋"/>
                <w:color w:val="auto"/>
                <w:sz w:val="21"/>
                <w:szCs w:val="21"/>
                <w:highlight w:val="none"/>
                <w:shd w:val="clear" w:color="auto" w:fill="FFFFFF"/>
                <w:lang w:val="en-US" w:eastAsia="zh-CN"/>
              </w:rPr>
              <w:t>3</w:t>
            </w:r>
            <w:r>
              <w:rPr>
                <w:rFonts w:hint="eastAsia" w:ascii="仿宋" w:hAnsi="仿宋" w:eastAsia="仿宋" w:cs="仿宋"/>
                <w:color w:val="auto"/>
                <w:sz w:val="21"/>
                <w:szCs w:val="21"/>
                <w:highlight w:val="none"/>
                <w:shd w:val="clear" w:color="auto" w:fill="FFFFFF"/>
              </w:rPr>
              <w:t>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41D17907">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根据供应商提出的针对本项目的合理化建议与承诺进行评议并打分：</w:t>
            </w:r>
          </w:p>
          <w:p w14:paraId="09A1DA1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提出的建议与承诺具有实际意义并得到采纳，每项得1分，最高得3分。与本项目履约无关的建议与承诺不予认可。</w:t>
            </w:r>
          </w:p>
        </w:tc>
      </w:tr>
      <w:tr w14:paraId="154C4EDB">
        <w:tblPrEx>
          <w:tblCellMar>
            <w:top w:w="0" w:type="dxa"/>
            <w:left w:w="108" w:type="dxa"/>
            <w:bottom w:w="0" w:type="dxa"/>
            <w:right w:w="108" w:type="dxa"/>
          </w:tblCellMar>
        </w:tblPrEx>
        <w:trPr>
          <w:trHeight w:val="378" w:hRule="atLeast"/>
        </w:trPr>
        <w:tc>
          <w:tcPr>
            <w:tcW w:w="748" w:type="dxa"/>
            <w:vMerge w:val="continue"/>
            <w:tcBorders>
              <w:left w:val="single" w:color="auto" w:sz="4" w:space="0"/>
              <w:right w:val="single" w:color="auto" w:sz="4" w:space="0"/>
            </w:tcBorders>
            <w:noWrap w:val="0"/>
            <w:vAlign w:val="center"/>
          </w:tcPr>
          <w:p w14:paraId="0FA6D909">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52339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7.业绩</w:t>
            </w:r>
          </w:p>
          <w:p w14:paraId="0724BF9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auto"/>
                <w:sz w:val="21"/>
                <w:szCs w:val="21"/>
                <w:highlight w:val="none"/>
                <w:shd w:val="clear" w:color="auto" w:fill="FFFFFF"/>
                <w:lang w:val="en-US" w:eastAsia="zh-CN"/>
              </w:rPr>
              <w:t>3</w:t>
            </w:r>
            <w:r>
              <w:rPr>
                <w:rFonts w:hint="eastAsia" w:ascii="仿宋" w:hAnsi="仿宋" w:eastAsia="仿宋" w:cs="仿宋"/>
                <w:color w:val="auto"/>
                <w:sz w:val="21"/>
                <w:szCs w:val="21"/>
                <w:highlight w:val="none"/>
                <w:shd w:val="clear" w:color="auto" w:fill="FFFFFF"/>
              </w:rPr>
              <w:t>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3CF0F6D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投标人自2021年1月1日以来具有同类项目业绩的，每提供一份同类项目业绩合同的，得1.5分，最多得3分。</w:t>
            </w:r>
          </w:p>
          <w:p w14:paraId="765C8B10">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注：响应文件中需提供合同（协议）复印件，以合同签订时间为准，未提供的或签订时间不符合要求的，不得分。</w:t>
            </w:r>
          </w:p>
        </w:tc>
      </w:tr>
      <w:tr w14:paraId="28DB9575">
        <w:tblPrEx>
          <w:tblCellMar>
            <w:top w:w="0" w:type="dxa"/>
            <w:left w:w="108" w:type="dxa"/>
            <w:bottom w:w="0" w:type="dxa"/>
            <w:right w:w="108" w:type="dxa"/>
          </w:tblCellMar>
        </w:tblPrEx>
        <w:trPr>
          <w:trHeight w:val="408" w:hRule="atLeast"/>
        </w:trPr>
        <w:tc>
          <w:tcPr>
            <w:tcW w:w="748" w:type="dxa"/>
            <w:vMerge w:val="continue"/>
            <w:tcBorders>
              <w:left w:val="single" w:color="auto" w:sz="4" w:space="0"/>
              <w:bottom w:val="single" w:color="auto" w:sz="4" w:space="0"/>
              <w:right w:val="single" w:color="auto" w:sz="4" w:space="0"/>
            </w:tcBorders>
            <w:noWrap w:val="0"/>
            <w:vAlign w:val="center"/>
          </w:tcPr>
          <w:p w14:paraId="218B1213">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C6A84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8.政策分</w:t>
            </w:r>
          </w:p>
          <w:p w14:paraId="025ADAA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auto"/>
                <w:sz w:val="21"/>
                <w:szCs w:val="21"/>
                <w:highlight w:val="none"/>
                <w:shd w:val="clear" w:color="auto" w:fill="FFFFFF"/>
                <w:lang w:val="en-US" w:eastAsia="zh-CN"/>
              </w:rPr>
              <w:t>1</w:t>
            </w:r>
            <w:r>
              <w:rPr>
                <w:rFonts w:hint="eastAsia" w:ascii="仿宋" w:hAnsi="仿宋" w:eastAsia="仿宋" w:cs="仿宋"/>
                <w:color w:val="auto"/>
                <w:sz w:val="21"/>
                <w:szCs w:val="21"/>
                <w:highlight w:val="none"/>
                <w:shd w:val="clear" w:color="auto" w:fill="FFFFFF"/>
              </w:rPr>
              <w:t>分）</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561E2F82">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供应商是国家认定的少数民族地区企业的加1分。</w:t>
            </w:r>
          </w:p>
          <w:p w14:paraId="265EA55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shd w:val="clear" w:color="auto" w:fill="FFFFFF"/>
                <w:lang w:val="en-US" w:eastAsia="zh-CN"/>
              </w:rPr>
              <w:t>提供证明文件复印件并加盖公章。</w:t>
            </w:r>
          </w:p>
        </w:tc>
      </w:tr>
      <w:tr w14:paraId="1BDE0B45">
        <w:tblPrEx>
          <w:tblCellMar>
            <w:top w:w="0" w:type="dxa"/>
            <w:left w:w="108" w:type="dxa"/>
            <w:bottom w:w="0" w:type="dxa"/>
            <w:right w:w="108" w:type="dxa"/>
          </w:tblCellMar>
        </w:tblPrEx>
        <w:trPr>
          <w:trHeight w:val="378"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D23007F">
            <w:pPr>
              <w:snapToGrid w:val="0"/>
              <w:spacing w:line="360" w:lineRule="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rPr>
              <w:t>价格部分</w:t>
            </w:r>
            <w:r>
              <w:rPr>
                <w:rFonts w:hint="eastAsia" w:ascii="仿宋" w:hAnsi="仿宋" w:eastAsia="仿宋" w:cs="仿宋"/>
                <w:color w:val="auto"/>
                <w:sz w:val="21"/>
                <w:szCs w:val="21"/>
                <w:highlight w:val="none"/>
                <w:shd w:val="clear" w:color="auto" w:fill="FFFFFF"/>
                <w:lang w:val="en-US" w:eastAsia="zh-CN"/>
              </w:rPr>
              <w:t>35</w:t>
            </w:r>
            <w:r>
              <w:rPr>
                <w:rFonts w:hint="eastAsia" w:ascii="仿宋" w:hAnsi="仿宋" w:eastAsia="仿宋" w:cs="仿宋"/>
                <w:color w:val="auto"/>
                <w:sz w:val="21"/>
                <w:szCs w:val="21"/>
                <w:highlight w:val="none"/>
                <w:shd w:val="clear" w:color="auto" w:fill="FFFFFF"/>
              </w:rPr>
              <w:t>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90B15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投标报价（35分）</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066E545D">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参与评审的价格=响应价格（最终报价）</w:t>
            </w:r>
          </w:p>
          <w:p w14:paraId="2DB2F070">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评审基准价=满足磋商文件要求且“参与评审的价格”中最低的价格</w:t>
            </w:r>
          </w:p>
          <w:p w14:paraId="7D4CED3B">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评审基准价得分为满分，其他响应报价得分计算公式如下：</w:t>
            </w:r>
          </w:p>
          <w:p w14:paraId="2713F293">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left"/>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响应报价得分=（评审基准价/参与评审的价格）×价格权值×100</w:t>
            </w:r>
          </w:p>
        </w:tc>
      </w:tr>
    </w:tbl>
    <w:p w14:paraId="587520F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kern w:val="0"/>
          <w:sz w:val="24"/>
          <w:highlight w:val="none"/>
          <w:lang w:val="en-US" w:eastAsia="zh-CN"/>
        </w:rPr>
        <w:t>、评委在上表设定的分值范围内打分(四舍五入保留一位小数)，平均分值计算四舍五入保留两位小数点。</w:t>
      </w:r>
    </w:p>
    <w:p w14:paraId="4B4BAE1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供应商编制响应文件（商务技术文件部分）时，建议按此目录（序号和内容）提供评标标准相应的商务技术资料。</w:t>
      </w:r>
    </w:p>
    <w:p w14:paraId="7A95E53D">
      <w:pPr>
        <w:numPr>
          <w:ilvl w:val="0"/>
          <w:numId w:val="0"/>
        </w:num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一、评</w:t>
      </w:r>
      <w:r>
        <w:rPr>
          <w:rFonts w:hint="eastAsia" w:ascii="仿宋" w:hAnsi="仿宋" w:eastAsia="仿宋" w:cs="仿宋"/>
          <w:b/>
          <w:color w:val="auto"/>
          <w:sz w:val="32"/>
          <w:highlight w:val="none"/>
          <w:lang w:eastAsia="zh-CN"/>
        </w:rPr>
        <w:t>审</w:t>
      </w:r>
      <w:r>
        <w:rPr>
          <w:rFonts w:hint="eastAsia" w:ascii="仿宋" w:hAnsi="仿宋" w:eastAsia="仿宋" w:cs="仿宋"/>
          <w:b/>
          <w:color w:val="auto"/>
          <w:sz w:val="32"/>
          <w:highlight w:val="none"/>
        </w:rPr>
        <w:t>方法</w:t>
      </w:r>
    </w:p>
    <w:p w14:paraId="49E1EF80">
      <w:pPr>
        <w:keepNext w:val="0"/>
        <w:keepLines w:val="0"/>
        <w:pageBreakBefore w:val="0"/>
        <w:widowControl w:val="0"/>
        <w:kinsoku/>
        <w:wordWrap/>
        <w:overflowPunct/>
        <w:topLinePunct w:val="0"/>
        <w:autoSpaceDE/>
        <w:autoSpaceDN/>
        <w:bidi w:val="0"/>
        <w:adjustRightInd/>
        <w:spacing w:line="400" w:lineRule="exact"/>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文件满足</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highlight w:val="none"/>
        </w:rPr>
        <w:t>文件全部实质性要求，且按照评审因素的量化指标评审得分最高的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eastAsia="zh-CN"/>
        </w:rPr>
        <w:t>成交候选供应商</w:t>
      </w:r>
      <w:r>
        <w:rPr>
          <w:rFonts w:hint="eastAsia" w:ascii="仿宋" w:hAnsi="仿宋" w:eastAsia="仿宋" w:cs="仿宋"/>
          <w:color w:val="auto"/>
          <w:kern w:val="0"/>
          <w:sz w:val="24"/>
          <w:highlight w:val="none"/>
        </w:rPr>
        <w:t>的评标方法。</w:t>
      </w:r>
    </w:p>
    <w:p w14:paraId="69597E3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w:t>
      </w:r>
      <w:r>
        <w:rPr>
          <w:rFonts w:hint="eastAsia" w:ascii="仿宋" w:hAnsi="仿宋" w:eastAsia="仿宋" w:cs="仿宋"/>
          <w:b/>
          <w:color w:val="auto"/>
          <w:sz w:val="32"/>
          <w:highlight w:val="none"/>
          <w:lang w:val="en-US" w:eastAsia="zh-CN"/>
        </w:rPr>
        <w:t>审</w:t>
      </w:r>
      <w:r>
        <w:rPr>
          <w:rFonts w:hint="eastAsia" w:ascii="仿宋" w:hAnsi="仿宋" w:eastAsia="仿宋" w:cs="仿宋"/>
          <w:b/>
          <w:color w:val="auto"/>
          <w:sz w:val="32"/>
          <w:highlight w:val="none"/>
        </w:rPr>
        <w:t>标准</w:t>
      </w:r>
    </w:p>
    <w:p w14:paraId="45DEB396">
      <w:pPr>
        <w:keepNext w:val="0"/>
        <w:keepLines w:val="0"/>
        <w:pageBreakBefore w:val="0"/>
        <w:widowControl w:val="0"/>
        <w:kinsoku/>
        <w:wordWrap/>
        <w:overflowPunct/>
        <w:topLinePunct w:val="0"/>
        <w:autoSpaceDE/>
        <w:autoSpaceDN/>
        <w:bidi w:val="0"/>
        <w:spacing w:line="400" w:lineRule="exact"/>
        <w:ind w:left="0" w:leftChars="0"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w:t>
      </w:r>
      <w:r>
        <w:rPr>
          <w:rFonts w:hint="eastAsia" w:ascii="仿宋" w:hAnsi="仿宋" w:eastAsia="仿宋" w:cs="仿宋"/>
          <w:b/>
          <w:color w:val="auto"/>
          <w:sz w:val="24"/>
          <w:highlight w:val="none"/>
          <w:lang w:val="en-US" w:eastAsia="zh-CN"/>
        </w:rPr>
        <w:t>审</w:t>
      </w:r>
      <w:r>
        <w:rPr>
          <w:rFonts w:hint="eastAsia" w:ascii="仿宋" w:hAnsi="仿宋" w:eastAsia="仿宋" w:cs="仿宋"/>
          <w:b/>
          <w:color w:val="auto"/>
          <w:sz w:val="24"/>
          <w:highlight w:val="none"/>
        </w:rPr>
        <w:t>标准：</w:t>
      </w:r>
      <w:r>
        <w:rPr>
          <w:rFonts w:hint="eastAsia" w:ascii="仿宋" w:hAnsi="仿宋" w:eastAsia="仿宋" w:cs="仿宋"/>
          <w:color w:val="auto"/>
          <w:kern w:val="0"/>
          <w:sz w:val="24"/>
          <w:highlight w:val="none"/>
        </w:rPr>
        <w:t>见评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办法前附表。</w:t>
      </w:r>
    </w:p>
    <w:p w14:paraId="315525A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w:t>
      </w:r>
      <w:r>
        <w:rPr>
          <w:rFonts w:hint="eastAsia" w:ascii="仿宋" w:hAnsi="仿宋" w:eastAsia="仿宋" w:cs="仿宋"/>
          <w:b/>
          <w:color w:val="auto"/>
          <w:sz w:val="32"/>
          <w:highlight w:val="none"/>
          <w:lang w:val="en-US" w:eastAsia="zh-CN"/>
        </w:rPr>
        <w:t>审</w:t>
      </w:r>
      <w:r>
        <w:rPr>
          <w:rFonts w:hint="eastAsia" w:ascii="仿宋" w:hAnsi="仿宋" w:eastAsia="仿宋" w:cs="仿宋"/>
          <w:b/>
          <w:color w:val="auto"/>
          <w:sz w:val="32"/>
          <w:highlight w:val="none"/>
        </w:rPr>
        <w:t>程序</w:t>
      </w:r>
    </w:p>
    <w:p w14:paraId="657BE010">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rPr>
        <w:t>符合性审查。</w:t>
      </w:r>
      <w:r>
        <w:rPr>
          <w:rFonts w:hint="eastAsia" w:ascii="仿宋" w:hAnsi="仿宋" w:eastAsia="仿宋" w:cs="仿宋"/>
          <w:color w:val="auto"/>
          <w:kern w:val="0"/>
          <w:sz w:val="24"/>
          <w:highlight w:val="none"/>
          <w:lang w:eastAsia="zh-CN"/>
        </w:rPr>
        <w:t>磋商小组</w:t>
      </w:r>
      <w:r>
        <w:rPr>
          <w:rFonts w:hint="eastAsia" w:ascii="仿宋" w:hAnsi="仿宋" w:eastAsia="仿宋" w:cs="仿宋"/>
          <w:color w:val="auto"/>
          <w:kern w:val="0"/>
          <w:sz w:val="24"/>
          <w:highlight w:val="none"/>
        </w:rPr>
        <w:t>应当对符合资格的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文件进行符合性审查，以确定其是否满足</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highlight w:val="none"/>
        </w:rPr>
        <w:t>文件的实质性要求。不满足</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highlight w:val="none"/>
        </w:rPr>
        <w:t>文件的实质性要求的，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17202E56">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3.2磋商</w:t>
      </w:r>
    </w:p>
    <w:p w14:paraId="329E0489">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3.2.1磋商小组所有成员应集中与单一供应商分别进行磋商，并给予所有有效供应商平等的磋商机会。在磋商过程中，如有需要，可以对采购文件的“</w:t>
      </w:r>
      <w:r>
        <w:rPr>
          <w:rFonts w:hint="eastAsia" w:ascii="仿宋" w:hAnsi="仿宋" w:eastAsia="仿宋" w:cs="仿宋"/>
          <w:b/>
          <w:bCs/>
          <w:color w:val="auto"/>
          <w:kern w:val="0"/>
          <w:sz w:val="24"/>
          <w:highlight w:val="none"/>
        </w:rPr>
        <w:t>项目需求的技术、服务条款”以及“合同条款”进行实质性变动</w:t>
      </w:r>
      <w:r>
        <w:rPr>
          <w:rFonts w:hint="eastAsia" w:ascii="仿宋" w:hAnsi="仿宋" w:eastAsia="仿宋" w:cs="仿宋"/>
          <w:color w:val="auto"/>
          <w:kern w:val="0"/>
          <w:sz w:val="24"/>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7495273E">
      <w:pPr>
        <w:keepNext w:val="0"/>
        <w:keepLines w:val="0"/>
        <w:pageBreakBefore w:val="0"/>
        <w:widowControl w:val="0"/>
        <w:kinsoku/>
        <w:wordWrap/>
        <w:overflowPunct/>
        <w:topLinePunct w:val="0"/>
        <w:autoSpaceDE/>
        <w:autoSpaceDN/>
        <w:bidi w:val="0"/>
        <w:spacing w:line="400" w:lineRule="exact"/>
        <w:ind w:left="0" w:leftChars="0" w:firstLine="482" w:firstLineChars="201"/>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lang w:val="en-US" w:eastAsia="zh-CN"/>
        </w:rPr>
        <w:t>3.2.2</w:t>
      </w:r>
      <w:r>
        <w:rPr>
          <w:rFonts w:hint="eastAsia" w:ascii="仿宋" w:hAnsi="仿宋" w:eastAsia="仿宋" w:cs="仿宋"/>
          <w:b/>
          <w:bCs/>
          <w:color w:val="auto"/>
          <w:kern w:val="0"/>
          <w:sz w:val="24"/>
          <w:highlight w:val="none"/>
        </w:rPr>
        <w:t>各有效供应商在规定时间内在线提交第二次报价（即最终报价），磋商小组以第二次报价（即最终报价）作为价格评议的标准。在磋商内容不变的情况下，第二次报价不能高于</w:t>
      </w:r>
      <w:r>
        <w:rPr>
          <w:rFonts w:hint="eastAsia" w:ascii="仿宋" w:hAnsi="仿宋" w:eastAsia="仿宋" w:cs="仿宋"/>
          <w:b/>
          <w:bCs/>
          <w:color w:val="auto"/>
          <w:kern w:val="0"/>
          <w:sz w:val="24"/>
          <w:highlight w:val="none"/>
          <w:lang w:val="en-US" w:eastAsia="zh-CN"/>
        </w:rPr>
        <w:t>初次</w:t>
      </w:r>
      <w:r>
        <w:rPr>
          <w:rFonts w:hint="eastAsia" w:ascii="仿宋" w:hAnsi="仿宋" w:eastAsia="仿宋" w:cs="仿宋"/>
          <w:b/>
          <w:bCs/>
          <w:color w:val="auto"/>
          <w:kern w:val="0"/>
          <w:sz w:val="24"/>
          <w:highlight w:val="none"/>
        </w:rPr>
        <w:t>报价</w:t>
      </w:r>
      <w:r>
        <w:rPr>
          <w:rFonts w:hint="eastAsia" w:ascii="仿宋" w:hAnsi="仿宋" w:eastAsia="仿宋" w:cs="仿宋"/>
          <w:b/>
          <w:bCs/>
          <w:color w:val="auto"/>
          <w:kern w:val="0"/>
          <w:sz w:val="24"/>
          <w:highlight w:val="none"/>
          <w:lang w:eastAsia="zh-CN"/>
        </w:rPr>
        <w:t>，</w:t>
      </w:r>
      <w:r>
        <w:rPr>
          <w:rFonts w:hint="eastAsia" w:ascii="仿宋" w:hAnsi="仿宋" w:eastAsia="仿宋" w:cs="仿宋"/>
          <w:color w:val="auto"/>
          <w:kern w:val="0"/>
          <w:sz w:val="24"/>
          <w:highlight w:val="none"/>
        </w:rPr>
        <w:t>已提交响应文件的供应商，在提交最终报价之前，可以根据磋商情况退出磋商。</w:t>
      </w:r>
    </w:p>
    <w:p w14:paraId="4BFE7B19">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3.2.3经磋商确定最终采购需求和提交最后报价的供应商后，由磋商小组采用综合评分法对提交最后报价的供应商的响应文件和最后报价进行综合评分。</w:t>
      </w:r>
    </w:p>
    <w:p w14:paraId="482F4F70">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en-US" w:eastAsia="zh-CN"/>
        </w:rPr>
        <w:t>3</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eastAsia="zh-CN"/>
        </w:rPr>
        <w:t>商务技术</w:t>
      </w:r>
      <w:r>
        <w:rPr>
          <w:rFonts w:hint="eastAsia" w:ascii="仿宋" w:hAnsi="仿宋" w:eastAsia="仿宋" w:cs="仿宋"/>
          <w:b/>
          <w:color w:val="auto"/>
          <w:kern w:val="0"/>
          <w:sz w:val="24"/>
          <w:highlight w:val="none"/>
        </w:rPr>
        <w:t>评</w:t>
      </w:r>
      <w:r>
        <w:rPr>
          <w:rFonts w:hint="eastAsia" w:ascii="仿宋" w:hAnsi="仿宋" w:eastAsia="仿宋" w:cs="仿宋"/>
          <w:b/>
          <w:color w:val="auto"/>
          <w:kern w:val="0"/>
          <w:sz w:val="24"/>
          <w:highlight w:val="none"/>
          <w:lang w:eastAsia="zh-CN"/>
        </w:rPr>
        <w:t>审</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lang w:eastAsia="zh-CN"/>
        </w:rPr>
        <w:t>磋商小组</w:t>
      </w:r>
      <w:r>
        <w:rPr>
          <w:rFonts w:hint="eastAsia" w:ascii="仿宋" w:hAnsi="仿宋" w:eastAsia="仿宋" w:cs="仿宋"/>
          <w:color w:val="auto"/>
          <w:kern w:val="0"/>
          <w:sz w:val="24"/>
          <w:highlight w:val="none"/>
        </w:rPr>
        <w:t>应当按照</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highlight w:val="none"/>
        </w:rPr>
        <w:t>文件中规定的评标方法和标准，对符合性审查合格的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文件进行商务和技术评估。</w:t>
      </w:r>
    </w:p>
    <w:p w14:paraId="5442AC3A">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en-US" w:eastAsia="zh-CN"/>
        </w:rPr>
        <w:t xml:space="preserve">4 </w:t>
      </w:r>
      <w:r>
        <w:rPr>
          <w:rFonts w:hint="eastAsia" w:ascii="仿宋" w:hAnsi="仿宋" w:eastAsia="仿宋" w:cs="仿宋"/>
          <w:b/>
          <w:color w:val="auto"/>
          <w:kern w:val="0"/>
          <w:sz w:val="24"/>
          <w:highlight w:val="none"/>
        </w:rPr>
        <w:t>汇总商务技术得分。</w:t>
      </w:r>
      <w:r>
        <w:rPr>
          <w:rFonts w:hint="eastAsia" w:ascii="仿宋" w:hAnsi="仿宋" w:eastAsia="仿宋" w:cs="仿宋"/>
          <w:color w:val="auto"/>
          <w:kern w:val="0"/>
          <w:sz w:val="24"/>
          <w:highlight w:val="none"/>
          <w:lang w:eastAsia="zh-CN"/>
        </w:rPr>
        <w:t>磋商小组</w:t>
      </w:r>
      <w:r>
        <w:rPr>
          <w:rFonts w:hint="eastAsia" w:ascii="仿宋" w:hAnsi="仿宋" w:eastAsia="仿宋" w:cs="仿宋"/>
          <w:color w:val="auto"/>
          <w:kern w:val="0"/>
          <w:sz w:val="24"/>
          <w:highlight w:val="none"/>
        </w:rPr>
        <w:t>各成员应当独立对每个</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的商务和技术文件进行评价，并汇总商务技术得分情况。</w:t>
      </w:r>
    </w:p>
    <w:p w14:paraId="2A012545">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en-US" w:eastAsia="zh-CN"/>
        </w:rPr>
        <w:t xml:space="preserve">5 </w:t>
      </w:r>
      <w:r>
        <w:rPr>
          <w:rFonts w:hint="eastAsia" w:ascii="仿宋" w:hAnsi="仿宋" w:eastAsia="仿宋" w:cs="仿宋"/>
          <w:b/>
          <w:color w:val="auto"/>
          <w:kern w:val="0"/>
          <w:sz w:val="24"/>
          <w:highlight w:val="none"/>
        </w:rPr>
        <w:t>报价评审。</w:t>
      </w:r>
    </w:p>
    <w:p w14:paraId="1B118C3A">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磋商小组对供应商提交的报价进行评审。</w:t>
      </w:r>
    </w:p>
    <w:p w14:paraId="7DF024CF">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en-US" w:eastAsia="zh-CN"/>
        </w:rPr>
        <w:t>5</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eastAsia="zh-CN"/>
        </w:rPr>
        <w:t>响应</w:t>
      </w:r>
      <w:r>
        <w:rPr>
          <w:rFonts w:hint="eastAsia" w:ascii="仿宋" w:hAnsi="仿宋" w:eastAsia="仿宋" w:cs="仿宋"/>
          <w:color w:val="auto"/>
          <w:kern w:val="0"/>
          <w:highlight w:val="none"/>
        </w:rPr>
        <w:t>文件报价出现前后不一致的，按照下列规定修正：</w:t>
      </w:r>
    </w:p>
    <w:p w14:paraId="65EAD90A">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en-US" w:eastAsia="zh-CN"/>
        </w:rPr>
        <w:t>5</w:t>
      </w:r>
      <w:r>
        <w:rPr>
          <w:rFonts w:hint="eastAsia" w:ascii="仿宋" w:hAnsi="仿宋" w:eastAsia="仿宋" w:cs="仿宋"/>
          <w:color w:val="auto"/>
          <w:kern w:val="0"/>
          <w:highlight w:val="none"/>
        </w:rPr>
        <w:t>.1.1</w:t>
      </w:r>
      <w:r>
        <w:rPr>
          <w:rFonts w:hint="eastAsia" w:ascii="仿宋" w:hAnsi="仿宋" w:eastAsia="仿宋" w:cs="仿宋"/>
          <w:color w:val="auto"/>
          <w:kern w:val="0"/>
          <w:highlight w:val="none"/>
          <w:lang w:val="en-US" w:eastAsia="zh-CN"/>
        </w:rPr>
        <w:t>电子交易平台生成的开标记录表</w:t>
      </w:r>
      <w:r>
        <w:rPr>
          <w:rFonts w:hint="eastAsia" w:ascii="仿宋" w:hAnsi="仿宋" w:eastAsia="仿宋" w:cs="仿宋"/>
          <w:color w:val="auto"/>
          <w:kern w:val="0"/>
          <w:highlight w:val="none"/>
        </w:rPr>
        <w:t>(报价表)内容</w:t>
      </w:r>
      <w:r>
        <w:rPr>
          <w:rFonts w:hint="eastAsia" w:ascii="仿宋" w:hAnsi="仿宋" w:eastAsia="仿宋" w:cs="仿宋"/>
          <w:color w:val="auto"/>
          <w:kern w:val="0"/>
          <w:highlight w:val="none"/>
          <w:lang w:val="en-US" w:eastAsia="zh-CN"/>
        </w:rPr>
        <w:t>与响应文件中</w:t>
      </w:r>
      <w:r>
        <w:rPr>
          <w:rFonts w:hint="eastAsia" w:ascii="仿宋" w:hAnsi="仿宋" w:eastAsia="仿宋" w:cs="仿宋"/>
          <w:color w:val="auto"/>
          <w:kern w:val="0"/>
          <w:highlight w:val="none"/>
          <w:lang w:eastAsia="zh-CN"/>
        </w:rPr>
        <w:t>报价一览表</w:t>
      </w:r>
      <w:r>
        <w:rPr>
          <w:rFonts w:hint="eastAsia" w:ascii="仿宋" w:hAnsi="仿宋" w:eastAsia="仿宋" w:cs="仿宋"/>
          <w:color w:val="auto"/>
          <w:kern w:val="0"/>
          <w:highlight w:val="none"/>
        </w:rPr>
        <w:t>(报价表)</w:t>
      </w:r>
      <w:r>
        <w:rPr>
          <w:rFonts w:hint="eastAsia" w:ascii="仿宋" w:hAnsi="仿宋" w:eastAsia="仿宋" w:cs="仿宋"/>
          <w:color w:val="auto"/>
          <w:kern w:val="0"/>
          <w:highlight w:val="none"/>
          <w:lang w:val="en-US" w:eastAsia="zh-CN"/>
        </w:rPr>
        <w:t>不一致的，以响应文件中</w:t>
      </w:r>
      <w:r>
        <w:rPr>
          <w:rFonts w:hint="eastAsia" w:ascii="仿宋" w:hAnsi="仿宋" w:eastAsia="仿宋" w:cs="仿宋"/>
          <w:color w:val="auto"/>
          <w:kern w:val="0"/>
          <w:highlight w:val="none"/>
          <w:lang w:eastAsia="zh-CN"/>
        </w:rPr>
        <w:t>报价一览表</w:t>
      </w:r>
      <w:r>
        <w:rPr>
          <w:rFonts w:hint="eastAsia" w:ascii="仿宋" w:hAnsi="仿宋" w:eastAsia="仿宋" w:cs="仿宋"/>
          <w:color w:val="auto"/>
          <w:kern w:val="0"/>
          <w:highlight w:val="none"/>
        </w:rPr>
        <w:t>(报价表)</w:t>
      </w:r>
      <w:r>
        <w:rPr>
          <w:rFonts w:hint="eastAsia" w:ascii="仿宋" w:hAnsi="仿宋" w:eastAsia="仿宋" w:cs="仿宋"/>
          <w:color w:val="auto"/>
          <w:kern w:val="0"/>
          <w:highlight w:val="none"/>
          <w:lang w:val="en-US" w:eastAsia="zh-CN"/>
        </w:rPr>
        <w:t>为准</w:t>
      </w:r>
      <w:r>
        <w:rPr>
          <w:rFonts w:hint="eastAsia" w:ascii="仿宋" w:hAnsi="仿宋" w:eastAsia="仿宋" w:cs="仿宋"/>
          <w:color w:val="auto"/>
          <w:kern w:val="0"/>
          <w:highlight w:val="none"/>
          <w:lang w:eastAsia="zh-CN"/>
        </w:rPr>
        <w:t>；</w:t>
      </w:r>
    </w:p>
    <w:p w14:paraId="2FA03CA2">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.1.2</w:t>
      </w:r>
      <w:r>
        <w:rPr>
          <w:rFonts w:hint="eastAsia" w:ascii="仿宋" w:hAnsi="仿宋" w:eastAsia="仿宋" w:cs="仿宋"/>
          <w:color w:val="auto"/>
          <w:kern w:val="0"/>
          <w:highlight w:val="none"/>
          <w:lang w:eastAsia="zh-CN"/>
        </w:rPr>
        <w:t>响应</w:t>
      </w:r>
      <w:r>
        <w:rPr>
          <w:rFonts w:hint="eastAsia" w:ascii="仿宋" w:hAnsi="仿宋" w:eastAsia="仿宋" w:cs="仿宋"/>
          <w:color w:val="auto"/>
          <w:kern w:val="0"/>
          <w:highlight w:val="none"/>
        </w:rPr>
        <w:t>文件中</w:t>
      </w:r>
      <w:r>
        <w:rPr>
          <w:rFonts w:hint="eastAsia" w:ascii="仿宋" w:hAnsi="仿宋" w:eastAsia="仿宋" w:cs="仿宋"/>
          <w:color w:val="auto"/>
          <w:kern w:val="0"/>
          <w:highlight w:val="none"/>
          <w:lang w:eastAsia="zh-CN"/>
        </w:rPr>
        <w:t>报价一览表</w:t>
      </w:r>
      <w:r>
        <w:rPr>
          <w:rFonts w:hint="eastAsia" w:ascii="仿宋" w:hAnsi="仿宋" w:eastAsia="仿宋" w:cs="仿宋"/>
          <w:color w:val="auto"/>
          <w:kern w:val="0"/>
          <w:highlight w:val="none"/>
        </w:rPr>
        <w:t>(报价表)内容与</w:t>
      </w:r>
      <w:r>
        <w:rPr>
          <w:rFonts w:hint="eastAsia" w:ascii="仿宋" w:hAnsi="仿宋" w:eastAsia="仿宋" w:cs="仿宋"/>
          <w:color w:val="auto"/>
          <w:kern w:val="0"/>
          <w:highlight w:val="none"/>
          <w:lang w:eastAsia="zh-CN"/>
        </w:rPr>
        <w:t>响应</w:t>
      </w:r>
      <w:r>
        <w:rPr>
          <w:rFonts w:hint="eastAsia" w:ascii="仿宋" w:hAnsi="仿宋" w:eastAsia="仿宋" w:cs="仿宋"/>
          <w:color w:val="auto"/>
          <w:kern w:val="0"/>
          <w:highlight w:val="none"/>
        </w:rPr>
        <w:t>文件中相应内容不一致的，以</w:t>
      </w:r>
      <w:r>
        <w:rPr>
          <w:rFonts w:hint="eastAsia" w:ascii="仿宋" w:hAnsi="仿宋" w:eastAsia="仿宋" w:cs="仿宋"/>
          <w:color w:val="auto"/>
          <w:kern w:val="0"/>
          <w:highlight w:val="none"/>
          <w:lang w:eastAsia="zh-CN"/>
        </w:rPr>
        <w:t>报价一览表</w:t>
      </w:r>
      <w:r>
        <w:rPr>
          <w:rFonts w:hint="eastAsia" w:ascii="仿宋" w:hAnsi="仿宋" w:eastAsia="仿宋" w:cs="仿宋"/>
          <w:color w:val="auto"/>
          <w:kern w:val="0"/>
          <w:highlight w:val="none"/>
        </w:rPr>
        <w:t>(报价表)为准</w:t>
      </w:r>
      <w:r>
        <w:rPr>
          <w:rFonts w:hint="eastAsia" w:ascii="仿宋" w:hAnsi="仿宋" w:eastAsia="仿宋" w:cs="仿宋"/>
          <w:color w:val="auto"/>
          <w:kern w:val="0"/>
          <w:highlight w:val="none"/>
          <w:lang w:eastAsia="zh-CN"/>
        </w:rPr>
        <w:t>；</w:t>
      </w:r>
    </w:p>
    <w:p w14:paraId="49026CEF">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.1.3</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大写金额和小写金额不一致的，以大写金额为准;</w:t>
      </w:r>
    </w:p>
    <w:p w14:paraId="2119242C">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.1.4</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单价金额小数点或者百分比有明显错位的，以</w:t>
      </w:r>
      <w:r>
        <w:rPr>
          <w:rFonts w:hint="eastAsia" w:ascii="仿宋" w:hAnsi="仿宋" w:eastAsia="仿宋" w:cs="仿宋"/>
          <w:color w:val="auto"/>
          <w:kern w:val="0"/>
          <w:szCs w:val="24"/>
          <w:highlight w:val="none"/>
          <w:lang w:eastAsia="zh-CN"/>
        </w:rPr>
        <w:t>报价一览表</w:t>
      </w:r>
      <w:r>
        <w:rPr>
          <w:rFonts w:hint="eastAsia" w:ascii="仿宋" w:hAnsi="仿宋" w:eastAsia="仿宋" w:cs="仿宋"/>
          <w:color w:val="auto"/>
          <w:kern w:val="0"/>
          <w:szCs w:val="24"/>
          <w:highlight w:val="none"/>
        </w:rPr>
        <w:t>的总价为准，并修改单价;</w:t>
      </w:r>
    </w:p>
    <w:p w14:paraId="534D4491">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3.5.1.5</w:t>
      </w:r>
      <w:r>
        <w:rPr>
          <w:rFonts w:hint="eastAsia" w:ascii="仿宋" w:hAnsi="仿宋" w:eastAsia="仿宋" w:cs="仿宋"/>
          <w:color w:val="auto"/>
          <w:kern w:val="0"/>
          <w:szCs w:val="24"/>
          <w:highlight w:val="none"/>
        </w:rPr>
        <w:t>同时出现两种以上不一致的，按照3.</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.1规定的顺序修正。修正后的报价经</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确认后产生约束力。</w:t>
      </w:r>
    </w:p>
    <w:p w14:paraId="1DA7F93A">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文件出现不是唯一的、有选择性</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报价的，</w:t>
      </w:r>
      <w:r>
        <w:rPr>
          <w:rFonts w:hint="eastAsia" w:ascii="仿宋" w:hAnsi="仿宋" w:eastAsia="仿宋" w:cs="仿宋"/>
          <w:b/>
          <w:bCs/>
          <w:color w:val="auto"/>
          <w:kern w:val="0"/>
          <w:sz w:val="24"/>
          <w:highlight w:val="none"/>
          <w:lang w:eastAsia="zh-CN"/>
        </w:rPr>
        <w:t>响应</w:t>
      </w:r>
      <w:r>
        <w:rPr>
          <w:rFonts w:hint="eastAsia" w:ascii="仿宋" w:hAnsi="仿宋" w:eastAsia="仿宋" w:cs="仿宋"/>
          <w:b/>
          <w:bCs/>
          <w:color w:val="auto"/>
          <w:kern w:val="0"/>
          <w:sz w:val="24"/>
          <w:highlight w:val="none"/>
        </w:rPr>
        <w:t>无效</w:t>
      </w:r>
      <w:r>
        <w:rPr>
          <w:rFonts w:hint="eastAsia" w:ascii="仿宋" w:hAnsi="仿宋" w:eastAsia="仿宋" w:cs="仿宋"/>
          <w:color w:val="auto"/>
          <w:kern w:val="0"/>
          <w:sz w:val="24"/>
          <w:highlight w:val="none"/>
        </w:rPr>
        <w:t>。</w:t>
      </w:r>
    </w:p>
    <w:p w14:paraId="1581C01E">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报价超过</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highlight w:val="none"/>
        </w:rPr>
        <w:t>文件中规定的预算金额或者最高限价</w:t>
      </w:r>
      <w:r>
        <w:rPr>
          <w:rFonts w:hint="eastAsia" w:ascii="仿宋" w:hAnsi="仿宋" w:eastAsia="仿宋" w:cs="仿宋"/>
          <w:color w:val="auto"/>
          <w:kern w:val="0"/>
          <w:sz w:val="24"/>
          <w:highlight w:val="none"/>
          <w:lang w:val="en-US" w:eastAsia="zh-CN"/>
        </w:rPr>
        <w:t>或者最高综合折扣率</w:t>
      </w:r>
      <w:r>
        <w:rPr>
          <w:rFonts w:hint="eastAsia" w:ascii="仿宋" w:hAnsi="仿宋" w:eastAsia="仿宋" w:cs="仿宋"/>
          <w:color w:val="auto"/>
          <w:kern w:val="0"/>
          <w:sz w:val="24"/>
          <w:highlight w:val="none"/>
        </w:rPr>
        <w:t>的，</w:t>
      </w:r>
      <w:r>
        <w:rPr>
          <w:rFonts w:hint="eastAsia" w:ascii="仿宋" w:hAnsi="仿宋" w:eastAsia="仿宋" w:cs="仿宋"/>
          <w:b/>
          <w:bCs/>
          <w:color w:val="auto"/>
          <w:kern w:val="0"/>
          <w:sz w:val="24"/>
          <w:highlight w:val="none"/>
          <w:lang w:eastAsia="zh-CN"/>
        </w:rPr>
        <w:t>响应</w:t>
      </w:r>
      <w:r>
        <w:rPr>
          <w:rFonts w:hint="eastAsia" w:ascii="仿宋" w:hAnsi="仿宋" w:eastAsia="仿宋" w:cs="仿宋"/>
          <w:b/>
          <w:bCs/>
          <w:color w:val="auto"/>
          <w:kern w:val="0"/>
          <w:sz w:val="24"/>
          <w:highlight w:val="none"/>
        </w:rPr>
        <w:t>无效</w:t>
      </w:r>
      <w:r>
        <w:rPr>
          <w:rFonts w:hint="eastAsia" w:ascii="仿宋" w:hAnsi="仿宋" w:eastAsia="仿宋" w:cs="仿宋"/>
          <w:color w:val="auto"/>
          <w:kern w:val="0"/>
          <w:sz w:val="24"/>
          <w:highlight w:val="none"/>
        </w:rPr>
        <w:t>。</w:t>
      </w:r>
    </w:p>
    <w:p w14:paraId="5D8084EE">
      <w:pPr>
        <w:pStyle w:val="23"/>
        <w:keepNext w:val="0"/>
        <w:keepLines w:val="0"/>
        <w:pageBreakBefore w:val="0"/>
        <w:widowControl w:val="0"/>
        <w:kinsoku/>
        <w:wordWrap/>
        <w:overflowPunct/>
        <w:topLinePunct w:val="0"/>
        <w:autoSpaceDE/>
        <w:autoSpaceDN/>
        <w:bidi w:val="0"/>
        <w:spacing w:before="0" w:line="400" w:lineRule="exact"/>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.4</w:t>
      </w:r>
      <w:r>
        <w:rPr>
          <w:rFonts w:hint="eastAsia" w:ascii="仿宋" w:hAnsi="仿宋" w:eastAsia="仿宋" w:cs="仿宋"/>
          <w:color w:val="auto"/>
          <w:kern w:val="0"/>
          <w:szCs w:val="24"/>
          <w:highlight w:val="none"/>
          <w:lang w:eastAsia="zh-CN"/>
        </w:rPr>
        <w:t>磋商小组</w:t>
      </w:r>
      <w:r>
        <w:rPr>
          <w:rFonts w:hint="eastAsia" w:ascii="仿宋" w:hAnsi="仿宋" w:eastAsia="仿宋" w:cs="仿宋"/>
          <w:color w:val="auto"/>
          <w:kern w:val="0"/>
          <w:szCs w:val="24"/>
          <w:highlight w:val="none"/>
        </w:rPr>
        <w:t>认为</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的报价，有可能影响产品质量或者不能诚信履约的，应当要求其在</w:t>
      </w:r>
      <w:r>
        <w:rPr>
          <w:rFonts w:hint="eastAsia" w:ascii="仿宋" w:hAnsi="仿宋" w:eastAsia="仿宋" w:cs="仿宋"/>
          <w:color w:val="auto"/>
          <w:kern w:val="0"/>
          <w:szCs w:val="24"/>
          <w:highlight w:val="none"/>
          <w:lang w:val="en-US" w:eastAsia="zh-CN"/>
        </w:rPr>
        <w:t>30分钟</w:t>
      </w:r>
      <w:r>
        <w:rPr>
          <w:rFonts w:hint="eastAsia" w:ascii="仿宋" w:hAnsi="仿宋" w:eastAsia="仿宋" w:cs="仿宋"/>
          <w:color w:val="auto"/>
          <w:kern w:val="0"/>
          <w:szCs w:val="24"/>
          <w:highlight w:val="none"/>
        </w:rPr>
        <w:t>内提供书面说明，必要时提交相关证明材料;</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不能证明其报价合理性的，</w:t>
      </w:r>
      <w:r>
        <w:rPr>
          <w:rFonts w:hint="eastAsia" w:ascii="仿宋" w:hAnsi="仿宋" w:eastAsia="仿宋" w:cs="仿宋"/>
          <w:color w:val="auto"/>
          <w:kern w:val="0"/>
          <w:szCs w:val="24"/>
          <w:highlight w:val="none"/>
          <w:lang w:eastAsia="zh-CN"/>
        </w:rPr>
        <w:t>磋商小组</w:t>
      </w:r>
      <w:r>
        <w:rPr>
          <w:rFonts w:hint="eastAsia" w:ascii="仿宋" w:hAnsi="仿宋" w:eastAsia="仿宋" w:cs="仿宋"/>
          <w:color w:val="auto"/>
          <w:kern w:val="0"/>
          <w:szCs w:val="24"/>
          <w:highlight w:val="none"/>
        </w:rPr>
        <w:t>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37CBA31E">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en-US" w:eastAsia="zh-CN"/>
        </w:rPr>
        <w:t>6</w:t>
      </w:r>
      <w:r>
        <w:rPr>
          <w:rFonts w:hint="eastAsia" w:ascii="仿宋" w:hAnsi="仿宋" w:eastAsia="仿宋" w:cs="仿宋"/>
          <w:b/>
          <w:bCs/>
          <w:color w:val="auto"/>
          <w:kern w:val="0"/>
          <w:sz w:val="24"/>
          <w:szCs w:val="24"/>
          <w:highlight w:val="none"/>
          <w:lang w:val="en-US" w:eastAsia="zh-CN" w:bidi="ar-SA"/>
        </w:rPr>
        <w:t>综合评议。</w:t>
      </w:r>
      <w:r>
        <w:rPr>
          <w:rFonts w:hint="eastAsia" w:ascii="仿宋" w:hAnsi="仿宋" w:eastAsia="仿宋" w:cs="仿宋"/>
          <w:color w:val="auto"/>
          <w:kern w:val="0"/>
          <w:sz w:val="24"/>
          <w:szCs w:val="24"/>
          <w:highlight w:val="none"/>
          <w:lang w:val="en-US" w:eastAsia="zh-CN" w:bidi="ar-SA"/>
        </w:rPr>
        <w:t>评分汇总（汇总各评委的评分，计算所有评委评出的总分的算术平均值作为供应商的评审得分）；按评审得分从高到低排序。</w:t>
      </w:r>
    </w:p>
    <w:p w14:paraId="1E8A975C">
      <w:pPr>
        <w:pStyle w:val="23"/>
        <w:keepNext w:val="0"/>
        <w:keepLines w:val="0"/>
        <w:pageBreakBefore w:val="0"/>
        <w:widowControl w:val="0"/>
        <w:kinsoku/>
        <w:wordWrap/>
        <w:overflowPunct/>
        <w:topLinePunct w:val="0"/>
        <w:autoSpaceDE/>
        <w:autoSpaceDN/>
        <w:bidi w:val="0"/>
        <w:spacing w:before="0" w:line="400" w:lineRule="exact"/>
        <w:ind w:left="0" w:leftChars="0" w:firstLine="482" w:firstLineChars="200"/>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en-US" w:eastAsia="zh-CN"/>
        </w:rPr>
        <w:t>7</w:t>
      </w:r>
      <w:r>
        <w:rPr>
          <w:rFonts w:hint="eastAsia" w:ascii="仿宋" w:hAnsi="仿宋" w:eastAsia="仿宋" w:cs="仿宋"/>
          <w:b/>
          <w:bCs/>
          <w:color w:val="auto"/>
          <w:kern w:val="0"/>
          <w:sz w:val="24"/>
          <w:szCs w:val="24"/>
          <w:highlight w:val="none"/>
          <w:lang w:val="en-US" w:eastAsia="zh-CN" w:bidi="ar-SA"/>
        </w:rPr>
        <w:t>磋商小组根据综合评分情况</w:t>
      </w:r>
      <w:r>
        <w:rPr>
          <w:rFonts w:hint="eastAsia" w:ascii="仿宋" w:hAnsi="仿宋" w:eastAsia="仿宋" w:cs="仿宋"/>
          <w:color w:val="auto"/>
          <w:kern w:val="0"/>
          <w:sz w:val="24"/>
          <w:szCs w:val="24"/>
          <w:highlight w:val="none"/>
          <w:lang w:val="en-US" w:eastAsia="zh-CN" w:bidi="ar-SA"/>
        </w:rPr>
        <w:t>，按照评审得分由高到低顺序推荐1名成交候选供应商。评审得分相同的，按照最后报价由低到高的顺序推荐。评审得分且最后报价相同的，按照技术指标优劣顺序推荐。</w:t>
      </w:r>
    </w:p>
    <w:p w14:paraId="0C27339F">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en-US" w:eastAsia="zh-CN"/>
        </w:rPr>
        <w:t>8</w:t>
      </w:r>
      <w:r>
        <w:rPr>
          <w:rFonts w:hint="eastAsia" w:ascii="仿宋" w:hAnsi="仿宋" w:eastAsia="仿宋" w:cs="仿宋"/>
          <w:b/>
          <w:color w:val="auto"/>
          <w:kern w:val="0"/>
          <w:sz w:val="24"/>
          <w:highlight w:val="none"/>
        </w:rPr>
        <w:t>编写评</w:t>
      </w:r>
      <w:r>
        <w:rPr>
          <w:rFonts w:hint="eastAsia" w:ascii="仿宋" w:hAnsi="仿宋" w:eastAsia="仿宋" w:cs="仿宋"/>
          <w:b/>
          <w:color w:val="auto"/>
          <w:kern w:val="0"/>
          <w:sz w:val="24"/>
          <w:highlight w:val="none"/>
          <w:lang w:val="en-US" w:eastAsia="zh-CN"/>
        </w:rPr>
        <w:t>审</w:t>
      </w:r>
      <w:r>
        <w:rPr>
          <w:rFonts w:hint="eastAsia" w:ascii="仿宋" w:hAnsi="仿宋" w:eastAsia="仿宋" w:cs="仿宋"/>
          <w:b/>
          <w:color w:val="auto"/>
          <w:kern w:val="0"/>
          <w:sz w:val="24"/>
          <w:highlight w:val="none"/>
        </w:rPr>
        <w:t>报告。</w:t>
      </w:r>
      <w:r>
        <w:rPr>
          <w:rFonts w:hint="eastAsia" w:ascii="仿宋" w:hAnsi="仿宋" w:eastAsia="仿宋" w:cs="仿宋"/>
          <w:color w:val="auto"/>
          <w:kern w:val="0"/>
          <w:sz w:val="24"/>
          <w:szCs w:val="24"/>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0229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9CD2E80">
      <w:pPr>
        <w:pStyle w:val="23"/>
        <w:keepNext w:val="0"/>
        <w:keepLines w:val="0"/>
        <w:pageBreakBefore w:val="0"/>
        <w:widowControl w:val="0"/>
        <w:kinsoku/>
        <w:wordWrap/>
        <w:overflowPunct/>
        <w:topLinePunct w:val="0"/>
        <w:autoSpaceDE/>
        <w:autoSpaceDN/>
        <w:bidi w:val="0"/>
        <w:spacing w:before="0" w:line="400" w:lineRule="exact"/>
        <w:ind w:left="0" w:leftChars="0" w:firstLine="482" w:firstLineChars="200"/>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响应</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文件中含义不明确、同类问题表述不一致或者有明显文字和计算错误的内容需要</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作出必要的澄清、说明或者补正的，</w:t>
      </w:r>
      <w:r>
        <w:rPr>
          <w:rFonts w:hint="eastAsia" w:ascii="仿宋" w:hAnsi="仿宋" w:eastAsia="仿宋" w:cs="仿宋"/>
          <w:color w:val="auto"/>
          <w:kern w:val="0"/>
          <w:szCs w:val="24"/>
          <w:highlight w:val="none"/>
          <w:lang w:eastAsia="zh-CN"/>
        </w:rPr>
        <w:t>磋商小组</w:t>
      </w:r>
      <w:r>
        <w:rPr>
          <w:rFonts w:hint="eastAsia" w:ascii="仿宋" w:hAnsi="仿宋" w:eastAsia="仿宋" w:cs="仿宋"/>
          <w:color w:val="auto"/>
          <w:kern w:val="0"/>
          <w:szCs w:val="24"/>
          <w:highlight w:val="none"/>
        </w:rPr>
        <w:t>和</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提交澄清、说明或补正的时间不得少于</w:t>
      </w:r>
      <w:r>
        <w:rPr>
          <w:rFonts w:hint="eastAsia" w:ascii="仿宋" w:hAnsi="仿宋" w:eastAsia="仿宋" w:cs="仿宋"/>
          <w:color w:val="auto"/>
          <w:kern w:val="0"/>
          <w:szCs w:val="24"/>
          <w:highlight w:val="none"/>
          <w:lang w:val="en-US" w:eastAsia="zh-CN"/>
        </w:rPr>
        <w:t>半小时</w:t>
      </w:r>
      <w:r>
        <w:rPr>
          <w:rFonts w:hint="eastAsia" w:ascii="仿宋" w:hAnsi="仿宋" w:eastAsia="仿宋" w:cs="仿宋"/>
          <w:color w:val="auto"/>
          <w:kern w:val="0"/>
          <w:szCs w:val="24"/>
          <w:highlight w:val="none"/>
        </w:rPr>
        <w:t>，</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文件的范围或者改变</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文件的实质性内容。</w:t>
      </w:r>
    </w:p>
    <w:p w14:paraId="73C0E17B">
      <w:pPr>
        <w:pStyle w:val="6"/>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w:t>
      </w:r>
      <w:r>
        <w:rPr>
          <w:rFonts w:hint="eastAsia" w:ascii="仿宋" w:hAnsi="仿宋" w:eastAsia="仿宋" w:cs="仿宋"/>
          <w:b/>
          <w:color w:val="auto"/>
          <w:kern w:val="0"/>
          <w:highlight w:val="none"/>
        </w:rPr>
        <w:t>无效</w:t>
      </w:r>
      <w:r>
        <w:rPr>
          <w:rFonts w:hint="eastAsia" w:ascii="仿宋" w:hAnsi="仿宋" w:eastAsia="仿宋" w:cs="仿宋"/>
          <w:b/>
          <w:color w:val="auto"/>
          <w:kern w:val="0"/>
          <w:highlight w:val="none"/>
          <w:lang w:val="en-US" w:eastAsia="zh-CN"/>
        </w:rPr>
        <w:t>的情形</w:t>
      </w:r>
      <w:r>
        <w:rPr>
          <w:rFonts w:hint="eastAsia" w:ascii="仿宋" w:hAnsi="仿宋" w:eastAsia="仿宋" w:cs="仿宋"/>
          <w:b/>
          <w:color w:val="auto"/>
          <w:kern w:val="0"/>
          <w:highlight w:val="none"/>
        </w:rPr>
        <w:t>。</w:t>
      </w:r>
    </w:p>
    <w:p w14:paraId="553CC841">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4.2.1 没有响应</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文件实质性要求的响应将被视为无效响应。</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szCs w:val="24"/>
          <w:highlight w:val="none"/>
          <w:lang w:val="en-US" w:eastAsia="zh-CN" w:bidi="ar-SA"/>
        </w:rPr>
        <w:t>不得通过修正或撤销不合要求的偏离或保留从而使其磋商响应成为实质上响应的磋商，但经磋商小组认定属于</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szCs w:val="24"/>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核查原件。限期内不补正或经补正后仍不符合</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文件要求的，应认定其响应无效。</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szCs w:val="24"/>
          <w:highlight w:val="none"/>
          <w:lang w:val="en-US" w:eastAsia="zh-CN" w:bidi="ar-SA"/>
        </w:rPr>
        <w:t>修改、补正响应文件后，不影响磋商小组对其响应文件所作的评价和评分结果。</w:t>
      </w:r>
    </w:p>
    <w:p w14:paraId="7729ABF9">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4.2.2 在电子开评标时，如发现下列情形之一的，将被视为无效响应文件：</w:t>
      </w:r>
    </w:p>
    <w:p w14:paraId="6921D46F">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4.2.2.1电子投标文件解密失败的；</w:t>
      </w:r>
    </w:p>
    <w:p w14:paraId="09B178B8">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4.2.2.2响应文件未按</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文件要求加密、签字、盖章的；</w:t>
      </w:r>
    </w:p>
    <w:p w14:paraId="66012D20">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 在资格审查、符合性审查和商务评审时，如发现下列情形之一的，将被视为无效响应文件：</w:t>
      </w:r>
    </w:p>
    <w:p w14:paraId="019C7BD1">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4.2.3.1 资格证明文件不全的或者不符合</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文件标明的资格要求的；</w:t>
      </w:r>
    </w:p>
    <w:p w14:paraId="716CB81A">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4.2.3.2 响应文件未按</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文件要求签署、盖章的；</w:t>
      </w:r>
    </w:p>
    <w:p w14:paraId="5C60FC6A">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4.2.3.3 响应代表人未能出具身份证明或身份证明与法定代表授权委托书不符的。</w:t>
      </w:r>
    </w:p>
    <w:p w14:paraId="6E5D4D9F">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4.2.3.4 响应文件格式不规范、项目不齐全或者内容虚假的；</w:t>
      </w:r>
    </w:p>
    <w:p w14:paraId="176630FC">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4.2.3.5 响应文件的实质性内容未使用中文表述、意思表述不明确、前后矛盾或者使用计量单位不符合竞争性磋商文件要求的（经磋商小组认定并允许其当场更正的笔误除外）；</w:t>
      </w:r>
    </w:p>
    <w:p w14:paraId="7366AB2B">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4.2.3.6 响应有效期、工期、</w:t>
      </w:r>
      <w:r>
        <w:rPr>
          <w:rFonts w:hint="eastAsia" w:ascii="仿宋" w:hAnsi="仿宋" w:eastAsia="仿宋" w:cs="仿宋"/>
          <w:color w:val="auto"/>
          <w:sz w:val="24"/>
          <w:szCs w:val="24"/>
          <w:highlight w:val="none"/>
        </w:rPr>
        <w:t>缺陷责任期（工程质量保修期）</w:t>
      </w:r>
      <w:r>
        <w:rPr>
          <w:rFonts w:hint="eastAsia" w:ascii="仿宋" w:hAnsi="仿宋" w:eastAsia="仿宋" w:cs="仿宋"/>
          <w:color w:val="auto"/>
          <w:kern w:val="0"/>
          <w:sz w:val="24"/>
          <w:szCs w:val="24"/>
          <w:highlight w:val="none"/>
          <w:lang w:val="en-US" w:eastAsia="zh-CN" w:bidi="ar-SA"/>
        </w:rPr>
        <w:t>等商务条款不能满足</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文件要求的；</w:t>
      </w:r>
    </w:p>
    <w:p w14:paraId="6BF1AA36">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4.2.3.7 带“▲”的条款不能满足</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文件要求、未实质性响应</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kern w:val="0"/>
          <w:sz w:val="24"/>
          <w:szCs w:val="24"/>
          <w:highlight w:val="none"/>
          <w:lang w:val="en-US" w:eastAsia="zh-CN" w:bidi="ar-SA"/>
        </w:rPr>
        <w:t>文件要求或者响应文件有采购人不能接受的附加条件的；</w:t>
      </w:r>
    </w:p>
    <w:p w14:paraId="1F1C10DD">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4.2.3.8 单位负责人为同一人或者存在直接控股、管理关系的不同供应商参加同一合同项下的政府采购活动的；</w:t>
      </w:r>
    </w:p>
    <w:p w14:paraId="1624EDA8">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4.2.3.9 为采购项目提供整体设计、规范编制或者项目管理、监理、检测等服务的供应商参加该采购项目的其他采购活动的；</w:t>
      </w:r>
    </w:p>
    <w:p w14:paraId="4C037C6D">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4.2.3.10 报价文件以外的投标文件中出现本项目磋商报价或单价的。</w:t>
      </w:r>
    </w:p>
    <w:p w14:paraId="0E411F7A">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4.3.在技术评审时，如发现下列情形之一的，将被视为无效响应文件：</w:t>
      </w:r>
    </w:p>
    <w:p w14:paraId="10DF2687">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4.3.1未提供或未如实提供磋商货物的技术参数，或者响应文件标明的响应或偏离与事实不符或虚假响应的；</w:t>
      </w:r>
    </w:p>
    <w:p w14:paraId="58DD0032">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4.3.2 明显不符合竞争性磋商文件要求的规格型号、质量标准，或者与竞争性磋商文件中标“▲”的技术指标、主要功能项目发生实质性偏离的；</w:t>
      </w:r>
    </w:p>
    <w:p w14:paraId="009A41E2">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4.3.3 允许偏离的技术、性能指标或辅助功能项目发生负偏离达7项（含）以上的；</w:t>
      </w:r>
    </w:p>
    <w:p w14:paraId="4AE44D46">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4.3.4 技术方案不明确，存在一个或一个以上备选（替代）技术方案的；</w:t>
      </w:r>
    </w:p>
    <w:p w14:paraId="43AB7EFE">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4.3.5 与其他参加本次磋商</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szCs w:val="24"/>
          <w:highlight w:val="none"/>
          <w:lang w:val="en-US" w:eastAsia="zh-CN" w:bidi="ar-SA"/>
        </w:rPr>
        <w:t>的响应文件（技术文件）的文字表述内容差错相同2处以上的；</w:t>
      </w:r>
    </w:p>
    <w:p w14:paraId="7E3C011A">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4.3.6 采购人拟采购的产品属于政府强制采购的节能产品品目清单范围的，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szCs w:val="24"/>
          <w:highlight w:val="none"/>
          <w:lang w:val="en-US" w:eastAsia="zh-CN" w:bidi="ar-SA"/>
        </w:rPr>
        <w:t>未按竞争性磋商文件要求提供国家确定的认证机构出具的、处于有效期之内的节能产品认证证书的。</w:t>
      </w:r>
    </w:p>
    <w:p w14:paraId="5A23D44E">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 在报价评审时，如发现下列情形之一的，响应文件将被视为无效：</w:t>
      </w:r>
    </w:p>
    <w:p w14:paraId="6124BA26">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4.4.1 未采用人民币报价或者未按照竞争性磋商文件标明的币种报价的；</w:t>
      </w:r>
    </w:p>
    <w:p w14:paraId="09ABEFF0">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4.4.2 报价超出最高限价或最高综合折扣率，或者超出采购预算金额的；</w:t>
      </w:r>
    </w:p>
    <w:p w14:paraId="467EAB07">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4.4.3 磋商报价具有选择性的；</w:t>
      </w:r>
    </w:p>
    <w:p w14:paraId="647D8ADE">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4.4.4 磋商报价中出现缺项、漏项或被磋商小组认定为有可能影响产品质量或者不能诚信履约的且不能在合理的时间内证明其报价合理性的；</w:t>
      </w:r>
    </w:p>
    <w:p w14:paraId="635F0150">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4.4.5供应商对根据修正原则修正后的报价不确认的。</w:t>
      </w:r>
    </w:p>
    <w:p w14:paraId="54B47C46">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4.5其他无效情形：</w:t>
      </w:r>
    </w:p>
    <w:p w14:paraId="7B0F778B">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4.5.1 不同</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szCs w:val="24"/>
          <w:highlight w:val="none"/>
          <w:lang w:val="en-US" w:eastAsia="zh-CN" w:bidi="ar-SA"/>
        </w:rPr>
        <w:t>的响应文件出自同一终端设备或在相同Internet主机分配地址（相同IP地址）进行网上报名、磋商的；</w:t>
      </w:r>
    </w:p>
    <w:p w14:paraId="5854AEDF">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4.5.2 </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497281B">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2"/>
          <w:sz w:val="24"/>
          <w:szCs w:val="24"/>
          <w:highlight w:val="none"/>
          <w:lang w:val="en-US" w:eastAsia="zh-CN" w:bidi="ar-SA"/>
        </w:rPr>
        <w:t>5.采购终止的情形。</w:t>
      </w:r>
      <w:r>
        <w:rPr>
          <w:rFonts w:hint="eastAsia" w:ascii="仿宋" w:hAnsi="仿宋" w:eastAsia="仿宋" w:cs="仿宋"/>
          <w:color w:val="auto"/>
          <w:kern w:val="0"/>
          <w:sz w:val="24"/>
          <w:highlight w:val="none"/>
        </w:rPr>
        <w:t>在本项目磋商采购中，出现下列情形之一的，应当终止竞争性磋商采购活动，发布项目终止公告并说明原因，重新开展采购活动：</w:t>
      </w:r>
    </w:p>
    <w:p w14:paraId="3B92702F">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5.1因情况变化，不再符合规定的竞争性磋商采购方式适用情形的；</w:t>
      </w:r>
    </w:p>
    <w:p w14:paraId="5A3DE3E5">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046F14E4">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6FA9D88D">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5.4电子交易平台无法正常运行，无法保证电子交易的公平、公正和安全的情况。</w:t>
      </w:r>
    </w:p>
    <w:p w14:paraId="53D3F88D">
      <w:pPr>
        <w:pStyle w:val="6"/>
        <w:keepNext w:val="0"/>
        <w:keepLines w:val="0"/>
        <w:pageBreakBefore w:val="0"/>
        <w:widowControl w:val="0"/>
        <w:kinsoku/>
        <w:wordWrap/>
        <w:overflowPunct/>
        <w:topLinePunct w:val="0"/>
        <w:autoSpaceDE/>
        <w:autoSpaceDN/>
        <w:bidi w:val="0"/>
        <w:snapToGrid w:val="0"/>
        <w:spacing w:line="400" w:lineRule="exact"/>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竞争性磋商</w:t>
      </w:r>
      <w:r>
        <w:rPr>
          <w:rFonts w:hint="eastAsia" w:ascii="仿宋" w:hAnsi="仿宋" w:eastAsia="仿宋" w:cs="仿宋"/>
          <w:b/>
          <w:color w:val="auto"/>
          <w:highlight w:val="none"/>
        </w:rPr>
        <w:t>文件，重新组织采购活动。</w:t>
      </w:r>
      <w:r>
        <w:rPr>
          <w:rFonts w:hint="eastAsia" w:ascii="仿宋" w:hAnsi="仿宋" w:eastAsia="仿宋" w:cs="仿宋"/>
          <w:color w:val="auto"/>
          <w:highlight w:val="none"/>
          <w:lang w:eastAsia="zh-CN"/>
        </w:rPr>
        <w:t>磋商小组</w:t>
      </w:r>
      <w:r>
        <w:rPr>
          <w:rFonts w:hint="eastAsia" w:ascii="仿宋" w:hAnsi="仿宋" w:eastAsia="仿宋" w:cs="仿宋"/>
          <w:color w:val="auto"/>
          <w:highlight w:val="none"/>
        </w:rPr>
        <w:t>发现</w:t>
      </w:r>
      <w:r>
        <w:rPr>
          <w:rFonts w:hint="eastAsia" w:ascii="仿宋" w:hAnsi="仿宋" w:eastAsia="仿宋" w:cs="仿宋"/>
          <w:color w:val="auto"/>
          <w:highlight w:val="none"/>
          <w:lang w:eastAsia="zh-CN"/>
        </w:rPr>
        <w:t>竞争性磋商</w:t>
      </w:r>
      <w:r>
        <w:rPr>
          <w:rFonts w:hint="eastAsia" w:ascii="仿宋" w:hAnsi="仿宋" w:eastAsia="仿宋" w:cs="仿宋"/>
          <w:color w:val="auto"/>
          <w:highlight w:val="none"/>
        </w:rPr>
        <w:t>文件存在歧义、重大缺陷导致评标工作无法进行，或者</w:t>
      </w:r>
      <w:r>
        <w:rPr>
          <w:rFonts w:hint="eastAsia" w:ascii="仿宋" w:hAnsi="仿宋" w:eastAsia="仿宋" w:cs="仿宋"/>
          <w:color w:val="auto"/>
          <w:highlight w:val="none"/>
          <w:lang w:eastAsia="zh-CN"/>
        </w:rPr>
        <w:t>竞争性磋商</w:t>
      </w:r>
      <w:r>
        <w:rPr>
          <w:rFonts w:hint="eastAsia" w:ascii="仿宋" w:hAnsi="仿宋" w:eastAsia="仿宋" w:cs="仿宋"/>
          <w:color w:val="auto"/>
          <w:highlight w:val="none"/>
        </w:rPr>
        <w:t>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竞争性磋商</w:t>
      </w:r>
      <w:r>
        <w:rPr>
          <w:rFonts w:hint="eastAsia" w:ascii="仿宋" w:hAnsi="仿宋" w:eastAsia="仿宋" w:cs="仿宋"/>
          <w:color w:val="auto"/>
          <w:highlight w:val="none"/>
        </w:rPr>
        <w:t>文件，重新组织采购活动。</w:t>
      </w:r>
    </w:p>
    <w:p w14:paraId="16F3633D">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4924E9C6">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人的，终止本次政府采购活动，重新开展政府采购活动。</w:t>
      </w:r>
    </w:p>
    <w:p w14:paraId="51E4FAF0">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人但尚未签订政府采购合同的，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或者成交结果无效，重新开展政府采购活动。</w:t>
      </w:r>
    </w:p>
    <w:p w14:paraId="09C4F298">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7.3政府采购合同已签订但尚未履行的，撤销合同，重新开展政府采购活动。</w:t>
      </w:r>
    </w:p>
    <w:p w14:paraId="54F2769E">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D23AA8C">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73804AB3">
      <w:pPr>
        <w:pStyle w:val="8"/>
        <w:keepNext w:val="0"/>
        <w:keepLines w:val="0"/>
        <w:pageBreakBefore w:val="0"/>
        <w:widowControl w:val="0"/>
        <w:kinsoku/>
        <w:wordWrap/>
        <w:overflowPunct/>
        <w:topLinePunct w:val="0"/>
        <w:autoSpaceDE/>
        <w:autoSpaceDN/>
        <w:bidi w:val="0"/>
        <w:spacing w:line="400" w:lineRule="exact"/>
        <w:ind w:left="0" w:leftChars="0"/>
        <w:textAlignment w:val="auto"/>
        <w:rPr>
          <w:rFonts w:hint="eastAsia"/>
          <w:b w:val="0"/>
          <w:bCs/>
          <w:color w:val="auto"/>
        </w:rPr>
        <w:sectPr>
          <w:pgSz w:w="11906" w:h="16838"/>
          <w:pgMar w:top="1440" w:right="1800" w:bottom="1440" w:left="1800" w:header="851" w:footer="992" w:gutter="0"/>
          <w:pgNumType w:fmt="decimal"/>
          <w:cols w:space="425" w:num="1"/>
          <w:docGrid w:type="lines" w:linePitch="312" w:charSpace="0"/>
        </w:sectPr>
      </w:pPr>
    </w:p>
    <w:p w14:paraId="467E2998">
      <w:pPr>
        <w:keepNext w:val="0"/>
        <w:keepLines w:val="0"/>
        <w:pageBreakBefore w:val="0"/>
        <w:widowControl/>
        <w:numPr>
          <w:ilvl w:val="0"/>
          <w:numId w:val="4"/>
        </w:numPr>
        <w:kinsoku/>
        <w:wordWrap/>
        <w:overflowPunct/>
        <w:topLinePunct w:val="0"/>
        <w:autoSpaceDE/>
        <w:autoSpaceDN/>
        <w:bidi w:val="0"/>
        <w:adjustRightInd/>
        <w:snapToGrid w:val="0"/>
        <w:spacing w:line="360" w:lineRule="auto"/>
        <w:ind w:firstLine="0" w:firstLineChars="0"/>
        <w:jc w:val="center"/>
        <w:textAlignment w:val="auto"/>
        <w:outlineLvl w:val="0"/>
        <w:rPr>
          <w:rFonts w:hint="eastAsia" w:ascii="仿宋" w:hAnsi="仿宋" w:eastAsia="仿宋" w:cs="仿宋"/>
          <w:b/>
          <w:color w:val="auto"/>
          <w:sz w:val="36"/>
          <w:szCs w:val="20"/>
          <w:highlight w:val="none"/>
        </w:rPr>
      </w:pPr>
      <w:bookmarkStart w:id="394" w:name="_Toc17903"/>
      <w:r>
        <w:rPr>
          <w:rFonts w:hint="eastAsia" w:ascii="仿宋" w:hAnsi="仿宋" w:eastAsia="仿宋" w:cs="仿宋"/>
          <w:b/>
          <w:color w:val="auto"/>
          <w:sz w:val="36"/>
          <w:szCs w:val="20"/>
          <w:highlight w:val="none"/>
        </w:rPr>
        <w:t>拟签订的合同文本</w:t>
      </w:r>
      <w:bookmarkEnd w:id="394"/>
    </w:p>
    <w:p w14:paraId="32B6D238">
      <w:pPr>
        <w:pStyle w:val="7"/>
        <w:snapToGrid w:val="0"/>
        <w:jc w:val="center"/>
        <w:rPr>
          <w:rFonts w:hint="eastAsia" w:ascii="仿宋" w:hAnsi="仿宋" w:eastAsia="仿宋" w:cs="仿宋"/>
          <w:b/>
          <w:color w:val="auto"/>
          <w:sz w:val="24"/>
          <w:szCs w:val="24"/>
        </w:rPr>
      </w:pPr>
      <w:bookmarkStart w:id="395" w:name="_Toc22618"/>
      <w:bookmarkStart w:id="396" w:name="_Toc1814"/>
      <w:bookmarkStart w:id="397" w:name="_Toc10340"/>
    </w:p>
    <w:p w14:paraId="58DA5D6A">
      <w:pPr>
        <w:ind w:firstLine="900" w:firstLineChars="250"/>
        <w:rPr>
          <w:rFonts w:hint="eastAsia" w:ascii="仿宋" w:hAnsi="仿宋" w:eastAsia="仿宋" w:cs="仿宋"/>
          <w:color w:val="auto"/>
          <w:sz w:val="36"/>
          <w:szCs w:val="36"/>
        </w:rPr>
      </w:pPr>
    </w:p>
    <w:p w14:paraId="45F11D8F">
      <w:pPr>
        <w:ind w:firstLine="900" w:firstLineChars="250"/>
        <w:rPr>
          <w:rFonts w:hint="eastAsia" w:ascii="仿宋" w:hAnsi="仿宋" w:eastAsia="仿宋" w:cs="仿宋"/>
          <w:color w:val="auto"/>
          <w:sz w:val="36"/>
          <w:szCs w:val="36"/>
        </w:rPr>
      </w:pPr>
    </w:p>
    <w:p w14:paraId="24BD050C">
      <w:pPr>
        <w:ind w:firstLine="900" w:firstLineChars="250"/>
        <w:rPr>
          <w:rFonts w:hint="eastAsia" w:ascii="仿宋" w:hAnsi="仿宋" w:eastAsia="仿宋" w:cs="仿宋"/>
          <w:color w:val="auto"/>
          <w:sz w:val="36"/>
          <w:szCs w:val="36"/>
        </w:rPr>
      </w:pPr>
    </w:p>
    <w:p w14:paraId="715CAC63">
      <w:pPr>
        <w:ind w:firstLine="904" w:firstLineChars="25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奉化区莼湖街道中心小学校舍改造提升工程 </w:t>
      </w:r>
    </w:p>
    <w:p w14:paraId="3494EEA8">
      <w:pPr>
        <w:ind w:firstLine="600" w:firstLineChars="250"/>
        <w:rPr>
          <w:rFonts w:hint="eastAsia" w:ascii="仿宋" w:hAnsi="仿宋" w:eastAsia="仿宋" w:cs="仿宋"/>
          <w:color w:val="auto"/>
          <w:sz w:val="24"/>
          <w:szCs w:val="24"/>
        </w:rPr>
      </w:pPr>
    </w:p>
    <w:p w14:paraId="32AF0942">
      <w:pPr>
        <w:ind w:firstLine="600" w:firstLineChars="250"/>
        <w:rPr>
          <w:rFonts w:hint="eastAsia" w:ascii="仿宋" w:hAnsi="仿宋" w:eastAsia="仿宋" w:cs="仿宋"/>
          <w:color w:val="auto"/>
          <w:sz w:val="24"/>
          <w:szCs w:val="24"/>
        </w:rPr>
      </w:pPr>
    </w:p>
    <w:p w14:paraId="0CCEF2F1">
      <w:pPr>
        <w:ind w:firstLine="600" w:firstLineChars="250"/>
        <w:rPr>
          <w:rFonts w:hint="eastAsia" w:ascii="仿宋" w:hAnsi="仿宋" w:eastAsia="仿宋" w:cs="仿宋"/>
          <w:color w:val="auto"/>
          <w:sz w:val="24"/>
          <w:szCs w:val="24"/>
        </w:rPr>
      </w:pPr>
    </w:p>
    <w:p w14:paraId="71E08C99">
      <w:pPr>
        <w:ind w:firstLine="600" w:firstLineChars="250"/>
        <w:rPr>
          <w:rFonts w:hint="eastAsia" w:ascii="仿宋" w:hAnsi="仿宋" w:eastAsia="仿宋" w:cs="仿宋"/>
          <w:color w:val="auto"/>
          <w:sz w:val="24"/>
          <w:szCs w:val="24"/>
        </w:rPr>
      </w:pPr>
    </w:p>
    <w:p w14:paraId="7BE42406">
      <w:pPr>
        <w:ind w:firstLine="600" w:firstLineChars="250"/>
        <w:rPr>
          <w:rFonts w:hint="eastAsia" w:ascii="仿宋" w:hAnsi="仿宋" w:eastAsia="仿宋" w:cs="仿宋"/>
          <w:color w:val="auto"/>
          <w:sz w:val="24"/>
          <w:szCs w:val="24"/>
        </w:rPr>
      </w:pPr>
    </w:p>
    <w:p w14:paraId="3127B054">
      <w:pPr>
        <w:ind w:firstLine="600" w:firstLineChars="250"/>
        <w:rPr>
          <w:rFonts w:hint="eastAsia" w:ascii="仿宋" w:hAnsi="仿宋" w:eastAsia="仿宋" w:cs="仿宋"/>
          <w:color w:val="auto"/>
          <w:sz w:val="24"/>
          <w:szCs w:val="24"/>
        </w:rPr>
      </w:pPr>
    </w:p>
    <w:p w14:paraId="4400DA2F">
      <w:pPr>
        <w:ind w:firstLine="600" w:firstLineChars="250"/>
        <w:rPr>
          <w:rFonts w:hint="eastAsia" w:ascii="仿宋" w:hAnsi="仿宋" w:eastAsia="仿宋" w:cs="仿宋"/>
          <w:color w:val="auto"/>
          <w:sz w:val="24"/>
          <w:szCs w:val="24"/>
        </w:rPr>
      </w:pPr>
    </w:p>
    <w:p w14:paraId="40E63ABC">
      <w:pPr>
        <w:ind w:firstLine="600" w:firstLineChars="250"/>
        <w:rPr>
          <w:rFonts w:hint="eastAsia" w:ascii="仿宋" w:hAnsi="仿宋" w:eastAsia="仿宋" w:cs="仿宋"/>
          <w:color w:val="auto"/>
          <w:sz w:val="24"/>
          <w:szCs w:val="24"/>
        </w:rPr>
      </w:pPr>
    </w:p>
    <w:p w14:paraId="5C116FC7">
      <w:pPr>
        <w:ind w:firstLine="600" w:firstLineChars="250"/>
        <w:rPr>
          <w:rFonts w:hint="eastAsia" w:ascii="仿宋" w:hAnsi="仿宋" w:eastAsia="仿宋" w:cs="仿宋"/>
          <w:color w:val="auto"/>
          <w:sz w:val="24"/>
          <w:szCs w:val="24"/>
        </w:rPr>
      </w:pPr>
    </w:p>
    <w:p w14:paraId="292B5030">
      <w:pPr>
        <w:ind w:firstLine="600" w:firstLineChars="250"/>
        <w:rPr>
          <w:rFonts w:hint="eastAsia" w:ascii="仿宋" w:hAnsi="仿宋" w:eastAsia="仿宋" w:cs="仿宋"/>
          <w:color w:val="auto"/>
          <w:sz w:val="24"/>
          <w:szCs w:val="24"/>
        </w:rPr>
      </w:pPr>
    </w:p>
    <w:p w14:paraId="500ABD04">
      <w:pPr>
        <w:ind w:firstLine="600" w:firstLineChars="250"/>
        <w:rPr>
          <w:rFonts w:hint="eastAsia" w:ascii="仿宋" w:hAnsi="仿宋" w:eastAsia="仿宋" w:cs="仿宋"/>
          <w:color w:val="auto"/>
          <w:sz w:val="24"/>
          <w:szCs w:val="24"/>
        </w:rPr>
      </w:pPr>
    </w:p>
    <w:p w14:paraId="72A5953B">
      <w:pPr>
        <w:ind w:firstLine="600" w:firstLineChars="250"/>
        <w:rPr>
          <w:rFonts w:hint="eastAsia" w:ascii="仿宋" w:hAnsi="仿宋" w:eastAsia="仿宋" w:cs="仿宋"/>
          <w:color w:val="auto"/>
          <w:sz w:val="24"/>
          <w:szCs w:val="24"/>
        </w:rPr>
      </w:pPr>
    </w:p>
    <w:p w14:paraId="1E3FC0B0">
      <w:pPr>
        <w:ind w:firstLine="600" w:firstLineChars="250"/>
        <w:rPr>
          <w:rFonts w:hint="eastAsia" w:ascii="仿宋" w:hAnsi="仿宋" w:eastAsia="仿宋" w:cs="仿宋"/>
          <w:color w:val="auto"/>
          <w:sz w:val="24"/>
          <w:szCs w:val="24"/>
        </w:rPr>
      </w:pPr>
    </w:p>
    <w:p w14:paraId="02B4F5CD">
      <w:pPr>
        <w:ind w:firstLine="600" w:firstLineChars="250"/>
        <w:rPr>
          <w:rFonts w:hint="eastAsia" w:ascii="仿宋" w:hAnsi="仿宋" w:eastAsia="仿宋" w:cs="仿宋"/>
          <w:color w:val="auto"/>
          <w:sz w:val="24"/>
          <w:szCs w:val="24"/>
        </w:rPr>
      </w:pPr>
    </w:p>
    <w:p w14:paraId="26786B64">
      <w:pPr>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p>
    <w:p w14:paraId="4001A2FC">
      <w:pPr>
        <w:rPr>
          <w:rFonts w:hint="eastAsia" w:ascii="仿宋" w:hAnsi="仿宋" w:eastAsia="仿宋" w:cs="仿宋"/>
          <w:color w:val="auto"/>
          <w:sz w:val="24"/>
          <w:szCs w:val="24"/>
        </w:rPr>
      </w:pPr>
    </w:p>
    <w:p w14:paraId="4FFD93EE">
      <w:pPr>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乙方：</w:t>
      </w:r>
    </w:p>
    <w:p w14:paraId="12A16A8A">
      <w:pPr>
        <w:rPr>
          <w:rFonts w:hint="eastAsia" w:ascii="仿宋" w:hAnsi="仿宋" w:eastAsia="仿宋" w:cs="仿宋"/>
          <w:color w:val="auto"/>
          <w:sz w:val="24"/>
          <w:szCs w:val="24"/>
        </w:rPr>
      </w:pPr>
    </w:p>
    <w:p w14:paraId="24EA8F5A">
      <w:pPr>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签署日期：    年  月  日</w:t>
      </w:r>
    </w:p>
    <w:p w14:paraId="4FA58ED0">
      <w:pPr>
        <w:ind w:firstLine="600" w:firstLineChars="250"/>
        <w:rPr>
          <w:rFonts w:hint="eastAsia" w:ascii="仿宋" w:hAnsi="仿宋" w:eastAsia="仿宋" w:cs="仿宋"/>
          <w:color w:val="auto"/>
          <w:sz w:val="24"/>
          <w:szCs w:val="24"/>
        </w:rPr>
      </w:pPr>
    </w:p>
    <w:p w14:paraId="5F5413C6">
      <w:pPr>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签署地点：</w:t>
      </w:r>
    </w:p>
    <w:p w14:paraId="24FA8C8D">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b/>
          <w:color w:val="auto"/>
          <w:sz w:val="24"/>
          <w:szCs w:val="24"/>
        </w:rPr>
        <w:br w:type="page"/>
      </w:r>
      <w:r>
        <w:rPr>
          <w:rFonts w:hint="eastAsia" w:ascii="仿宋" w:hAnsi="仿宋" w:eastAsia="仿宋" w:cs="仿宋"/>
          <w:color w:val="auto"/>
          <w:sz w:val="24"/>
          <w:szCs w:val="24"/>
        </w:rPr>
        <w:t>甲方（发包人）：</w:t>
      </w:r>
      <w:r>
        <w:rPr>
          <w:rFonts w:hint="eastAsia" w:ascii="仿宋" w:hAnsi="仿宋" w:eastAsia="仿宋" w:cs="仿宋"/>
          <w:color w:val="auto"/>
          <w:sz w:val="24"/>
          <w:szCs w:val="24"/>
          <w:u w:val="single"/>
          <w:lang w:eastAsia="zh-CN"/>
        </w:rPr>
        <w:t>宁波市奉化区莼湖街道中心小学</w:t>
      </w:r>
    </w:p>
    <w:p w14:paraId="7A5F087B">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乙方（承包人）：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C8C0D4E">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依照《中华人民共和国民法典》《中华人民共和国建筑法》及其他有关法律﹑行政法规，遵循平等﹑自愿﹑公平和诚实信用的原则，双方就本工程施工事项协商一致，订立本合同。</w:t>
      </w:r>
    </w:p>
    <w:p w14:paraId="28A0B46B">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1.工程项目</w:t>
      </w:r>
    </w:p>
    <w:p w14:paraId="37177CC4">
      <w:pPr>
        <w:keepNext w:val="0"/>
        <w:keepLines w:val="0"/>
        <w:pageBreakBefore w:val="0"/>
        <w:widowControl w:val="0"/>
        <w:tabs>
          <w:tab w:val="left" w:pos="945"/>
          <w:tab w:val="left" w:pos="2127"/>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1.1工程名称：</w:t>
      </w:r>
      <w:r>
        <w:rPr>
          <w:rFonts w:hint="eastAsia" w:ascii="仿宋" w:hAnsi="仿宋" w:eastAsia="仿宋" w:cs="仿宋"/>
          <w:color w:val="auto"/>
          <w:sz w:val="24"/>
          <w:szCs w:val="24"/>
          <w:lang w:eastAsia="zh-CN"/>
        </w:rPr>
        <w:t>奉化区莼湖街道中心小学校舍改造提升工程 </w:t>
      </w:r>
    </w:p>
    <w:p w14:paraId="28B11C2F">
      <w:pPr>
        <w:keepNext w:val="0"/>
        <w:keepLines w:val="0"/>
        <w:pageBreakBefore w:val="0"/>
        <w:widowControl w:val="0"/>
        <w:tabs>
          <w:tab w:val="left" w:pos="945"/>
          <w:tab w:val="left" w:pos="2127"/>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1.2工程地点：</w:t>
      </w:r>
      <w:r>
        <w:rPr>
          <w:rFonts w:hint="eastAsia" w:ascii="仿宋" w:hAnsi="仿宋" w:eastAsia="仿宋" w:cs="仿宋"/>
          <w:color w:val="auto"/>
          <w:sz w:val="24"/>
          <w:szCs w:val="24"/>
          <w:lang w:eastAsia="zh-CN"/>
        </w:rPr>
        <w:t>宁波市奉化区莼湖街道中心小学</w:t>
      </w:r>
    </w:p>
    <w:p w14:paraId="1BAC5972">
      <w:pPr>
        <w:keepNext w:val="0"/>
        <w:keepLines w:val="0"/>
        <w:pageBreakBefore w:val="0"/>
        <w:widowControl w:val="0"/>
        <w:tabs>
          <w:tab w:val="left" w:pos="945"/>
          <w:tab w:val="left" w:pos="2127"/>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1.3工程范围及内容：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14:paraId="7CF965D9">
      <w:pPr>
        <w:keepNext w:val="0"/>
        <w:keepLines w:val="0"/>
        <w:pageBreakBefore w:val="0"/>
        <w:widowControl w:val="0"/>
        <w:tabs>
          <w:tab w:val="left" w:pos="945"/>
          <w:tab w:val="left" w:pos="2127"/>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1.4签约合同价：</w:t>
      </w:r>
      <w:r>
        <w:rPr>
          <w:rFonts w:hint="eastAsia" w:ascii="仿宋" w:hAnsi="仿宋" w:eastAsia="仿宋" w:cs="仿宋"/>
          <w:color w:val="auto"/>
          <w:sz w:val="24"/>
          <w:szCs w:val="24"/>
          <w:u w:val="single"/>
        </w:rPr>
        <w:t xml:space="preserve">               </w:t>
      </w:r>
    </w:p>
    <w:p w14:paraId="4A030ADE">
      <w:pPr>
        <w:keepNext w:val="0"/>
        <w:keepLines w:val="0"/>
        <w:pageBreakBefore w:val="0"/>
        <w:widowControl w:val="0"/>
        <w:tabs>
          <w:tab w:val="left" w:pos="945"/>
          <w:tab w:val="left" w:pos="2127"/>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1.5中标折扣：</w:t>
      </w:r>
      <w:r>
        <w:rPr>
          <w:rFonts w:hint="eastAsia" w:ascii="仿宋" w:hAnsi="仿宋" w:eastAsia="仿宋" w:cs="仿宋"/>
          <w:color w:val="auto"/>
          <w:sz w:val="24"/>
          <w:szCs w:val="24"/>
          <w:u w:val="single"/>
          <w:lang w:val="en-US" w:eastAsia="zh-CN"/>
        </w:rPr>
        <w:t xml:space="preserve">                 </w:t>
      </w:r>
    </w:p>
    <w:p w14:paraId="72EFA3E5">
      <w:pPr>
        <w:keepNext w:val="0"/>
        <w:keepLines w:val="0"/>
        <w:pageBreakBefore w:val="0"/>
        <w:widowControl w:val="0"/>
        <w:tabs>
          <w:tab w:val="left" w:pos="709"/>
          <w:tab w:val="left" w:pos="945"/>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承包方式：</w:t>
      </w:r>
      <w:r>
        <w:rPr>
          <w:rFonts w:hint="eastAsia" w:ascii="仿宋" w:hAnsi="仿宋" w:eastAsia="仿宋" w:cs="仿宋"/>
          <w:b/>
          <w:bCs/>
          <w:color w:val="auto"/>
          <w:sz w:val="24"/>
          <w:szCs w:val="24"/>
        </w:rPr>
        <w:t>承包人以包工包料方式。承包人不得以任何借口对单位工程或分部分项工程进行转包或擅自分包，一经发现，发包人有权发出停工指令，并扣工程签约合同价的2%作为违约金，同时单方终止合同，由此造成的一切损失由承包人负责。</w:t>
      </w:r>
    </w:p>
    <w:p w14:paraId="08980619">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2.施工准备</w:t>
      </w:r>
    </w:p>
    <w:p w14:paraId="1CCF0D6F">
      <w:pPr>
        <w:keepNext w:val="0"/>
        <w:keepLines w:val="0"/>
        <w:pageBreakBefore w:val="0"/>
        <w:widowControl w:val="0"/>
        <w:tabs>
          <w:tab w:val="left" w:pos="709"/>
          <w:tab w:val="left" w:pos="945"/>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2.1发包人</w:t>
      </w:r>
    </w:p>
    <w:p w14:paraId="691CE6DD">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2.1.1开工前，应做好施工说明书或图纸的编制与审核，认真完成项目前期论证工作。负责做好接通施工现场总的施工用电、用水的需要；</w:t>
      </w:r>
    </w:p>
    <w:p w14:paraId="4E581191">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2.1.2组织有关部门参加施工交底会议，要求承包人做好交底会议纪要。</w:t>
      </w:r>
    </w:p>
    <w:p w14:paraId="7CF08479">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2.1.3工程实施过程中，承包人如无部分工程内容相应专业资质，需专业分包的，应向发包人提交书面申请，在经发包人同意后，可将专业分包项目交给具有相应施工资质的单位。</w:t>
      </w:r>
    </w:p>
    <w:p w14:paraId="02D090FF">
      <w:pPr>
        <w:keepNext w:val="0"/>
        <w:keepLines w:val="0"/>
        <w:pageBreakBefore w:val="0"/>
        <w:widowControl w:val="0"/>
        <w:tabs>
          <w:tab w:val="left" w:pos="709"/>
          <w:tab w:val="left" w:pos="945"/>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2.2承包人</w:t>
      </w:r>
    </w:p>
    <w:p w14:paraId="1EAD52EB">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2.2.1负责施工区域的道路、临时设施、水电管线的铺设、管理、使用和维修工作；</w:t>
      </w:r>
    </w:p>
    <w:p w14:paraId="75997BDF">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2.2.2组织施工管理人员和材料、施工机械进场，合理确定场地布置图，并报发包人同意；</w:t>
      </w:r>
    </w:p>
    <w:p w14:paraId="75CD45B4">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2.2.3①施工期间水、电费按实结算，费用由承包人自行承担，直接向发包人的水、电管理部门按期支付，水电费价格按发包人的水、电管理部门规定执行，水电费价差均由承包人自行承担，发包人不另行支付。承包人未按约支付水、电费用的，发包人有权在支付工程款中直接予以扣减。此外，承包人负责做好施工期间临时供水、供电的安全使用工作。</w:t>
      </w:r>
    </w:p>
    <w:p w14:paraId="5D909C3B">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通往指定区域的通道、场地内临时及出入通道的养护及相关费用由承包人负责，工程施工期间及完工前承包人须对施工造成的原有道路、排水设施等损坏的进行修缮，恢复其原有的使用功能，并自行承担相关费用。</w:t>
      </w:r>
    </w:p>
    <w:p w14:paraId="22E14FE3">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③承包人应充分考虑与其它参建单位的协调、配合等工作，并对施工区域内的施工人员及施工人员以外的第三人的人身、财产安全尽到保护义务，发生人身、财产损害的，由承包人承担赔偿责任。</w:t>
      </w:r>
    </w:p>
    <w:p w14:paraId="143569D6">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2.2.5负责做好对分包单位和发包人另行采购项目确定的承包人现场管理工作。</w:t>
      </w:r>
    </w:p>
    <w:p w14:paraId="08ADAD50">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3.工程期限</w:t>
      </w:r>
    </w:p>
    <w:p w14:paraId="2E781275">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日历天。在具备开工条件时承包方应向发包方递交开工报告。本合同中规定按天计算时间，开始当天不计入，从次日开始计算，竣工当天计入。</w:t>
      </w:r>
    </w:p>
    <w:p w14:paraId="5D47098A">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在施工期间，发包人认为承包人现有力量明显不能满足质量和进度要求时，有权要求承包人调整、充实施工力量，承包人必须无条件接受，否则发包人有权发出停工指令，直至终止合同，由此造成的损失均由承包人承担。</w:t>
      </w:r>
    </w:p>
    <w:p w14:paraId="71A00BFE">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3.3如遇下列情况，经发包人现场代表签证后，工期相应顺延：</w:t>
      </w:r>
    </w:p>
    <w:p w14:paraId="0680347F">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3.3.1重大设计变更、设计方案改变而影响关键节点的进度；</w:t>
      </w:r>
    </w:p>
    <w:p w14:paraId="57AF2732">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3.3.2施工中，因发包人对技术联系签证不及时等非承包人的原因而影响正常施工；</w:t>
      </w:r>
    </w:p>
    <w:p w14:paraId="5BF5C2F1">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3.3.3不可抗力因素延误工期。</w:t>
      </w:r>
    </w:p>
    <w:p w14:paraId="32BC618A">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工程竣工后，承包人需要在3日历天内做好剩余物资、建施设备、临时设施等清退工作，超期按每天签约合同价的千分之一支付违约金。建筑垃圾处理需按照《宁波市建筑垃圾管理办法》执行，若承包人随意倾倒被发包人发现，发包人有权停止支付工程款直至承包人清理完随意倾倒的垃圾，同时发包人保留向有关政府部门检举的权利。</w:t>
      </w:r>
    </w:p>
    <w:p w14:paraId="60170C39">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4.工程质量</w:t>
      </w:r>
    </w:p>
    <w:p w14:paraId="6307C0D0">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4.1本工程根据国家相关质量验收标准、建设工程质量管理条例（国务院令279号）、宁波市有关建设工程质量管理规定等（各质量标准存在不一致的，以较高的为准），由发包人组织该工程进行验收评定。</w:t>
      </w:r>
    </w:p>
    <w:p w14:paraId="15BA0BE7">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4.2承包人必须严格按照相关法律法规、制度、说明文件和国家颁发的建筑工程规范、规程和标准进行施工，并接受发包人派驻代表的监管。</w:t>
      </w:r>
    </w:p>
    <w:p w14:paraId="6C00B4D1">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4.3本工程质量要求为按国家和行业施工验收规范一次性验收合格。如工程质量未达到上述合格要求的，应扣除承包人签约合同价的0.4%，还应赔偿发包人由此造成的全部经济损失。</w:t>
      </w:r>
    </w:p>
    <w:p w14:paraId="5C6162FA">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4.4承包人在施工过程中必须遵守下列规定：</w:t>
      </w:r>
    </w:p>
    <w:p w14:paraId="2DCC2917">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4.4.1主要原材料、构配件必须按有关规定提供质量合格证，或进行检验合格后方可用于工程；</w:t>
      </w:r>
    </w:p>
    <w:p w14:paraId="51612971">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4.4.2如有材料改变或代用，应经发包人派驻代表签证同意后，方可用于工程；</w:t>
      </w:r>
    </w:p>
    <w:p w14:paraId="0AFB35B3">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4.4.3隐蔽工程的验收：承包人应提前24小时以书面形式通知发包人。经发包人代表检查验收签章后，方可进行下一道工序；</w:t>
      </w:r>
    </w:p>
    <w:p w14:paraId="11EB82AF">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4.4.4承包人应按质量验评标准对工程进行分项、分部和单位工程质量评定，并及时将单位工程质量评定结果报送发包人核实签证，由发包人组织检查验收；</w:t>
      </w:r>
    </w:p>
    <w:p w14:paraId="52331086">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4.4.5承包人应在工程验收前整理好验收资料，连同竣工报告一起提交发包人，发包人在收到以上资料并经审核确认无误后，将组织竣工验收，否则不予验收；</w:t>
      </w:r>
    </w:p>
    <w:p w14:paraId="03E502E3">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4.4.6项目未经验收，发包人不得使用，如特殊情况，须双方协商，并办妥相关手续；</w:t>
      </w:r>
    </w:p>
    <w:p w14:paraId="1C92A28C">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4.4.7承包人延误工期，发包人按每天2000元的标准对其进行扣罚，扣罚限额为签约合同价的</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%。工期延误超过10天的，发包人有权单方解除合同并要求承包人承担签约合同价的5％作为违约金，违约金不足以弥补发包人因此遭受的损失的，承包人还应承担赔偿责任；</w:t>
      </w:r>
    </w:p>
    <w:p w14:paraId="7E80EAF6">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4.4.8承包人必须做好安全施工、文明施工，同时遵守甲方安全保卫部门有关规定，及时办理相关手续，若因承包人未能履行前述义务导致发包人或第三方遭受任何损失的，承包人应当承担全部赔偿责任。且一经发现承包人未履行安全文明施工义务的，发包人有权对其扣罚签约合同价的</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%作为违约金；</w:t>
      </w:r>
    </w:p>
    <w:p w14:paraId="4AA26F7E">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4.4.9项目经理及主要施工管理人员未履行到现场承诺的，承包人将被扣罚签约合同价的0.4%，发包人有权要求更换项目经理或者管理人员，继任项目经理或者管理人员的资质不得低于前任，且应事先取得发包人的书面批准认可。如不改正，发包人有权解除合同并要求承包人赔偿由此遭受的全部损失；</w:t>
      </w:r>
    </w:p>
    <w:p w14:paraId="2839A748">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4.4.10未履行机械设备到场承诺，扣签约合同价的0.4%作为违约金；</w:t>
      </w:r>
    </w:p>
    <w:p w14:paraId="4B50C1BF">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4.4.11因承包人原因造成本合同无法履行时，发包人有权解除或终止本合同，由此造成和各项损失均由承包人承担；</w:t>
      </w:r>
    </w:p>
    <w:p w14:paraId="1439F84F">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4.4.12因承包人违约，发包人解除合同的，承包人须在10日内撤出施工现场的所有机械、材料、人员，并向发包人移交施工资料。承包人未按约定撤出施工现场的，发包人有权将机械、材料清理出施工现场，由此产生的费用、造成的损失由承包人承担，且发包人有权拒绝支付承包人已完工程的工程款；</w:t>
      </w:r>
    </w:p>
    <w:p w14:paraId="595D4396">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4.4.13前述违约金从工程款中直接扣除。</w:t>
      </w:r>
    </w:p>
    <w:p w14:paraId="3A49EDE6">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4.5建筑材料、设备的供应、验收和差价处理</w:t>
      </w:r>
    </w:p>
    <w:p w14:paraId="473989C2">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4.5.1承包人用于本工程的建筑材料必须与其响应文件中的品牌、型号和价格相符合，如响应文件中无规定品牌、型号的，用于本工程的材料价格应不低于响应文件中该项材料的价格标准。</w:t>
      </w:r>
    </w:p>
    <w:p w14:paraId="4AA8E629">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4.5.2承包人采购的材料、设备，必须附有产品合格证才能用于工程，对提供的材料需要复验的，应允许复验。经复验符合质量要求的，方可用于工程，其复验费由要求复验方承担；不符合质量要求的，作退场处理，其复验费由承包人承担。承包人应提供主要材料（产地、质量、规格、颜色、等级）样品经发包人认可后方能使用，否则，因质量问题造成的返工损失由承包人自行负责。</w:t>
      </w:r>
    </w:p>
    <w:p w14:paraId="0C63A3D5">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4.5.3承包人采购材料设备的约定：工程所需材料，均应提前10天提供样品，标明产地、规格、色质、品种、价格，报发包人、设计，确认后方能进场使用，若发包人对施工方提供的样品不满意，发包人有权在响应报价范围内指定材料。承包人使用不合格产品除无条件返工外，并承担发包人由此造成的一切损失。承包人若未经发包人确认，所采购的材料、设备发包人有权让承包人更换，由此产生的一切损失由承包人承担。</w:t>
      </w:r>
    </w:p>
    <w:p w14:paraId="3A8F9BCE">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4.5.4对承包人采购的设备材料的特殊要求：</w:t>
      </w:r>
    </w:p>
    <w:p w14:paraId="3F0E9B43">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承包人在定购材料前，其品牌和质量，需得到发包人认可，并应向发包人提供主要材料样品（封样）。价高量大或重要材料，承包人在采购前报计划给发包人，发包人派人员参加选点、看样、订货，并由发包人（或其委托的咨询单位）签证确认。</w:t>
      </w:r>
    </w:p>
    <w:p w14:paraId="74F99989">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承包人采购的材料的品牌必须和磋商响应承诺的品牌、规格、型号一致。材料品牌更换均须经发包人签证认可后方可更换使用，且高于磋商报价的价格均不予调整，否则发包人有权要求作清退，所有损失由承包人承担。承包人在确定供货厂家前，需提前15天报发包人审查并经得发包人同意，并需配合发包人对材料供应单位进行实地考察。承包人所采购的材料设备如与设计文件及发包人核价产品的品牌（型号、标号）、规格、品质等级不符合时，发包人有权要求作清退，所有损失由承包人承担。</w:t>
      </w:r>
    </w:p>
    <w:p w14:paraId="58D381AE">
      <w:pPr>
        <w:keepNext w:val="0"/>
        <w:keepLines w:val="0"/>
        <w:pageBreakBefore w:val="0"/>
        <w:widowControl w:val="0"/>
        <w:tabs>
          <w:tab w:val="left" w:pos="851"/>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4.6工程变更</w:t>
      </w:r>
    </w:p>
    <w:p w14:paraId="090EA864">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4.6.1开工前由发包人签署的施工说明书或图纸及组织会审作出的施工纪要，作为施工的有效依据，承包人不得擅自修改。</w:t>
      </w:r>
    </w:p>
    <w:p w14:paraId="6457924E">
      <w:pPr>
        <w:keepNext w:val="0"/>
        <w:keepLines w:val="0"/>
        <w:pageBreakBefore w:val="0"/>
        <w:widowControl w:val="0"/>
        <w:tabs>
          <w:tab w:val="left" w:pos="1134"/>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4.6.2施工中如发现技术交底有错误或不合理的地方，承包人及时以书面形式通知发包人，发包人应及时会同有关单位研究修改意见，承包人应按修改或变更的文件进行施工。</w:t>
      </w:r>
    </w:p>
    <w:p w14:paraId="0D39C46D">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5.合同价款与支付</w:t>
      </w:r>
    </w:p>
    <w:p w14:paraId="20B0C3D6">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5.1合同价及调整</w:t>
      </w:r>
    </w:p>
    <w:p w14:paraId="684C4B86">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 本合同价采用</w:t>
      </w:r>
      <w:r>
        <w:rPr>
          <w:rFonts w:hint="eastAsia" w:ascii="仿宋" w:hAnsi="仿宋" w:eastAsia="仿宋" w:cs="仿宋"/>
          <w:color w:val="auto"/>
          <w:sz w:val="24"/>
          <w:szCs w:val="24"/>
          <w:u w:val="single"/>
          <w:shd w:val="pct10" w:color="auto" w:fill="FFFFFF"/>
        </w:rPr>
        <w:t xml:space="preserve"> 单价合同 </w:t>
      </w:r>
      <w:r>
        <w:rPr>
          <w:rFonts w:hint="eastAsia" w:ascii="仿宋" w:hAnsi="仿宋" w:eastAsia="仿宋" w:cs="仿宋"/>
          <w:color w:val="auto"/>
          <w:sz w:val="24"/>
          <w:szCs w:val="24"/>
        </w:rPr>
        <w:t>方式确定。</w:t>
      </w:r>
    </w:p>
    <w:p w14:paraId="512D3E9C">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5.1.2 在合同期内发生下列4条情况，合同价格可以调整：</w:t>
      </w:r>
    </w:p>
    <w:p w14:paraId="602D37C8">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（1）设计变更、现场签证及工程内容取消引起的工程项目；</w:t>
      </w:r>
    </w:p>
    <w:p w14:paraId="7BCEEC70">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（2）暂定材料或暂估价调整方法；</w:t>
      </w:r>
    </w:p>
    <w:p w14:paraId="62E522D9">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（3）措施费调整方法；</w:t>
      </w:r>
    </w:p>
    <w:p w14:paraId="4B240A0B">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Style w:val="21"/>
          <w:rFonts w:hint="eastAsia" w:ascii="仿宋" w:hAnsi="仿宋" w:eastAsia="仿宋" w:cs="仿宋"/>
          <w:color w:val="auto"/>
          <w:sz w:val="24"/>
          <w:szCs w:val="24"/>
        </w:rPr>
      </w:pPr>
      <w:r>
        <w:rPr>
          <w:rFonts w:hint="eastAsia" w:ascii="仿宋" w:hAnsi="仿宋" w:eastAsia="仿宋" w:cs="仿宋"/>
          <w:color w:val="auto"/>
          <w:sz w:val="24"/>
          <w:szCs w:val="24"/>
        </w:rPr>
        <w:t>（4）双方约定合同价的其他调整因素。</w:t>
      </w:r>
    </w:p>
    <w:p w14:paraId="3A61C934">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5.1.3调整费用按以下方法确定：</w:t>
      </w:r>
    </w:p>
    <w:p w14:paraId="34053155">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5.1.3.1设计变更、现场签证及工程内容取消引起的工程项目</w:t>
      </w:r>
    </w:p>
    <w:p w14:paraId="2B113CE4">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5.1.3.1.1设计变更、现场签证及工程内容取消引起的分部分项工程量清单项目工程数量的增减，除下列情况外执行合同原有的价格（合同原有的价格指承包人响应时的综合单价，下同）：</w:t>
      </w:r>
    </w:p>
    <w:p w14:paraId="1562D600">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凡合价金额占签约合同价2%及以上的分部分项清单项目，其工程量增减超过本项工程量15%及以上时，其增加部分工程量或减少后剩余部分工程量的相应单价应予调整。</w:t>
      </w:r>
    </w:p>
    <w:p w14:paraId="35A00614">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5.1.3.1.2设计变更及现场签证引起新的工程项目，其相应单价的确定方法为：</w:t>
      </w:r>
    </w:p>
    <w:p w14:paraId="24BA2918">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合同中有相同或类似工程项目单价的，按照合同中相同或类似项目的单价计算确定（合同中存在二个及以上类似工程项目且单价不同时，以其中价格最低的单价为准）；</w:t>
      </w:r>
    </w:p>
    <w:p w14:paraId="3974ECDE">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合同中既没有相同也没有类似工程项目单价的，由承包人根据变更资料、计量规则、计价办法、响应文件或施工合同价格单价分析表中的工料机单价和各项取费标准并按成交浮动率</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计算。</w:t>
      </w:r>
    </w:p>
    <w:p w14:paraId="783E01FD">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5.1.3.1.3本合同计价依据：</w:t>
      </w:r>
    </w:p>
    <w:p w14:paraId="3DB7840C">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bookmarkStart w:id="398" w:name="_Hlk65677833"/>
      <w:r>
        <w:rPr>
          <w:rFonts w:hint="eastAsia" w:ascii="仿宋" w:hAnsi="仿宋" w:eastAsia="仿宋" w:cs="仿宋"/>
          <w:color w:val="auto"/>
          <w:sz w:val="24"/>
          <w:szCs w:val="24"/>
        </w:rPr>
        <w:t>①计价依据：(1)</w:t>
      </w:r>
      <w:r>
        <w:rPr>
          <w:rFonts w:hint="eastAsia" w:ascii="仿宋" w:hAnsi="仿宋" w:eastAsia="仿宋" w:cs="仿宋"/>
          <w:color w:val="auto"/>
          <w:sz w:val="24"/>
          <w:szCs w:val="24"/>
          <w:lang w:val="en-US" w:eastAsia="zh-CN"/>
        </w:rPr>
        <w:t>宁波市奉化区莼湖街道中心小学提供的由自然空间（浙江）规划建筑设计有限公司设计的本工程施工图纸。</w:t>
      </w:r>
    </w:p>
    <w:p w14:paraId="55AD1B5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建设工程工程量清单计价规范》（GB50500-2013版）（浙江省计价表式），《房屋建筑与装饰工程工程量计算规范》（GB50854-2013版），《市政工程工程量计算规范》（GB50857-2013版），《园林绿化工程工程量计算规范》（GB50858-2013），《通用安装工程工程量计算规范》（GB50856-2013版）</w:t>
      </w:r>
      <w:r>
        <w:rPr>
          <w:rFonts w:hint="eastAsia" w:ascii="仿宋" w:hAnsi="仿宋" w:eastAsia="仿宋" w:cs="仿宋"/>
          <w:color w:val="auto"/>
          <w:sz w:val="24"/>
          <w:szCs w:val="24"/>
        </w:rPr>
        <w:t>及相关补充规定。</w:t>
      </w:r>
    </w:p>
    <w:p w14:paraId="67D668ED">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《宁波市住房和城乡建设局转发省建设厅关于调整建筑工程安全文明施工费的通知》(甬建发[2022]34号)</w:t>
      </w:r>
    </w:p>
    <w:p w14:paraId="1C29021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《关于增值税调整后我省建设工程计价依据增值税税率及有关计价调整的通知》（浙建建发[2019]92号）。</w:t>
      </w:r>
    </w:p>
    <w:p w14:paraId="2FFE0D2D">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《关于印发宁波市房屋建筑与市政基础设施工程安全生产责任保险费用计取的通知》（市建管〔2024〕12号）。</w:t>
      </w:r>
    </w:p>
    <w:p w14:paraId="4D99FCA9">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《关于印发宁波市建筑工程垂直运输机械保险增加费计价规定的通知》（甬建价[2019]12号）。</w:t>
      </w:r>
    </w:p>
    <w:p w14:paraId="74FF3E40">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《关于明确宁波市中心城区建筑渣土处置费作为非竞争性费用列入工程造价等有关计价问题的通知》(甬建价[2019] 1号)。</w:t>
      </w:r>
    </w:p>
    <w:p w14:paraId="337E944E">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采用国标清单计价。</w:t>
      </w:r>
    </w:p>
    <w:p w14:paraId="2564D499">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w:t>
      </w:r>
      <w:bookmarkEnd w:id="398"/>
      <w:r>
        <w:rPr>
          <w:rFonts w:hint="eastAsia" w:ascii="仿宋" w:hAnsi="仿宋" w:eastAsia="仿宋" w:cs="仿宋"/>
          <w:color w:val="auto"/>
          <w:sz w:val="24"/>
          <w:szCs w:val="24"/>
        </w:rPr>
        <w:t>工程取费标准：(1)工程企业管理费及利润费率：房屋建筑与装饰工程按单独装饰工程中值计取；电气工程、给排水工程按水、电、暖通、消防、智能、自控及通信安装工程中值计取；市政工程按道路、排水、河道护岸、水处理构筑物及城市综合管廊、生活垃圾处理工程中值计取；其中安全文明施工费按各市区一般工程中值计取，施工组织措施费按各工程中值计取，其中：安全文明施工费根据《宁波市住房和城乡建设局转发省建设厅关于调整建筑工程安全文明施工费的通知》(甬建发[2022]34号)计取，安全生产责任保险费根据《关于印发宁波市房屋建筑与市政基础设施工程安全生产责任保险费用计取的通知》(市建管〔2024〕12号)计取。</w:t>
      </w:r>
    </w:p>
    <w:p w14:paraId="35EF6F7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(3)冬雨季施工增加费费率按各专业中值计取，不计二次搬运费、提前竣工增加费、行车行人干扰增加费、其他施工组织增加费、标化工地增加费和优质工程增加费。</w:t>
      </w:r>
    </w:p>
    <w:p w14:paraId="5F25CAE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(4)规费按《浙江省建设工程计价规则》(2018版)相应专业工程规费费率的30%计取。</w:t>
      </w:r>
    </w:p>
    <w:p w14:paraId="542D7D94">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③</w:t>
      </w:r>
      <w:r>
        <w:rPr>
          <w:rFonts w:hint="eastAsia" w:ascii="仿宋" w:hAnsi="仿宋" w:eastAsia="仿宋" w:cs="仿宋"/>
          <w:color w:val="auto"/>
          <w:sz w:val="24"/>
          <w:szCs w:val="24"/>
          <w:lang w:eastAsia="zh-CN"/>
        </w:rPr>
        <w:t>人工信息价：人工、材料价格根据《宁波建设工程造价信息》(综合版)2025年5月刊奉化区、宁波市区除税信息价，苗木价格按《宁波市建设工程造价信息》苗木专刊2025年3月除税信息价，无材料信息价的根据《浙江造价信息》2025年4月刊除税信息价计取，以上均无的材料按除税市场价计入。</w:t>
      </w:r>
    </w:p>
    <w:p w14:paraId="7AB5AAE7">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lang w:eastAsia="zh-CN"/>
        </w:rPr>
        <w:t>采用一般计税法，税金按9%计入。</w:t>
      </w:r>
    </w:p>
    <w:p w14:paraId="5F43F90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5.1.3.2暂定材料或暂估价调整方法</w:t>
      </w:r>
    </w:p>
    <w:p w14:paraId="73705D8A">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5.1.3.2.1暂定材料、设备价格按发包人签证的价格结算，</w:t>
      </w:r>
      <w:r>
        <w:rPr>
          <w:rFonts w:hint="eastAsia" w:ascii="仿宋" w:hAnsi="仿宋" w:eastAsia="仿宋" w:cs="仿宋"/>
          <w:bCs/>
          <w:color w:val="auto"/>
          <w:sz w:val="24"/>
          <w:szCs w:val="24"/>
        </w:rPr>
        <w:t>并按成交浮动率</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计算</w:t>
      </w:r>
      <w:r>
        <w:rPr>
          <w:rFonts w:hint="eastAsia" w:ascii="仿宋" w:hAnsi="仿宋" w:eastAsia="仿宋" w:cs="仿宋"/>
          <w:color w:val="auto"/>
          <w:sz w:val="24"/>
          <w:szCs w:val="24"/>
        </w:rPr>
        <w:t>。暂定材料设备价格结算时调整方法：每项暂定材料设备价格调整金额=[发包人签证的材料设备价格×</w:t>
      </w:r>
      <w:r>
        <w:rPr>
          <w:rFonts w:hint="eastAsia" w:ascii="仿宋" w:hAnsi="仿宋" w:eastAsia="仿宋" w:cs="仿宋"/>
          <w:bCs/>
          <w:color w:val="auto"/>
          <w:sz w:val="24"/>
          <w:szCs w:val="24"/>
        </w:rPr>
        <w:t>成交浮动率</w:t>
      </w:r>
      <w:r>
        <w:rPr>
          <w:rFonts w:hint="eastAsia" w:ascii="仿宋" w:hAnsi="仿宋" w:eastAsia="仿宋" w:cs="仿宋"/>
          <w:color w:val="auto"/>
          <w:sz w:val="24"/>
          <w:szCs w:val="24"/>
        </w:rPr>
        <w:t>－暂定价]×单位定额用量×经发包人确认的工程量，并按规定计取相应税金。暂定材料、设备价格最终以发包人或其委托的造价咨询单位单位审定价格为准。</w:t>
      </w:r>
    </w:p>
    <w:p w14:paraId="5E33135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5.1.3.2.2专业工程暂估价调整方法</w:t>
      </w:r>
    </w:p>
    <w:p w14:paraId="456545CF">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按第5.1.3.1.2执行。</w:t>
      </w:r>
    </w:p>
    <w:p w14:paraId="3A4731C7">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5.1.3.3本项目的措施费按施工图（含工程量清单）范围中的内容一次性包干，因设计变更、现场签证等一切原因而引起的技术措施费按实调整，施工组织措施费一律不作调整。</w:t>
      </w:r>
    </w:p>
    <w:p w14:paraId="4DAFA1E9">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5.1.3.4双方约定合同价的其他调整因素：属于不可抗力因素造成承包人的直接损失，按《建设工程施工合同（示范文本）》（GF-2017-0201）通用条款精神办理，发包人将根据实际情况给予一定的工期顺延，但费用不予补偿。但属应该预见而承包人没有及时预防或预防不力造成的损失，工期不得顺延，属施工技术组织措施失误造成的费用、工期损失由承包人承担。</w:t>
      </w:r>
    </w:p>
    <w:p w14:paraId="5F67EFD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5.1.3.5通过采购方式确定的价格，经发包人确认后不下浮。</w:t>
      </w:r>
    </w:p>
    <w:p w14:paraId="567D9BEE">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5.2工程预付款</w:t>
      </w:r>
    </w:p>
    <w:p w14:paraId="4103E78F">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合同总价的</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在</w:t>
      </w:r>
      <w:r>
        <w:rPr>
          <w:rFonts w:hint="eastAsia" w:ascii="仿宋" w:hAnsi="仿宋" w:eastAsia="仿宋" w:cs="仿宋"/>
          <w:color w:val="auto"/>
          <w:sz w:val="24"/>
          <w:szCs w:val="24"/>
        </w:rPr>
        <w:t>合同生效以及具备实施条件后7个工作日内支付。</w:t>
      </w:r>
    </w:p>
    <w:p w14:paraId="60B60273">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5.3工程款(进度款)支付</w:t>
      </w:r>
    </w:p>
    <w:p w14:paraId="6CD47F80">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待工程交工验收合格后支付至合同价款的</w:t>
      </w:r>
      <w:r>
        <w:rPr>
          <w:rFonts w:hint="eastAsia" w:ascii="仿宋" w:hAnsi="仿宋" w:eastAsia="仿宋" w:cs="仿宋"/>
          <w:b/>
          <w:bCs/>
          <w:color w:val="auto"/>
          <w:sz w:val="24"/>
          <w:szCs w:val="24"/>
          <w:lang w:val="en-US" w:eastAsia="zh-CN"/>
        </w:rPr>
        <w:t>85</w:t>
      </w:r>
      <w:r>
        <w:rPr>
          <w:rFonts w:hint="eastAsia" w:ascii="仿宋" w:hAnsi="仿宋" w:eastAsia="仿宋" w:cs="仿宋"/>
          <w:b/>
          <w:bCs/>
          <w:color w:val="auto"/>
          <w:sz w:val="24"/>
          <w:szCs w:val="24"/>
        </w:rPr>
        <w:t>%（含农民工工资性进度款），余款待审计结束后支付至结算审定价款的98.5%，扣留结算审定价款的1.5%作为工程质量保修金，待保修期满后退还。</w:t>
      </w:r>
    </w:p>
    <w:p w14:paraId="6D9A3D6D">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6.竣工验收与结算</w:t>
      </w:r>
    </w:p>
    <w:p w14:paraId="63E395DB">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供竣工资料的约定：工程具备竣工初验收条件时，承包人应向发包人提供完整的竣工资料3套，发包人在收到竣工验收报告并审核合格后10个日历天内组织有关单位进行竣工验收。承包人在工程竣工验收合格后30个日历天内，将真实完整的竣工结算资料（含电子光盘CAD竣工图）一式三份送交发包人。发包人或其委托的造价咨询单位对承包人递交的竣工结算资料进行结算审核。</w:t>
      </w:r>
    </w:p>
    <w:p w14:paraId="1BA2305F">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7.工程质量保修范围和内容</w:t>
      </w:r>
    </w:p>
    <w:p w14:paraId="379CA307">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7.1承包人在质量保修期内,按照有关法律、法规、规章的管理规定和双方约定，承担本工程质量保修责任。质量保修期从工程竣工验收合格之日起计算。</w:t>
      </w:r>
    </w:p>
    <w:p w14:paraId="5AD01C53">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7.2双方根据《建设工程质量管理条例》及有关规定，约定本工程的质量保修期如下：</w:t>
      </w:r>
    </w:p>
    <w:p w14:paraId="1FA1BE6A">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7.2.1</w:t>
      </w:r>
      <w:r>
        <w:rPr>
          <w:rFonts w:hint="eastAsia" w:ascii="仿宋" w:hAnsi="仿宋" w:eastAsia="仿宋" w:cs="仿宋"/>
          <w:color w:val="auto"/>
          <w:sz w:val="24"/>
          <w:szCs w:val="24"/>
          <w:lang w:val="en-US" w:eastAsia="zh-CN"/>
        </w:rPr>
        <w:t>保修期</w:t>
      </w:r>
      <w:r>
        <w:rPr>
          <w:rFonts w:hint="eastAsia" w:ascii="仿宋" w:hAnsi="仿宋" w:eastAsia="仿宋" w:cs="仿宋"/>
          <w:color w:val="auto"/>
          <w:sz w:val="24"/>
          <w:szCs w:val="24"/>
        </w:rPr>
        <w:t>为2年；</w:t>
      </w:r>
    </w:p>
    <w:p w14:paraId="4DB467F8">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7.2.3在保修期内的维修项目经维修后仍存在质量问题,其保修期限应从维修之日重新计算。</w:t>
      </w:r>
    </w:p>
    <w:p w14:paraId="082B14E4">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7.2.4承包人应在接到发包人维修通知时起24小时内完成修理，若24小时内无法修复的，应48小时内提供相应备用设备并负责安装调试。逾期发包人可自行委托第三方维修，由此产生的一切费用由承包人承担，发包人有权从质保金中直接予以扣除，不足部分承包人仍应承担责任。</w:t>
      </w:r>
    </w:p>
    <w:p w14:paraId="74C1A4BB">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7.3双方约定的其他工程质量保修事项：</w:t>
      </w:r>
    </w:p>
    <w:p w14:paraId="14166306">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7.3.1质量保修金为结算造价的1.5%；</w:t>
      </w:r>
    </w:p>
    <w:p w14:paraId="66EAA9FB">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7.3.2工程竣工验收合格满两年后，质量保修金予以结算退还（无息）；</w:t>
      </w:r>
    </w:p>
    <w:p w14:paraId="01ED9193">
      <w:pPr>
        <w:keepNext w:val="0"/>
        <w:keepLines w:val="0"/>
        <w:pageBreakBefore w:val="0"/>
        <w:widowControl w:val="0"/>
        <w:tabs>
          <w:tab w:val="left" w:pos="1418"/>
        </w:tabs>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7.3.3暂扣的质量保修金均不计利息。</w:t>
      </w:r>
    </w:p>
    <w:p w14:paraId="4BC04153">
      <w:pPr>
        <w:keepNext w:val="0"/>
        <w:keepLines w:val="0"/>
        <w:pageBreakBefore w:val="0"/>
        <w:widowControl w:val="0"/>
        <w:numPr>
          <w:ilvl w:val="0"/>
          <w:numId w:val="0"/>
        </w:numPr>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8.</w:t>
      </w:r>
      <w:r>
        <w:rPr>
          <w:rFonts w:hint="eastAsia" w:ascii="仿宋" w:hAnsi="仿宋" w:eastAsia="仿宋" w:cs="仿宋"/>
          <w:b/>
          <w:bCs/>
          <w:color w:val="auto"/>
          <w:sz w:val="24"/>
          <w:szCs w:val="24"/>
          <w:lang w:val="en-US" w:eastAsia="zh-CN"/>
        </w:rPr>
        <w:t>履约担保</w:t>
      </w:r>
    </w:p>
    <w:p w14:paraId="1D3E4747">
      <w:pPr>
        <w:keepNext w:val="0"/>
        <w:keepLines w:val="0"/>
        <w:pageBreakBefore w:val="0"/>
        <w:widowControl w:val="0"/>
        <w:numPr>
          <w:ilvl w:val="0"/>
          <w:numId w:val="0"/>
        </w:numPr>
        <w:tabs>
          <w:tab w:val="left" w:pos="709"/>
        </w:tabs>
        <w:kinsoku/>
        <w:wordWrap/>
        <w:overflowPunct/>
        <w:topLinePunct w:val="0"/>
        <w:bidi w:val="0"/>
        <w:adjustRightInd w:val="0"/>
        <w:snapToGrid w:val="0"/>
        <w:spacing w:line="440" w:lineRule="exact"/>
        <w:ind w:firstLine="480" w:firstLineChars="200"/>
        <w:textAlignment w:val="auto"/>
        <w:rPr>
          <w:rFonts w:hint="default" w:ascii="仿宋" w:hAnsi="仿宋" w:eastAsia="仿宋" w:cs="仿宋"/>
          <w:b/>
          <w:bCs/>
          <w:color w:val="auto"/>
          <w:sz w:val="24"/>
          <w:szCs w:val="24"/>
          <w:lang w:val="en-US" w:eastAsia="zh-CN"/>
        </w:rPr>
      </w:pPr>
      <w:r>
        <w:rPr>
          <w:rFonts w:hint="default" w:ascii="仿宋" w:hAnsi="仿宋" w:eastAsia="仿宋" w:cs="仿宋"/>
          <w:b w:val="0"/>
          <w:bCs w:val="0"/>
          <w:color w:val="auto"/>
          <w:sz w:val="24"/>
          <w:szCs w:val="24"/>
          <w:lang w:val="en-US" w:eastAsia="zh-CN"/>
        </w:rPr>
        <w:t>履约保证金：在签订本合同前，承包人应按合同价款的</w:t>
      </w:r>
      <w:r>
        <w:rPr>
          <w:rFonts w:hint="eastAsia" w:ascii="仿宋" w:hAnsi="仿宋" w:eastAsia="仿宋" w:cs="仿宋"/>
          <w:b w:val="0"/>
          <w:bCs w:val="0"/>
          <w:color w:val="auto"/>
          <w:sz w:val="24"/>
          <w:szCs w:val="24"/>
          <w:lang w:val="en-US" w:eastAsia="zh-CN"/>
        </w:rPr>
        <w:t>1%</w:t>
      </w:r>
      <w:r>
        <w:rPr>
          <w:rFonts w:hint="default" w:ascii="仿宋" w:hAnsi="仿宋" w:eastAsia="仿宋" w:cs="仿宋"/>
          <w:b w:val="0"/>
          <w:bCs w:val="0"/>
          <w:color w:val="auto"/>
          <w:sz w:val="24"/>
          <w:szCs w:val="24"/>
          <w:lang w:val="en-US" w:eastAsia="zh-CN"/>
        </w:rPr>
        <w:t>向发包人提交履约保证金。</w:t>
      </w:r>
      <w:r>
        <w:rPr>
          <w:rFonts w:hint="default" w:ascii="仿宋" w:hAnsi="仿宋" w:eastAsia="仿宋" w:cs="仿宋"/>
          <w:b/>
          <w:bCs/>
          <w:color w:val="auto"/>
          <w:sz w:val="24"/>
          <w:szCs w:val="24"/>
          <w:lang w:val="en-US" w:eastAsia="zh-CN"/>
        </w:rPr>
        <w:t xml:space="preserve"> </w:t>
      </w:r>
    </w:p>
    <w:p w14:paraId="57BC03A5">
      <w:pPr>
        <w:keepNext w:val="0"/>
        <w:keepLines w:val="0"/>
        <w:pageBreakBefore w:val="0"/>
        <w:widowControl w:val="0"/>
        <w:tabs>
          <w:tab w:val="left" w:pos="709"/>
        </w:tabs>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bCs/>
          <w:color w:val="auto"/>
          <w:sz w:val="24"/>
          <w:szCs w:val="24"/>
        </w:rPr>
      </w:pPr>
      <w:r>
        <w:rPr>
          <w:rFonts w:hint="default" w:ascii="仿宋" w:hAnsi="仿宋" w:eastAsia="仿宋" w:cs="仿宋"/>
          <w:b/>
          <w:bCs/>
          <w:color w:val="auto"/>
          <w:kern w:val="2"/>
          <w:sz w:val="24"/>
          <w:szCs w:val="24"/>
          <w:lang w:val="en-US" w:eastAsia="zh-CN" w:bidi="ar-SA"/>
        </w:rPr>
        <w:t>9.</w:t>
      </w:r>
      <w:r>
        <w:rPr>
          <w:rFonts w:hint="eastAsia" w:ascii="仿宋" w:hAnsi="仿宋" w:eastAsia="仿宋" w:cs="仿宋"/>
          <w:b/>
          <w:bCs/>
          <w:color w:val="auto"/>
          <w:sz w:val="24"/>
          <w:szCs w:val="24"/>
        </w:rPr>
        <w:t>其他</w:t>
      </w:r>
    </w:p>
    <w:p w14:paraId="21434F0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.1合同份数</w:t>
      </w:r>
    </w:p>
    <w:p w14:paraId="3A12115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本合同一式陆份，发包人及承包人各执叁份，均具有同等法律效力，经双方签章并签字之日起生效。</w:t>
      </w:r>
    </w:p>
    <w:p w14:paraId="3CD56DEB">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.2争议双方约定，在履行合同过程中产生争议时：由双方当事人协商解决，协商解决不成依法向项目工程所在地人民法院提起诉讼。</w:t>
      </w:r>
    </w:p>
    <w:p w14:paraId="6167E34B">
      <w:pPr>
        <w:pStyle w:val="5"/>
        <w:rPr>
          <w:rFonts w:hint="eastAsia" w:ascii="仿宋" w:hAnsi="仿宋" w:eastAsia="仿宋" w:cs="仿宋"/>
          <w:color w:val="auto"/>
          <w:szCs w:val="24"/>
        </w:rPr>
      </w:pPr>
    </w:p>
    <w:tbl>
      <w:tblPr>
        <w:tblStyle w:val="18"/>
        <w:tblpPr w:leftFromText="180" w:rightFromText="180" w:vertAnchor="text" w:horzAnchor="margin" w:tblpX="-350" w:tblpY="370"/>
        <w:tblOverlap w:val="never"/>
        <w:tblW w:w="0" w:type="auto"/>
        <w:tblInd w:w="0" w:type="dxa"/>
        <w:tblLayout w:type="fixed"/>
        <w:tblCellMar>
          <w:top w:w="0" w:type="dxa"/>
          <w:left w:w="108" w:type="dxa"/>
          <w:bottom w:w="0" w:type="dxa"/>
          <w:right w:w="108" w:type="dxa"/>
        </w:tblCellMar>
      </w:tblPr>
      <w:tblGrid>
        <w:gridCol w:w="4911"/>
        <w:gridCol w:w="4560"/>
      </w:tblGrid>
      <w:tr w14:paraId="11B8C8BA">
        <w:tblPrEx>
          <w:tblCellMar>
            <w:top w:w="0" w:type="dxa"/>
            <w:left w:w="108" w:type="dxa"/>
            <w:bottom w:w="0" w:type="dxa"/>
            <w:right w:w="108" w:type="dxa"/>
          </w:tblCellMar>
        </w:tblPrEx>
        <w:trPr>
          <w:trHeight w:val="627" w:hRule="atLeast"/>
        </w:trPr>
        <w:tc>
          <w:tcPr>
            <w:tcW w:w="4911" w:type="dxa"/>
            <w:noWrap w:val="0"/>
            <w:vAlign w:val="center"/>
          </w:tcPr>
          <w:p w14:paraId="6F1B0E30">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发包人（全称）：            （公章）</w:t>
            </w:r>
          </w:p>
        </w:tc>
        <w:tc>
          <w:tcPr>
            <w:tcW w:w="4560" w:type="dxa"/>
            <w:noWrap w:val="0"/>
            <w:vAlign w:val="center"/>
          </w:tcPr>
          <w:p w14:paraId="324F3D1D">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承包人（全称）：           （公章）</w:t>
            </w:r>
          </w:p>
        </w:tc>
      </w:tr>
      <w:tr w14:paraId="015F8FB1">
        <w:tblPrEx>
          <w:tblCellMar>
            <w:top w:w="0" w:type="dxa"/>
            <w:left w:w="108" w:type="dxa"/>
            <w:bottom w:w="0" w:type="dxa"/>
            <w:right w:w="108" w:type="dxa"/>
          </w:tblCellMar>
        </w:tblPrEx>
        <w:trPr>
          <w:trHeight w:val="627" w:hRule="atLeast"/>
        </w:trPr>
        <w:tc>
          <w:tcPr>
            <w:tcW w:w="4911" w:type="dxa"/>
            <w:noWrap w:val="0"/>
            <w:vAlign w:val="center"/>
          </w:tcPr>
          <w:p w14:paraId="04A1E5EA">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法定代表人或委托代表人：</w:t>
            </w:r>
          </w:p>
        </w:tc>
        <w:tc>
          <w:tcPr>
            <w:tcW w:w="4560" w:type="dxa"/>
            <w:noWrap w:val="0"/>
            <w:vAlign w:val="center"/>
          </w:tcPr>
          <w:p w14:paraId="00A1F8E8">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法定代表人或委托代表人：</w:t>
            </w:r>
          </w:p>
        </w:tc>
      </w:tr>
      <w:tr w14:paraId="7CAF9209">
        <w:tblPrEx>
          <w:tblCellMar>
            <w:top w:w="0" w:type="dxa"/>
            <w:left w:w="108" w:type="dxa"/>
            <w:bottom w:w="0" w:type="dxa"/>
            <w:right w:w="108" w:type="dxa"/>
          </w:tblCellMar>
        </w:tblPrEx>
        <w:trPr>
          <w:trHeight w:val="627" w:hRule="atLeast"/>
        </w:trPr>
        <w:tc>
          <w:tcPr>
            <w:tcW w:w="4911" w:type="dxa"/>
            <w:noWrap w:val="0"/>
            <w:vAlign w:val="center"/>
          </w:tcPr>
          <w:p w14:paraId="027E6089">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kern w:val="0"/>
                <w:sz w:val="24"/>
                <w:szCs w:val="24"/>
              </w:rPr>
              <w:t xml:space="preserve">   </w:t>
            </w:r>
          </w:p>
        </w:tc>
        <w:tc>
          <w:tcPr>
            <w:tcW w:w="4560" w:type="dxa"/>
            <w:noWrap w:val="0"/>
            <w:vAlign w:val="center"/>
          </w:tcPr>
          <w:p w14:paraId="3C8693B2">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地    址：</w:t>
            </w:r>
          </w:p>
        </w:tc>
      </w:tr>
      <w:tr w14:paraId="132D6FA8">
        <w:tblPrEx>
          <w:tblCellMar>
            <w:top w:w="0" w:type="dxa"/>
            <w:left w:w="108" w:type="dxa"/>
            <w:bottom w:w="0" w:type="dxa"/>
            <w:right w:w="108" w:type="dxa"/>
          </w:tblCellMar>
        </w:tblPrEx>
        <w:trPr>
          <w:trHeight w:val="627" w:hRule="atLeast"/>
        </w:trPr>
        <w:tc>
          <w:tcPr>
            <w:tcW w:w="4911" w:type="dxa"/>
            <w:noWrap w:val="0"/>
            <w:vAlign w:val="center"/>
          </w:tcPr>
          <w:p w14:paraId="6C4108D3">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电    话：</w:t>
            </w:r>
          </w:p>
        </w:tc>
        <w:tc>
          <w:tcPr>
            <w:tcW w:w="4560" w:type="dxa"/>
            <w:noWrap w:val="0"/>
            <w:vAlign w:val="center"/>
          </w:tcPr>
          <w:p w14:paraId="716B3C15">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电    话：</w:t>
            </w:r>
          </w:p>
        </w:tc>
      </w:tr>
      <w:tr w14:paraId="6201798B">
        <w:tblPrEx>
          <w:tblCellMar>
            <w:top w:w="0" w:type="dxa"/>
            <w:left w:w="108" w:type="dxa"/>
            <w:bottom w:w="0" w:type="dxa"/>
            <w:right w:w="108" w:type="dxa"/>
          </w:tblCellMar>
        </w:tblPrEx>
        <w:trPr>
          <w:trHeight w:val="2337" w:hRule="atLeast"/>
        </w:trPr>
        <w:tc>
          <w:tcPr>
            <w:tcW w:w="4911" w:type="dxa"/>
            <w:noWrap w:val="0"/>
            <w:vAlign w:val="center"/>
          </w:tcPr>
          <w:p w14:paraId="5405E785">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传    真：</w:t>
            </w:r>
          </w:p>
          <w:p w14:paraId="2A4C793F">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6500ECA1">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账    号：</w:t>
            </w:r>
          </w:p>
          <w:p w14:paraId="4C2A294E">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14:paraId="71ABF91A">
            <w:pPr>
              <w:ind w:firstLine="1560" w:firstLineChars="650"/>
              <w:jc w:val="both"/>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c>
          <w:tcPr>
            <w:tcW w:w="4560" w:type="dxa"/>
            <w:noWrap w:val="0"/>
            <w:vAlign w:val="center"/>
          </w:tcPr>
          <w:p w14:paraId="5C333EAD">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传    真：</w:t>
            </w:r>
          </w:p>
          <w:p w14:paraId="1A201246">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14:paraId="18DCD616">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账    号：</w:t>
            </w:r>
          </w:p>
          <w:p w14:paraId="24557595">
            <w:pPr>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14:paraId="5CD301B7">
            <w:pPr>
              <w:ind w:firstLine="1680" w:firstLineChars="700"/>
              <w:jc w:val="both"/>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06D5BFEC">
      <w:pPr>
        <w:pStyle w:val="7"/>
        <w:snapToGrid w:val="0"/>
        <w:spacing w:before="120" w:after="120"/>
        <w:jc w:val="center"/>
        <w:rPr>
          <w:rFonts w:hint="eastAsia" w:ascii="仿宋" w:hAnsi="仿宋" w:eastAsia="仿宋" w:cs="仿宋"/>
          <w:color w:val="auto"/>
          <w:szCs w:val="24"/>
        </w:rPr>
      </w:pPr>
    </w:p>
    <w:p w14:paraId="0C21634D">
      <w:pPr>
        <w:adjustRightInd w:val="0"/>
        <w:spacing w:line="400" w:lineRule="exact"/>
        <w:ind w:firstLine="420" w:firstLineChars="200"/>
        <w:rPr>
          <w:rFonts w:hint="eastAsia" w:ascii="仿宋" w:hAnsi="仿宋" w:eastAsia="仿宋" w:cs="仿宋"/>
          <w:color w:val="auto"/>
          <w:kern w:val="0"/>
          <w:sz w:val="21"/>
          <w:szCs w:val="21"/>
          <w:highlight w:val="none"/>
        </w:rPr>
      </w:pPr>
    </w:p>
    <w:p w14:paraId="5915AFF9">
      <w:pPr>
        <w:rPr>
          <w:rFonts w:hint="eastAsia" w:ascii="仿宋" w:hAnsi="仿宋" w:eastAsia="仿宋" w:cs="仿宋"/>
          <w:color w:val="auto"/>
        </w:rPr>
      </w:pPr>
    </w:p>
    <w:p w14:paraId="2FF68FE4">
      <w:pPr>
        <w:pStyle w:val="22"/>
        <w:rPr>
          <w:rFonts w:hint="eastAsia" w:ascii="仿宋" w:hAnsi="仿宋" w:eastAsia="仿宋" w:cs="仿宋"/>
          <w:color w:val="auto"/>
        </w:rPr>
      </w:pPr>
    </w:p>
    <w:p w14:paraId="79AA56C0">
      <w:pPr>
        <w:pStyle w:val="22"/>
        <w:rPr>
          <w:rFonts w:hint="eastAsia" w:ascii="仿宋" w:hAnsi="仿宋" w:eastAsia="仿宋" w:cs="仿宋"/>
          <w:color w:val="auto"/>
        </w:rPr>
      </w:pPr>
    </w:p>
    <w:p w14:paraId="3E23E126">
      <w:pPr>
        <w:pStyle w:val="2"/>
        <w:keepNext/>
        <w:keepLines/>
        <w:pageBreakBefore w:val="0"/>
        <w:widowControl w:val="0"/>
        <w:kinsoku/>
        <w:wordWrap/>
        <w:overflowPunct/>
        <w:topLinePunct w:val="0"/>
        <w:autoSpaceDE/>
        <w:autoSpaceDN/>
        <w:bidi w:val="0"/>
        <w:adjustRightInd/>
        <w:snapToGrid/>
        <w:spacing w:before="0" w:after="361" w:afterLines="100" w:line="360" w:lineRule="auto"/>
        <w:jc w:val="center"/>
        <w:textAlignment w:val="auto"/>
        <w:rPr>
          <w:rFonts w:hint="eastAsia" w:ascii="仿宋" w:hAnsi="仿宋" w:eastAsia="仿宋" w:cs="仿宋"/>
          <w:b w:val="0"/>
          <w:bCs/>
          <w:color w:val="auto"/>
          <w:kern w:val="44"/>
          <w:sz w:val="44"/>
          <w:szCs w:val="44"/>
          <w:highlight w:val="none"/>
          <w:lang w:val="en-US" w:eastAsia="zh-CN" w:bidi="ar-SA"/>
        </w:rPr>
        <w:sectPr>
          <w:footnotePr>
            <w:numFmt w:val="decimalEnclosedCircleChinese"/>
            <w:numRestart w:val="eachPage"/>
          </w:footnotePr>
          <w:pgSz w:w="11906" w:h="16838"/>
          <w:pgMar w:top="1440" w:right="1531" w:bottom="1440" w:left="1531" w:header="720" w:footer="720" w:gutter="0"/>
          <w:pgNumType w:fmt="decimal"/>
          <w:cols w:space="720" w:num="1"/>
          <w:rtlGutter w:val="0"/>
          <w:docGrid w:linePitch="360" w:charSpace="0"/>
        </w:sectPr>
      </w:pPr>
    </w:p>
    <w:p w14:paraId="5C5BE810">
      <w:pPr>
        <w:spacing w:line="276"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w:t>
      </w:r>
      <w:bookmarkStart w:id="399" w:name="_Toc296347225"/>
      <w:bookmarkStart w:id="400" w:name="_Toc267261693"/>
      <w:bookmarkStart w:id="401" w:name="_Toc296944565"/>
      <w:bookmarkStart w:id="402" w:name="_Toc296346727"/>
      <w:bookmarkStart w:id="403" w:name="_Toc296891266"/>
      <w:bookmarkStart w:id="404" w:name="_Toc296891054"/>
      <w:bookmarkStart w:id="405" w:name="_Toc296503226"/>
      <w:r>
        <w:rPr>
          <w:rFonts w:hint="eastAsia" w:ascii="仿宋" w:hAnsi="仿宋" w:eastAsia="仿宋" w:cs="仿宋"/>
          <w:b/>
          <w:color w:val="auto"/>
          <w:szCs w:val="21"/>
          <w:highlight w:val="none"/>
        </w:rPr>
        <w:t>件</w:t>
      </w:r>
      <w:r>
        <w:rPr>
          <w:rFonts w:hint="eastAsia" w:ascii="仿宋" w:hAnsi="仿宋" w:eastAsia="仿宋" w:cs="仿宋"/>
          <w:b/>
          <w:color w:val="auto"/>
          <w:szCs w:val="21"/>
          <w:highlight w:val="none"/>
          <w:lang w:val="en-US" w:eastAsia="zh-CN"/>
        </w:rPr>
        <w:t>1</w:t>
      </w:r>
      <w:r>
        <w:rPr>
          <w:rFonts w:hint="eastAsia" w:ascii="仿宋" w:hAnsi="仿宋" w:eastAsia="仿宋" w:cs="仿宋"/>
          <w:b/>
          <w:color w:val="auto"/>
          <w:szCs w:val="21"/>
          <w:highlight w:val="none"/>
        </w:rPr>
        <w:t>：</w:t>
      </w:r>
      <w:bookmarkEnd w:id="399"/>
      <w:bookmarkEnd w:id="400"/>
      <w:bookmarkEnd w:id="401"/>
      <w:bookmarkEnd w:id="402"/>
      <w:bookmarkEnd w:id="403"/>
      <w:bookmarkEnd w:id="404"/>
      <w:bookmarkEnd w:id="405"/>
      <w:r>
        <w:rPr>
          <w:rFonts w:hint="eastAsia" w:ascii="仿宋" w:hAnsi="仿宋" w:eastAsia="仿宋" w:cs="仿宋"/>
          <w:b/>
          <w:color w:val="auto"/>
          <w:szCs w:val="21"/>
          <w:highlight w:val="none"/>
        </w:rPr>
        <w:t xml:space="preserve">    </w:t>
      </w:r>
    </w:p>
    <w:p w14:paraId="613242B3">
      <w:pPr>
        <w:spacing w:beforeLines="50" w:afterLines="50" w:line="276"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工程质量保修书 </w:t>
      </w:r>
    </w:p>
    <w:p w14:paraId="4FE05C5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发包人（全称）：</w:t>
      </w:r>
      <w:r>
        <w:rPr>
          <w:rFonts w:hint="eastAsia" w:ascii="仿宋" w:hAnsi="仿宋" w:eastAsia="仿宋" w:cs="仿宋"/>
          <w:color w:val="auto"/>
          <w:sz w:val="21"/>
          <w:szCs w:val="21"/>
          <w:highlight w:val="none"/>
          <w:u w:val="single"/>
          <w:lang w:val="en-US" w:eastAsia="zh-CN"/>
        </w:rPr>
        <w:t xml:space="preserve">宁波市奉化区莼湖街道中心小学 </w:t>
      </w:r>
    </w:p>
    <w:p w14:paraId="34F47F8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承包人（全称）：</w:t>
      </w:r>
      <w:r>
        <w:rPr>
          <w:rFonts w:hint="eastAsia" w:ascii="仿宋" w:hAnsi="仿宋" w:eastAsia="仿宋" w:cs="仿宋"/>
          <w:color w:val="auto"/>
          <w:sz w:val="21"/>
          <w:szCs w:val="21"/>
          <w:highlight w:val="none"/>
          <w:u w:val="single"/>
        </w:rPr>
        <w:t xml:space="preserve">                               </w:t>
      </w:r>
    </w:p>
    <w:p w14:paraId="68A7F835">
      <w:pPr>
        <w:pStyle w:val="26"/>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发包人和承包人根据《中华人民共和国建筑法》和《建设工程质量管理条例》，经协商一致</w:t>
      </w:r>
      <w:r>
        <w:rPr>
          <w:rFonts w:hint="eastAsia" w:ascii="仿宋" w:hAnsi="仿宋" w:eastAsia="仿宋" w:cs="仿宋"/>
          <w:color w:val="auto"/>
          <w:sz w:val="21"/>
          <w:szCs w:val="21"/>
          <w:highlight w:val="none"/>
          <w:u w:val="single"/>
          <w:lang w:val="en-US" w:eastAsia="zh-CN"/>
        </w:rPr>
        <w:t>奉化区莼湖街道中心小学校舍改造提升工程 </w:t>
      </w:r>
      <w:r>
        <w:rPr>
          <w:rFonts w:hint="eastAsia" w:ascii="仿宋" w:hAnsi="仿宋" w:eastAsia="仿宋" w:cs="仿宋"/>
          <w:color w:val="auto"/>
          <w:sz w:val="21"/>
          <w:szCs w:val="21"/>
          <w:highlight w:val="none"/>
        </w:rPr>
        <w:t>签订工程质量保修书。</w:t>
      </w:r>
    </w:p>
    <w:p w14:paraId="4FF32ABE">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一、工程质量保修范围和内容</w:t>
      </w:r>
    </w:p>
    <w:p w14:paraId="50E14D9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承包人在质量保修期内，按照有关法律规定和合同约定，承担工程质量保修责任。</w:t>
      </w:r>
    </w:p>
    <w:p w14:paraId="1189E439">
      <w:pPr>
        <w:pStyle w:val="26"/>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32DE15C7">
      <w:pPr>
        <w:pStyle w:val="26"/>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二、质量保修期</w:t>
      </w:r>
    </w:p>
    <w:p w14:paraId="7B44CEC0">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根据《建设工程质量管理条例》及有关规定，工程的质量保修期如下：</w:t>
      </w:r>
    </w:p>
    <w:p w14:paraId="3F3599CD">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1．地基基础工程和主体结构工程为设计文件规定的工程合理使用年限；</w:t>
      </w:r>
    </w:p>
    <w:p w14:paraId="74A3BDF7">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2．屋面防水工程、有防水要求的卫生间、房间和外墙面的防渗</w:t>
      </w:r>
      <w:r>
        <w:rPr>
          <w:rFonts w:hint="eastAsia" w:ascii="仿宋" w:hAnsi="仿宋" w:eastAsia="仿宋" w:cs="仿宋"/>
          <w:color w:val="auto"/>
          <w:sz w:val="21"/>
          <w:szCs w:val="21"/>
          <w:highlight w:val="none"/>
          <w:lang w:val="en-US" w:eastAsia="zh-CN"/>
        </w:rPr>
        <w:t>及脱落</w:t>
      </w:r>
      <w:r>
        <w:rPr>
          <w:rFonts w:hint="eastAsia" w:ascii="仿宋" w:hAnsi="仿宋" w:eastAsia="仿宋" w:cs="仿宋"/>
          <w:color w:val="auto"/>
          <w:sz w:val="21"/>
          <w:szCs w:val="21"/>
          <w:highlight w:val="none"/>
        </w:rPr>
        <w:t>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p>
    <w:p w14:paraId="18A0AFA2">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3．装修工程为</w:t>
      </w:r>
      <w:r>
        <w:rPr>
          <w:rFonts w:hint="eastAsia" w:ascii="仿宋" w:hAnsi="仿宋" w:eastAsia="仿宋" w:cs="仿宋"/>
          <w:color w:val="auto"/>
          <w:sz w:val="21"/>
          <w:szCs w:val="21"/>
          <w:highlight w:val="none"/>
          <w:u w:val="single"/>
        </w:rPr>
        <w:t xml:space="preserve"> 2 </w:t>
      </w:r>
      <w:r>
        <w:rPr>
          <w:rFonts w:hint="eastAsia" w:ascii="仿宋" w:hAnsi="仿宋" w:eastAsia="仿宋" w:cs="仿宋"/>
          <w:color w:val="auto"/>
          <w:sz w:val="21"/>
          <w:szCs w:val="21"/>
          <w:highlight w:val="none"/>
        </w:rPr>
        <w:t>年；</w:t>
      </w:r>
    </w:p>
    <w:p w14:paraId="06E2505E">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4．电气管线、给排水管道、设备安装工程为</w:t>
      </w:r>
      <w:r>
        <w:rPr>
          <w:rFonts w:hint="eastAsia" w:ascii="仿宋" w:hAnsi="仿宋" w:eastAsia="仿宋" w:cs="仿宋"/>
          <w:color w:val="auto"/>
          <w:sz w:val="21"/>
          <w:szCs w:val="21"/>
          <w:highlight w:val="none"/>
          <w:u w:val="single"/>
        </w:rPr>
        <w:t xml:space="preserve"> 2 </w:t>
      </w:r>
      <w:r>
        <w:rPr>
          <w:rFonts w:hint="eastAsia" w:ascii="仿宋" w:hAnsi="仿宋" w:eastAsia="仿宋" w:cs="仿宋"/>
          <w:color w:val="auto"/>
          <w:sz w:val="21"/>
          <w:szCs w:val="21"/>
          <w:highlight w:val="none"/>
        </w:rPr>
        <w:t>年；</w:t>
      </w:r>
    </w:p>
    <w:p w14:paraId="52A064B5">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5．供热与供冷系统为</w:t>
      </w:r>
      <w:r>
        <w:rPr>
          <w:rFonts w:hint="eastAsia" w:ascii="仿宋" w:hAnsi="仿宋" w:eastAsia="仿宋" w:cs="仿宋"/>
          <w:color w:val="auto"/>
          <w:sz w:val="21"/>
          <w:szCs w:val="21"/>
          <w:highlight w:val="none"/>
          <w:u w:val="single"/>
        </w:rPr>
        <w:t>2</w:t>
      </w:r>
      <w:r>
        <w:rPr>
          <w:rFonts w:hint="eastAsia" w:ascii="仿宋" w:hAnsi="仿宋" w:eastAsia="仿宋" w:cs="仿宋"/>
          <w:color w:val="auto"/>
          <w:sz w:val="21"/>
          <w:szCs w:val="21"/>
          <w:highlight w:val="none"/>
        </w:rPr>
        <w:t>个采暖期、供冷期；</w:t>
      </w:r>
    </w:p>
    <w:p w14:paraId="380A406D">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6．住宅小区内的给排水设施、道路等配套工程为</w:t>
      </w:r>
      <w:r>
        <w:rPr>
          <w:rFonts w:hint="eastAsia" w:ascii="仿宋" w:hAnsi="仿宋" w:eastAsia="仿宋" w:cs="仿宋"/>
          <w:color w:val="auto"/>
          <w:sz w:val="21"/>
          <w:szCs w:val="21"/>
          <w:highlight w:val="none"/>
          <w:u w:val="single"/>
        </w:rPr>
        <w:t xml:space="preserve"> 2 </w:t>
      </w:r>
      <w:r>
        <w:rPr>
          <w:rFonts w:hint="eastAsia" w:ascii="仿宋" w:hAnsi="仿宋" w:eastAsia="仿宋" w:cs="仿宋"/>
          <w:color w:val="auto"/>
          <w:sz w:val="21"/>
          <w:szCs w:val="21"/>
          <w:highlight w:val="none"/>
        </w:rPr>
        <w:t>年；</w:t>
      </w:r>
    </w:p>
    <w:p w14:paraId="1B914B77">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7．苗木保活养护期</w:t>
      </w:r>
      <w:r>
        <w:rPr>
          <w:rFonts w:hint="eastAsia" w:ascii="仿宋" w:hAnsi="仿宋" w:eastAsia="仿宋" w:cs="仿宋"/>
          <w:color w:val="auto"/>
          <w:sz w:val="21"/>
          <w:szCs w:val="21"/>
          <w:highlight w:val="none"/>
          <w:u w:val="single"/>
        </w:rPr>
        <w:t xml:space="preserve"> 2 </w:t>
      </w:r>
      <w:r>
        <w:rPr>
          <w:rFonts w:hint="eastAsia" w:ascii="仿宋" w:hAnsi="仿宋" w:eastAsia="仿宋" w:cs="仿宋"/>
          <w:color w:val="auto"/>
          <w:sz w:val="21"/>
          <w:szCs w:val="21"/>
          <w:highlight w:val="none"/>
        </w:rPr>
        <w:t>年；</w:t>
      </w:r>
    </w:p>
    <w:p w14:paraId="021F8029">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8．其他项目保修期为</w:t>
      </w:r>
      <w:r>
        <w:rPr>
          <w:rFonts w:hint="eastAsia" w:ascii="仿宋" w:hAnsi="仿宋" w:eastAsia="仿宋" w:cs="仿宋"/>
          <w:color w:val="auto"/>
          <w:sz w:val="21"/>
          <w:szCs w:val="21"/>
          <w:highlight w:val="none"/>
          <w:u w:val="single"/>
        </w:rPr>
        <w:t xml:space="preserve">  2 </w:t>
      </w:r>
      <w:r>
        <w:rPr>
          <w:rFonts w:hint="eastAsia" w:ascii="仿宋" w:hAnsi="仿宋" w:eastAsia="仿宋" w:cs="仿宋"/>
          <w:color w:val="auto"/>
          <w:sz w:val="21"/>
          <w:szCs w:val="21"/>
          <w:highlight w:val="none"/>
        </w:rPr>
        <w:t>年；</w:t>
      </w:r>
    </w:p>
    <w:p w14:paraId="45ACB407">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质量保修期自工程竣工验收合格之日起计算。　　</w:t>
      </w:r>
    </w:p>
    <w:p w14:paraId="2D6D4526">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三、缺陷责任期</w:t>
      </w:r>
    </w:p>
    <w:p w14:paraId="1FB945E9">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工程缺陷责任期为</w:t>
      </w:r>
      <w:r>
        <w:rPr>
          <w:rFonts w:hint="eastAsia" w:ascii="仿宋" w:hAnsi="仿宋" w:eastAsia="仿宋" w:cs="仿宋"/>
          <w:color w:val="auto"/>
          <w:sz w:val="21"/>
          <w:szCs w:val="21"/>
          <w:highlight w:val="none"/>
          <w:u w:val="single"/>
        </w:rPr>
        <w:t xml:space="preserve"> 24</w:t>
      </w:r>
      <w:r>
        <w:rPr>
          <w:rFonts w:hint="eastAsia" w:ascii="仿宋" w:hAnsi="仿宋" w:eastAsia="仿宋" w:cs="仿宋"/>
          <w:color w:val="auto"/>
          <w:sz w:val="21"/>
          <w:szCs w:val="21"/>
          <w:highlight w:val="none"/>
        </w:rPr>
        <w:t>个月，缺陷责任期自工程竣工验收合格之日起计算。单位工程先于全部工程进行验收，单位工程缺陷责任期自单位工程验收合格之日起算。</w:t>
      </w:r>
    </w:p>
    <w:p w14:paraId="0D9E243B">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缺陷责任期终止后，发包人在完成最终结清后应退还承包人的质量保证金保函或剩余的质量保证金。</w:t>
      </w:r>
    </w:p>
    <w:p w14:paraId="0932A449">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四、质量保修责任</w:t>
      </w:r>
    </w:p>
    <w:p w14:paraId="778F6F9A">
      <w:pPr>
        <w:spacing w:line="360" w:lineRule="auto"/>
        <w:ind w:left="105" w:leftChars="5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1．属于保修范围、内容的项目，承包人应当在接到保修通知之日起7天内派人保修。承包人不在约定期限内派人保修的，发包人可以委托他人修理。</w:t>
      </w:r>
    </w:p>
    <w:p w14:paraId="590B59BB">
      <w:pPr>
        <w:spacing w:line="360" w:lineRule="auto"/>
        <w:ind w:left="105" w:leftChars="5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2．发生紧急事故需抢修的，承包人在接到事故通知后，应当立即到达事故现场抢修。</w:t>
      </w:r>
    </w:p>
    <w:p w14:paraId="7162D02C">
      <w:pPr>
        <w:spacing w:line="360" w:lineRule="auto"/>
        <w:ind w:left="105" w:leftChars="5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A60B09">
      <w:pPr>
        <w:spacing w:line="360" w:lineRule="auto"/>
        <w:ind w:left="105" w:leftChars="50"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4．质量保修完成后，由发包人组织验收。</w:t>
      </w:r>
    </w:p>
    <w:p w14:paraId="778699D1">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五、保修费用</w:t>
      </w:r>
    </w:p>
    <w:p w14:paraId="6704E79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保修费用由造成质量缺陷的责任方承担。</w:t>
      </w:r>
    </w:p>
    <w:p w14:paraId="1087DF69">
      <w:pPr>
        <w:spacing w:line="360" w:lineRule="auto"/>
        <w:ind w:firstLine="413" w:firstLineChars="196"/>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六、双方约定的其他工程质量保修事项：</w:t>
      </w:r>
      <w:r>
        <w:rPr>
          <w:rFonts w:hint="eastAsia" w:ascii="仿宋" w:hAnsi="仿宋" w:eastAsia="仿宋" w:cs="仿宋"/>
          <w:b/>
          <w:color w:val="auto"/>
          <w:sz w:val="21"/>
          <w:szCs w:val="21"/>
          <w:highlight w:val="none"/>
          <w:u w:val="single"/>
        </w:rPr>
        <w:t xml:space="preserve">    /    </w:t>
      </w:r>
      <w:r>
        <w:rPr>
          <w:rFonts w:hint="eastAsia" w:ascii="仿宋" w:hAnsi="仿宋" w:eastAsia="仿宋" w:cs="仿宋"/>
          <w:color w:val="auto"/>
          <w:sz w:val="21"/>
          <w:szCs w:val="21"/>
          <w:highlight w:val="none"/>
        </w:rPr>
        <w:t>。</w:t>
      </w:r>
    </w:p>
    <w:p w14:paraId="505E54D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工程质量保修书由发包人、承包人在工程竣工验收前共同签署，作为施工合同附件，其有效期限至保修期满。</w:t>
      </w:r>
    </w:p>
    <w:p w14:paraId="1430C7A3">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发包人(公章)：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承包人(公章)： </w:t>
      </w:r>
      <w:r>
        <w:rPr>
          <w:rFonts w:hint="eastAsia" w:ascii="仿宋" w:hAnsi="仿宋" w:eastAsia="仿宋" w:cs="仿宋"/>
          <w:color w:val="auto"/>
          <w:sz w:val="21"/>
          <w:szCs w:val="21"/>
          <w:highlight w:val="none"/>
          <w:u w:val="single"/>
        </w:rPr>
        <w:t xml:space="preserve">                  </w:t>
      </w:r>
    </w:p>
    <w:p w14:paraId="7CABFED3">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u w:val="single"/>
        </w:rPr>
        <w:t xml:space="preserve">           </w:t>
      </w:r>
    </w:p>
    <w:p w14:paraId="5214B09C">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法定代表人(签字)：</w:t>
      </w:r>
      <w:r>
        <w:rPr>
          <w:rFonts w:hint="eastAsia" w:ascii="仿宋" w:hAnsi="仿宋" w:eastAsia="仿宋" w:cs="仿宋"/>
          <w:color w:val="auto"/>
          <w:sz w:val="21"/>
          <w:szCs w:val="21"/>
          <w:highlight w:val="none"/>
          <w:u w:val="single"/>
        </w:rPr>
        <w:t xml:space="preserve">           </w:t>
      </w:r>
    </w:p>
    <w:p w14:paraId="52DA28DF">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委托代理人(签字)：</w:t>
      </w:r>
      <w:r>
        <w:rPr>
          <w:rFonts w:hint="eastAsia" w:ascii="仿宋" w:hAnsi="仿宋" w:eastAsia="仿宋" w:cs="仿宋"/>
          <w:color w:val="auto"/>
          <w:sz w:val="21"/>
          <w:szCs w:val="21"/>
          <w:highlight w:val="none"/>
          <w:u w:val="single"/>
        </w:rPr>
        <w:t xml:space="preserve">           </w:t>
      </w:r>
    </w:p>
    <w:p w14:paraId="7B599543">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电  话：</w:t>
      </w:r>
      <w:r>
        <w:rPr>
          <w:rFonts w:hint="eastAsia" w:ascii="仿宋" w:hAnsi="仿宋" w:eastAsia="仿宋" w:cs="仿宋"/>
          <w:color w:val="auto"/>
          <w:sz w:val="21"/>
          <w:szCs w:val="21"/>
          <w:highlight w:val="none"/>
          <w:u w:val="single"/>
        </w:rPr>
        <w:t xml:space="preserve">         </w:t>
      </w:r>
    </w:p>
    <w:p w14:paraId="6CAE81D6">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传  真：</w:t>
      </w:r>
      <w:r>
        <w:rPr>
          <w:rFonts w:hint="eastAsia" w:ascii="仿宋" w:hAnsi="仿宋" w:eastAsia="仿宋" w:cs="仿宋"/>
          <w:color w:val="auto"/>
          <w:sz w:val="21"/>
          <w:szCs w:val="21"/>
          <w:highlight w:val="none"/>
          <w:u w:val="single"/>
        </w:rPr>
        <w:t xml:space="preserve">         </w:t>
      </w:r>
    </w:p>
    <w:p w14:paraId="3FBD8255">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开户银行：</w:t>
      </w:r>
      <w:r>
        <w:rPr>
          <w:rFonts w:hint="eastAsia" w:ascii="仿宋" w:hAnsi="仿宋" w:eastAsia="仿宋" w:cs="仿宋"/>
          <w:color w:val="auto"/>
          <w:sz w:val="21"/>
          <w:szCs w:val="21"/>
          <w:highlight w:val="none"/>
          <w:u w:val="single"/>
        </w:rPr>
        <w:t xml:space="preserve">       </w:t>
      </w:r>
    </w:p>
    <w:p w14:paraId="678D6938">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账  号：</w:t>
      </w:r>
      <w:r>
        <w:rPr>
          <w:rFonts w:hint="eastAsia" w:ascii="仿宋" w:hAnsi="仿宋" w:eastAsia="仿宋" w:cs="仿宋"/>
          <w:color w:val="auto"/>
          <w:sz w:val="21"/>
          <w:szCs w:val="21"/>
          <w:highlight w:val="none"/>
          <w:u w:val="single"/>
        </w:rPr>
        <w:t xml:space="preserve">         </w:t>
      </w:r>
    </w:p>
    <w:p w14:paraId="23210556">
      <w:pPr>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邮政编码：</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邮政编码：</w:t>
      </w:r>
      <w:r>
        <w:rPr>
          <w:rFonts w:hint="eastAsia" w:ascii="仿宋" w:hAnsi="仿宋" w:eastAsia="仿宋" w:cs="仿宋"/>
          <w:color w:val="auto"/>
          <w:sz w:val="21"/>
          <w:szCs w:val="21"/>
          <w:highlight w:val="none"/>
          <w:u w:val="single"/>
        </w:rPr>
        <w:t xml:space="preserve">       </w:t>
      </w:r>
    </w:p>
    <w:p w14:paraId="75319169">
      <w:pPr>
        <w:spacing w:line="440" w:lineRule="exact"/>
        <w:rPr>
          <w:rFonts w:hint="eastAsia" w:ascii="仿宋" w:hAnsi="仿宋" w:eastAsia="仿宋" w:cs="仿宋"/>
          <w:color w:val="auto"/>
          <w:sz w:val="21"/>
          <w:szCs w:val="21"/>
          <w:highlight w:val="none"/>
          <w:u w:val="single"/>
        </w:rPr>
      </w:pPr>
    </w:p>
    <w:p w14:paraId="46C3A809">
      <w:pPr>
        <w:spacing w:line="440" w:lineRule="exact"/>
        <w:rPr>
          <w:rFonts w:hint="eastAsia" w:ascii="仿宋" w:hAnsi="仿宋" w:eastAsia="仿宋" w:cs="仿宋"/>
          <w:color w:val="auto"/>
          <w:szCs w:val="21"/>
          <w:highlight w:val="none"/>
        </w:rPr>
      </w:pPr>
      <w:bookmarkStart w:id="406" w:name="_Toc359567922"/>
      <w:bookmarkStart w:id="407" w:name="_Toc358876721"/>
      <w:bookmarkStart w:id="408" w:name="_Toc360114130"/>
      <w:bookmarkStart w:id="409" w:name="_Toc315695235"/>
      <w:bookmarkStart w:id="410" w:name="_Toc315695461"/>
    </w:p>
    <w:p w14:paraId="12931324">
      <w:pPr>
        <w:spacing w:line="440" w:lineRule="exact"/>
        <w:rPr>
          <w:rFonts w:hint="eastAsia" w:ascii="仿宋" w:hAnsi="仿宋" w:eastAsia="仿宋" w:cs="仿宋"/>
          <w:color w:val="auto"/>
          <w:szCs w:val="21"/>
          <w:highlight w:val="none"/>
        </w:rPr>
      </w:pPr>
    </w:p>
    <w:p w14:paraId="5E0BBF1F">
      <w:pPr>
        <w:spacing w:line="440" w:lineRule="exact"/>
        <w:rPr>
          <w:rFonts w:hint="eastAsia" w:ascii="仿宋" w:hAnsi="仿宋" w:eastAsia="仿宋" w:cs="仿宋"/>
          <w:color w:val="auto"/>
          <w:szCs w:val="21"/>
          <w:highlight w:val="none"/>
        </w:rPr>
      </w:pPr>
    </w:p>
    <w:p w14:paraId="575724AD">
      <w:pPr>
        <w:pStyle w:val="22"/>
        <w:ind w:left="0" w:leftChars="0" w:firstLine="0" w:firstLineChars="0"/>
        <w:rPr>
          <w:rFonts w:hint="eastAsia" w:ascii="仿宋" w:hAnsi="仿宋" w:eastAsia="仿宋" w:cs="仿宋"/>
          <w:b/>
          <w:bCs/>
          <w:color w:val="auto"/>
          <w:szCs w:val="21"/>
          <w:highlight w:val="none"/>
        </w:rPr>
      </w:pPr>
    </w:p>
    <w:p w14:paraId="73B11BF2">
      <w:pPr>
        <w:rPr>
          <w:rFonts w:hint="eastAsia" w:ascii="仿宋" w:hAnsi="仿宋" w:eastAsia="仿宋" w:cs="仿宋"/>
          <w:b/>
          <w:bCs/>
          <w:color w:val="auto"/>
          <w:szCs w:val="21"/>
          <w:highlight w:val="none"/>
        </w:rPr>
      </w:pPr>
    </w:p>
    <w:p w14:paraId="11347390">
      <w:pPr>
        <w:spacing w:line="410" w:lineRule="exact"/>
        <w:rPr>
          <w:rFonts w:hint="eastAsia" w:ascii="仿宋" w:hAnsi="仿宋" w:eastAsia="仿宋" w:cs="仿宋"/>
          <w:b/>
          <w:bCs/>
          <w:color w:val="auto"/>
          <w:szCs w:val="21"/>
          <w:highlight w:val="none"/>
        </w:rPr>
        <w:sectPr>
          <w:headerReference r:id="rId6" w:type="default"/>
          <w:footerReference r:id="rId7" w:type="default"/>
          <w:pgSz w:w="11906" w:h="16838"/>
          <w:pgMar w:top="1701" w:right="1298" w:bottom="1588" w:left="1588" w:header="851" w:footer="992" w:gutter="0"/>
          <w:pgNumType w:fmt="decimal"/>
          <w:cols w:space="720" w:num="1"/>
          <w:docGrid w:linePitch="312" w:charSpace="0"/>
        </w:sectPr>
      </w:pPr>
    </w:p>
    <w:p w14:paraId="60840C4D">
      <w:pPr>
        <w:spacing w:line="41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w:t>
      </w: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w:t>
      </w:r>
    </w:p>
    <w:p w14:paraId="66D9B824">
      <w:pPr>
        <w:spacing w:before="120" w:after="120"/>
        <w:jc w:val="center"/>
        <w:rPr>
          <w:rFonts w:hint="eastAsia" w:ascii="仿宋" w:hAnsi="仿宋" w:eastAsia="仿宋" w:cs="仿宋"/>
          <w:b/>
          <w:color w:val="auto"/>
          <w:sz w:val="15"/>
          <w:szCs w:val="15"/>
          <w:highlight w:val="none"/>
        </w:rPr>
      </w:pPr>
      <w:r>
        <w:rPr>
          <w:rFonts w:hint="eastAsia" w:ascii="仿宋" w:hAnsi="仿宋" w:eastAsia="仿宋" w:cs="仿宋"/>
          <w:b/>
          <w:color w:val="auto"/>
          <w:sz w:val="28"/>
          <w:szCs w:val="28"/>
          <w:highlight w:val="none"/>
        </w:rPr>
        <w:t>安全生产合同</w:t>
      </w:r>
    </w:p>
    <w:p w14:paraId="03973978">
      <w:pPr>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发包人（全称）：</w:t>
      </w:r>
      <w:r>
        <w:rPr>
          <w:rFonts w:hint="eastAsia" w:ascii="仿宋" w:hAnsi="仿宋" w:eastAsia="仿宋" w:cs="仿宋"/>
          <w:color w:val="auto"/>
          <w:sz w:val="21"/>
          <w:szCs w:val="21"/>
          <w:highlight w:val="none"/>
          <w:u w:val="single"/>
          <w:lang w:val="en-US" w:eastAsia="zh-CN"/>
        </w:rPr>
        <w:t xml:space="preserve">宁波市奉化区莼湖街道中心小学           </w:t>
      </w:r>
    </w:p>
    <w:p w14:paraId="0423BFD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承包人（全称）：</w:t>
      </w:r>
      <w:r>
        <w:rPr>
          <w:rFonts w:hint="eastAsia" w:ascii="仿宋" w:hAnsi="仿宋" w:eastAsia="仿宋" w:cs="仿宋"/>
          <w:color w:val="auto"/>
          <w:sz w:val="21"/>
          <w:szCs w:val="21"/>
          <w:highlight w:val="none"/>
          <w:u w:val="single"/>
        </w:rPr>
        <w:t xml:space="preserve">                               </w:t>
      </w:r>
    </w:p>
    <w:p w14:paraId="1F9843EB">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为在</w:t>
      </w:r>
      <w:r>
        <w:rPr>
          <w:rFonts w:hint="eastAsia" w:ascii="仿宋" w:hAnsi="仿宋" w:eastAsia="仿宋" w:cs="仿宋"/>
          <w:color w:val="auto"/>
          <w:sz w:val="21"/>
          <w:szCs w:val="21"/>
          <w:highlight w:val="none"/>
          <w:u w:val="single"/>
          <w:lang w:val="en-US" w:eastAsia="zh-CN"/>
        </w:rPr>
        <w:t>奉化区莼湖街道中心小学校舍改造提升工程 </w:t>
      </w:r>
      <w:r>
        <w:rPr>
          <w:rFonts w:hint="eastAsia" w:ascii="仿宋" w:hAnsi="仿宋" w:eastAsia="仿宋" w:cs="仿宋"/>
          <w:color w:val="auto"/>
          <w:sz w:val="21"/>
          <w:szCs w:val="21"/>
          <w:highlight w:val="none"/>
        </w:rPr>
        <w:t>（项目名称）施工合同的实施过程中创造安全、高效的施工环境，切实搞好本项目的安全管理工作，特此签订安全生产合同：</w:t>
      </w:r>
    </w:p>
    <w:p w14:paraId="48654160">
      <w:pPr>
        <w:spacing w:line="400" w:lineRule="exact"/>
        <w:ind w:left="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1.发包人职责</w:t>
      </w:r>
    </w:p>
    <w:p w14:paraId="61A7EDAD">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（1）严格遵守国家有关安全生产的法律法规，认真执行工程承包合同中的有关安全要求。</w:t>
      </w:r>
    </w:p>
    <w:p w14:paraId="3976075C">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（2）按照“安全第一、预防为主”和坚持“管生产必须管安全”的原则进行安全生产管理，做到生产与安全工作同时计划、布置、检查、总结和评比。</w:t>
      </w:r>
    </w:p>
    <w:p w14:paraId="5D6985FB">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（3）重要的安全设施必须坚持与主体工程“三同时”的原则，即：同时设计、审批，同时施工，同时验收，投入使用。</w:t>
      </w:r>
    </w:p>
    <w:p w14:paraId="0C3848E9">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（4）定期召开安全生产调度会，及时传达中央及地方有关安全生产的精神。</w:t>
      </w:r>
    </w:p>
    <w:p w14:paraId="2D9A0830">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（5）组织对承包人施工现场安全生产检查，监督承包人及时处理发现的各种安全隐患。</w:t>
      </w:r>
    </w:p>
    <w:p w14:paraId="5D5590C7">
      <w:pPr>
        <w:spacing w:line="400" w:lineRule="exact"/>
        <w:ind w:left="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2.承包人职责</w:t>
      </w:r>
    </w:p>
    <w:p w14:paraId="3D360098">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3FC97FB0">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F18E34B">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0187A7E3">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（4）承包人在任何时候都应采取各种合理的预防措施，防止其员工发生任何违法、违禁、暴力或妨碍治安的行为。</w:t>
      </w:r>
    </w:p>
    <w:p w14:paraId="596CA924">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25B0DEA">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0523533">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（7）操作人员上岗，必须按规定穿戴防护用品。施工负责人和安全检查员应随时检查劳动防护用品的穿戴情况，不按规定穿戴防护用品的人员不得上岗。</w:t>
      </w:r>
    </w:p>
    <w:p w14:paraId="48DC0FD5">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（8）所有施工机具设备和高空作业的设备均应定期检查，并有安全员的签字记录，保证其经常处于完好状态；不合格的机具、设备和劳动保护用品严禁使用：</w:t>
      </w:r>
    </w:p>
    <w:p w14:paraId="3E1761B8">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（9）施工中采用新技术、新工艺、新设备、新材料时，必须制定相应的安全技术措施，施工现场必须具有相关的安全标志牌。</w:t>
      </w:r>
    </w:p>
    <w:p w14:paraId="4AA49DA7">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AD035E1">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3.违约责任</w:t>
      </w:r>
    </w:p>
    <w:p w14:paraId="3E0B392E">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因承包方原因发生安全生产事故的，发包方有权要求承包方承担相应责任，包括但不限于行政处罚、赔偿经济损失、解除合同。因发包方原因发生安全</w:t>
      </w:r>
      <w:r>
        <w:rPr>
          <w:rFonts w:hint="eastAsia" w:ascii="仿宋" w:hAnsi="仿宋" w:eastAsia="仿宋" w:cs="仿宋"/>
          <w:color w:val="auto"/>
          <w:sz w:val="21"/>
          <w:szCs w:val="21"/>
          <w:highlight w:val="none"/>
          <w:lang w:val="en-US" w:eastAsia="zh-CN"/>
        </w:rPr>
        <w:t>事</w:t>
      </w:r>
      <w:r>
        <w:rPr>
          <w:rFonts w:hint="eastAsia" w:ascii="仿宋" w:hAnsi="仿宋" w:eastAsia="仿宋" w:cs="仿宋"/>
          <w:color w:val="auto"/>
          <w:sz w:val="21"/>
          <w:szCs w:val="21"/>
          <w:highlight w:val="none"/>
        </w:rPr>
        <w:t>故的，发包方承担相应的责任，并按相关规定追究有关人员的责任。因双方共同原因造成的安全生产责任事故，根据双方各自责任的大小，分别承担相应的赉任。</w:t>
      </w:r>
    </w:p>
    <w:p w14:paraId="6B07A8CD">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4.本合同由双方法定代表人或其授权的代理人签署并加盖单位章后生效，全部工程竣工验收后失效。</w:t>
      </w:r>
    </w:p>
    <w:p w14:paraId="79532FDA">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5.本合同正本二份，副本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份，合同双方各执正本一份，副本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份，当正本与副本的内容不一致时，以正本为准。</w:t>
      </w:r>
    </w:p>
    <w:p w14:paraId="521EE75B">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发包人：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（公章）    承包人：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（公章）</w:t>
      </w:r>
    </w:p>
    <w:p w14:paraId="6A96C1C2">
      <w:pPr>
        <w:spacing w:line="6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 法定代表人或其委托代理人：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p>
    <w:p w14:paraId="3644C921">
      <w:pPr>
        <w:spacing w:line="660" w:lineRule="exact"/>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日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79175601">
      <w:pPr>
        <w:spacing w:line="410" w:lineRule="exact"/>
        <w:rPr>
          <w:rFonts w:hint="eastAsia" w:ascii="仿宋" w:hAnsi="仿宋" w:eastAsia="仿宋" w:cs="仿宋"/>
          <w:b/>
          <w:bCs/>
          <w:color w:val="auto"/>
          <w:szCs w:val="21"/>
          <w:highlight w:val="none"/>
        </w:rPr>
      </w:pPr>
    </w:p>
    <w:p w14:paraId="7E44C16F">
      <w:pPr>
        <w:spacing w:line="410" w:lineRule="exact"/>
        <w:rPr>
          <w:rFonts w:hint="eastAsia" w:ascii="仿宋" w:hAnsi="仿宋" w:eastAsia="仿宋" w:cs="仿宋"/>
          <w:b/>
          <w:bCs/>
          <w:color w:val="auto"/>
          <w:szCs w:val="21"/>
          <w:highlight w:val="none"/>
        </w:rPr>
        <w:sectPr>
          <w:pgSz w:w="11906" w:h="16838"/>
          <w:pgMar w:top="1701" w:right="1298" w:bottom="1588" w:left="1588" w:header="851" w:footer="992" w:gutter="0"/>
          <w:pgNumType w:fmt="decimal"/>
          <w:cols w:space="720" w:num="1"/>
          <w:docGrid w:linePitch="312" w:charSpace="0"/>
        </w:sectPr>
      </w:pPr>
    </w:p>
    <w:p w14:paraId="15ED3397">
      <w:pPr>
        <w:spacing w:line="410" w:lineRule="exact"/>
        <w:rPr>
          <w:rFonts w:hint="eastAsia" w:ascii="仿宋" w:hAnsi="仿宋" w:eastAsia="仿宋" w:cs="仿宋"/>
          <w:color w:val="auto"/>
          <w:highlight w:val="none"/>
        </w:rPr>
      </w:pPr>
      <w:r>
        <w:rPr>
          <w:rFonts w:hint="eastAsia" w:ascii="仿宋" w:hAnsi="仿宋" w:eastAsia="仿宋" w:cs="仿宋"/>
          <w:b/>
          <w:bCs/>
          <w:color w:val="auto"/>
          <w:szCs w:val="21"/>
          <w:highlight w:val="none"/>
        </w:rPr>
        <w:t>附件</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w:t>
      </w:r>
    </w:p>
    <w:p w14:paraId="4FEEF835">
      <w:pPr>
        <w:spacing w:beforeLines="50" w:afterLines="50" w:line="276" w:lineRule="auto"/>
        <w:jc w:val="center"/>
        <w:rPr>
          <w:rFonts w:hint="eastAsia" w:ascii="仿宋" w:hAnsi="仿宋" w:eastAsia="仿宋" w:cs="仿宋"/>
          <w:b/>
          <w:color w:val="auto"/>
          <w:sz w:val="30"/>
          <w:szCs w:val="30"/>
          <w:highlight w:val="none"/>
          <w:lang w:val="zh-CN"/>
        </w:rPr>
      </w:pPr>
      <w:r>
        <w:rPr>
          <w:rFonts w:hint="eastAsia" w:ascii="仿宋" w:hAnsi="仿宋" w:eastAsia="仿宋" w:cs="仿宋"/>
          <w:b/>
          <w:color w:val="auto"/>
          <w:sz w:val="30"/>
          <w:szCs w:val="30"/>
          <w:highlight w:val="none"/>
          <w:lang w:val="zh-CN"/>
        </w:rPr>
        <w:t>工程项目廉政合同</w:t>
      </w:r>
      <w:bookmarkEnd w:id="406"/>
      <w:bookmarkEnd w:id="407"/>
      <w:bookmarkEnd w:id="408"/>
      <w:bookmarkEnd w:id="409"/>
      <w:bookmarkEnd w:id="410"/>
    </w:p>
    <w:p w14:paraId="08999CDF">
      <w:pPr>
        <w:autoSpaceDE w:val="0"/>
        <w:autoSpaceDN w:val="0"/>
        <w:adjustRightInd w:val="0"/>
        <w:spacing w:line="560" w:lineRule="exact"/>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工程项目名称：</w:t>
      </w:r>
      <w:r>
        <w:rPr>
          <w:rFonts w:hint="eastAsia" w:ascii="仿宋" w:hAnsi="仿宋" w:eastAsia="仿宋" w:cs="仿宋"/>
          <w:color w:val="auto"/>
          <w:sz w:val="21"/>
          <w:szCs w:val="21"/>
          <w:highlight w:val="none"/>
          <w:u w:val="single"/>
          <w:lang w:val="en-US" w:eastAsia="zh-CN"/>
        </w:rPr>
        <w:t>奉化区莼湖街道中心小学校舍改造提升工程 </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 xml:space="preserve">  </w:t>
      </w:r>
    </w:p>
    <w:p w14:paraId="3D096729">
      <w:pPr>
        <w:autoSpaceDE w:val="0"/>
        <w:autoSpaceDN w:val="0"/>
        <w:adjustRightInd w:val="0"/>
        <w:spacing w:line="560" w:lineRule="exac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zh-CN"/>
        </w:rPr>
        <w:t>发包人名称(以下称甲方)：</w:t>
      </w:r>
      <w:r>
        <w:rPr>
          <w:rFonts w:hint="eastAsia" w:ascii="仿宋" w:hAnsi="仿宋" w:eastAsia="仿宋" w:cs="仿宋"/>
          <w:color w:val="auto"/>
          <w:sz w:val="21"/>
          <w:szCs w:val="21"/>
          <w:highlight w:val="none"/>
          <w:u w:val="single"/>
          <w:lang w:val="en-US" w:eastAsia="zh-CN"/>
        </w:rPr>
        <w:t>宁波市奉化区莼湖街道中心小学</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u w:val="single"/>
          <w:lang w:val="en-US" w:eastAsia="zh-CN"/>
        </w:rPr>
        <w:t xml:space="preserve">       </w:t>
      </w:r>
    </w:p>
    <w:p w14:paraId="5E88DCDB">
      <w:pPr>
        <w:autoSpaceDE w:val="0"/>
        <w:autoSpaceDN w:val="0"/>
        <w:adjustRightInd w:val="0"/>
        <w:spacing w:line="560" w:lineRule="exact"/>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承包人名称(以下称乙方)：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 xml:space="preserve">                                </w:t>
      </w:r>
    </w:p>
    <w:p w14:paraId="7F5B79B2">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3BBBB46">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第一条  甲乙双方的权利和义务    </w:t>
      </w:r>
    </w:p>
    <w:p w14:paraId="280A1264">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29318ED7">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33A03FB0">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16113A0C">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37B58D4">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第二条  甲方的责任    </w:t>
      </w:r>
    </w:p>
    <w:p w14:paraId="6E530575">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甲方的负责人和从事该工程项目的工作人员，在工程项目的事前、事中、事后应遵守以下规定：    </w:t>
      </w:r>
    </w:p>
    <w:p w14:paraId="5B5042F3">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04BDF55F">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(二)不参加乙方安排的宴请及其他消费活动；不接受乙方提供的通讯工具、交通工具、高档办公用品等。    </w:t>
      </w:r>
    </w:p>
    <w:p w14:paraId="641A154A">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(三)不要求、暗示和接受乙方为个人装修住房、为配偶子女的工作安排以及本人或亲属旅游、出国(境)等提供方便。    </w:t>
      </w:r>
    </w:p>
    <w:p w14:paraId="04A31455">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(四)配偶、子女不得从事与乙方承包工程有关的设备材料供应、工程分包、劳务等经济活动。    </w:t>
      </w:r>
    </w:p>
    <w:p w14:paraId="3F9F393F">
      <w:pPr>
        <w:autoSpaceDE w:val="0"/>
        <w:autoSpaceDN w:val="0"/>
        <w:adjustRightInd w:val="0"/>
        <w:spacing w:line="560" w:lineRule="exact"/>
        <w:ind w:firstLine="315" w:firstLineChars="15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（五)不以任何理由向乙方推荐分包人或要求乙方购买项目合同规定以外的材料、设备和服务等。</w:t>
      </w:r>
    </w:p>
    <w:p w14:paraId="50BDB5F0">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第三条  乙方的责任</w:t>
      </w:r>
    </w:p>
    <w:p w14:paraId="2ED72ECA">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6809B242">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(一)不以任何理由向甲方及其工作人员行贿或赠送礼金、有价证券、贵重物品。    </w:t>
      </w:r>
    </w:p>
    <w:p w14:paraId="4E4E1F1D">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(二)不以任何名义为甲方及其工作人员报销应由对方支付的费用。    </w:t>
      </w:r>
    </w:p>
    <w:p w14:paraId="30528F2F">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(三)不以任何理由宴请甲方工作人员或安排其他消费活动。    </w:t>
      </w:r>
    </w:p>
    <w:p w14:paraId="406F93FC">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(四)不为甲方和工作人员购置或提供通讯工具、交通工具、高档办公用品和装修住房等。 </w:t>
      </w:r>
    </w:p>
    <w:p w14:paraId="7379A62E">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第四条  违约责任 </w:t>
      </w:r>
    </w:p>
    <w:p w14:paraId="18DE71F1">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CF74899">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680D88C">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41BE3440">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第五条  双方约定：在自觉履行合同的同时，由甲、乙双方的监督单位负责对本合同履行情况进行监督检查。</w:t>
      </w:r>
    </w:p>
    <w:p w14:paraId="4832478C">
      <w:pPr>
        <w:spacing w:line="560" w:lineRule="exact"/>
        <w:ind w:firstLine="403" w:firstLineChars="19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第六条  本合同作为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工程施工合同的附件，与主合同具有</w:t>
      </w:r>
      <w:r>
        <w:rPr>
          <w:rFonts w:hint="eastAsia" w:ascii="仿宋" w:hAnsi="仿宋" w:eastAsia="仿宋" w:cs="仿宋"/>
          <w:color w:val="auto"/>
          <w:kern w:val="0"/>
          <w:sz w:val="21"/>
          <w:szCs w:val="21"/>
          <w:highlight w:val="none"/>
          <w:lang w:val="zh-CN"/>
        </w:rPr>
        <w:t>同等法律效力。甲乙双方签署后立即生效。</w:t>
      </w:r>
    </w:p>
    <w:p w14:paraId="206C1D70">
      <w:pPr>
        <w:autoSpaceDE w:val="0"/>
        <w:autoSpaceDN w:val="0"/>
        <w:adjustRightInd w:val="0"/>
        <w:spacing w:line="560" w:lineRule="exact"/>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第七条  本合同的有效期为双方签署之日起至该工程项目竣工验收合格时止。    </w:t>
      </w:r>
    </w:p>
    <w:p w14:paraId="0AF86243">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第八条  本合同一式四份，由甲、乙双方各执一份，送至甲、乙双方的监督单位各一份进行备案。</w:t>
      </w:r>
    </w:p>
    <w:p w14:paraId="1492CD36">
      <w:pPr>
        <w:spacing w:line="560" w:lineRule="exact"/>
        <w:ind w:firstLine="420" w:firstLineChars="200"/>
        <w:rPr>
          <w:rFonts w:hint="eastAsia" w:ascii="仿宋" w:hAnsi="仿宋" w:eastAsia="仿宋" w:cs="仿宋"/>
          <w:color w:val="auto"/>
          <w:sz w:val="21"/>
          <w:szCs w:val="21"/>
          <w:highlight w:val="none"/>
        </w:rPr>
      </w:pPr>
    </w:p>
    <w:p w14:paraId="6FFEAE07">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                                      乙方（盖章）：</w:t>
      </w:r>
    </w:p>
    <w:p w14:paraId="6C237E09">
      <w:pPr>
        <w:tabs>
          <w:tab w:val="left" w:pos="4125"/>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                                        法定代表人：</w:t>
      </w:r>
    </w:p>
    <w:p w14:paraId="32B0249F">
      <w:pPr>
        <w:tabs>
          <w:tab w:val="left" w:pos="4545"/>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                                              地址：</w:t>
      </w:r>
    </w:p>
    <w:p w14:paraId="37B1DDA4">
      <w:pPr>
        <w:tabs>
          <w:tab w:val="left" w:pos="4545"/>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                                              电话：</w:t>
      </w:r>
    </w:p>
    <w:p w14:paraId="42C582E8">
      <w:pPr>
        <w:tabs>
          <w:tab w:val="left" w:pos="4962"/>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                                        年   月   日</w:t>
      </w:r>
    </w:p>
    <w:p w14:paraId="06F7C2F4">
      <w:pPr>
        <w:tabs>
          <w:tab w:val="left" w:pos="4962"/>
        </w:tabs>
        <w:spacing w:line="560" w:lineRule="exact"/>
        <w:ind w:firstLine="420" w:firstLineChars="200"/>
        <w:rPr>
          <w:rFonts w:hint="eastAsia" w:ascii="仿宋" w:hAnsi="仿宋" w:eastAsia="仿宋" w:cs="仿宋"/>
          <w:color w:val="auto"/>
          <w:sz w:val="21"/>
          <w:szCs w:val="21"/>
          <w:highlight w:val="none"/>
        </w:rPr>
      </w:pPr>
    </w:p>
    <w:p w14:paraId="60BDD4F8">
      <w:pPr>
        <w:tabs>
          <w:tab w:val="left" w:pos="4962"/>
        </w:tabs>
        <w:spacing w:line="560" w:lineRule="exact"/>
        <w:ind w:firstLine="420" w:firstLineChars="200"/>
        <w:rPr>
          <w:rFonts w:hint="eastAsia" w:ascii="仿宋" w:hAnsi="仿宋" w:eastAsia="仿宋" w:cs="仿宋"/>
          <w:color w:val="auto"/>
          <w:sz w:val="21"/>
          <w:szCs w:val="21"/>
          <w:highlight w:val="none"/>
        </w:rPr>
      </w:pPr>
    </w:p>
    <w:p w14:paraId="3A6E48FE">
      <w:pPr>
        <w:tabs>
          <w:tab w:val="left" w:pos="6015"/>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甲方监督单位（盖章）                               乙方监督单位（盖章）</w:t>
      </w:r>
    </w:p>
    <w:p w14:paraId="56386993">
      <w:pPr>
        <w:tabs>
          <w:tab w:val="left" w:pos="4962"/>
        </w:tabs>
        <w:spacing w:line="560" w:lineRule="exact"/>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                                       年   月  日   </w:t>
      </w:r>
    </w:p>
    <w:p w14:paraId="7ED18D48">
      <w:pPr>
        <w:tabs>
          <w:tab w:val="left" w:pos="4962"/>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6DBCE43">
      <w:pPr>
        <w:tabs>
          <w:tab w:val="left" w:pos="4962"/>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bookmarkEnd w:id="395"/>
    <w:bookmarkEnd w:id="396"/>
    <w:bookmarkEnd w:id="397"/>
    <w:p w14:paraId="77E729A1">
      <w:pPr>
        <w:keepNext w:val="0"/>
        <w:keepLines w:val="0"/>
        <w:pageBreakBefore w:val="0"/>
        <w:widowControl/>
        <w:numPr>
          <w:ilvl w:val="0"/>
          <w:numId w:val="4"/>
        </w:numPr>
        <w:kinsoku/>
        <w:wordWrap/>
        <w:overflowPunct/>
        <w:topLinePunct w:val="0"/>
        <w:autoSpaceDE/>
        <w:autoSpaceDN/>
        <w:bidi w:val="0"/>
        <w:adjustRightInd/>
        <w:snapToGrid w:val="0"/>
        <w:spacing w:line="360" w:lineRule="auto"/>
        <w:ind w:firstLine="0" w:firstLineChars="0"/>
        <w:jc w:val="center"/>
        <w:textAlignment w:val="auto"/>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br w:type="page"/>
      </w:r>
      <w:bookmarkStart w:id="411" w:name="_Toc20938"/>
      <w:r>
        <w:rPr>
          <w:rFonts w:hint="eastAsia" w:ascii="仿宋" w:hAnsi="仿宋" w:eastAsia="仿宋" w:cs="仿宋"/>
          <w:b/>
          <w:color w:val="auto"/>
          <w:sz w:val="36"/>
          <w:szCs w:val="20"/>
          <w:highlight w:val="none"/>
          <w:lang w:val="en-US" w:eastAsia="zh-CN"/>
        </w:rPr>
        <w:t>工程量清单及图纸</w:t>
      </w:r>
      <w:bookmarkEnd w:id="411"/>
    </w:p>
    <w:p w14:paraId="3F40330E">
      <w:pPr>
        <w:pStyle w:val="27"/>
        <w:numPr>
          <w:ilvl w:val="0"/>
          <w:numId w:val="0"/>
        </w:numPr>
        <w:ind w:leftChars="0"/>
        <w:jc w:val="center"/>
        <w:rPr>
          <w:rFonts w:hint="eastAsia" w:ascii="仿宋" w:hAnsi="仿宋" w:eastAsia="仿宋" w:cs="仿宋"/>
          <w:color w:val="auto"/>
          <w:sz w:val="30"/>
          <w:szCs w:val="30"/>
          <w:highlight w:val="none"/>
          <w:lang w:val="en-US" w:eastAsia="zh-CN"/>
        </w:rPr>
      </w:pPr>
    </w:p>
    <w:p w14:paraId="7439B258">
      <w:pPr>
        <w:pStyle w:val="27"/>
        <w:numPr>
          <w:ilvl w:val="0"/>
          <w:numId w:val="0"/>
        </w:numPr>
        <w:ind w:left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以附件形式另行提供。</w:t>
      </w:r>
    </w:p>
    <w:p w14:paraId="16757212">
      <w:pPr>
        <w:keepNext w:val="0"/>
        <w:keepLines w:val="0"/>
        <w:pageBreakBefore w:val="0"/>
        <w:widowControl/>
        <w:numPr>
          <w:ilvl w:val="0"/>
          <w:numId w:val="4"/>
        </w:numPr>
        <w:kinsoku/>
        <w:wordWrap/>
        <w:overflowPunct/>
        <w:topLinePunct w:val="0"/>
        <w:autoSpaceDE/>
        <w:autoSpaceDN/>
        <w:bidi w:val="0"/>
        <w:adjustRightInd/>
        <w:snapToGrid w:val="0"/>
        <w:spacing w:line="360" w:lineRule="auto"/>
        <w:ind w:firstLine="0" w:firstLineChars="0"/>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 xml:space="preserve"> </w:t>
      </w:r>
      <w:bookmarkStart w:id="412" w:name="_Toc1794"/>
      <w:r>
        <w:rPr>
          <w:rFonts w:hint="eastAsia" w:ascii="仿宋" w:hAnsi="仿宋" w:eastAsia="仿宋" w:cs="仿宋"/>
          <w:b/>
          <w:color w:val="auto"/>
          <w:sz w:val="36"/>
          <w:szCs w:val="20"/>
          <w:highlight w:val="none"/>
        </w:rPr>
        <w:t>应提交的有关格式范例</w:t>
      </w:r>
      <w:bookmarkEnd w:id="412"/>
    </w:p>
    <w:p w14:paraId="2D37D3BC">
      <w:pPr>
        <w:spacing w:line="360" w:lineRule="auto"/>
        <w:jc w:val="center"/>
        <w:outlineLvl w:val="0"/>
        <w:rPr>
          <w:rFonts w:hint="eastAsia" w:ascii="仿宋" w:hAnsi="仿宋" w:eastAsia="仿宋" w:cs="仿宋"/>
          <w:b/>
          <w:color w:val="auto"/>
          <w:kern w:val="0"/>
          <w:sz w:val="36"/>
          <w:szCs w:val="36"/>
          <w:highlight w:val="none"/>
        </w:rPr>
      </w:pPr>
      <w:bookmarkStart w:id="413" w:name="_Toc9910"/>
      <w:r>
        <w:rPr>
          <w:rFonts w:hint="eastAsia" w:ascii="仿宋" w:hAnsi="仿宋" w:eastAsia="仿宋" w:cs="仿宋"/>
          <w:b/>
          <w:color w:val="auto"/>
          <w:kern w:val="0"/>
          <w:sz w:val="36"/>
          <w:szCs w:val="36"/>
          <w:highlight w:val="none"/>
        </w:rPr>
        <w:t>资格文件部分</w:t>
      </w:r>
      <w:bookmarkEnd w:id="413"/>
    </w:p>
    <w:p w14:paraId="51B75E54">
      <w:pPr>
        <w:spacing w:line="360" w:lineRule="auto"/>
        <w:jc w:val="center"/>
        <w:outlineLvl w:val="0"/>
        <w:rPr>
          <w:rFonts w:hint="eastAsia" w:ascii="仿宋" w:hAnsi="仿宋" w:eastAsia="仿宋" w:cs="仿宋"/>
          <w:b/>
          <w:color w:val="auto"/>
          <w:kern w:val="0"/>
          <w:sz w:val="36"/>
          <w:szCs w:val="36"/>
          <w:highlight w:val="none"/>
        </w:rPr>
      </w:pPr>
      <w:bookmarkStart w:id="414" w:name="_Toc27764"/>
      <w:r>
        <w:rPr>
          <w:rFonts w:hint="eastAsia" w:ascii="仿宋" w:hAnsi="仿宋" w:eastAsia="仿宋" w:cs="仿宋"/>
          <w:b/>
          <w:color w:val="auto"/>
          <w:kern w:val="0"/>
          <w:sz w:val="36"/>
          <w:szCs w:val="36"/>
          <w:highlight w:val="none"/>
        </w:rPr>
        <w:t>目录</w:t>
      </w:r>
      <w:bookmarkEnd w:id="414"/>
    </w:p>
    <w:p w14:paraId="698AC12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lang w:eastAsia="zh-CN"/>
        </w:rPr>
        <w:t>有效的企业法人营业执照（或事业法人登记证）、其他组织（个体工商户）的营业执照或者民办非企业单位登记证书；</w:t>
      </w:r>
    </w:p>
    <w:p w14:paraId="636E7A2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符合参加采购活动应当具备的一般条件的承诺函（</w:t>
      </w:r>
      <w:r>
        <w:rPr>
          <w:rFonts w:hint="eastAsia" w:ascii="仿宋" w:hAnsi="仿宋" w:eastAsia="仿宋" w:cs="仿宋"/>
          <w:color w:val="auto"/>
          <w:sz w:val="28"/>
          <w:szCs w:val="28"/>
          <w:highlight w:val="none"/>
          <w:lang w:val="en-US" w:eastAsia="zh-CN"/>
        </w:rPr>
        <w:t>格式见第八部分）</w:t>
      </w:r>
      <w:r>
        <w:rPr>
          <w:rFonts w:hint="eastAsia" w:ascii="仿宋" w:hAnsi="仿宋" w:eastAsia="仿宋" w:cs="仿宋"/>
          <w:color w:val="auto"/>
          <w:sz w:val="28"/>
          <w:szCs w:val="28"/>
          <w:highlight w:val="none"/>
        </w:rPr>
        <w:t>；</w:t>
      </w:r>
    </w:p>
    <w:p w14:paraId="53EF26A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 落实政府采购政策需满足的资格要求；</w:t>
      </w:r>
    </w:p>
    <w:p w14:paraId="6C2BE23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 中小企业声明函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格式见第八部分）；</w:t>
      </w:r>
    </w:p>
    <w:p w14:paraId="6610445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 残疾人福利性单位声明函（如适用）；</w:t>
      </w:r>
    </w:p>
    <w:p w14:paraId="4697CEA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 监狱企业的证明文件（如适用）；</w:t>
      </w:r>
    </w:p>
    <w:p w14:paraId="55683AA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本项目的特定资格要求</w:t>
      </w:r>
      <w:r>
        <w:rPr>
          <w:rFonts w:hint="eastAsia" w:ascii="仿宋" w:hAnsi="仿宋" w:eastAsia="仿宋" w:cs="仿宋"/>
          <w:color w:val="auto"/>
          <w:sz w:val="28"/>
          <w:szCs w:val="28"/>
          <w:highlight w:val="none"/>
          <w:lang w:val="en-US" w:eastAsia="zh-CN"/>
        </w:rPr>
        <w:t>（附相关证明资料复印件）</w:t>
      </w:r>
      <w:r>
        <w:rPr>
          <w:rFonts w:hint="eastAsia" w:ascii="仿宋" w:hAnsi="仿宋" w:eastAsia="仿宋" w:cs="仿宋"/>
          <w:color w:val="auto"/>
          <w:sz w:val="28"/>
          <w:szCs w:val="28"/>
          <w:highlight w:val="none"/>
          <w:lang w:eastAsia="zh-CN"/>
        </w:rPr>
        <w:t>；</w:t>
      </w:r>
    </w:p>
    <w:p w14:paraId="7A2D6003">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5 </w:t>
      </w:r>
      <w:r>
        <w:rPr>
          <w:rFonts w:hint="eastAsia" w:ascii="仿宋" w:hAnsi="仿宋" w:eastAsia="仿宋" w:cs="仿宋"/>
          <w:color w:val="auto"/>
          <w:sz w:val="28"/>
          <w:szCs w:val="28"/>
          <w:highlight w:val="none"/>
        </w:rPr>
        <w:t>其他资料（如有）。</w:t>
      </w:r>
    </w:p>
    <w:p w14:paraId="23D069AE">
      <w:pPr>
        <w:pStyle w:val="27"/>
        <w:spacing w:line="360" w:lineRule="auto"/>
        <w:rPr>
          <w:rFonts w:hint="eastAsia" w:ascii="仿宋" w:hAnsi="仿宋" w:eastAsia="仿宋" w:cs="仿宋"/>
          <w:color w:val="auto"/>
          <w:sz w:val="24"/>
          <w:highlight w:val="none"/>
        </w:rPr>
      </w:pPr>
    </w:p>
    <w:p w14:paraId="6AA50814">
      <w:pPr>
        <w:numPr>
          <w:ilvl w:val="0"/>
          <w:numId w:val="0"/>
        </w:num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一、有效的企业法人营业执照（或事业法人登记证）、其他组织（个体工商户）的营业执照或者民办非企业单位登记证书</w:t>
      </w:r>
      <w:r>
        <w:rPr>
          <w:rFonts w:hint="eastAsia" w:ascii="仿宋" w:hAnsi="仿宋" w:eastAsia="仿宋" w:cs="仿宋"/>
          <w:b/>
          <w:color w:val="auto"/>
          <w:kern w:val="0"/>
          <w:sz w:val="32"/>
          <w:szCs w:val="32"/>
          <w:highlight w:val="none"/>
        </w:rPr>
        <w:t>；</w:t>
      </w:r>
    </w:p>
    <w:p w14:paraId="6888B3E0">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符合参加政府采购活动应当具备的一般条件的承诺函</w:t>
      </w:r>
    </w:p>
    <w:p w14:paraId="05916A22">
      <w:pPr>
        <w:snapToGrid w:val="0"/>
        <w:spacing w:line="360" w:lineRule="auto"/>
        <w:rPr>
          <w:rFonts w:hint="eastAsia" w:ascii="仿宋" w:hAnsi="仿宋" w:eastAsia="仿宋" w:cs="仿宋"/>
          <w:color w:val="auto"/>
          <w:sz w:val="24"/>
          <w:highlight w:val="none"/>
          <w:u w:val="single"/>
        </w:rPr>
      </w:pPr>
    </w:p>
    <w:p w14:paraId="59CE7F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104E4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rPr>
        <w:t>政府采购活动，郑重承诺：</w:t>
      </w:r>
    </w:p>
    <w:p w14:paraId="4553B5D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DA43F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50793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B0C53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467E1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F2D3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21C9C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0F8F9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w:t>
      </w:r>
      <w:r>
        <w:rPr>
          <w:rFonts w:hint="eastAsia" w:ascii="仿宋" w:hAnsi="仿宋" w:eastAsia="仿宋" w:cs="仿宋"/>
          <w:color w:val="auto"/>
          <w:sz w:val="24"/>
          <w:highlight w:val="none"/>
          <w:lang w:val="en-US" w:eastAsia="zh-CN"/>
        </w:rPr>
        <w:t>失信主体</w:t>
      </w:r>
      <w:r>
        <w:rPr>
          <w:rFonts w:hint="eastAsia" w:ascii="仿宋" w:hAnsi="仿宋" w:eastAsia="仿宋" w:cs="仿宋"/>
          <w:color w:val="auto"/>
          <w:sz w:val="24"/>
          <w:highlight w:val="none"/>
        </w:rPr>
        <w:t>、政府采购严重违法失信行为记录名单。</w:t>
      </w:r>
    </w:p>
    <w:p w14:paraId="57C6A3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8554E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2769A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41216D2">
      <w:pPr>
        <w:snapToGrid w:val="0"/>
        <w:spacing w:line="360" w:lineRule="auto"/>
        <w:ind w:firstLine="5520" w:firstLineChars="2300"/>
        <w:rPr>
          <w:rFonts w:hint="eastAsia" w:ascii="仿宋" w:hAnsi="仿宋" w:eastAsia="仿宋" w:cs="仿宋"/>
          <w:color w:val="auto"/>
          <w:kern w:val="0"/>
          <w:sz w:val="24"/>
          <w:highlight w:val="none"/>
          <w:lang w:val="zh-CN"/>
        </w:rPr>
      </w:pPr>
    </w:p>
    <w:p w14:paraId="44283BD6">
      <w:pPr>
        <w:snapToGrid w:val="0"/>
        <w:spacing w:line="360" w:lineRule="auto"/>
        <w:ind w:firstLine="5520" w:firstLineChars="2300"/>
        <w:rPr>
          <w:rFonts w:hint="eastAsia" w:ascii="仿宋" w:hAnsi="仿宋" w:eastAsia="仿宋" w:cs="仿宋"/>
          <w:color w:val="auto"/>
          <w:kern w:val="0"/>
          <w:sz w:val="24"/>
          <w:highlight w:val="none"/>
          <w:lang w:val="zh-CN"/>
        </w:rPr>
      </w:pPr>
    </w:p>
    <w:p w14:paraId="0FC06411">
      <w:pPr>
        <w:snapToGrid w:val="0"/>
        <w:spacing w:line="360" w:lineRule="auto"/>
        <w:ind w:leftChars="20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14:paraId="4E726693">
      <w:pPr>
        <w:snapToGrid w:val="0"/>
        <w:spacing w:line="360" w:lineRule="auto"/>
        <w:ind w:leftChars="20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690C64B">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196137">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14:paraId="3A16A6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未要求的，无需提供）</w:t>
      </w:r>
    </w:p>
    <w:p w14:paraId="198D571B">
      <w:pPr>
        <w:pStyle w:val="28"/>
        <w:keepNext w:val="0"/>
        <w:pageBreakBefore w:val="0"/>
        <w:tabs>
          <w:tab w:val="clear" w:pos="720"/>
        </w:tabs>
        <w:snapToGrid w:val="0"/>
        <w:spacing w:before="120" w:after="120" w:line="360" w:lineRule="auto"/>
        <w:jc w:val="center"/>
        <w:outlineLvl w:val="9"/>
        <w:rPr>
          <w:rFonts w:hint="eastAsia" w:ascii="仿宋" w:hAnsi="仿宋" w:eastAsia="仿宋" w:cs="仿宋"/>
          <w:color w:val="auto"/>
          <w:highlight w:val="none"/>
        </w:rPr>
      </w:pPr>
      <w:r>
        <w:rPr>
          <w:rFonts w:hint="eastAsia" w:ascii="仿宋" w:hAnsi="仿宋" w:eastAsia="仿宋" w:cs="仿宋"/>
          <w:b/>
          <w:bCs/>
          <w:color w:val="auto"/>
          <w:sz w:val="32"/>
          <w:szCs w:val="32"/>
          <w:highlight w:val="none"/>
          <w:lang w:val="en-US" w:eastAsia="zh-CN"/>
        </w:rPr>
        <w:t>3.1</w:t>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工程</w:t>
      </w:r>
      <w:r>
        <w:rPr>
          <w:rFonts w:hint="eastAsia" w:ascii="仿宋" w:hAnsi="仿宋" w:eastAsia="仿宋" w:cs="仿宋"/>
          <w:b/>
          <w:color w:val="auto"/>
          <w:sz w:val="32"/>
          <w:szCs w:val="32"/>
          <w:highlight w:val="none"/>
        </w:rPr>
        <w:t>）</w:t>
      </w:r>
    </w:p>
    <w:p w14:paraId="2A0C55D7">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本公司郑重声明，根据《政府采购促进中小企业发展管理办法》（财库﹝2020﹞46 号）的规定，本公司（联合体）参加 </w:t>
      </w:r>
      <w:r>
        <w:rPr>
          <w:rFonts w:hint="eastAsia" w:ascii="仿宋" w:hAnsi="仿宋" w:eastAsia="仿宋" w:cs="仿宋"/>
          <w:i/>
          <w:iCs/>
          <w:color w:val="auto"/>
          <w:sz w:val="24"/>
          <w:highlight w:val="none"/>
          <w:u w:val="single"/>
        </w:rPr>
        <w:t>（单位名称）</w:t>
      </w:r>
      <w:r>
        <w:rPr>
          <w:rFonts w:hint="eastAsia" w:ascii="仿宋" w:hAnsi="仿宋" w:eastAsia="仿宋" w:cs="仿宋"/>
          <w:color w:val="auto"/>
          <w:sz w:val="24"/>
          <w:highlight w:val="none"/>
        </w:rPr>
        <w:t xml:space="preserve"> 的 </w:t>
      </w:r>
      <w:r>
        <w:rPr>
          <w:rFonts w:hint="eastAsia" w:ascii="仿宋" w:hAnsi="仿宋" w:eastAsia="仿宋" w:cs="仿宋"/>
          <w:i/>
          <w:iCs/>
          <w:color w:val="auto"/>
          <w:sz w:val="24"/>
          <w:highlight w:val="none"/>
          <w:u w:val="single"/>
        </w:rPr>
        <w:t>（项目名称）</w:t>
      </w:r>
      <w:r>
        <w:rPr>
          <w:rFonts w:hint="eastAsia" w:ascii="仿宋" w:hAnsi="仿宋" w:eastAsia="仿宋" w:cs="仿宋"/>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0B01B5C7">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bCs/>
          <w:snapToGrid/>
          <w:color w:val="auto"/>
          <w:kern w:val="2"/>
          <w:sz w:val="24"/>
          <w:szCs w:val="24"/>
          <w:highlight w:val="none"/>
          <w:lang w:val="en-US" w:eastAsia="zh-CN" w:bidi="ar-SA"/>
        </w:rPr>
        <w:t> </w:t>
      </w:r>
      <w:r>
        <w:rPr>
          <w:rFonts w:hint="eastAsia" w:ascii="仿宋" w:hAnsi="仿宋" w:eastAsia="仿宋" w:cs="仿宋"/>
          <w:color w:val="auto"/>
          <w:sz w:val="24"/>
          <w:highlight w:val="none"/>
          <w:u w:val="single"/>
          <w:lang w:eastAsia="zh-CN"/>
        </w:rPr>
        <w:t>奉化区莼湖街道中心小学校舍改造提升工程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建筑业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lang w:eastAsia="zh-CN"/>
        </w:rPr>
        <w:t>；</w:t>
      </w:r>
    </w:p>
    <w:p w14:paraId="460012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36A2BA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35A41C0">
      <w:pPr>
        <w:spacing w:line="360" w:lineRule="auto"/>
        <w:ind w:right="1760"/>
        <w:jc w:val="right"/>
        <w:rPr>
          <w:rFonts w:hint="eastAsia" w:ascii="仿宋" w:hAnsi="仿宋" w:eastAsia="仿宋" w:cs="仿宋"/>
          <w:color w:val="auto"/>
          <w:sz w:val="24"/>
          <w:highlight w:val="none"/>
        </w:rPr>
      </w:pPr>
    </w:p>
    <w:p w14:paraId="0E38EB57">
      <w:pPr>
        <w:keepNext w:val="0"/>
        <w:keepLines w:val="0"/>
        <w:pageBreakBefore w:val="0"/>
        <w:widowControl w:val="0"/>
        <w:kinsoku/>
        <w:wordWrap/>
        <w:overflowPunct/>
        <w:topLinePunct w:val="0"/>
        <w:autoSpaceDE/>
        <w:autoSpaceDN/>
        <w:bidi w:val="0"/>
        <w:adjustRightInd w:val="0"/>
        <w:snapToGrid w:val="0"/>
        <w:spacing w:line="360" w:lineRule="auto"/>
        <w:ind w:leftChars="17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77AF67DF">
      <w:pPr>
        <w:keepNext w:val="0"/>
        <w:keepLines w:val="0"/>
        <w:pageBreakBefore w:val="0"/>
        <w:widowControl w:val="0"/>
        <w:kinsoku/>
        <w:wordWrap/>
        <w:overflowPunct/>
        <w:topLinePunct w:val="0"/>
        <w:autoSpaceDE/>
        <w:autoSpaceDN/>
        <w:bidi w:val="0"/>
        <w:adjustRightInd w:val="0"/>
        <w:snapToGrid w:val="0"/>
        <w:spacing w:line="360" w:lineRule="auto"/>
        <w:ind w:leftChars="17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14:paraId="5BB36D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5DE2EFFA">
      <w:pPr>
        <w:spacing w:line="360" w:lineRule="auto"/>
        <w:rPr>
          <w:rFonts w:hint="eastAsia" w:ascii="仿宋" w:hAnsi="仿宋" w:eastAsia="仿宋" w:cs="仿宋"/>
          <w:color w:val="auto"/>
          <w:highlight w:val="none"/>
        </w:rPr>
      </w:pPr>
    </w:p>
    <w:p w14:paraId="761E2105">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4AD39FC">
      <w:pPr>
        <w:spacing w:line="360" w:lineRule="auto"/>
        <w:ind w:right="-283"/>
        <w:rPr>
          <w:rFonts w:hint="eastAsia" w:ascii="仿宋" w:hAnsi="仿宋" w:eastAsia="仿宋" w:cs="仿宋"/>
          <w:b/>
          <w:bCs/>
          <w:color w:val="auto"/>
          <w:kern w:val="0"/>
          <w:sz w:val="24"/>
          <w:highlight w:val="none"/>
        </w:rPr>
        <w:sectPr>
          <w:footerReference r:id="rId10" w:type="first"/>
          <w:headerReference r:id="rId8" w:type="default"/>
          <w:footerReference r:id="rId9" w:type="default"/>
          <w:pgSz w:w="11906" w:h="16838"/>
          <w:pgMar w:top="1276" w:right="1418" w:bottom="1247" w:left="1418" w:header="851" w:footer="992" w:gutter="0"/>
          <w:pgNumType w:fmt="decimal"/>
          <w:cols w:space="720" w:num="1"/>
          <w:docGrid w:linePitch="312" w:charSpace="0"/>
        </w:sect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18"/>
        <w:tblW w:w="15014" w:type="dxa"/>
        <w:tblInd w:w="-176" w:type="dxa"/>
        <w:tblLayout w:type="fixed"/>
        <w:tblCellMar>
          <w:top w:w="0" w:type="dxa"/>
          <w:left w:w="108" w:type="dxa"/>
          <w:bottom w:w="0" w:type="dxa"/>
          <w:right w:w="108" w:type="dxa"/>
        </w:tblCellMar>
      </w:tblPr>
      <w:tblGrid>
        <w:gridCol w:w="1985"/>
        <w:gridCol w:w="1498"/>
        <w:gridCol w:w="1763"/>
        <w:gridCol w:w="1660"/>
        <w:gridCol w:w="1324"/>
        <w:gridCol w:w="1552"/>
        <w:gridCol w:w="1520"/>
        <w:gridCol w:w="1285"/>
        <w:gridCol w:w="1275"/>
        <w:gridCol w:w="1152"/>
      </w:tblGrid>
      <w:tr w14:paraId="33B9E53F">
        <w:tblPrEx>
          <w:tblCellMar>
            <w:top w:w="0" w:type="dxa"/>
            <w:left w:w="108" w:type="dxa"/>
            <w:bottom w:w="0" w:type="dxa"/>
            <w:right w:w="108" w:type="dxa"/>
          </w:tblCellMar>
        </w:tblPrEx>
        <w:trPr>
          <w:trHeight w:val="323" w:hRule="atLeast"/>
        </w:trPr>
        <w:tc>
          <w:tcPr>
            <w:tcW w:w="15014" w:type="dxa"/>
            <w:gridSpan w:val="10"/>
            <w:tcBorders>
              <w:top w:val="nil"/>
              <w:left w:val="nil"/>
              <w:bottom w:val="nil"/>
              <w:right w:val="nil"/>
            </w:tcBorders>
            <w:noWrap w:val="0"/>
            <w:vAlign w:val="bottom"/>
          </w:tcPr>
          <w:p w14:paraId="1E19FB96">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24"/>
                <w:highlight w:val="none"/>
              </w:rPr>
              <w:t>中小微行业划型标准规定（根据工信部联企业〔2011〕300号制定）</w:t>
            </w:r>
          </w:p>
        </w:tc>
      </w:tr>
      <w:tr w14:paraId="7E0856A4">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263FEF9F">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5E8E0B64">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14:paraId="175CF309">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小型企业</w:t>
            </w:r>
          </w:p>
        </w:tc>
        <w:tc>
          <w:tcPr>
            <w:tcW w:w="3712" w:type="dxa"/>
            <w:gridSpan w:val="3"/>
            <w:tcBorders>
              <w:top w:val="single" w:color="auto" w:sz="8" w:space="0"/>
              <w:left w:val="nil"/>
              <w:bottom w:val="single" w:color="auto" w:sz="4" w:space="0"/>
              <w:right w:val="single" w:color="000000" w:sz="8" w:space="0"/>
            </w:tcBorders>
            <w:noWrap w:val="0"/>
            <w:vAlign w:val="bottom"/>
          </w:tcPr>
          <w:p w14:paraId="2D60CCC8">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微型企业</w:t>
            </w:r>
          </w:p>
        </w:tc>
      </w:tr>
      <w:tr w14:paraId="00AD9C1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0FDEC01D">
            <w:pPr>
              <w:widowControl/>
              <w:jc w:val="left"/>
              <w:rPr>
                <w:rFonts w:hint="eastAsia" w:ascii="仿宋" w:hAnsi="仿宋" w:eastAsia="仿宋" w:cs="仿宋"/>
                <w:b/>
                <w:bCs/>
                <w:color w:val="auto"/>
                <w:kern w:val="0"/>
                <w:sz w:val="24"/>
                <w:highlight w:val="none"/>
              </w:rPr>
            </w:pPr>
          </w:p>
        </w:tc>
        <w:tc>
          <w:tcPr>
            <w:tcW w:w="1498" w:type="dxa"/>
            <w:tcBorders>
              <w:top w:val="nil"/>
              <w:left w:val="nil"/>
              <w:bottom w:val="single" w:color="auto" w:sz="4" w:space="0"/>
              <w:right w:val="single" w:color="auto" w:sz="4" w:space="0"/>
            </w:tcBorders>
            <w:noWrap w:val="0"/>
            <w:vAlign w:val="bottom"/>
          </w:tcPr>
          <w:p w14:paraId="2EB90501">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2D8D4365">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w:t>
            </w:r>
          </w:p>
          <w:p w14:paraId="7BD0E738">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57B4BAF7">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w:t>
            </w:r>
          </w:p>
          <w:p w14:paraId="79C54770">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324" w:type="dxa"/>
            <w:tcBorders>
              <w:top w:val="nil"/>
              <w:left w:val="nil"/>
              <w:bottom w:val="single" w:color="auto" w:sz="4" w:space="0"/>
              <w:right w:val="single" w:color="auto" w:sz="4" w:space="0"/>
            </w:tcBorders>
            <w:noWrap w:val="0"/>
            <w:vAlign w:val="bottom"/>
          </w:tcPr>
          <w:p w14:paraId="22709B69">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552" w:type="dxa"/>
            <w:tcBorders>
              <w:top w:val="nil"/>
              <w:left w:val="nil"/>
              <w:bottom w:val="single" w:color="auto" w:sz="4" w:space="0"/>
              <w:right w:val="single" w:color="auto" w:sz="4" w:space="0"/>
            </w:tcBorders>
            <w:noWrap w:val="0"/>
            <w:vAlign w:val="bottom"/>
          </w:tcPr>
          <w:p w14:paraId="60C179B7">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w:t>
            </w:r>
          </w:p>
          <w:p w14:paraId="2EE67D73">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520" w:type="dxa"/>
            <w:tcBorders>
              <w:top w:val="nil"/>
              <w:left w:val="nil"/>
              <w:bottom w:val="single" w:color="auto" w:sz="4" w:space="0"/>
              <w:right w:val="single" w:color="auto" w:sz="8" w:space="0"/>
            </w:tcBorders>
            <w:noWrap w:val="0"/>
            <w:vAlign w:val="bottom"/>
          </w:tcPr>
          <w:p w14:paraId="026D9268">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w:t>
            </w:r>
          </w:p>
          <w:p w14:paraId="3638CA35">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285" w:type="dxa"/>
            <w:tcBorders>
              <w:top w:val="nil"/>
              <w:left w:val="nil"/>
              <w:bottom w:val="single" w:color="auto" w:sz="4" w:space="0"/>
              <w:right w:val="single" w:color="auto" w:sz="4" w:space="0"/>
            </w:tcBorders>
            <w:noWrap w:val="0"/>
            <w:vAlign w:val="bottom"/>
          </w:tcPr>
          <w:p w14:paraId="741DCC8F">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7D61215D">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营业收入Y（万元）</w:t>
            </w:r>
          </w:p>
        </w:tc>
        <w:tc>
          <w:tcPr>
            <w:tcW w:w="1152" w:type="dxa"/>
            <w:tcBorders>
              <w:top w:val="nil"/>
              <w:left w:val="nil"/>
              <w:bottom w:val="single" w:color="auto" w:sz="4" w:space="0"/>
              <w:right w:val="single" w:color="auto" w:sz="8" w:space="0"/>
            </w:tcBorders>
            <w:noWrap w:val="0"/>
            <w:vAlign w:val="bottom"/>
          </w:tcPr>
          <w:p w14:paraId="635D1DC3">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资产总额Z（万元）</w:t>
            </w:r>
          </w:p>
        </w:tc>
      </w:tr>
      <w:tr w14:paraId="74F3B9C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0488F3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2A2BC6F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2B4CAAA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0877038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2FF099D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52" w:type="dxa"/>
            <w:tcBorders>
              <w:top w:val="nil"/>
              <w:left w:val="nil"/>
              <w:bottom w:val="single" w:color="auto" w:sz="4" w:space="0"/>
              <w:right w:val="single" w:color="auto" w:sz="4" w:space="0"/>
            </w:tcBorders>
            <w:noWrap w:val="0"/>
            <w:vAlign w:val="bottom"/>
          </w:tcPr>
          <w:p w14:paraId="43F8374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78FA39A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A900A6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0DDB77F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w:t>
            </w:r>
          </w:p>
        </w:tc>
        <w:tc>
          <w:tcPr>
            <w:tcW w:w="1152" w:type="dxa"/>
            <w:tcBorders>
              <w:top w:val="nil"/>
              <w:left w:val="nil"/>
              <w:bottom w:val="single" w:color="auto" w:sz="4" w:space="0"/>
              <w:right w:val="single" w:color="auto" w:sz="8" w:space="0"/>
            </w:tcBorders>
            <w:noWrap w:val="0"/>
            <w:vAlign w:val="bottom"/>
          </w:tcPr>
          <w:p w14:paraId="536BCC5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A29AC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AA7872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177BDF5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6F69EF4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29FEB85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26D90A6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552" w:type="dxa"/>
            <w:tcBorders>
              <w:top w:val="nil"/>
              <w:left w:val="nil"/>
              <w:bottom w:val="single" w:color="auto" w:sz="4" w:space="0"/>
              <w:right w:val="single" w:color="auto" w:sz="4" w:space="0"/>
            </w:tcBorders>
            <w:noWrap w:val="0"/>
            <w:vAlign w:val="bottom"/>
          </w:tcPr>
          <w:p w14:paraId="6C87C47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300≤Y＜2000</w:t>
            </w:r>
          </w:p>
        </w:tc>
        <w:tc>
          <w:tcPr>
            <w:tcW w:w="1520" w:type="dxa"/>
            <w:tcBorders>
              <w:top w:val="nil"/>
              <w:left w:val="nil"/>
              <w:bottom w:val="single" w:color="auto" w:sz="4" w:space="0"/>
              <w:right w:val="single" w:color="auto" w:sz="8" w:space="0"/>
            </w:tcBorders>
            <w:noWrap w:val="0"/>
            <w:vAlign w:val="bottom"/>
          </w:tcPr>
          <w:p w14:paraId="1887C44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6696EC7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5E98BA0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Y＜300</w:t>
            </w:r>
          </w:p>
        </w:tc>
        <w:tc>
          <w:tcPr>
            <w:tcW w:w="1152" w:type="dxa"/>
            <w:tcBorders>
              <w:top w:val="nil"/>
              <w:left w:val="nil"/>
              <w:bottom w:val="single" w:color="auto" w:sz="4" w:space="0"/>
              <w:right w:val="single" w:color="auto" w:sz="8" w:space="0"/>
            </w:tcBorders>
            <w:noWrap w:val="0"/>
            <w:vAlign w:val="bottom"/>
          </w:tcPr>
          <w:p w14:paraId="77C07B2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539C16A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0FFA58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6F043B6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487E8C8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308516A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5000≤Z＜80000</w:t>
            </w:r>
          </w:p>
        </w:tc>
        <w:tc>
          <w:tcPr>
            <w:tcW w:w="1324" w:type="dxa"/>
            <w:tcBorders>
              <w:top w:val="nil"/>
              <w:left w:val="nil"/>
              <w:bottom w:val="single" w:color="auto" w:sz="4" w:space="0"/>
              <w:right w:val="single" w:color="auto" w:sz="4" w:space="0"/>
            </w:tcBorders>
            <w:noWrap w:val="0"/>
            <w:vAlign w:val="bottom"/>
          </w:tcPr>
          <w:p w14:paraId="6592210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52" w:type="dxa"/>
            <w:tcBorders>
              <w:top w:val="nil"/>
              <w:left w:val="nil"/>
              <w:bottom w:val="single" w:color="auto" w:sz="4" w:space="0"/>
              <w:right w:val="single" w:color="auto" w:sz="4" w:space="0"/>
            </w:tcBorders>
            <w:noWrap w:val="0"/>
            <w:vAlign w:val="bottom"/>
          </w:tcPr>
          <w:p w14:paraId="58570A3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300≤Y＜6000</w:t>
            </w:r>
          </w:p>
        </w:tc>
        <w:tc>
          <w:tcPr>
            <w:tcW w:w="1520" w:type="dxa"/>
            <w:tcBorders>
              <w:top w:val="nil"/>
              <w:left w:val="nil"/>
              <w:bottom w:val="single" w:color="auto" w:sz="4" w:space="0"/>
              <w:right w:val="single" w:color="auto" w:sz="8" w:space="0"/>
            </w:tcBorders>
            <w:noWrap w:val="0"/>
            <w:vAlign w:val="bottom"/>
          </w:tcPr>
          <w:p w14:paraId="1167DD5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33C08BB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5406C27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Y＜300</w:t>
            </w:r>
          </w:p>
        </w:tc>
        <w:tc>
          <w:tcPr>
            <w:tcW w:w="1152" w:type="dxa"/>
            <w:tcBorders>
              <w:top w:val="nil"/>
              <w:left w:val="nil"/>
              <w:bottom w:val="single" w:color="auto" w:sz="4" w:space="0"/>
              <w:right w:val="single" w:color="auto" w:sz="8" w:space="0"/>
            </w:tcBorders>
            <w:noWrap w:val="0"/>
            <w:vAlign w:val="bottom"/>
          </w:tcPr>
          <w:p w14:paraId="677E884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Z＜300</w:t>
            </w:r>
          </w:p>
        </w:tc>
      </w:tr>
      <w:tr w14:paraId="1DCC8E6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B274D5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5BF1FA7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21F8F58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3574208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0EBE092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5≤X＜20</w:t>
            </w:r>
          </w:p>
        </w:tc>
        <w:tc>
          <w:tcPr>
            <w:tcW w:w="1552" w:type="dxa"/>
            <w:tcBorders>
              <w:top w:val="nil"/>
              <w:left w:val="nil"/>
              <w:bottom w:val="single" w:color="auto" w:sz="4" w:space="0"/>
              <w:right w:val="single" w:color="auto" w:sz="4" w:space="0"/>
            </w:tcBorders>
            <w:noWrap w:val="0"/>
            <w:vAlign w:val="bottom"/>
          </w:tcPr>
          <w:p w14:paraId="41A62AF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1000≤Y＜5000</w:t>
            </w:r>
          </w:p>
        </w:tc>
        <w:tc>
          <w:tcPr>
            <w:tcW w:w="1520" w:type="dxa"/>
            <w:tcBorders>
              <w:top w:val="nil"/>
              <w:left w:val="nil"/>
              <w:bottom w:val="single" w:color="auto" w:sz="4" w:space="0"/>
              <w:right w:val="single" w:color="auto" w:sz="8" w:space="0"/>
            </w:tcBorders>
            <w:noWrap w:val="0"/>
            <w:vAlign w:val="bottom"/>
          </w:tcPr>
          <w:p w14:paraId="3BF4F89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DD215A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349DE6C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Y＜1000</w:t>
            </w:r>
          </w:p>
        </w:tc>
        <w:tc>
          <w:tcPr>
            <w:tcW w:w="1152" w:type="dxa"/>
            <w:tcBorders>
              <w:top w:val="nil"/>
              <w:left w:val="nil"/>
              <w:bottom w:val="single" w:color="auto" w:sz="4" w:space="0"/>
              <w:right w:val="single" w:color="auto" w:sz="8" w:space="0"/>
            </w:tcBorders>
            <w:noWrap w:val="0"/>
            <w:vAlign w:val="bottom"/>
          </w:tcPr>
          <w:p w14:paraId="42F719F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748AF39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F418C4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71A5194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536C47B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79EE228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0D3B900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10≤X＜50</w:t>
            </w:r>
          </w:p>
        </w:tc>
        <w:tc>
          <w:tcPr>
            <w:tcW w:w="1552" w:type="dxa"/>
            <w:tcBorders>
              <w:top w:val="nil"/>
              <w:left w:val="nil"/>
              <w:bottom w:val="single" w:color="auto" w:sz="4" w:space="0"/>
              <w:right w:val="single" w:color="auto" w:sz="4" w:space="0"/>
            </w:tcBorders>
            <w:noWrap w:val="0"/>
            <w:vAlign w:val="bottom"/>
          </w:tcPr>
          <w:p w14:paraId="1C428BC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100≤Y＜500</w:t>
            </w:r>
          </w:p>
        </w:tc>
        <w:tc>
          <w:tcPr>
            <w:tcW w:w="1520" w:type="dxa"/>
            <w:tcBorders>
              <w:top w:val="nil"/>
              <w:left w:val="nil"/>
              <w:bottom w:val="single" w:color="auto" w:sz="4" w:space="0"/>
              <w:right w:val="single" w:color="auto" w:sz="8" w:space="0"/>
            </w:tcBorders>
            <w:noWrap w:val="0"/>
            <w:vAlign w:val="bottom"/>
          </w:tcPr>
          <w:p w14:paraId="317B897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6F89D4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28ED3F0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1115BD7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827114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A23496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50D2411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4922D0D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1FDFF96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770AE9C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552" w:type="dxa"/>
            <w:tcBorders>
              <w:top w:val="nil"/>
              <w:left w:val="nil"/>
              <w:bottom w:val="single" w:color="auto" w:sz="4" w:space="0"/>
              <w:right w:val="single" w:color="auto" w:sz="4" w:space="0"/>
            </w:tcBorders>
            <w:noWrap w:val="0"/>
            <w:vAlign w:val="bottom"/>
          </w:tcPr>
          <w:p w14:paraId="6DECEDA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200≤Y＜3000</w:t>
            </w:r>
          </w:p>
        </w:tc>
        <w:tc>
          <w:tcPr>
            <w:tcW w:w="1520" w:type="dxa"/>
            <w:tcBorders>
              <w:top w:val="nil"/>
              <w:left w:val="nil"/>
              <w:bottom w:val="single" w:color="auto" w:sz="4" w:space="0"/>
              <w:right w:val="single" w:color="auto" w:sz="8" w:space="0"/>
            </w:tcBorders>
            <w:noWrap w:val="0"/>
            <w:vAlign w:val="bottom"/>
          </w:tcPr>
          <w:p w14:paraId="6BAF3F7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4E9EA8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224622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V＜200</w:t>
            </w:r>
          </w:p>
        </w:tc>
        <w:tc>
          <w:tcPr>
            <w:tcW w:w="1152" w:type="dxa"/>
            <w:tcBorders>
              <w:top w:val="nil"/>
              <w:left w:val="nil"/>
              <w:bottom w:val="single" w:color="auto" w:sz="4" w:space="0"/>
              <w:right w:val="single" w:color="auto" w:sz="8" w:space="0"/>
            </w:tcBorders>
            <w:noWrap w:val="0"/>
            <w:vAlign w:val="bottom"/>
          </w:tcPr>
          <w:p w14:paraId="3F8BA2B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CA3766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5EE174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0C30416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2E367B9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5430512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425F899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20≤X＜100</w:t>
            </w:r>
          </w:p>
        </w:tc>
        <w:tc>
          <w:tcPr>
            <w:tcW w:w="1552" w:type="dxa"/>
            <w:tcBorders>
              <w:top w:val="nil"/>
              <w:left w:val="nil"/>
              <w:bottom w:val="single" w:color="auto" w:sz="4" w:space="0"/>
              <w:right w:val="single" w:color="auto" w:sz="4" w:space="0"/>
            </w:tcBorders>
            <w:noWrap w:val="0"/>
            <w:vAlign w:val="bottom"/>
          </w:tcPr>
          <w:p w14:paraId="05360B3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2879FF1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D28396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2C37764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36BC2A0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0A71521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EED497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3E102B5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0705701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0F259EF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27E265D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552" w:type="dxa"/>
            <w:tcBorders>
              <w:top w:val="nil"/>
              <w:left w:val="nil"/>
              <w:bottom w:val="single" w:color="auto" w:sz="4" w:space="0"/>
              <w:right w:val="single" w:color="auto" w:sz="4" w:space="0"/>
            </w:tcBorders>
            <w:noWrap w:val="0"/>
            <w:vAlign w:val="bottom"/>
          </w:tcPr>
          <w:p w14:paraId="2A54C72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6D6ED34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BBE6CC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954ED8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17F44A6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5D9137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DC9308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164987C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25DF971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7F2494E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1E9194E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12FD395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4815C43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069267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D9E246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2E8A1E4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78FF25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06973F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12CA261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629D74F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4BC0680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307EE57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6622389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58F902A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168A52B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20C46A3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V＜100</w:t>
            </w:r>
          </w:p>
        </w:tc>
        <w:tc>
          <w:tcPr>
            <w:tcW w:w="1152" w:type="dxa"/>
            <w:tcBorders>
              <w:top w:val="nil"/>
              <w:left w:val="nil"/>
              <w:bottom w:val="single" w:color="auto" w:sz="4" w:space="0"/>
              <w:right w:val="single" w:color="auto" w:sz="8" w:space="0"/>
            </w:tcBorders>
            <w:noWrap w:val="0"/>
            <w:vAlign w:val="bottom"/>
          </w:tcPr>
          <w:p w14:paraId="3C05F82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34F174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591D10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2DCD4A9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59D6C45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332CD60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4686B10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613D26C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20027EB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F7FAC2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8700E8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7EF5CF3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5D81ABB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D129A9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15"/>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5F8385D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2150309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1283705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76C4D1B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030DD04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6D79EC7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7253C5C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61A88C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w:t>
            </w:r>
          </w:p>
        </w:tc>
        <w:tc>
          <w:tcPr>
            <w:tcW w:w="1152" w:type="dxa"/>
            <w:tcBorders>
              <w:top w:val="nil"/>
              <w:left w:val="nil"/>
              <w:bottom w:val="single" w:color="auto" w:sz="4" w:space="0"/>
              <w:right w:val="single" w:color="auto" w:sz="8" w:space="0"/>
            </w:tcBorders>
            <w:noWrap w:val="0"/>
            <w:vAlign w:val="bottom"/>
          </w:tcPr>
          <w:p w14:paraId="60B8986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2F6D2F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noWrap w:val="0"/>
            <w:vAlign w:val="bottom"/>
          </w:tcPr>
          <w:p w14:paraId="397646F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74444AC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0821A6E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7A6C647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5000≤Z＜10000</w:t>
            </w:r>
          </w:p>
        </w:tc>
        <w:tc>
          <w:tcPr>
            <w:tcW w:w="1324" w:type="dxa"/>
            <w:tcBorders>
              <w:top w:val="nil"/>
              <w:left w:val="nil"/>
              <w:bottom w:val="single" w:color="auto" w:sz="4" w:space="0"/>
              <w:right w:val="single" w:color="auto" w:sz="4" w:space="0"/>
            </w:tcBorders>
            <w:noWrap w:val="0"/>
            <w:vAlign w:val="bottom"/>
          </w:tcPr>
          <w:p w14:paraId="081ED70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52" w:type="dxa"/>
            <w:tcBorders>
              <w:top w:val="nil"/>
              <w:left w:val="nil"/>
              <w:bottom w:val="single" w:color="auto" w:sz="4" w:space="0"/>
              <w:right w:val="single" w:color="auto" w:sz="4" w:space="0"/>
            </w:tcBorders>
            <w:noWrap w:val="0"/>
            <w:vAlign w:val="bottom"/>
          </w:tcPr>
          <w:p w14:paraId="3D567E0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7652FCE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2000≤Z＜5000</w:t>
            </w:r>
          </w:p>
        </w:tc>
        <w:tc>
          <w:tcPr>
            <w:tcW w:w="1285" w:type="dxa"/>
            <w:tcBorders>
              <w:top w:val="nil"/>
              <w:left w:val="nil"/>
              <w:bottom w:val="single" w:color="auto" w:sz="4" w:space="0"/>
              <w:right w:val="single" w:color="auto" w:sz="4" w:space="0"/>
            </w:tcBorders>
            <w:noWrap w:val="0"/>
            <w:vAlign w:val="bottom"/>
          </w:tcPr>
          <w:p w14:paraId="1223B4E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3A3978A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197470E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Z＜2000</w:t>
            </w:r>
          </w:p>
        </w:tc>
      </w:tr>
      <w:tr w14:paraId="39126E4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noWrap w:val="0"/>
            <w:vAlign w:val="bottom"/>
          </w:tcPr>
          <w:p w14:paraId="6971EC0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73B0FB1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1C7D2EF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7E1ABDB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3078130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552" w:type="dxa"/>
            <w:tcBorders>
              <w:top w:val="nil"/>
              <w:left w:val="nil"/>
              <w:bottom w:val="single" w:color="auto" w:sz="4" w:space="0"/>
              <w:right w:val="single" w:color="auto" w:sz="4" w:space="0"/>
            </w:tcBorders>
            <w:noWrap w:val="0"/>
            <w:vAlign w:val="bottom"/>
          </w:tcPr>
          <w:p w14:paraId="523E735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500≤Y＜1000</w:t>
            </w:r>
          </w:p>
        </w:tc>
        <w:tc>
          <w:tcPr>
            <w:tcW w:w="1520" w:type="dxa"/>
            <w:tcBorders>
              <w:top w:val="nil"/>
              <w:left w:val="nil"/>
              <w:bottom w:val="single" w:color="auto" w:sz="4" w:space="0"/>
              <w:right w:val="single" w:color="auto" w:sz="8" w:space="0"/>
            </w:tcBorders>
            <w:noWrap w:val="0"/>
            <w:vAlign w:val="bottom"/>
          </w:tcPr>
          <w:p w14:paraId="3A8206E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7C6D076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000A85B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Y＜500</w:t>
            </w:r>
          </w:p>
        </w:tc>
        <w:tc>
          <w:tcPr>
            <w:tcW w:w="1152" w:type="dxa"/>
            <w:tcBorders>
              <w:top w:val="nil"/>
              <w:left w:val="nil"/>
              <w:bottom w:val="single" w:color="auto" w:sz="4" w:space="0"/>
              <w:right w:val="single" w:color="auto" w:sz="8" w:space="0"/>
            </w:tcBorders>
            <w:noWrap w:val="0"/>
            <w:vAlign w:val="bottom"/>
          </w:tcPr>
          <w:p w14:paraId="0F310C8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614684B">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noWrap w:val="0"/>
            <w:vAlign w:val="bottom"/>
          </w:tcPr>
          <w:p w14:paraId="01CED0C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28749DC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2D9967E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50F85EC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18"/>
                <w:highlight w:val="none"/>
              </w:rPr>
              <w:t>8000≤Z＜120000</w:t>
            </w:r>
          </w:p>
        </w:tc>
        <w:tc>
          <w:tcPr>
            <w:tcW w:w="1324" w:type="dxa"/>
            <w:tcBorders>
              <w:top w:val="nil"/>
              <w:left w:val="nil"/>
              <w:bottom w:val="single" w:color="auto" w:sz="4" w:space="0"/>
              <w:right w:val="single" w:color="auto" w:sz="4" w:space="0"/>
            </w:tcBorders>
            <w:noWrap w:val="0"/>
            <w:vAlign w:val="bottom"/>
          </w:tcPr>
          <w:p w14:paraId="25F6BE2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0096937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20" w:type="dxa"/>
            <w:tcBorders>
              <w:top w:val="nil"/>
              <w:left w:val="nil"/>
              <w:bottom w:val="single" w:color="auto" w:sz="4" w:space="0"/>
              <w:right w:val="single" w:color="auto" w:sz="8" w:space="0"/>
            </w:tcBorders>
            <w:noWrap w:val="0"/>
            <w:vAlign w:val="bottom"/>
          </w:tcPr>
          <w:p w14:paraId="21F5938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5242F64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AC2D31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152" w:type="dxa"/>
            <w:tcBorders>
              <w:top w:val="nil"/>
              <w:left w:val="nil"/>
              <w:bottom w:val="single" w:color="auto" w:sz="4" w:space="0"/>
              <w:right w:val="single" w:color="auto" w:sz="8" w:space="0"/>
            </w:tcBorders>
            <w:noWrap w:val="0"/>
            <w:vAlign w:val="bottom"/>
          </w:tcPr>
          <w:p w14:paraId="5C602E7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Z＜100</w:t>
            </w:r>
          </w:p>
        </w:tc>
      </w:tr>
      <w:tr w14:paraId="5E8BBF07">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noWrap w:val="0"/>
            <w:vAlign w:val="bottom"/>
          </w:tcPr>
          <w:p w14:paraId="5731DD6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510A5EC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123F198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3CA3C15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8" w:space="0"/>
              <w:right w:val="single" w:color="auto" w:sz="4" w:space="0"/>
            </w:tcBorders>
            <w:noWrap w:val="0"/>
            <w:vAlign w:val="bottom"/>
          </w:tcPr>
          <w:p w14:paraId="001931A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8" w:space="0"/>
              <w:right w:val="single" w:color="auto" w:sz="4" w:space="0"/>
            </w:tcBorders>
            <w:noWrap w:val="0"/>
            <w:vAlign w:val="bottom"/>
          </w:tcPr>
          <w:p w14:paraId="674CE93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20" w:type="dxa"/>
            <w:tcBorders>
              <w:top w:val="nil"/>
              <w:left w:val="nil"/>
              <w:bottom w:val="single" w:color="auto" w:sz="8" w:space="0"/>
              <w:right w:val="single" w:color="auto" w:sz="8" w:space="0"/>
            </w:tcBorders>
            <w:noWrap w:val="0"/>
            <w:vAlign w:val="bottom"/>
          </w:tcPr>
          <w:p w14:paraId="675D466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8" w:space="0"/>
              <w:right w:val="single" w:color="auto" w:sz="4" w:space="0"/>
            </w:tcBorders>
            <w:noWrap w:val="0"/>
            <w:vAlign w:val="bottom"/>
          </w:tcPr>
          <w:p w14:paraId="17562F1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6AF0962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152" w:type="dxa"/>
            <w:tcBorders>
              <w:top w:val="nil"/>
              <w:left w:val="nil"/>
              <w:bottom w:val="single" w:color="auto" w:sz="8" w:space="0"/>
              <w:right w:val="single" w:color="auto" w:sz="8" w:space="0"/>
            </w:tcBorders>
            <w:noWrap w:val="0"/>
            <w:vAlign w:val="bottom"/>
          </w:tcPr>
          <w:p w14:paraId="1CCA4E9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bl>
    <w:p w14:paraId="30DBB862">
      <w:pPr>
        <w:widowControl/>
        <w:spacing w:line="240" w:lineRule="auto"/>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说明</w:t>
      </w:r>
      <w:r>
        <w:rPr>
          <w:rFonts w:hint="eastAsia" w:ascii="仿宋" w:hAnsi="仿宋" w:eastAsia="仿宋" w:cs="仿宋"/>
          <w:color w:val="auto"/>
          <w:kern w:val="0"/>
          <w:sz w:val="20"/>
          <w:highlight w:val="none"/>
          <w:lang w:eastAsia="zh-CN"/>
        </w:rPr>
        <w:t>：</w:t>
      </w:r>
      <w:r>
        <w:rPr>
          <w:rFonts w:hint="eastAsia" w:ascii="仿宋" w:hAnsi="仿宋" w:eastAsia="仿宋" w:cs="仿宋"/>
          <w:color w:val="auto"/>
          <w:kern w:val="0"/>
          <w:sz w:val="20"/>
          <w:highlight w:val="none"/>
        </w:rPr>
        <w:t>1</w:t>
      </w:r>
      <w:r>
        <w:rPr>
          <w:rFonts w:hint="eastAsia" w:ascii="仿宋" w:hAnsi="仿宋" w:eastAsia="仿宋" w:cs="仿宋"/>
          <w:color w:val="auto"/>
          <w:kern w:val="0"/>
          <w:sz w:val="20"/>
          <w:highlight w:val="none"/>
          <w:lang w:val="en-US" w:eastAsia="zh-CN"/>
        </w:rPr>
        <w:t>.</w:t>
      </w:r>
      <w:r>
        <w:rPr>
          <w:rFonts w:hint="eastAsia" w:ascii="仿宋" w:hAnsi="仿宋" w:eastAsia="仿宋" w:cs="仿宋"/>
          <w:color w:val="auto"/>
          <w:kern w:val="0"/>
          <w:sz w:val="20"/>
          <w:highlight w:val="none"/>
        </w:rPr>
        <w:t>企业类型的划分以统计部门的统计数据为依据。</w:t>
      </w:r>
    </w:p>
    <w:p w14:paraId="5836EC6F">
      <w:pPr>
        <w:widowControl/>
        <w:numPr>
          <w:ilvl w:val="0"/>
          <w:numId w:val="0"/>
        </w:numPr>
        <w:spacing w:line="240" w:lineRule="auto"/>
        <w:ind w:firstLine="600" w:firstLineChars="30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lang w:val="en-US" w:eastAsia="zh-CN"/>
        </w:rPr>
        <w:t>2.</w:t>
      </w:r>
      <w:r>
        <w:rPr>
          <w:rFonts w:hint="eastAsia" w:ascii="仿宋" w:hAnsi="仿宋" w:eastAsia="仿宋" w:cs="仿宋"/>
          <w:color w:val="auto"/>
          <w:kern w:val="0"/>
          <w:sz w:val="20"/>
          <w:highlight w:val="none"/>
        </w:rPr>
        <w:t>个体工商户和本规定以外的行业，参照本规定进行划型。</w:t>
      </w:r>
    </w:p>
    <w:p w14:paraId="01F08B7A">
      <w:pPr>
        <w:keepNext w:val="0"/>
        <w:keepLines w:val="0"/>
        <w:pageBreakBefore w:val="0"/>
        <w:widowControl w:val="0"/>
        <w:kinsoku/>
        <w:wordWrap/>
        <w:overflowPunct/>
        <w:topLinePunct w:val="0"/>
        <w:autoSpaceDE/>
        <w:autoSpaceDN/>
        <w:bidi w:val="0"/>
        <w:adjustRightInd/>
        <w:snapToGrid/>
        <w:spacing w:line="240" w:lineRule="auto"/>
        <w:ind w:right="-283" w:firstLine="600" w:firstLineChars="300"/>
        <w:jc w:val="both"/>
        <w:textAlignment w:val="auto"/>
        <w:rPr>
          <w:rFonts w:hint="eastAsia" w:ascii="仿宋" w:hAnsi="仿宋" w:eastAsia="仿宋" w:cs="仿宋"/>
          <w:color w:val="auto"/>
          <w:kern w:val="0"/>
          <w:sz w:val="20"/>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kern w:val="0"/>
          <w:sz w:val="20"/>
          <w:highlight w:val="none"/>
        </w:rPr>
        <w:t>3</w:t>
      </w:r>
      <w:r>
        <w:rPr>
          <w:rFonts w:hint="eastAsia" w:ascii="仿宋" w:hAnsi="仿宋" w:eastAsia="仿宋" w:cs="仿宋"/>
          <w:color w:val="auto"/>
          <w:kern w:val="0"/>
          <w:sz w:val="20"/>
          <w:highlight w:val="none"/>
          <w:lang w:val="en-US" w:eastAsia="zh-CN"/>
        </w:rPr>
        <w:t>.</w:t>
      </w:r>
      <w:r>
        <w:rPr>
          <w:rFonts w:hint="eastAsia" w:ascii="仿宋" w:hAnsi="仿宋" w:eastAsia="仿宋" w:cs="仿宋"/>
          <w:color w:val="auto"/>
          <w:kern w:val="0"/>
          <w:sz w:val="20"/>
          <w:highlight w:val="none"/>
        </w:rPr>
        <w:t>本规定的中型企业标准上限即为大型企业标准的下限。</w:t>
      </w:r>
    </w:p>
    <w:p w14:paraId="7C3E3C30">
      <w:pPr>
        <w:widowControl/>
        <w:spacing w:line="360" w:lineRule="auto"/>
        <w:jc w:val="left"/>
        <w:rPr>
          <w:rFonts w:hint="eastAsia" w:ascii="仿宋" w:hAnsi="仿宋" w:eastAsia="仿宋" w:cs="仿宋"/>
          <w:color w:val="auto"/>
          <w:sz w:val="24"/>
          <w:highlight w:val="none"/>
        </w:rPr>
      </w:pPr>
    </w:p>
    <w:p w14:paraId="3CAB6446">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3.2</w:t>
      </w:r>
      <w:r>
        <w:rPr>
          <w:rFonts w:hint="eastAsia" w:ascii="仿宋" w:hAnsi="仿宋" w:eastAsia="仿宋" w:cs="仿宋"/>
          <w:b/>
          <w:bCs/>
          <w:color w:val="auto"/>
          <w:sz w:val="32"/>
          <w:szCs w:val="32"/>
          <w:highlight w:val="none"/>
        </w:rPr>
        <w:t>残疾人福利性单位声明函</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如适用</w:t>
      </w:r>
      <w:r>
        <w:rPr>
          <w:rFonts w:hint="eastAsia" w:ascii="仿宋" w:hAnsi="仿宋" w:eastAsia="仿宋" w:cs="仿宋"/>
          <w:b/>
          <w:bCs/>
          <w:color w:val="auto"/>
          <w:sz w:val="32"/>
          <w:szCs w:val="32"/>
          <w:highlight w:val="none"/>
          <w:lang w:eastAsia="zh-CN"/>
        </w:rPr>
        <w:t>）</w:t>
      </w:r>
    </w:p>
    <w:p w14:paraId="0F698334">
      <w:pPr>
        <w:spacing w:line="360" w:lineRule="auto"/>
        <w:rPr>
          <w:rFonts w:hint="eastAsia" w:ascii="仿宋" w:hAnsi="仿宋" w:eastAsia="仿宋" w:cs="仿宋"/>
          <w:b/>
          <w:color w:val="auto"/>
          <w:spacing w:val="6"/>
          <w:sz w:val="30"/>
          <w:szCs w:val="30"/>
          <w:highlight w:val="none"/>
        </w:rPr>
      </w:pPr>
    </w:p>
    <w:p w14:paraId="21DDF8C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F3CE3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3041680">
      <w:pPr>
        <w:spacing w:line="360" w:lineRule="auto"/>
        <w:ind w:firstLine="480" w:firstLineChars="200"/>
        <w:jc w:val="left"/>
        <w:rPr>
          <w:rFonts w:hint="eastAsia" w:ascii="仿宋" w:hAnsi="仿宋" w:eastAsia="仿宋" w:cs="仿宋"/>
          <w:color w:val="auto"/>
          <w:sz w:val="24"/>
          <w:highlight w:val="none"/>
        </w:rPr>
      </w:pPr>
    </w:p>
    <w:p w14:paraId="6F0A0589">
      <w:pPr>
        <w:spacing w:line="360" w:lineRule="auto"/>
        <w:ind w:firstLine="480" w:firstLineChars="200"/>
        <w:jc w:val="left"/>
        <w:rPr>
          <w:rFonts w:hint="eastAsia" w:ascii="仿宋" w:hAnsi="仿宋" w:eastAsia="仿宋" w:cs="仿宋"/>
          <w:color w:val="auto"/>
          <w:sz w:val="24"/>
          <w:highlight w:val="none"/>
        </w:rPr>
      </w:pPr>
    </w:p>
    <w:p w14:paraId="40B5DA48">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098F6B7D">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2F374725">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供应商（盖章）：</w:t>
      </w:r>
    </w:p>
    <w:p w14:paraId="5F510C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lang w:val="en-US" w:eastAsia="zh-CN"/>
        </w:rPr>
        <w:t>:</w:t>
      </w:r>
    </w:p>
    <w:p w14:paraId="385A982E">
      <w:pPr>
        <w:widowControl/>
        <w:spacing w:line="360" w:lineRule="auto"/>
        <w:ind w:left="150"/>
        <w:jc w:val="center"/>
        <w:rPr>
          <w:rFonts w:hint="eastAsia" w:ascii="仿宋" w:hAnsi="仿宋" w:eastAsia="仿宋" w:cs="仿宋"/>
          <w:b/>
          <w:color w:val="auto"/>
          <w:kern w:val="0"/>
          <w:sz w:val="32"/>
          <w:szCs w:val="32"/>
          <w:highlight w:val="none"/>
        </w:rPr>
      </w:pPr>
    </w:p>
    <w:p w14:paraId="4FE9897A">
      <w:pPr>
        <w:pStyle w:val="22"/>
        <w:rPr>
          <w:rFonts w:hint="eastAsia" w:ascii="仿宋" w:hAnsi="仿宋" w:eastAsia="仿宋" w:cs="仿宋"/>
          <w:b/>
          <w:color w:val="auto"/>
          <w:kern w:val="0"/>
          <w:sz w:val="32"/>
          <w:szCs w:val="32"/>
          <w:highlight w:val="none"/>
        </w:rPr>
      </w:pPr>
    </w:p>
    <w:p w14:paraId="7F4278B3">
      <w:pPr>
        <w:pStyle w:val="22"/>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3.3监狱企业的证明文件（如适用）</w:t>
      </w:r>
    </w:p>
    <w:p w14:paraId="68DB9074">
      <w:pPr>
        <w:pStyle w:val="22"/>
        <w:ind w:left="0" w:leftChars="0" w:firstLine="0" w:firstLineChars="0"/>
        <w:rPr>
          <w:rFonts w:hint="eastAsia" w:ascii="仿宋" w:hAnsi="仿宋" w:eastAsia="仿宋" w:cs="仿宋"/>
          <w:b/>
          <w:color w:val="auto"/>
          <w:kern w:val="0"/>
          <w:sz w:val="32"/>
          <w:szCs w:val="32"/>
          <w:highlight w:val="none"/>
        </w:rPr>
      </w:pPr>
    </w:p>
    <w:p w14:paraId="627721E2">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监狱企业参加政府采购活动时，应当提供由省级以上监狱管理局、戒毒管理局(含新疆生产建设兵团)出具的属于监狱企业的证明文件。</w:t>
      </w:r>
    </w:p>
    <w:p w14:paraId="230CAC56">
      <w:pPr>
        <w:pStyle w:val="22"/>
        <w:rPr>
          <w:rFonts w:hint="eastAsia" w:ascii="仿宋" w:hAnsi="仿宋" w:eastAsia="仿宋" w:cs="仿宋"/>
          <w:b/>
          <w:color w:val="auto"/>
          <w:kern w:val="0"/>
          <w:sz w:val="32"/>
          <w:szCs w:val="32"/>
          <w:highlight w:val="none"/>
        </w:rPr>
      </w:pPr>
    </w:p>
    <w:p w14:paraId="27E1BCE4">
      <w:pPr>
        <w:spacing w:line="360" w:lineRule="auto"/>
        <w:ind w:leftChars="2800"/>
        <w:jc w:val="both"/>
        <w:rPr>
          <w:rFonts w:hint="eastAsia" w:ascii="仿宋" w:hAnsi="仿宋" w:eastAsia="仿宋" w:cs="仿宋"/>
          <w:b/>
          <w:color w:val="auto"/>
          <w:kern w:val="0"/>
          <w:sz w:val="32"/>
          <w:szCs w:val="32"/>
          <w:highlight w:val="none"/>
        </w:rPr>
      </w:pPr>
    </w:p>
    <w:p w14:paraId="2E0C7D63">
      <w:pPr>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12B740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公告本项目的特定资格要求提供相应的材料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未要求的，无需提供）</w:t>
      </w:r>
    </w:p>
    <w:p w14:paraId="6B3DE19B">
      <w:pPr>
        <w:spacing w:line="360" w:lineRule="auto"/>
        <w:rPr>
          <w:rFonts w:hint="eastAsia" w:ascii="仿宋" w:hAnsi="仿宋" w:eastAsia="仿宋" w:cs="仿宋"/>
          <w:color w:val="auto"/>
          <w:highlight w:val="none"/>
        </w:rPr>
      </w:pPr>
    </w:p>
    <w:p w14:paraId="32BC8B10">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商务技术文件部分</w:t>
      </w:r>
    </w:p>
    <w:p w14:paraId="442CE525">
      <w:pPr>
        <w:spacing w:line="360" w:lineRule="auto"/>
        <w:ind w:leftChars="1900"/>
        <w:jc w:val="both"/>
        <w:outlineLvl w:val="0"/>
        <w:rPr>
          <w:rFonts w:hint="eastAsia" w:ascii="仿宋" w:hAnsi="仿宋" w:eastAsia="仿宋" w:cs="仿宋"/>
          <w:b/>
          <w:color w:val="auto"/>
          <w:kern w:val="0"/>
          <w:sz w:val="28"/>
          <w:szCs w:val="28"/>
          <w:highlight w:val="none"/>
        </w:rPr>
      </w:pPr>
      <w:bookmarkStart w:id="415" w:name="_Toc17365"/>
      <w:r>
        <w:rPr>
          <w:rFonts w:hint="eastAsia" w:ascii="仿宋" w:hAnsi="仿宋" w:eastAsia="仿宋" w:cs="仿宋"/>
          <w:b/>
          <w:color w:val="auto"/>
          <w:kern w:val="0"/>
          <w:sz w:val="28"/>
          <w:szCs w:val="28"/>
          <w:highlight w:val="none"/>
        </w:rPr>
        <w:t>目</w:t>
      </w:r>
      <w:r>
        <w:rPr>
          <w:rFonts w:hint="eastAsia" w:ascii="仿宋" w:hAnsi="仿宋" w:eastAsia="仿宋" w:cs="仿宋"/>
          <w:b/>
          <w:color w:val="auto"/>
          <w:kern w:val="0"/>
          <w:sz w:val="28"/>
          <w:szCs w:val="28"/>
          <w:highlight w:val="none"/>
          <w:lang w:val="en-US" w:eastAsia="zh-CN"/>
        </w:rPr>
        <w:t xml:space="preserve"> </w:t>
      </w:r>
      <w:r>
        <w:rPr>
          <w:rFonts w:hint="eastAsia" w:ascii="仿宋" w:hAnsi="仿宋" w:eastAsia="仿宋" w:cs="仿宋"/>
          <w:b/>
          <w:color w:val="auto"/>
          <w:kern w:val="0"/>
          <w:sz w:val="28"/>
          <w:szCs w:val="28"/>
          <w:highlight w:val="none"/>
        </w:rPr>
        <w:t>录</w:t>
      </w:r>
      <w:bookmarkEnd w:id="415"/>
    </w:p>
    <w:p w14:paraId="31A5AE65">
      <w:pPr>
        <w:snapToGrid w:val="0"/>
        <w:spacing w:line="360" w:lineRule="auto"/>
        <w:ind w:firstLine="960" w:firstLineChars="400"/>
        <w:rPr>
          <w:rFonts w:hint="eastAsia" w:ascii="仿宋" w:hAnsi="仿宋" w:eastAsia="仿宋" w:cs="仿宋"/>
          <w:color w:val="auto"/>
          <w:sz w:val="24"/>
          <w:highlight w:val="none"/>
          <w:lang w:val="en-US" w:eastAsia="zh-CN"/>
        </w:rPr>
      </w:pPr>
    </w:p>
    <w:p w14:paraId="5CEC6F40">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评分索引表；</w:t>
      </w:r>
    </w:p>
    <w:p w14:paraId="2D1E13C2">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2符合性自查表；</w:t>
      </w:r>
    </w:p>
    <w:p w14:paraId="0B5EE3FD">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响应承诺函及响应承诺函附件；</w:t>
      </w:r>
      <w:r>
        <w:rPr>
          <w:rFonts w:hint="eastAsia" w:ascii="仿宋" w:hAnsi="仿宋" w:eastAsia="仿宋" w:cs="仿宋"/>
          <w:color w:val="auto"/>
          <w:sz w:val="28"/>
          <w:szCs w:val="28"/>
          <w:highlight w:val="none"/>
          <w:lang w:val="zh-CN"/>
        </w:rPr>
        <w:t xml:space="preserve"> </w:t>
      </w:r>
    </w:p>
    <w:p w14:paraId="32C8FED9">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授权委托书或法定代表人（单位负责人、自然人本人）身份证明；</w:t>
      </w:r>
    </w:p>
    <w:p w14:paraId="096D9893">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供应商情况表；</w:t>
      </w:r>
    </w:p>
    <w:p w14:paraId="6F558C69">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距采购人最近或者能为本项目提供最优服务的网点情况表；</w:t>
      </w:r>
    </w:p>
    <w:p w14:paraId="391E32F5">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评标标准相应的商务技术资料；</w:t>
      </w:r>
    </w:p>
    <w:p w14:paraId="0E57FBC9">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 商务响应表；</w:t>
      </w:r>
    </w:p>
    <w:p w14:paraId="559F837A">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 技术响应表；</w:t>
      </w:r>
    </w:p>
    <w:p w14:paraId="75B31EAF">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 同类业绩情况一览表；</w:t>
      </w:r>
    </w:p>
    <w:p w14:paraId="4B364290">
      <w:pPr>
        <w:adjustRightInd w:val="0"/>
        <w:snapToGrid w:val="0"/>
        <w:spacing w:line="360" w:lineRule="auto"/>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 xml:space="preserve">11 </w:t>
      </w:r>
      <w:r>
        <w:rPr>
          <w:rFonts w:hint="eastAsia" w:ascii="仿宋" w:hAnsi="仿宋" w:eastAsia="仿宋" w:cs="仿宋"/>
          <w:color w:val="auto"/>
          <w:sz w:val="28"/>
          <w:szCs w:val="28"/>
          <w:highlight w:val="none"/>
          <w:lang w:val="zh-CN"/>
        </w:rPr>
        <w:t>政府采购供应商廉洁自律承诺书；</w:t>
      </w:r>
    </w:p>
    <w:p w14:paraId="6403128F">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其他资料。</w:t>
      </w:r>
    </w:p>
    <w:p w14:paraId="792683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color w:val="auto"/>
          <w:sz w:val="28"/>
          <w:szCs w:val="28"/>
          <w:highlight w:val="none"/>
          <w:lang w:val="en-US" w:eastAsia="zh-CN"/>
        </w:rPr>
      </w:pPr>
    </w:p>
    <w:p w14:paraId="6AABAD8C">
      <w:pPr>
        <w:pStyle w:val="22"/>
        <w:rPr>
          <w:rFonts w:hint="eastAsia" w:ascii="仿宋" w:hAnsi="仿宋" w:eastAsia="仿宋" w:cs="仿宋"/>
          <w:b/>
          <w:color w:val="auto"/>
          <w:kern w:val="0"/>
          <w:sz w:val="32"/>
          <w:szCs w:val="32"/>
          <w:highlight w:val="none"/>
        </w:rPr>
      </w:pPr>
    </w:p>
    <w:p w14:paraId="7E705512">
      <w:pPr>
        <w:snapToGrid w:val="0"/>
        <w:spacing w:line="360" w:lineRule="auto"/>
        <w:ind w:left="120" w:leftChars="57" w:firstLine="482" w:firstLineChars="150"/>
        <w:jc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32"/>
          <w:szCs w:val="32"/>
          <w:highlight w:val="none"/>
          <w:lang w:eastAsia="zh-CN"/>
        </w:rPr>
        <w:br w:type="page"/>
      </w:r>
      <w:r>
        <w:rPr>
          <w:rFonts w:hint="eastAsia" w:ascii="仿宋" w:hAnsi="仿宋" w:eastAsia="仿宋" w:cs="仿宋"/>
          <w:b/>
          <w:color w:val="auto"/>
          <w:kern w:val="0"/>
          <w:sz w:val="32"/>
          <w:szCs w:val="32"/>
          <w:highlight w:val="none"/>
          <w:lang w:eastAsia="zh-CN"/>
        </w:rPr>
        <w:t>一、评分索引表</w:t>
      </w:r>
    </w:p>
    <w:p w14:paraId="120ACFD3">
      <w:pPr>
        <w:snapToGrid w:val="0"/>
        <w:spacing w:before="50" w:after="50" w:line="360" w:lineRule="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名称：</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B40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0DF15095">
            <w:pPr>
              <w:pStyle w:val="13"/>
              <w:spacing w:after="0"/>
              <w:ind w:left="0" w:left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5819" w:type="dxa"/>
            <w:tcBorders>
              <w:top w:val="single" w:color="auto" w:sz="4" w:space="0"/>
              <w:left w:val="single" w:color="auto" w:sz="4" w:space="0"/>
              <w:bottom w:val="single" w:color="auto" w:sz="4" w:space="0"/>
              <w:right w:val="single" w:color="auto" w:sz="4" w:space="0"/>
            </w:tcBorders>
            <w:noWrap w:val="0"/>
            <w:vAlign w:val="center"/>
          </w:tcPr>
          <w:p w14:paraId="6005248C">
            <w:pPr>
              <w:pStyle w:val="13"/>
              <w:spacing w:after="0"/>
              <w:ind w:left="0" w:left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评分标准</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4A28752A">
            <w:pPr>
              <w:pStyle w:val="13"/>
              <w:spacing w:after="0"/>
              <w:ind w:left="0" w:left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页码</w:t>
            </w:r>
          </w:p>
        </w:tc>
      </w:tr>
      <w:tr w14:paraId="3619B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20324890">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19" w:type="dxa"/>
            <w:tcBorders>
              <w:top w:val="single" w:color="auto" w:sz="4" w:space="0"/>
              <w:left w:val="single" w:color="auto" w:sz="4" w:space="0"/>
              <w:right w:val="single" w:color="auto" w:sz="4" w:space="0"/>
            </w:tcBorders>
            <w:noWrap w:val="0"/>
            <w:vAlign w:val="center"/>
          </w:tcPr>
          <w:p w14:paraId="63F2727A">
            <w:pPr>
              <w:jc w:val="center"/>
              <w:rPr>
                <w:rFonts w:hint="eastAsia" w:ascii="仿宋" w:hAnsi="仿宋" w:eastAsia="仿宋" w:cs="仿宋"/>
                <w:color w:val="auto"/>
                <w:sz w:val="24"/>
                <w:highlight w:val="none"/>
              </w:rPr>
            </w:pPr>
          </w:p>
        </w:tc>
        <w:tc>
          <w:tcPr>
            <w:tcW w:w="1627" w:type="dxa"/>
            <w:tcBorders>
              <w:top w:val="single" w:color="auto" w:sz="4" w:space="0"/>
              <w:left w:val="single" w:color="auto" w:sz="4" w:space="0"/>
              <w:right w:val="single" w:color="auto" w:sz="4" w:space="0"/>
            </w:tcBorders>
            <w:noWrap w:val="0"/>
            <w:vAlign w:val="center"/>
          </w:tcPr>
          <w:p w14:paraId="7ED2E2C4">
            <w:pPr>
              <w:jc w:val="center"/>
              <w:rPr>
                <w:rFonts w:hint="eastAsia" w:ascii="仿宋" w:hAnsi="仿宋" w:eastAsia="仿宋" w:cs="仿宋"/>
                <w:bCs/>
                <w:color w:val="auto"/>
                <w:sz w:val="24"/>
                <w:highlight w:val="none"/>
              </w:rPr>
            </w:pPr>
          </w:p>
        </w:tc>
      </w:tr>
      <w:tr w14:paraId="54A85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7DB4C2AA">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819" w:type="dxa"/>
            <w:tcBorders>
              <w:top w:val="single" w:color="auto" w:sz="4" w:space="0"/>
              <w:left w:val="single" w:color="auto" w:sz="4" w:space="0"/>
              <w:right w:val="single" w:color="auto" w:sz="4" w:space="0"/>
            </w:tcBorders>
            <w:noWrap w:val="0"/>
            <w:vAlign w:val="center"/>
          </w:tcPr>
          <w:p w14:paraId="3F8C8281">
            <w:pPr>
              <w:widowControl/>
              <w:jc w:val="center"/>
              <w:rPr>
                <w:rFonts w:hint="eastAsia" w:ascii="仿宋" w:hAnsi="仿宋" w:eastAsia="仿宋" w:cs="仿宋"/>
                <w:color w:val="auto"/>
                <w:kern w:val="0"/>
                <w:sz w:val="24"/>
                <w:highlight w:val="none"/>
              </w:rPr>
            </w:pPr>
          </w:p>
        </w:tc>
        <w:tc>
          <w:tcPr>
            <w:tcW w:w="1627" w:type="dxa"/>
            <w:tcBorders>
              <w:top w:val="single" w:color="auto" w:sz="4" w:space="0"/>
              <w:left w:val="single" w:color="auto" w:sz="4" w:space="0"/>
              <w:right w:val="single" w:color="auto" w:sz="4" w:space="0"/>
            </w:tcBorders>
            <w:noWrap w:val="0"/>
            <w:vAlign w:val="center"/>
          </w:tcPr>
          <w:p w14:paraId="5C002E25">
            <w:pPr>
              <w:jc w:val="center"/>
              <w:rPr>
                <w:rFonts w:hint="eastAsia" w:ascii="仿宋" w:hAnsi="仿宋" w:eastAsia="仿宋" w:cs="仿宋"/>
                <w:bCs/>
                <w:color w:val="auto"/>
                <w:sz w:val="24"/>
                <w:highlight w:val="none"/>
              </w:rPr>
            </w:pPr>
          </w:p>
        </w:tc>
      </w:tr>
      <w:tr w14:paraId="7B794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noWrap w:val="0"/>
            <w:vAlign w:val="center"/>
          </w:tcPr>
          <w:p w14:paraId="0C036D0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5819" w:type="dxa"/>
            <w:tcBorders>
              <w:top w:val="single" w:color="auto" w:sz="4" w:space="0"/>
              <w:left w:val="single" w:color="auto" w:sz="4" w:space="0"/>
              <w:bottom w:val="single" w:color="auto" w:sz="4" w:space="0"/>
              <w:right w:val="single" w:color="auto" w:sz="4" w:space="0"/>
            </w:tcBorders>
            <w:noWrap w:val="0"/>
            <w:vAlign w:val="center"/>
          </w:tcPr>
          <w:p w14:paraId="32911641">
            <w:pPr>
              <w:ind w:left="55" w:leftChars="26"/>
              <w:rPr>
                <w:rFonts w:hint="eastAsia" w:ascii="仿宋" w:hAnsi="仿宋" w:eastAsia="仿宋" w:cs="仿宋"/>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4056378D">
            <w:pPr>
              <w:jc w:val="center"/>
              <w:rPr>
                <w:rFonts w:hint="eastAsia" w:ascii="仿宋" w:hAnsi="仿宋" w:eastAsia="仿宋" w:cs="仿宋"/>
                <w:bCs/>
                <w:color w:val="auto"/>
                <w:sz w:val="24"/>
                <w:highlight w:val="none"/>
              </w:rPr>
            </w:pPr>
          </w:p>
        </w:tc>
      </w:tr>
      <w:tr w14:paraId="4A5F0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2689A0EC">
            <w:pPr>
              <w:widowControl/>
              <w:rPr>
                <w:rFonts w:hint="eastAsia" w:ascii="仿宋" w:hAnsi="仿宋" w:eastAsia="仿宋" w:cs="仿宋"/>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17DE9BFD">
            <w:pPr>
              <w:pStyle w:val="13"/>
              <w:rPr>
                <w:rFonts w:hint="eastAsia" w:ascii="仿宋" w:hAnsi="仿宋" w:eastAsia="仿宋" w:cs="仿宋"/>
                <w:b/>
                <w:color w:val="auto"/>
                <w:highlight w:val="none"/>
                <w:lang w:val="en-US" w:eastAsia="zh-CN"/>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F6E8930">
            <w:pPr>
              <w:pStyle w:val="13"/>
              <w:jc w:val="center"/>
              <w:rPr>
                <w:rFonts w:hint="eastAsia" w:ascii="仿宋" w:hAnsi="仿宋" w:eastAsia="仿宋" w:cs="仿宋"/>
                <w:b/>
                <w:color w:val="auto"/>
                <w:highlight w:val="none"/>
                <w:lang w:val="en-US" w:eastAsia="zh-CN"/>
              </w:rPr>
            </w:pPr>
          </w:p>
        </w:tc>
      </w:tr>
      <w:tr w14:paraId="39C92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031F0528">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23925ED6">
            <w:pPr>
              <w:spacing w:line="320" w:lineRule="exact"/>
              <w:rPr>
                <w:rFonts w:hint="eastAsia" w:ascii="仿宋" w:hAnsi="仿宋" w:eastAsia="仿宋" w:cs="仿宋"/>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32250D3C">
            <w:pPr>
              <w:jc w:val="center"/>
              <w:rPr>
                <w:rFonts w:hint="eastAsia" w:ascii="仿宋" w:hAnsi="仿宋" w:eastAsia="仿宋" w:cs="仿宋"/>
                <w:bCs/>
                <w:color w:val="auto"/>
                <w:sz w:val="24"/>
                <w:highlight w:val="none"/>
              </w:rPr>
            </w:pPr>
          </w:p>
        </w:tc>
      </w:tr>
      <w:tr w14:paraId="4CB45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5D717341">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68364C5A">
            <w:pPr>
              <w:rPr>
                <w:rFonts w:hint="eastAsia" w:ascii="仿宋" w:hAnsi="仿宋" w:eastAsia="仿宋" w:cs="仿宋"/>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393036A">
            <w:pPr>
              <w:pStyle w:val="13"/>
              <w:jc w:val="center"/>
              <w:rPr>
                <w:rFonts w:hint="eastAsia" w:ascii="仿宋" w:hAnsi="仿宋" w:eastAsia="仿宋" w:cs="仿宋"/>
                <w:color w:val="auto"/>
                <w:highlight w:val="none"/>
                <w:lang w:val="en-US" w:eastAsia="zh-CN"/>
              </w:rPr>
            </w:pPr>
          </w:p>
        </w:tc>
      </w:tr>
      <w:tr w14:paraId="69D67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470BB50B">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5D241588">
            <w:pPr>
              <w:rPr>
                <w:rFonts w:hint="eastAsia" w:ascii="仿宋" w:hAnsi="仿宋" w:eastAsia="仿宋" w:cs="仿宋"/>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561635A">
            <w:pPr>
              <w:pStyle w:val="13"/>
              <w:jc w:val="center"/>
              <w:rPr>
                <w:rFonts w:hint="eastAsia" w:ascii="仿宋" w:hAnsi="仿宋" w:eastAsia="仿宋" w:cs="仿宋"/>
                <w:color w:val="auto"/>
                <w:highlight w:val="none"/>
                <w:lang w:val="en-US" w:eastAsia="zh-CN"/>
              </w:rPr>
            </w:pPr>
          </w:p>
        </w:tc>
      </w:tr>
      <w:tr w14:paraId="18D82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noWrap w:val="0"/>
            <w:vAlign w:val="center"/>
          </w:tcPr>
          <w:p w14:paraId="3D40B089">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511D3651">
            <w:pPr>
              <w:pStyle w:val="13"/>
              <w:rPr>
                <w:rFonts w:hint="eastAsia" w:ascii="仿宋" w:hAnsi="仿宋" w:eastAsia="仿宋" w:cs="仿宋"/>
                <w:color w:val="auto"/>
                <w:highlight w:val="none"/>
                <w:lang w:val="en-US" w:eastAsia="zh-CN"/>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1A48735">
            <w:pPr>
              <w:widowControl/>
              <w:jc w:val="center"/>
              <w:rPr>
                <w:rFonts w:hint="eastAsia" w:ascii="仿宋" w:hAnsi="仿宋" w:eastAsia="仿宋" w:cs="仿宋"/>
                <w:b/>
                <w:color w:val="auto"/>
                <w:sz w:val="24"/>
                <w:highlight w:val="none"/>
              </w:rPr>
            </w:pPr>
          </w:p>
        </w:tc>
      </w:tr>
      <w:tr w14:paraId="41E2F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noWrap w:val="0"/>
            <w:vAlign w:val="center"/>
          </w:tcPr>
          <w:p w14:paraId="6179AA56">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35FBC079">
            <w:pPr>
              <w:rPr>
                <w:rFonts w:hint="eastAsia" w:ascii="仿宋" w:hAnsi="仿宋" w:eastAsia="仿宋" w:cs="仿宋"/>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3C0D594F">
            <w:pPr>
              <w:jc w:val="center"/>
              <w:rPr>
                <w:rFonts w:hint="eastAsia" w:ascii="仿宋" w:hAnsi="仿宋" w:eastAsia="仿宋" w:cs="仿宋"/>
                <w:bCs/>
                <w:color w:val="auto"/>
                <w:sz w:val="24"/>
                <w:highlight w:val="none"/>
              </w:rPr>
            </w:pPr>
          </w:p>
        </w:tc>
      </w:tr>
      <w:tr w14:paraId="3086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08E9C9A0">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5F4E1C62">
            <w:pPr>
              <w:rPr>
                <w:rFonts w:hint="eastAsia" w:ascii="仿宋" w:hAnsi="仿宋" w:eastAsia="仿宋" w:cs="仿宋"/>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A11D578">
            <w:pPr>
              <w:jc w:val="center"/>
              <w:rPr>
                <w:rFonts w:hint="eastAsia" w:ascii="仿宋" w:hAnsi="仿宋" w:eastAsia="仿宋" w:cs="仿宋"/>
                <w:bCs/>
                <w:color w:val="auto"/>
                <w:sz w:val="24"/>
                <w:highlight w:val="none"/>
              </w:rPr>
            </w:pPr>
          </w:p>
        </w:tc>
      </w:tr>
      <w:tr w14:paraId="418B6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11F77262">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6F50454A">
            <w:pPr>
              <w:rPr>
                <w:rFonts w:hint="eastAsia" w:ascii="仿宋" w:hAnsi="仿宋" w:eastAsia="仿宋" w:cs="仿宋"/>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CB5D607">
            <w:pPr>
              <w:jc w:val="center"/>
              <w:rPr>
                <w:rFonts w:hint="eastAsia" w:ascii="仿宋" w:hAnsi="仿宋" w:eastAsia="仿宋" w:cs="仿宋"/>
                <w:bCs/>
                <w:color w:val="auto"/>
                <w:sz w:val="24"/>
                <w:highlight w:val="none"/>
              </w:rPr>
            </w:pPr>
          </w:p>
        </w:tc>
      </w:tr>
      <w:tr w14:paraId="6D164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65A5110B">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16B3DEF6">
            <w:pPr>
              <w:rPr>
                <w:rFonts w:hint="eastAsia" w:ascii="仿宋" w:hAnsi="仿宋" w:eastAsia="仿宋" w:cs="仿宋"/>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7EFA455">
            <w:pPr>
              <w:jc w:val="center"/>
              <w:rPr>
                <w:rFonts w:hint="eastAsia" w:ascii="仿宋" w:hAnsi="仿宋" w:eastAsia="仿宋" w:cs="仿宋"/>
                <w:bCs/>
                <w:color w:val="auto"/>
                <w:sz w:val="24"/>
                <w:highlight w:val="none"/>
              </w:rPr>
            </w:pPr>
          </w:p>
        </w:tc>
      </w:tr>
      <w:tr w14:paraId="32A09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27F69F69">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0E423967">
            <w:pPr>
              <w:rPr>
                <w:rFonts w:hint="eastAsia" w:ascii="仿宋" w:hAnsi="仿宋" w:eastAsia="仿宋" w:cs="仿宋"/>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53C0C3F">
            <w:pPr>
              <w:jc w:val="center"/>
              <w:rPr>
                <w:rFonts w:hint="eastAsia" w:ascii="仿宋" w:hAnsi="仿宋" w:eastAsia="仿宋" w:cs="仿宋"/>
                <w:bCs/>
                <w:color w:val="auto"/>
                <w:sz w:val="24"/>
                <w:highlight w:val="none"/>
              </w:rPr>
            </w:pPr>
          </w:p>
        </w:tc>
      </w:tr>
      <w:tr w14:paraId="338B8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14:paraId="7D7D4BE7">
            <w:pPr>
              <w:widowControl/>
              <w:rPr>
                <w:rFonts w:hint="eastAsia" w:ascii="仿宋" w:hAnsi="仿宋" w:eastAsia="仿宋" w:cs="仿宋"/>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noWrap w:val="0"/>
            <w:vAlign w:val="center"/>
          </w:tcPr>
          <w:p w14:paraId="659B3D33">
            <w:pPr>
              <w:rPr>
                <w:rFonts w:hint="eastAsia" w:ascii="仿宋" w:hAnsi="仿宋" w:eastAsia="仿宋" w:cs="仿宋"/>
                <w:bCs/>
                <w:color w:val="auto"/>
                <w:sz w:val="24"/>
                <w:highlight w:val="none"/>
              </w:rPr>
            </w:pPr>
          </w:p>
        </w:tc>
        <w:tc>
          <w:tcPr>
            <w:tcW w:w="1627" w:type="dxa"/>
            <w:tcBorders>
              <w:top w:val="single" w:color="auto" w:sz="4" w:space="0"/>
              <w:left w:val="single" w:color="auto" w:sz="4" w:space="0"/>
              <w:right w:val="single" w:color="auto" w:sz="4" w:space="0"/>
            </w:tcBorders>
            <w:noWrap w:val="0"/>
            <w:vAlign w:val="center"/>
          </w:tcPr>
          <w:p w14:paraId="328DC9C0">
            <w:pPr>
              <w:jc w:val="center"/>
              <w:rPr>
                <w:rFonts w:hint="eastAsia" w:ascii="仿宋" w:hAnsi="仿宋" w:eastAsia="仿宋" w:cs="仿宋"/>
                <w:bCs/>
                <w:color w:val="auto"/>
                <w:sz w:val="24"/>
                <w:highlight w:val="none"/>
              </w:rPr>
            </w:pPr>
          </w:p>
        </w:tc>
      </w:tr>
    </w:tbl>
    <w:p w14:paraId="38B125AD">
      <w:pPr>
        <w:spacing w:line="3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eastAsia="zh-CN"/>
        </w:rPr>
        <w:t>办法前附表”</w:t>
      </w:r>
      <w:r>
        <w:rPr>
          <w:rFonts w:hint="eastAsia" w:ascii="仿宋" w:hAnsi="仿宋" w:eastAsia="仿宋" w:cs="仿宋"/>
          <w:color w:val="auto"/>
          <w:sz w:val="24"/>
          <w:szCs w:val="24"/>
          <w:highlight w:val="none"/>
        </w:rPr>
        <w:t>逐条填写，价格分</w:t>
      </w:r>
      <w:r>
        <w:rPr>
          <w:rFonts w:hint="eastAsia" w:ascii="仿宋" w:hAnsi="仿宋" w:eastAsia="仿宋" w:cs="仿宋"/>
          <w:color w:val="auto"/>
          <w:sz w:val="24"/>
          <w:szCs w:val="24"/>
          <w:highlight w:val="none"/>
          <w:lang w:val="en-US" w:eastAsia="zh-CN"/>
        </w:rPr>
        <w:t>除</w:t>
      </w:r>
      <w:r>
        <w:rPr>
          <w:rFonts w:hint="eastAsia" w:ascii="仿宋" w:hAnsi="仿宋" w:eastAsia="仿宋" w:cs="仿宋"/>
          <w:color w:val="auto"/>
          <w:sz w:val="24"/>
          <w:szCs w:val="24"/>
          <w:highlight w:val="none"/>
        </w:rPr>
        <w:t>外。</w:t>
      </w:r>
    </w:p>
    <w:p w14:paraId="035B9285">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br w:type="page"/>
      </w:r>
      <w:bookmarkStart w:id="416" w:name="_Toc15951"/>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eastAsia="zh-CN"/>
        </w:rPr>
        <w:t>符合性自查表</w:t>
      </w:r>
      <w:bookmarkEnd w:id="416"/>
    </w:p>
    <w:tbl>
      <w:tblPr>
        <w:tblStyle w:val="18"/>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262"/>
        <w:gridCol w:w="2878"/>
        <w:gridCol w:w="1234"/>
        <w:gridCol w:w="1700"/>
      </w:tblGrid>
      <w:tr w14:paraId="2BE2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6AB107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62" w:type="dxa"/>
            <w:noWrap w:val="0"/>
            <w:vAlign w:val="center"/>
          </w:tcPr>
          <w:p w14:paraId="649000C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878" w:type="dxa"/>
            <w:noWrap w:val="0"/>
            <w:vAlign w:val="center"/>
          </w:tcPr>
          <w:p w14:paraId="55479CD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234" w:type="dxa"/>
            <w:noWrap w:val="0"/>
            <w:vAlign w:val="center"/>
          </w:tcPr>
          <w:p w14:paraId="1BB22981">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自查结论</w:t>
            </w:r>
          </w:p>
        </w:tc>
        <w:tc>
          <w:tcPr>
            <w:tcW w:w="1700" w:type="dxa"/>
            <w:noWrap w:val="0"/>
            <w:vAlign w:val="center"/>
          </w:tcPr>
          <w:p w14:paraId="62661A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245B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D38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6EDC014B">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p>
        </w:tc>
        <w:tc>
          <w:tcPr>
            <w:tcW w:w="3262" w:type="dxa"/>
            <w:noWrap w:val="0"/>
            <w:vAlign w:val="center"/>
          </w:tcPr>
          <w:p w14:paraId="76FD229C">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响应文件按照采购文件要求签署、盖章。</w:t>
            </w:r>
          </w:p>
        </w:tc>
        <w:tc>
          <w:tcPr>
            <w:tcW w:w="2878" w:type="dxa"/>
            <w:noWrap w:val="0"/>
            <w:vAlign w:val="center"/>
          </w:tcPr>
          <w:p w14:paraId="471DE010">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需要使用电子签章或者签字盖章的响应文件的组成部分</w:t>
            </w:r>
          </w:p>
        </w:tc>
        <w:tc>
          <w:tcPr>
            <w:tcW w:w="1234" w:type="dxa"/>
            <w:noWrap w:val="0"/>
            <w:vAlign w:val="center"/>
          </w:tcPr>
          <w:p w14:paraId="1D816AA8">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□通过 </w:t>
            </w:r>
          </w:p>
          <w:p w14:paraId="681EA0AC">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□不通过</w:t>
            </w:r>
          </w:p>
        </w:tc>
        <w:tc>
          <w:tcPr>
            <w:tcW w:w="1700" w:type="dxa"/>
            <w:noWrap w:val="0"/>
            <w:vAlign w:val="center"/>
          </w:tcPr>
          <w:p w14:paraId="6545D9BF">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54C0C1ED">
            <w:pPr>
              <w:spacing w:line="360" w:lineRule="auto"/>
              <w:jc w:val="both"/>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A80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466BA94E">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w:t>
            </w:r>
          </w:p>
        </w:tc>
        <w:tc>
          <w:tcPr>
            <w:tcW w:w="3262" w:type="dxa"/>
            <w:noWrap w:val="0"/>
            <w:vAlign w:val="center"/>
          </w:tcPr>
          <w:p w14:paraId="6A635EDD">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响应文件中承诺的响应有效期不少于采购文件中载明的响应有效期。</w:t>
            </w:r>
          </w:p>
        </w:tc>
        <w:tc>
          <w:tcPr>
            <w:tcW w:w="2878" w:type="dxa"/>
            <w:noWrap w:val="0"/>
            <w:vAlign w:val="center"/>
          </w:tcPr>
          <w:p w14:paraId="6D2838F2">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响应承诺函及响应承诺函附件</w:t>
            </w:r>
          </w:p>
        </w:tc>
        <w:tc>
          <w:tcPr>
            <w:tcW w:w="1234" w:type="dxa"/>
            <w:noWrap w:val="0"/>
            <w:vAlign w:val="center"/>
          </w:tcPr>
          <w:p w14:paraId="1C8339A0">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□通过 </w:t>
            </w:r>
          </w:p>
          <w:p w14:paraId="3CE3565B">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□不通过</w:t>
            </w:r>
          </w:p>
        </w:tc>
        <w:tc>
          <w:tcPr>
            <w:tcW w:w="1700" w:type="dxa"/>
            <w:noWrap w:val="0"/>
            <w:vAlign w:val="center"/>
          </w:tcPr>
          <w:p w14:paraId="4FCA585F">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4A59BD7D">
            <w:pPr>
              <w:pStyle w:val="3"/>
              <w:spacing w:line="360" w:lineRule="auto"/>
              <w:ind w:left="432" w:leftChars="0" w:hanging="432" w:firstLineChars="0"/>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18E4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23DBF03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p>
        </w:tc>
        <w:tc>
          <w:tcPr>
            <w:tcW w:w="3262" w:type="dxa"/>
            <w:noWrap w:val="0"/>
            <w:vAlign w:val="center"/>
          </w:tcPr>
          <w:p w14:paraId="5C6C2065">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响应文件满足采购文件的其它实质性要求。（“▲”系指实质性要求条款）。</w:t>
            </w:r>
          </w:p>
        </w:tc>
        <w:tc>
          <w:tcPr>
            <w:tcW w:w="2878" w:type="dxa"/>
            <w:noWrap w:val="0"/>
            <w:vAlign w:val="center"/>
          </w:tcPr>
          <w:p w14:paraId="10083C6F">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磋商文件其它实质性要求相应的材料（“▲” 系指实质性要求条款，磋商文件无其它实质性要求的，无需提供）</w:t>
            </w:r>
          </w:p>
        </w:tc>
        <w:tc>
          <w:tcPr>
            <w:tcW w:w="1234" w:type="dxa"/>
            <w:noWrap w:val="0"/>
            <w:vAlign w:val="center"/>
          </w:tcPr>
          <w:p w14:paraId="461C247D">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□通过 </w:t>
            </w:r>
          </w:p>
          <w:p w14:paraId="39E7221B">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□不通过</w:t>
            </w:r>
          </w:p>
        </w:tc>
        <w:tc>
          <w:tcPr>
            <w:tcW w:w="1700" w:type="dxa"/>
            <w:noWrap w:val="0"/>
            <w:vAlign w:val="center"/>
          </w:tcPr>
          <w:p w14:paraId="647E3C5E">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008AF035">
            <w:pPr>
              <w:spacing w:line="360" w:lineRule="auto"/>
              <w:jc w:val="both"/>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0B77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5CE6BD6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4</w:t>
            </w:r>
          </w:p>
        </w:tc>
        <w:tc>
          <w:tcPr>
            <w:tcW w:w="3262" w:type="dxa"/>
            <w:noWrap w:val="0"/>
            <w:vAlign w:val="center"/>
          </w:tcPr>
          <w:p w14:paraId="624E3B27">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响应文件没有采购文件中规定的其它无效响应条款的。</w:t>
            </w:r>
          </w:p>
        </w:tc>
        <w:tc>
          <w:tcPr>
            <w:tcW w:w="2878" w:type="dxa"/>
            <w:noWrap w:val="0"/>
            <w:vAlign w:val="center"/>
          </w:tcPr>
          <w:p w14:paraId="7C0BB054">
            <w:pPr>
              <w:spacing w:line="360" w:lineRule="auto"/>
              <w:jc w:val="both"/>
              <w:rPr>
                <w:rFonts w:hint="eastAsia" w:ascii="仿宋" w:hAnsi="仿宋" w:eastAsia="仿宋" w:cs="仿宋"/>
                <w:color w:val="auto"/>
                <w:sz w:val="24"/>
                <w:highlight w:val="none"/>
              </w:rPr>
            </w:pPr>
          </w:p>
        </w:tc>
        <w:tc>
          <w:tcPr>
            <w:tcW w:w="1234" w:type="dxa"/>
            <w:noWrap w:val="0"/>
            <w:vAlign w:val="center"/>
          </w:tcPr>
          <w:p w14:paraId="5D83DEE4">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□通过 </w:t>
            </w:r>
          </w:p>
          <w:p w14:paraId="13977427">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□不通过</w:t>
            </w:r>
          </w:p>
        </w:tc>
        <w:tc>
          <w:tcPr>
            <w:tcW w:w="1700" w:type="dxa"/>
            <w:noWrap w:val="0"/>
            <w:vAlign w:val="center"/>
          </w:tcPr>
          <w:p w14:paraId="66881D83">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6865F9AE">
            <w:pPr>
              <w:spacing w:line="360" w:lineRule="auto"/>
              <w:jc w:val="both"/>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2E64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1544AABA">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5</w:t>
            </w:r>
          </w:p>
        </w:tc>
        <w:tc>
          <w:tcPr>
            <w:tcW w:w="3262" w:type="dxa"/>
            <w:noWrap w:val="0"/>
            <w:vAlign w:val="center"/>
          </w:tcPr>
          <w:p w14:paraId="7ECFE3C0">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按有关法律、法规、规章不属于响应无效的。</w:t>
            </w:r>
          </w:p>
        </w:tc>
        <w:tc>
          <w:tcPr>
            <w:tcW w:w="2878" w:type="dxa"/>
            <w:noWrap w:val="0"/>
            <w:vAlign w:val="center"/>
          </w:tcPr>
          <w:p w14:paraId="372E9691">
            <w:pPr>
              <w:spacing w:line="360" w:lineRule="auto"/>
              <w:jc w:val="both"/>
              <w:rPr>
                <w:rFonts w:hint="eastAsia" w:ascii="仿宋" w:hAnsi="仿宋" w:eastAsia="仿宋" w:cs="仿宋"/>
                <w:color w:val="auto"/>
                <w:kern w:val="0"/>
                <w:sz w:val="24"/>
                <w:highlight w:val="none"/>
              </w:rPr>
            </w:pPr>
          </w:p>
        </w:tc>
        <w:tc>
          <w:tcPr>
            <w:tcW w:w="1234" w:type="dxa"/>
            <w:noWrap w:val="0"/>
            <w:vAlign w:val="center"/>
          </w:tcPr>
          <w:p w14:paraId="68F126EA">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□通过 </w:t>
            </w:r>
          </w:p>
          <w:p w14:paraId="29F8E6D5">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□不通过</w:t>
            </w:r>
          </w:p>
        </w:tc>
        <w:tc>
          <w:tcPr>
            <w:tcW w:w="1700" w:type="dxa"/>
            <w:noWrap w:val="0"/>
            <w:vAlign w:val="center"/>
          </w:tcPr>
          <w:p w14:paraId="677E100C">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1648DA1D">
            <w:pPr>
              <w:spacing w:line="360" w:lineRule="auto"/>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bl>
    <w:p w14:paraId="2EE4D749">
      <w:pPr>
        <w:snapToGrid w:val="0"/>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备注：投标人自查表将作为</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人有效性审查的重要内容之一，</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 xml:space="preserve">人必须严格按照其内容及序列要求在投标文件中对应如实提供，对资格性证明文件的任何缺漏和不符合项将会直接导致投标无效！ </w:t>
      </w:r>
    </w:p>
    <w:p w14:paraId="64D45F0C">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bookmarkStart w:id="417" w:name="_Toc7612"/>
      <w:r>
        <w:rPr>
          <w:rFonts w:hint="eastAsia" w:ascii="仿宋" w:hAnsi="仿宋" w:eastAsia="仿宋" w:cs="仿宋"/>
          <w:b/>
          <w:color w:val="auto"/>
          <w:kern w:val="0"/>
          <w:sz w:val="32"/>
          <w:szCs w:val="32"/>
          <w:highlight w:val="none"/>
        </w:rPr>
        <w:t>三、响应承诺</w:t>
      </w:r>
      <w:r>
        <w:rPr>
          <w:rFonts w:hint="eastAsia" w:ascii="仿宋" w:hAnsi="仿宋" w:eastAsia="仿宋" w:cs="仿宋"/>
          <w:b/>
          <w:color w:val="auto"/>
          <w:sz w:val="32"/>
          <w:szCs w:val="32"/>
          <w:highlight w:val="none"/>
        </w:rPr>
        <w:t>函及</w:t>
      </w:r>
      <w:r>
        <w:rPr>
          <w:rFonts w:hint="eastAsia" w:ascii="仿宋" w:hAnsi="仿宋" w:eastAsia="仿宋" w:cs="仿宋"/>
          <w:b/>
          <w:color w:val="auto"/>
          <w:kern w:val="0"/>
          <w:sz w:val="32"/>
          <w:szCs w:val="32"/>
          <w:highlight w:val="none"/>
        </w:rPr>
        <w:t>响应承诺</w:t>
      </w:r>
      <w:r>
        <w:rPr>
          <w:rFonts w:hint="eastAsia" w:ascii="仿宋" w:hAnsi="仿宋" w:eastAsia="仿宋" w:cs="仿宋"/>
          <w:b/>
          <w:color w:val="auto"/>
          <w:sz w:val="32"/>
          <w:szCs w:val="32"/>
          <w:highlight w:val="none"/>
        </w:rPr>
        <w:t>函附件</w:t>
      </w:r>
      <w:bookmarkEnd w:id="417"/>
    </w:p>
    <w:p w14:paraId="15FB548F">
      <w:pPr>
        <w:snapToGrid w:val="0"/>
        <w:spacing w:line="360" w:lineRule="auto"/>
        <w:jc w:val="center"/>
        <w:outlineLvl w:val="0"/>
        <w:rPr>
          <w:rFonts w:hint="eastAsia" w:ascii="仿宋" w:hAnsi="仿宋" w:eastAsia="仿宋" w:cs="仿宋"/>
          <w:b/>
          <w:color w:val="auto"/>
          <w:sz w:val="32"/>
          <w:szCs w:val="32"/>
          <w:highlight w:val="none"/>
        </w:rPr>
      </w:pPr>
      <w:bookmarkStart w:id="418" w:name="_Toc24790"/>
      <w:r>
        <w:rPr>
          <w:rFonts w:hint="eastAsia" w:ascii="仿宋" w:hAnsi="仿宋" w:eastAsia="仿宋" w:cs="仿宋"/>
          <w:b/>
          <w:color w:val="auto"/>
          <w:kern w:val="0"/>
          <w:sz w:val="32"/>
          <w:szCs w:val="32"/>
          <w:highlight w:val="none"/>
        </w:rPr>
        <w:t>响应承诺函</w:t>
      </w:r>
      <w:bookmarkEnd w:id="418"/>
    </w:p>
    <w:p w14:paraId="59B724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6186D0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】采购的有关活动，并对此项目进行响应。为此：</w:t>
      </w:r>
    </w:p>
    <w:p w14:paraId="4FEFE1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本响应文件在响应有效期满之前均具有约束力。</w:t>
      </w:r>
    </w:p>
    <w:p w14:paraId="51B1D5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31B4880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7EA0D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2.1.1有效的企业法人营业执照（或事业法人登记证）、其他组织（个体工商户）的营业执照或者民办非企业单位登记证书；</w:t>
      </w:r>
    </w:p>
    <w:p w14:paraId="26088A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2.1.2合格供应商的资格承诺书；</w:t>
      </w:r>
    </w:p>
    <w:p w14:paraId="1E6B17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p>
    <w:p w14:paraId="567D62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 中小企业声明函；</w:t>
      </w:r>
    </w:p>
    <w:p w14:paraId="1BF912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 残疾人福利性单位声明函（如有）；</w:t>
      </w:r>
    </w:p>
    <w:p w14:paraId="22E55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 监狱企业的证明文件（如有）；</w:t>
      </w:r>
    </w:p>
    <w:p w14:paraId="322620C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2.1.4本项目的特定资格要求（相关复印件）；</w:t>
      </w:r>
    </w:p>
    <w:p w14:paraId="7CFF5279">
      <w:pPr>
        <w:snapToGrid w:val="0"/>
        <w:spacing w:line="360" w:lineRule="auto"/>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2.1.5 其他资料。</w:t>
      </w:r>
    </w:p>
    <w:p w14:paraId="09B885B8">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A8FB5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 评分索引表；</w:t>
      </w:r>
    </w:p>
    <w:p w14:paraId="4A33CBA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 符合性自查表；</w:t>
      </w:r>
    </w:p>
    <w:p w14:paraId="3CACE106">
      <w:pPr>
        <w:snapToGrid w:val="0"/>
        <w:spacing w:line="360" w:lineRule="auto"/>
        <w:ind w:left="420" w:leftChars="200" w:firstLine="480" w:firstLineChars="200"/>
        <w:rPr>
          <w:rFonts w:hint="eastAsia" w:ascii="仿宋" w:hAnsi="仿宋" w:eastAsia="仿宋" w:cs="仿宋"/>
          <w:color w:val="auto"/>
          <w:highlight w:val="none"/>
          <w:lang w:val="zh-CN"/>
        </w:rPr>
      </w:pPr>
      <w:r>
        <w:rPr>
          <w:rFonts w:hint="eastAsia" w:ascii="仿宋" w:hAnsi="仿宋" w:eastAsia="仿宋" w:cs="仿宋"/>
          <w:color w:val="auto"/>
          <w:sz w:val="24"/>
          <w:highlight w:val="none"/>
        </w:rPr>
        <w:t>2.2.3 响应承诺函及响应承诺函附件；</w:t>
      </w:r>
      <w:r>
        <w:rPr>
          <w:rFonts w:hint="eastAsia" w:ascii="仿宋" w:hAnsi="仿宋" w:eastAsia="仿宋" w:cs="仿宋"/>
          <w:color w:val="auto"/>
          <w:sz w:val="24"/>
          <w:highlight w:val="none"/>
          <w:lang w:val="zh-CN"/>
        </w:rPr>
        <w:t xml:space="preserve"> </w:t>
      </w:r>
    </w:p>
    <w:p w14:paraId="6374882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 授权委托书或法定代表人（单位负责人）身份证明；</w:t>
      </w:r>
    </w:p>
    <w:p w14:paraId="7DC50D0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 供应商情况表；</w:t>
      </w:r>
    </w:p>
    <w:p w14:paraId="49DB00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 距采购人最近或者能为本项目提供最优服务的网点情况表；</w:t>
      </w:r>
    </w:p>
    <w:p w14:paraId="6213708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 评标标准相应的商务技术资料；</w:t>
      </w:r>
    </w:p>
    <w:p w14:paraId="148617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 商务响应表；</w:t>
      </w:r>
    </w:p>
    <w:p w14:paraId="23BEB2B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 技术响应表；</w:t>
      </w:r>
    </w:p>
    <w:p w14:paraId="3A32FC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10 同类业绩情况一览表；</w:t>
      </w:r>
    </w:p>
    <w:p w14:paraId="163CAC7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2.2.11 </w:t>
      </w:r>
      <w:r>
        <w:rPr>
          <w:rFonts w:hint="eastAsia" w:ascii="仿宋" w:hAnsi="仿宋" w:eastAsia="仿宋" w:cs="仿宋"/>
          <w:color w:val="auto"/>
          <w:sz w:val="24"/>
          <w:highlight w:val="none"/>
          <w:lang w:val="zh-CN"/>
        </w:rPr>
        <w:t>政府采购供应商廉洁自律承诺书；</w:t>
      </w:r>
    </w:p>
    <w:p w14:paraId="011E695F">
      <w:pPr>
        <w:snapToGrid w:val="0"/>
        <w:spacing w:line="360" w:lineRule="auto"/>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2.2.12 其他资料。</w:t>
      </w:r>
    </w:p>
    <w:p w14:paraId="76285B4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CAB0F1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2.3.1 报价一览表；</w:t>
      </w:r>
    </w:p>
    <w:p w14:paraId="5E0D421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2.3.2 政府采购统计基础信息表。</w:t>
      </w:r>
    </w:p>
    <w:p w14:paraId="07EDA00D">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2.3.3 其他资料。</w:t>
      </w:r>
    </w:p>
    <w:p w14:paraId="3FFAED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3、我方承诺除商务技术偏离表列出的偏离外，我方响应竞争性磋商文件的全部要求。</w:t>
      </w:r>
    </w:p>
    <w:p w14:paraId="2F106B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726906D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6636F4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0F6919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4.3按照竞争性磋商文件要求提交履约保证金； </w:t>
      </w:r>
    </w:p>
    <w:p w14:paraId="6D697F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65732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5、其他补充说明: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A5004D4">
      <w:pPr>
        <w:spacing w:line="360" w:lineRule="auto"/>
        <w:ind w:firstLine="3600" w:firstLineChars="1500"/>
        <w:rPr>
          <w:rFonts w:hint="eastAsia" w:ascii="仿宋" w:hAnsi="仿宋" w:eastAsia="仿宋" w:cs="仿宋"/>
          <w:color w:val="auto"/>
          <w:sz w:val="24"/>
          <w:highlight w:val="none"/>
        </w:rPr>
      </w:pPr>
    </w:p>
    <w:p w14:paraId="6223D847">
      <w:pPr>
        <w:pStyle w:val="27"/>
        <w:ind w:firstLine="480"/>
        <w:rPr>
          <w:rFonts w:hint="eastAsia" w:ascii="仿宋" w:hAnsi="仿宋" w:eastAsia="仿宋" w:cs="仿宋"/>
          <w:color w:val="auto"/>
          <w:sz w:val="24"/>
          <w:highlight w:val="none"/>
        </w:rPr>
      </w:pPr>
    </w:p>
    <w:p w14:paraId="61F5D384">
      <w:pPr>
        <w:pStyle w:val="27"/>
        <w:ind w:firstLine="480"/>
        <w:rPr>
          <w:rFonts w:hint="eastAsia" w:ascii="仿宋" w:hAnsi="仿宋" w:eastAsia="仿宋" w:cs="仿宋"/>
          <w:color w:val="auto"/>
          <w:sz w:val="24"/>
          <w:highlight w:val="none"/>
        </w:rPr>
      </w:pPr>
    </w:p>
    <w:p w14:paraId="798A8020">
      <w:pPr>
        <w:adjustRightInd w:val="0"/>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5C7D55AA">
      <w:pPr>
        <w:adjustRightInd w:val="0"/>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供应商（盖章）：</w:t>
      </w:r>
    </w:p>
    <w:p w14:paraId="01FD97AD">
      <w:pPr>
        <w:adjustRightInd w:val="0"/>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3E60D3C2">
      <w:pPr>
        <w:spacing w:line="360" w:lineRule="auto"/>
        <w:jc w:val="center"/>
        <w:rPr>
          <w:rFonts w:hint="eastAsia" w:ascii="仿宋" w:hAnsi="仿宋" w:eastAsia="仿宋" w:cs="仿宋"/>
          <w:b/>
          <w:color w:val="auto"/>
          <w:kern w:val="0"/>
          <w:sz w:val="32"/>
          <w:szCs w:val="32"/>
          <w:highlight w:val="none"/>
          <w:lang w:val="zh-CN"/>
        </w:rPr>
      </w:pPr>
    </w:p>
    <w:p w14:paraId="65DB6A5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color w:val="auto"/>
          <w:kern w:val="0"/>
          <w:sz w:val="32"/>
          <w:szCs w:val="32"/>
          <w:highlight w:val="none"/>
          <w:lang w:val="zh-CN"/>
        </w:rPr>
      </w:pPr>
    </w:p>
    <w:p w14:paraId="633B07D4">
      <w:pPr>
        <w:spacing w:line="360" w:lineRule="auto"/>
        <w:jc w:val="center"/>
        <w:rPr>
          <w:rFonts w:hint="eastAsia" w:ascii="仿宋" w:hAnsi="仿宋" w:eastAsia="仿宋" w:cs="仿宋"/>
          <w:b/>
          <w:color w:val="auto"/>
          <w:kern w:val="0"/>
          <w:sz w:val="32"/>
          <w:szCs w:val="32"/>
          <w:highlight w:val="none"/>
          <w:lang w:val="zh-CN"/>
        </w:rPr>
      </w:pPr>
    </w:p>
    <w:p w14:paraId="2423565C">
      <w:pPr>
        <w:spacing w:line="360" w:lineRule="auto"/>
        <w:rPr>
          <w:rFonts w:hint="eastAsia" w:ascii="仿宋" w:hAnsi="仿宋" w:eastAsia="仿宋" w:cs="仿宋"/>
          <w:b/>
          <w:color w:val="auto"/>
          <w:sz w:val="32"/>
          <w:szCs w:val="32"/>
          <w:highlight w:val="none"/>
        </w:rPr>
      </w:pPr>
      <w:bookmarkStart w:id="419" w:name="_Toc488936100"/>
      <w:bookmarkStart w:id="420" w:name="_Toc14746861"/>
      <w:bookmarkStart w:id="421" w:name="_Toc225223761"/>
      <w:bookmarkStart w:id="422" w:name="_Toc479927873"/>
      <w:bookmarkStart w:id="423" w:name="_Toc483379796"/>
      <w:bookmarkStart w:id="424" w:name="_Toc110393361"/>
    </w:p>
    <w:p w14:paraId="2F4F0CE6">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Start w:id="425" w:name="_Toc18839"/>
      <w:r>
        <w:rPr>
          <w:rFonts w:hint="eastAsia" w:ascii="仿宋" w:hAnsi="仿宋" w:eastAsia="仿宋" w:cs="仿宋"/>
          <w:b/>
          <w:color w:val="auto"/>
          <w:kern w:val="0"/>
          <w:sz w:val="32"/>
          <w:szCs w:val="32"/>
          <w:highlight w:val="none"/>
        </w:rPr>
        <w:t>响应承诺函附件</w:t>
      </w:r>
      <w:bookmarkEnd w:id="425"/>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7C474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1ED68A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25072D7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 目 内 容</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1483576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交易承诺要求</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7CCFD8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供应商响应</w:t>
            </w:r>
          </w:p>
        </w:tc>
      </w:tr>
      <w:tr w14:paraId="439C8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C50853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7930146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施工准备时间</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6C54370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签订合同后7天（以监理签发的开工令为准）</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F3A6C53">
            <w:pPr>
              <w:jc w:val="center"/>
              <w:rPr>
                <w:rFonts w:hint="eastAsia" w:ascii="仿宋" w:hAnsi="仿宋" w:eastAsia="仿宋" w:cs="仿宋"/>
                <w:color w:val="auto"/>
                <w:kern w:val="0"/>
                <w:sz w:val="24"/>
                <w:highlight w:val="none"/>
              </w:rPr>
            </w:pPr>
          </w:p>
        </w:tc>
      </w:tr>
      <w:tr w14:paraId="69355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CAA224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7E1B62D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提前合同工期奖励标准</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6E85D6F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0 元/天</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7AFE63E4">
            <w:pPr>
              <w:jc w:val="center"/>
              <w:rPr>
                <w:rFonts w:hint="eastAsia" w:ascii="仿宋" w:hAnsi="仿宋" w:eastAsia="仿宋" w:cs="仿宋"/>
                <w:color w:val="auto"/>
                <w:kern w:val="0"/>
                <w:sz w:val="24"/>
                <w:highlight w:val="none"/>
              </w:rPr>
            </w:pPr>
          </w:p>
        </w:tc>
      </w:tr>
      <w:tr w14:paraId="63F2D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6822BE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44B8E1E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延误合同工期赔偿标准</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44B6399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2000</w:t>
            </w:r>
            <w:r>
              <w:rPr>
                <w:rFonts w:hint="eastAsia" w:ascii="仿宋" w:hAnsi="仿宋" w:eastAsia="仿宋" w:cs="仿宋"/>
                <w:color w:val="auto"/>
                <w:kern w:val="0"/>
                <w:sz w:val="24"/>
                <w:highlight w:val="none"/>
              </w:rPr>
              <w:t>元/天</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B32ED0E">
            <w:pPr>
              <w:jc w:val="center"/>
              <w:rPr>
                <w:rFonts w:hint="eastAsia" w:ascii="仿宋" w:hAnsi="仿宋" w:eastAsia="仿宋" w:cs="仿宋"/>
                <w:color w:val="auto"/>
                <w:kern w:val="0"/>
                <w:sz w:val="24"/>
                <w:highlight w:val="none"/>
              </w:rPr>
            </w:pPr>
          </w:p>
        </w:tc>
      </w:tr>
      <w:tr w14:paraId="616A0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5C5CF36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1B22161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延误合同工期赔偿限额</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52EFBEF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合同价款的</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B137CD7">
            <w:pPr>
              <w:jc w:val="center"/>
              <w:rPr>
                <w:rFonts w:hint="eastAsia" w:ascii="仿宋" w:hAnsi="仿宋" w:eastAsia="仿宋" w:cs="仿宋"/>
                <w:color w:val="auto"/>
                <w:kern w:val="0"/>
                <w:sz w:val="24"/>
                <w:highlight w:val="none"/>
              </w:rPr>
            </w:pPr>
          </w:p>
        </w:tc>
      </w:tr>
      <w:tr w14:paraId="2AF27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57B6C1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28174D3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未达到质量承诺标准违约金</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2D8E4C7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合同价款的</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0D42DBF">
            <w:pPr>
              <w:jc w:val="center"/>
              <w:rPr>
                <w:rFonts w:hint="eastAsia" w:ascii="仿宋" w:hAnsi="仿宋" w:eastAsia="仿宋" w:cs="仿宋"/>
                <w:color w:val="auto"/>
                <w:kern w:val="0"/>
                <w:sz w:val="24"/>
                <w:highlight w:val="none"/>
              </w:rPr>
            </w:pPr>
          </w:p>
        </w:tc>
      </w:tr>
      <w:tr w14:paraId="27E22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A8181B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1A5C03F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未履行安全文明施工承诺违约金</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1C67866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合同价款的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B469FFB">
            <w:pPr>
              <w:jc w:val="center"/>
              <w:rPr>
                <w:rFonts w:hint="eastAsia" w:ascii="仿宋" w:hAnsi="仿宋" w:eastAsia="仿宋" w:cs="仿宋"/>
                <w:color w:val="auto"/>
                <w:kern w:val="0"/>
                <w:sz w:val="24"/>
                <w:highlight w:val="none"/>
              </w:rPr>
            </w:pPr>
          </w:p>
        </w:tc>
      </w:tr>
      <w:tr w14:paraId="6150E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B61D5F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28A7417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是否同意竞争性磋商文件其他内容</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2C92A52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要求供应商承诺“同意”</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1771723">
            <w:pPr>
              <w:jc w:val="center"/>
              <w:rPr>
                <w:rFonts w:hint="eastAsia" w:ascii="仿宋" w:hAnsi="仿宋" w:eastAsia="仿宋" w:cs="仿宋"/>
                <w:color w:val="auto"/>
                <w:kern w:val="0"/>
                <w:sz w:val="24"/>
                <w:highlight w:val="none"/>
              </w:rPr>
            </w:pPr>
          </w:p>
        </w:tc>
      </w:tr>
      <w:tr w14:paraId="6D4E3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6687C8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3751" w:type="dxa"/>
            <w:tcBorders>
              <w:top w:val="single" w:color="auto" w:sz="4" w:space="0"/>
              <w:left w:val="single" w:color="auto" w:sz="4" w:space="0"/>
              <w:bottom w:val="single" w:color="auto" w:sz="4" w:space="0"/>
              <w:right w:val="single" w:color="auto" w:sz="4" w:space="0"/>
            </w:tcBorders>
            <w:noWrap w:val="0"/>
            <w:vAlign w:val="center"/>
          </w:tcPr>
          <w:p w14:paraId="1545035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是否同意合同协议条款</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63361AA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要求供应商承诺“同意”</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FEA6527">
            <w:pPr>
              <w:jc w:val="center"/>
              <w:rPr>
                <w:rFonts w:hint="eastAsia" w:ascii="仿宋" w:hAnsi="仿宋" w:eastAsia="仿宋" w:cs="仿宋"/>
                <w:color w:val="auto"/>
                <w:kern w:val="0"/>
                <w:sz w:val="24"/>
                <w:highlight w:val="none"/>
              </w:rPr>
            </w:pPr>
          </w:p>
        </w:tc>
      </w:tr>
    </w:tbl>
    <w:p w14:paraId="162C74CB">
      <w:pPr>
        <w:jc w:val="left"/>
        <w:rPr>
          <w:rFonts w:hint="eastAsia" w:ascii="仿宋" w:hAnsi="仿宋" w:eastAsia="仿宋" w:cs="仿宋"/>
          <w:b/>
          <w:bCs/>
          <w:color w:val="auto"/>
          <w:kern w:val="0"/>
          <w:sz w:val="24"/>
          <w:highlight w:val="none"/>
        </w:rPr>
      </w:pPr>
    </w:p>
    <w:p w14:paraId="141EAB42">
      <w:pPr>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注：“供应商响应”一栏中必须填写“同意”，否则其响应文件将被否决。</w:t>
      </w:r>
    </w:p>
    <w:p w14:paraId="3D0819AB">
      <w:pPr>
        <w:adjustRightInd w:val="0"/>
        <w:snapToGrid w:val="0"/>
        <w:spacing w:line="360" w:lineRule="auto"/>
        <w:ind w:firstLine="4080" w:firstLineChars="1700"/>
        <w:rPr>
          <w:rFonts w:hint="eastAsia" w:ascii="仿宋" w:hAnsi="仿宋" w:eastAsia="仿宋" w:cs="仿宋"/>
          <w:color w:val="auto"/>
          <w:kern w:val="0"/>
          <w:sz w:val="24"/>
          <w:highlight w:val="none"/>
          <w:lang w:val="zh-CN"/>
        </w:rPr>
      </w:pPr>
    </w:p>
    <w:p w14:paraId="657628C6">
      <w:pPr>
        <w:adjustRightInd w:val="0"/>
        <w:snapToGrid w:val="0"/>
        <w:spacing w:line="360" w:lineRule="auto"/>
        <w:ind w:firstLine="4080" w:firstLineChars="1700"/>
        <w:rPr>
          <w:rFonts w:hint="eastAsia" w:ascii="仿宋" w:hAnsi="仿宋" w:eastAsia="仿宋" w:cs="仿宋"/>
          <w:color w:val="auto"/>
          <w:kern w:val="0"/>
          <w:sz w:val="24"/>
          <w:highlight w:val="none"/>
          <w:lang w:val="zh-CN"/>
        </w:rPr>
      </w:pPr>
    </w:p>
    <w:p w14:paraId="59EA00C8">
      <w:pPr>
        <w:adjustRightInd w:val="0"/>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6C45A9F9">
      <w:pPr>
        <w:adjustRightInd w:val="0"/>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供应商（盖章）：</w:t>
      </w:r>
    </w:p>
    <w:p w14:paraId="0B058794">
      <w:pPr>
        <w:adjustRightInd w:val="0"/>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05ECBC6B">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Start w:id="426" w:name="_Toc13972"/>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lang w:val="zh-CN"/>
        </w:rPr>
        <w:t>授权委托书或法定代表人（单位负责人、自然人本人）身份证明</w:t>
      </w:r>
      <w:bookmarkEnd w:id="426"/>
    </w:p>
    <w:p w14:paraId="52BDE086">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2"/>
          <w:szCs w:val="32"/>
          <w:highlight w:val="none"/>
        </w:rPr>
        <w:t>法定代表人授权委托书</w:t>
      </w:r>
    </w:p>
    <w:p w14:paraId="0A6FBBFF">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val="en-US" w:eastAsia="zh-CN"/>
        </w:rPr>
        <w:t>递交响应文件</w:t>
      </w:r>
      <w:r>
        <w:rPr>
          <w:rFonts w:hint="eastAsia" w:ascii="仿宋" w:hAnsi="仿宋" w:eastAsia="仿宋" w:cs="仿宋"/>
          <w:bCs/>
          <w:color w:val="auto"/>
          <w:sz w:val="24"/>
          <w:szCs w:val="24"/>
          <w:highlight w:val="none"/>
        </w:rPr>
        <w:t>的，此表</w:t>
      </w:r>
      <w:r>
        <w:rPr>
          <w:rFonts w:hint="eastAsia" w:ascii="仿宋" w:hAnsi="仿宋" w:eastAsia="仿宋" w:cs="仿宋"/>
          <w:bCs/>
          <w:color w:val="auto"/>
          <w:sz w:val="24"/>
          <w:szCs w:val="24"/>
          <w:highlight w:val="none"/>
          <w:lang w:val="en-US" w:eastAsia="zh-CN"/>
        </w:rPr>
        <w:t>无需提供</w:t>
      </w:r>
      <w:r>
        <w:rPr>
          <w:rFonts w:hint="eastAsia" w:ascii="仿宋" w:hAnsi="仿宋" w:eastAsia="仿宋" w:cs="仿宋"/>
          <w:bCs/>
          <w:color w:val="auto"/>
          <w:sz w:val="24"/>
          <w:szCs w:val="24"/>
          <w:highlight w:val="none"/>
        </w:rPr>
        <w:t>）</w:t>
      </w:r>
    </w:p>
    <w:p w14:paraId="5767A29B">
      <w:pPr>
        <w:rPr>
          <w:rFonts w:hint="eastAsia" w:ascii="仿宋" w:hAnsi="仿宋" w:eastAsia="仿宋" w:cs="仿宋"/>
          <w:color w:val="auto"/>
          <w:sz w:val="24"/>
          <w:szCs w:val="24"/>
          <w:highlight w:val="none"/>
        </w:rPr>
      </w:pPr>
    </w:p>
    <w:p w14:paraId="7CAA9D25">
      <w:pPr>
        <w:spacing w:line="360" w:lineRule="auto"/>
        <w:ind w:left="2" w:firstLine="516" w:firstLineChars="2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法定代表人，现授权委托</w:t>
      </w:r>
      <w:r>
        <w:rPr>
          <w:rFonts w:hint="eastAsia" w:ascii="仿宋" w:hAnsi="仿宋" w:eastAsia="仿宋" w:cs="仿宋"/>
          <w:color w:val="auto"/>
          <w:sz w:val="24"/>
          <w:szCs w:val="24"/>
          <w:highlight w:val="none"/>
          <w:u w:val="single"/>
        </w:rPr>
        <w:t xml:space="preserve">  （单位）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被授权代表人姓名</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为我方代理人。代理人根据授权，以我方名义签署、澄清、递交、撤回、修改</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工程磋商响应文件、签订合同和处理有关事宜，其法律后果由我方承担。</w:t>
      </w:r>
    </w:p>
    <w:p w14:paraId="59ABB20C">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B3597E">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37F02A7F">
      <w:pPr>
        <w:spacing w:line="360" w:lineRule="auto"/>
        <w:rPr>
          <w:rFonts w:hint="eastAsia" w:ascii="仿宋" w:hAnsi="仿宋" w:eastAsia="仿宋" w:cs="仿宋"/>
          <w:color w:val="auto"/>
          <w:sz w:val="24"/>
          <w:szCs w:val="24"/>
          <w:highlight w:val="none"/>
        </w:rPr>
      </w:pPr>
    </w:p>
    <w:p w14:paraId="402861FB">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商：</w:t>
      </w:r>
      <w:r>
        <w:rPr>
          <w:rFonts w:hint="eastAsia" w:ascii="仿宋" w:hAnsi="仿宋" w:eastAsia="仿宋" w:cs="仿宋"/>
          <w:color w:val="auto"/>
          <w:sz w:val="24"/>
          <w:szCs w:val="24"/>
          <w:highlight w:val="none"/>
          <w:u w:val="single"/>
        </w:rPr>
        <w:t xml:space="preserve">                     (盖公章)   </w:t>
      </w:r>
    </w:p>
    <w:p w14:paraId="53C088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14:paraId="4B64A14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768069E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被授权代表</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u w:val="single"/>
        </w:rPr>
        <w:t xml:space="preserve">                   (签字或盖章) </w:t>
      </w:r>
    </w:p>
    <w:p w14:paraId="6F2DE12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11CC3DBD">
      <w:pPr>
        <w:spacing w:line="360" w:lineRule="auto"/>
        <w:ind w:firstLine="3780" w:firstLineChars="15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6F3227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sz w:val="24"/>
          <w:highlight w:val="none"/>
        </w:rPr>
      </w:pPr>
    </w:p>
    <w:p w14:paraId="0A8362E9">
      <w:pPr>
        <w:snapToGrid w:val="0"/>
        <w:spacing w:line="360" w:lineRule="auto"/>
        <w:rPr>
          <w:rFonts w:hint="eastAsia" w:ascii="仿宋" w:hAnsi="仿宋" w:eastAsia="仿宋" w:cs="仿宋"/>
          <w:color w:val="auto"/>
          <w:sz w:val="24"/>
          <w:highlight w:val="none"/>
        </w:rPr>
      </w:pPr>
    </w:p>
    <w:p w14:paraId="60EA2BB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21CF90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法定代表人（单位负责人</w:t>
      </w:r>
      <w:r>
        <w:rPr>
          <w:rFonts w:hint="eastAsia" w:ascii="仿宋" w:hAnsi="仿宋" w:eastAsia="仿宋" w:cs="仿宋"/>
          <w:b/>
          <w:color w:val="auto"/>
          <w:kern w:val="0"/>
          <w:sz w:val="32"/>
          <w:szCs w:val="32"/>
          <w:highlight w:val="none"/>
          <w:lang w:val="zh-CN" w:eastAsia="zh-CN"/>
        </w:rPr>
        <w:t>）及授权代表</w:t>
      </w:r>
      <w:r>
        <w:rPr>
          <w:rFonts w:hint="eastAsia" w:ascii="仿宋" w:hAnsi="仿宋" w:eastAsia="仿宋" w:cs="仿宋"/>
          <w:b/>
          <w:color w:val="auto"/>
          <w:sz w:val="30"/>
          <w:szCs w:val="30"/>
          <w:highlight w:val="none"/>
        </w:rPr>
        <w:t>身份证明</w:t>
      </w:r>
    </w:p>
    <w:p w14:paraId="4687049C">
      <w:pPr>
        <w:pStyle w:val="2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法定代表人</w:t>
      </w:r>
      <w:r>
        <w:rPr>
          <w:rFonts w:hint="eastAsia" w:ascii="仿宋" w:hAnsi="仿宋" w:eastAsia="仿宋" w:cs="仿宋"/>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1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AB7EE82">
            <w:pPr>
              <w:pStyle w:val="2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82BB271">
            <w:pPr>
              <w:pStyle w:val="29"/>
              <w:adjustRightInd w:val="0"/>
              <w:spacing w:line="360" w:lineRule="auto"/>
              <w:rPr>
                <w:rFonts w:hint="eastAsia" w:ascii="仿宋" w:hAnsi="仿宋" w:eastAsia="仿宋" w:cs="仿宋"/>
                <w:bCs/>
                <w:color w:val="auto"/>
                <w:sz w:val="24"/>
                <w:highlight w:val="none"/>
              </w:rPr>
            </w:pPr>
          </w:p>
        </w:tc>
      </w:tr>
    </w:tbl>
    <w:p w14:paraId="187B0FE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196FD87">
      <w:pPr>
        <w:pStyle w:val="2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被授权人</w:t>
      </w:r>
      <w:r>
        <w:rPr>
          <w:rFonts w:hint="eastAsia" w:ascii="仿宋" w:hAnsi="仿宋" w:eastAsia="仿宋" w:cs="仿宋"/>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0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046DB27">
            <w:pPr>
              <w:pStyle w:val="2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290FD4B">
            <w:pPr>
              <w:pStyle w:val="29"/>
              <w:adjustRightInd w:val="0"/>
              <w:spacing w:line="360" w:lineRule="auto"/>
              <w:rPr>
                <w:rFonts w:hint="eastAsia" w:ascii="仿宋" w:hAnsi="仿宋" w:eastAsia="仿宋" w:cs="仿宋"/>
                <w:bCs/>
                <w:color w:val="auto"/>
                <w:sz w:val="24"/>
                <w:highlight w:val="none"/>
              </w:rPr>
            </w:pPr>
          </w:p>
        </w:tc>
      </w:tr>
    </w:tbl>
    <w:p w14:paraId="0C89C43F">
      <w:pPr>
        <w:shd w:val="clear" w:color="auto" w:fill="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法定代表人身份证明</w:t>
      </w:r>
    </w:p>
    <w:p w14:paraId="354D1760">
      <w:pPr>
        <w:shd w:val="clear" w:color="auto" w:fill="auto"/>
        <w:spacing w:line="480" w:lineRule="auto"/>
        <w:jc w:val="center"/>
        <w:rPr>
          <w:rFonts w:hint="eastAsia" w:ascii="仿宋" w:hAnsi="仿宋" w:eastAsia="仿宋" w:cs="仿宋"/>
          <w:bCs/>
          <w:color w:val="auto"/>
          <w:sz w:val="24"/>
          <w:szCs w:val="24"/>
          <w:highlight w:val="none"/>
        </w:rPr>
      </w:pPr>
    </w:p>
    <w:p w14:paraId="244DFCBE">
      <w:pPr>
        <w:shd w:val="clear" w:color="auto" w:fill="auto"/>
        <w:spacing w:line="480" w:lineRule="auto"/>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非</w:t>
      </w: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val="en-US" w:eastAsia="zh-CN"/>
        </w:rPr>
        <w:t>递交响应文件</w:t>
      </w:r>
      <w:r>
        <w:rPr>
          <w:rFonts w:hint="eastAsia" w:ascii="仿宋" w:hAnsi="仿宋" w:eastAsia="仿宋" w:cs="仿宋"/>
          <w:bCs/>
          <w:color w:val="auto"/>
          <w:sz w:val="24"/>
          <w:szCs w:val="24"/>
          <w:highlight w:val="none"/>
        </w:rPr>
        <w:t>的，此表</w:t>
      </w:r>
      <w:r>
        <w:rPr>
          <w:rFonts w:hint="eastAsia" w:ascii="仿宋" w:hAnsi="仿宋" w:eastAsia="仿宋" w:cs="仿宋"/>
          <w:bCs/>
          <w:color w:val="auto"/>
          <w:sz w:val="24"/>
          <w:szCs w:val="24"/>
          <w:highlight w:val="none"/>
          <w:lang w:val="en-US" w:eastAsia="zh-CN"/>
        </w:rPr>
        <w:t>无需提供</w:t>
      </w:r>
      <w:r>
        <w:rPr>
          <w:rFonts w:hint="eastAsia" w:ascii="仿宋" w:hAnsi="仿宋" w:eastAsia="仿宋" w:cs="仿宋"/>
          <w:bCs/>
          <w:color w:val="auto"/>
          <w:sz w:val="24"/>
          <w:szCs w:val="24"/>
          <w:highlight w:val="none"/>
        </w:rPr>
        <w:t>）</w:t>
      </w:r>
    </w:p>
    <w:p w14:paraId="7AC27790">
      <w:pPr>
        <w:jc w:val="both"/>
        <w:rPr>
          <w:rFonts w:hint="eastAsia" w:ascii="仿宋" w:hAnsi="仿宋" w:eastAsia="仿宋" w:cs="仿宋"/>
          <w:b/>
          <w:color w:val="auto"/>
          <w:sz w:val="24"/>
          <w:szCs w:val="24"/>
          <w:highlight w:val="none"/>
        </w:rPr>
      </w:pPr>
    </w:p>
    <w:p w14:paraId="15B086B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p>
    <w:p w14:paraId="51F58636">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14:paraId="0E028A1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93F83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14:paraId="5F7543A1">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6F60D6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的法定代表人。</w:t>
      </w:r>
    </w:p>
    <w:p w14:paraId="67BB8606">
      <w:pPr>
        <w:spacing w:line="360" w:lineRule="auto"/>
        <w:rPr>
          <w:rFonts w:hint="eastAsia" w:ascii="仿宋" w:hAnsi="仿宋" w:eastAsia="仿宋" w:cs="仿宋"/>
          <w:color w:val="auto"/>
          <w:sz w:val="24"/>
          <w:szCs w:val="24"/>
          <w:highlight w:val="none"/>
        </w:rPr>
      </w:pPr>
    </w:p>
    <w:p w14:paraId="4C171C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5CAE5C4B">
      <w:pPr>
        <w:spacing w:line="360" w:lineRule="auto"/>
        <w:rPr>
          <w:rFonts w:hint="eastAsia" w:ascii="仿宋" w:hAnsi="仿宋" w:eastAsia="仿宋" w:cs="仿宋"/>
          <w:color w:val="auto"/>
          <w:sz w:val="24"/>
          <w:szCs w:val="24"/>
          <w:highlight w:val="none"/>
        </w:rPr>
      </w:pPr>
    </w:p>
    <w:p w14:paraId="1D679F0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(盖公章)           </w:t>
      </w:r>
    </w:p>
    <w:p w14:paraId="23BCAB3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CF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56A1AF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法定代表人身份证（正反面复印）</w:t>
            </w:r>
          </w:p>
        </w:tc>
      </w:tr>
    </w:tbl>
    <w:p w14:paraId="04F032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End w:id="419"/>
      <w:bookmarkEnd w:id="420"/>
      <w:bookmarkEnd w:id="421"/>
      <w:bookmarkEnd w:id="422"/>
      <w:bookmarkEnd w:id="423"/>
      <w:bookmarkEnd w:id="424"/>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zh-CN" w:eastAsia="zh-CN"/>
        </w:rPr>
        <w:t>供应商</w:t>
      </w:r>
      <w:r>
        <w:rPr>
          <w:rFonts w:hint="eastAsia" w:ascii="仿宋" w:hAnsi="仿宋" w:eastAsia="仿宋" w:cs="仿宋"/>
          <w:b/>
          <w:color w:val="auto"/>
          <w:kern w:val="0"/>
          <w:sz w:val="32"/>
          <w:szCs w:val="32"/>
          <w:highlight w:val="none"/>
          <w:lang w:val="zh-CN"/>
        </w:rPr>
        <w:t>基本情况表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8F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ECC110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eastAsia="zh-CN"/>
              </w:rPr>
              <w:t>供应商</w:t>
            </w:r>
            <w:r>
              <w:rPr>
                <w:rFonts w:hint="eastAsia" w:ascii="仿宋" w:hAnsi="仿宋" w:eastAsia="仿宋" w:cs="仿宋"/>
                <w:color w:val="auto"/>
                <w:kern w:val="0"/>
                <w:sz w:val="24"/>
                <w:highlight w:val="none"/>
                <w:lang w:val="zh-CN"/>
              </w:rPr>
              <w:t>名称</w:t>
            </w:r>
          </w:p>
        </w:tc>
        <w:tc>
          <w:tcPr>
            <w:tcW w:w="7647" w:type="dxa"/>
            <w:gridSpan w:val="5"/>
            <w:noWrap w:val="0"/>
            <w:vAlign w:val="center"/>
          </w:tcPr>
          <w:p w14:paraId="1CC6266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2A49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E14650D">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注册地址</w:t>
            </w:r>
          </w:p>
        </w:tc>
        <w:tc>
          <w:tcPr>
            <w:tcW w:w="2809" w:type="dxa"/>
            <w:gridSpan w:val="2"/>
            <w:noWrap w:val="0"/>
            <w:vAlign w:val="center"/>
          </w:tcPr>
          <w:p w14:paraId="69008C4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786" w:type="dxa"/>
            <w:noWrap w:val="0"/>
            <w:vAlign w:val="center"/>
          </w:tcPr>
          <w:p w14:paraId="25AA9F0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成立时间</w:t>
            </w:r>
          </w:p>
        </w:tc>
        <w:tc>
          <w:tcPr>
            <w:tcW w:w="3052" w:type="dxa"/>
            <w:gridSpan w:val="2"/>
            <w:noWrap w:val="0"/>
            <w:vAlign w:val="center"/>
          </w:tcPr>
          <w:p w14:paraId="3D59DD27">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66F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D4ABD4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统一信用代码</w:t>
            </w:r>
          </w:p>
        </w:tc>
        <w:tc>
          <w:tcPr>
            <w:tcW w:w="2809" w:type="dxa"/>
            <w:gridSpan w:val="2"/>
            <w:noWrap w:val="0"/>
            <w:vAlign w:val="center"/>
          </w:tcPr>
          <w:p w14:paraId="50CF946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786" w:type="dxa"/>
            <w:noWrap w:val="0"/>
            <w:vAlign w:val="center"/>
          </w:tcPr>
          <w:p w14:paraId="764D3C3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注册资金</w:t>
            </w:r>
          </w:p>
        </w:tc>
        <w:tc>
          <w:tcPr>
            <w:tcW w:w="3052" w:type="dxa"/>
            <w:gridSpan w:val="2"/>
            <w:noWrap w:val="0"/>
            <w:vAlign w:val="center"/>
          </w:tcPr>
          <w:p w14:paraId="52F3116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0DB0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6F8BE74">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eastAsia="zh-CN"/>
              </w:rPr>
              <w:t>供应商</w:t>
            </w:r>
            <w:r>
              <w:rPr>
                <w:rFonts w:hint="eastAsia" w:ascii="仿宋" w:hAnsi="仿宋" w:eastAsia="仿宋" w:cs="仿宋"/>
                <w:color w:val="auto"/>
                <w:kern w:val="0"/>
                <w:sz w:val="24"/>
                <w:highlight w:val="none"/>
                <w:lang w:val="zh-CN"/>
              </w:rPr>
              <w:t>联系人姓名</w:t>
            </w:r>
          </w:p>
        </w:tc>
        <w:tc>
          <w:tcPr>
            <w:tcW w:w="1936" w:type="dxa"/>
            <w:noWrap w:val="0"/>
            <w:vAlign w:val="center"/>
          </w:tcPr>
          <w:p w14:paraId="6FE9315B">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873" w:type="dxa"/>
            <w:noWrap w:val="0"/>
            <w:vAlign w:val="center"/>
          </w:tcPr>
          <w:p w14:paraId="57725B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电话</w:t>
            </w:r>
          </w:p>
        </w:tc>
        <w:tc>
          <w:tcPr>
            <w:tcW w:w="1786" w:type="dxa"/>
            <w:noWrap w:val="0"/>
            <w:vAlign w:val="center"/>
          </w:tcPr>
          <w:p w14:paraId="26DC127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p>
        </w:tc>
        <w:tc>
          <w:tcPr>
            <w:tcW w:w="1200" w:type="dxa"/>
            <w:noWrap w:val="0"/>
            <w:vAlign w:val="center"/>
          </w:tcPr>
          <w:p w14:paraId="629580D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手机</w:t>
            </w:r>
          </w:p>
        </w:tc>
        <w:tc>
          <w:tcPr>
            <w:tcW w:w="1852" w:type="dxa"/>
            <w:noWrap w:val="0"/>
            <w:vAlign w:val="center"/>
          </w:tcPr>
          <w:p w14:paraId="70878AC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7345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BAF627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法定代表人姓名</w:t>
            </w:r>
          </w:p>
        </w:tc>
        <w:tc>
          <w:tcPr>
            <w:tcW w:w="1936" w:type="dxa"/>
            <w:noWrap w:val="0"/>
            <w:vAlign w:val="center"/>
          </w:tcPr>
          <w:p w14:paraId="424FA2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p>
        </w:tc>
        <w:tc>
          <w:tcPr>
            <w:tcW w:w="873" w:type="dxa"/>
            <w:noWrap w:val="0"/>
            <w:vAlign w:val="center"/>
          </w:tcPr>
          <w:p w14:paraId="5CA3B1E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电话</w:t>
            </w:r>
          </w:p>
        </w:tc>
        <w:tc>
          <w:tcPr>
            <w:tcW w:w="1786" w:type="dxa"/>
            <w:noWrap w:val="0"/>
            <w:vAlign w:val="center"/>
          </w:tcPr>
          <w:p w14:paraId="41F680E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p>
        </w:tc>
        <w:tc>
          <w:tcPr>
            <w:tcW w:w="1200" w:type="dxa"/>
            <w:noWrap w:val="0"/>
            <w:vAlign w:val="center"/>
          </w:tcPr>
          <w:p w14:paraId="096E76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手机</w:t>
            </w:r>
          </w:p>
        </w:tc>
        <w:tc>
          <w:tcPr>
            <w:tcW w:w="1852" w:type="dxa"/>
            <w:noWrap w:val="0"/>
            <w:vAlign w:val="center"/>
          </w:tcPr>
          <w:p w14:paraId="3F1F3AD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p>
        </w:tc>
      </w:tr>
      <w:tr w14:paraId="0702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6F516E3">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项目负责人姓名</w:t>
            </w:r>
          </w:p>
        </w:tc>
        <w:tc>
          <w:tcPr>
            <w:tcW w:w="1936" w:type="dxa"/>
            <w:noWrap w:val="0"/>
            <w:vAlign w:val="center"/>
          </w:tcPr>
          <w:p w14:paraId="18025DA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873" w:type="dxa"/>
            <w:noWrap w:val="0"/>
            <w:vAlign w:val="center"/>
          </w:tcPr>
          <w:p w14:paraId="47C8694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电话</w:t>
            </w:r>
          </w:p>
        </w:tc>
        <w:tc>
          <w:tcPr>
            <w:tcW w:w="1786" w:type="dxa"/>
            <w:noWrap w:val="0"/>
            <w:vAlign w:val="center"/>
          </w:tcPr>
          <w:p w14:paraId="7936044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200" w:type="dxa"/>
            <w:noWrap w:val="0"/>
            <w:vAlign w:val="center"/>
          </w:tcPr>
          <w:p w14:paraId="5EB6D213">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技术职称</w:t>
            </w:r>
          </w:p>
        </w:tc>
        <w:tc>
          <w:tcPr>
            <w:tcW w:w="1852" w:type="dxa"/>
            <w:noWrap w:val="0"/>
            <w:vAlign w:val="center"/>
          </w:tcPr>
          <w:p w14:paraId="72BEB54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503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77FD2BF7">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员工总人数：</w:t>
            </w:r>
          </w:p>
        </w:tc>
        <w:tc>
          <w:tcPr>
            <w:tcW w:w="1936" w:type="dxa"/>
            <w:vMerge w:val="restart"/>
            <w:noWrap w:val="0"/>
            <w:vAlign w:val="center"/>
          </w:tcPr>
          <w:p w14:paraId="283D818B">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873" w:type="dxa"/>
            <w:vMerge w:val="restart"/>
            <w:noWrap w:val="0"/>
            <w:vAlign w:val="center"/>
          </w:tcPr>
          <w:p w14:paraId="330BFF17">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其中</w:t>
            </w:r>
          </w:p>
        </w:tc>
        <w:tc>
          <w:tcPr>
            <w:tcW w:w="1786" w:type="dxa"/>
            <w:noWrap w:val="0"/>
            <w:vAlign w:val="center"/>
          </w:tcPr>
          <w:p w14:paraId="1F7FB1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高级职称</w:t>
            </w:r>
          </w:p>
        </w:tc>
        <w:tc>
          <w:tcPr>
            <w:tcW w:w="3052" w:type="dxa"/>
            <w:gridSpan w:val="2"/>
            <w:noWrap w:val="0"/>
            <w:vAlign w:val="center"/>
          </w:tcPr>
          <w:p w14:paraId="6113B3C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4A5E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13A522C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936" w:type="dxa"/>
            <w:vMerge w:val="continue"/>
            <w:noWrap w:val="0"/>
            <w:vAlign w:val="center"/>
          </w:tcPr>
          <w:p w14:paraId="6FAB5D2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873" w:type="dxa"/>
            <w:vMerge w:val="continue"/>
            <w:noWrap w:val="0"/>
            <w:vAlign w:val="center"/>
          </w:tcPr>
          <w:p w14:paraId="218F37B8">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786" w:type="dxa"/>
            <w:noWrap w:val="0"/>
            <w:vAlign w:val="center"/>
          </w:tcPr>
          <w:p w14:paraId="3CB8E0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中级职称</w:t>
            </w:r>
          </w:p>
        </w:tc>
        <w:tc>
          <w:tcPr>
            <w:tcW w:w="3052" w:type="dxa"/>
            <w:gridSpan w:val="2"/>
            <w:noWrap w:val="0"/>
            <w:vAlign w:val="center"/>
          </w:tcPr>
          <w:p w14:paraId="2DD9A61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7925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06A5E5E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936" w:type="dxa"/>
            <w:vMerge w:val="continue"/>
            <w:noWrap w:val="0"/>
            <w:vAlign w:val="center"/>
          </w:tcPr>
          <w:p w14:paraId="7809A15E">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873" w:type="dxa"/>
            <w:vMerge w:val="continue"/>
            <w:noWrap w:val="0"/>
            <w:vAlign w:val="center"/>
          </w:tcPr>
          <w:p w14:paraId="579BBFD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786" w:type="dxa"/>
            <w:noWrap w:val="0"/>
            <w:vAlign w:val="center"/>
          </w:tcPr>
          <w:p w14:paraId="62D9046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highlight w:val="none"/>
                <w:lang w:val="zh-CN"/>
              </w:rPr>
              <w:t>各类注册人员</w:t>
            </w:r>
          </w:p>
        </w:tc>
        <w:tc>
          <w:tcPr>
            <w:tcW w:w="3052" w:type="dxa"/>
            <w:gridSpan w:val="2"/>
            <w:noWrap w:val="0"/>
            <w:vAlign w:val="center"/>
          </w:tcPr>
          <w:p w14:paraId="68497F6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3747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5BDEEE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基本账户开户银行</w:t>
            </w:r>
          </w:p>
        </w:tc>
        <w:tc>
          <w:tcPr>
            <w:tcW w:w="7647" w:type="dxa"/>
            <w:gridSpan w:val="5"/>
            <w:noWrap w:val="0"/>
            <w:vAlign w:val="center"/>
          </w:tcPr>
          <w:p w14:paraId="79D23C1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5446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A06EC4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基本账户账号</w:t>
            </w:r>
          </w:p>
        </w:tc>
        <w:tc>
          <w:tcPr>
            <w:tcW w:w="7647" w:type="dxa"/>
            <w:gridSpan w:val="5"/>
            <w:noWrap w:val="0"/>
            <w:vAlign w:val="center"/>
          </w:tcPr>
          <w:p w14:paraId="6CC916E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385D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32F97784">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经营范围</w:t>
            </w:r>
          </w:p>
        </w:tc>
        <w:tc>
          <w:tcPr>
            <w:tcW w:w="7647" w:type="dxa"/>
            <w:gridSpan w:val="5"/>
            <w:noWrap w:val="0"/>
            <w:vAlign w:val="center"/>
          </w:tcPr>
          <w:p w14:paraId="7D004AE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76AF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0A9E67C7">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备注</w:t>
            </w:r>
          </w:p>
        </w:tc>
        <w:tc>
          <w:tcPr>
            <w:tcW w:w="7647" w:type="dxa"/>
            <w:gridSpan w:val="5"/>
            <w:noWrap w:val="0"/>
            <w:vAlign w:val="center"/>
          </w:tcPr>
          <w:p w14:paraId="13FBA69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bl>
    <w:p w14:paraId="3023E3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兹证明上述声明是真实、正确的，并提供了全部能提供的资料和数据，我们同意遵照贵方要求出示有关证明文件。</w:t>
      </w:r>
    </w:p>
    <w:p w14:paraId="2A24E48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p w14:paraId="1316098A">
      <w:pPr>
        <w:pStyle w:val="27"/>
        <w:spacing w:line="360" w:lineRule="auto"/>
        <w:rPr>
          <w:rFonts w:hint="eastAsia" w:ascii="仿宋" w:hAnsi="仿宋" w:eastAsia="仿宋" w:cs="仿宋"/>
          <w:color w:val="auto"/>
          <w:highlight w:val="none"/>
          <w:lang w:val="zh-CN"/>
        </w:rPr>
      </w:pPr>
    </w:p>
    <w:p w14:paraId="79D16B8A">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06BD0B5F">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eastAsia="zh-CN"/>
        </w:rPr>
        <w:t>供应商</w:t>
      </w:r>
      <w:r>
        <w:rPr>
          <w:rFonts w:hint="eastAsia" w:ascii="仿宋" w:hAnsi="仿宋" w:eastAsia="仿宋" w:cs="仿宋"/>
          <w:color w:val="auto"/>
          <w:kern w:val="0"/>
          <w:sz w:val="24"/>
          <w:highlight w:val="none"/>
          <w:lang w:val="zh-CN"/>
        </w:rPr>
        <w:t>（盖章）：</w:t>
      </w:r>
    </w:p>
    <w:p w14:paraId="10324D2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7E5AC42E">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Start w:id="427" w:name="_Toc403"/>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zh-CN"/>
        </w:rPr>
        <w:t>距采购人最近或者能为本项目提供最优服务的网点情况表</w:t>
      </w:r>
      <w:bookmarkEnd w:id="427"/>
    </w:p>
    <w:p w14:paraId="3858E2CC">
      <w:pPr>
        <w:spacing w:line="360" w:lineRule="auto"/>
        <w:rPr>
          <w:rFonts w:hint="eastAsia" w:ascii="仿宋" w:hAnsi="仿宋" w:eastAsia="仿宋" w:cs="仿宋"/>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6A730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01F4D9B">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9D5966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16935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9515F2E">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971247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629C1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61C045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61D45A3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2FC6959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6905620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69167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32279C8">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FAF3AE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36457063">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5911465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4A072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6B8F40D">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943ECE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5B82D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83A377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37ED01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6353B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E1B4B9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53CF86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24651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6E94F7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426BF2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0C662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F50097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54D5E4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0C734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0D9BE8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64F394E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29788D7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1ABA33A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r w14:paraId="58FE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9DF8C6D">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1311C7F8">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3C96550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07C6E40D">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p>
        </w:tc>
      </w:tr>
    </w:tbl>
    <w:p w14:paraId="364EE603">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rPr>
        <w:t xml:space="preserve">       </w:t>
      </w:r>
    </w:p>
    <w:p w14:paraId="4D813F6B">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1D6445CF">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14:paraId="37EE1DDE">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57E00323">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Start w:id="428" w:name="_Toc5028"/>
      <w:r>
        <w:rPr>
          <w:rFonts w:hint="eastAsia" w:ascii="仿宋" w:hAnsi="仿宋" w:eastAsia="仿宋" w:cs="仿宋"/>
          <w:b/>
          <w:color w:val="auto"/>
          <w:kern w:val="0"/>
          <w:sz w:val="32"/>
          <w:szCs w:val="32"/>
          <w:lang w:val="en-US" w:eastAsia="zh-CN" w:bidi="ar-SA"/>
        </w:rPr>
        <w:t>七</w:t>
      </w:r>
      <w:r>
        <w:rPr>
          <w:rFonts w:hint="eastAsia" w:ascii="仿宋" w:hAnsi="仿宋" w:eastAsia="仿宋" w:cs="仿宋"/>
          <w:b/>
          <w:color w:val="auto"/>
          <w:kern w:val="0"/>
          <w:sz w:val="32"/>
          <w:szCs w:val="32"/>
          <w:lang w:val="zh-CN" w:eastAsia="zh-CN" w:bidi="ar-SA"/>
        </w:rPr>
        <w:t>、</w:t>
      </w:r>
      <w:r>
        <w:rPr>
          <w:rFonts w:hint="eastAsia" w:ascii="仿宋" w:hAnsi="仿宋" w:eastAsia="仿宋" w:cs="仿宋"/>
          <w:b/>
          <w:color w:val="auto"/>
          <w:kern w:val="0"/>
          <w:sz w:val="32"/>
          <w:szCs w:val="32"/>
          <w:highlight w:val="none"/>
          <w:lang w:val="zh-CN"/>
        </w:rPr>
        <w:t>评标标准相应的商务技术资料</w:t>
      </w:r>
      <w:bookmarkEnd w:id="428"/>
    </w:p>
    <w:p w14:paraId="1D71F5F2">
      <w:pPr>
        <w:snapToGrid w:val="0"/>
        <w:spacing w:line="360" w:lineRule="auto"/>
        <w:jc w:val="left"/>
        <w:rPr>
          <w:rFonts w:hint="eastAsia" w:ascii="仿宋" w:hAnsi="仿宋" w:eastAsia="仿宋" w:cs="仿宋"/>
          <w:color w:val="auto"/>
          <w:highlight w:val="none"/>
          <w:lang w:val="zh-CN"/>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69F695E">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lang w:val="en-US" w:eastAsia="zh-CN" w:bidi="ar-SA"/>
        </w:rPr>
        <w:br w:type="page"/>
      </w:r>
      <w:bookmarkStart w:id="429" w:name="_Toc18803"/>
      <w:r>
        <w:rPr>
          <w:rFonts w:hint="eastAsia" w:ascii="仿宋" w:hAnsi="仿宋" w:eastAsia="仿宋" w:cs="仿宋"/>
          <w:b/>
          <w:color w:val="auto"/>
          <w:kern w:val="0"/>
          <w:sz w:val="32"/>
          <w:szCs w:val="32"/>
          <w:lang w:val="en-US" w:eastAsia="zh-CN" w:bidi="ar-SA"/>
        </w:rPr>
        <w:t>八</w:t>
      </w:r>
      <w:r>
        <w:rPr>
          <w:rFonts w:hint="eastAsia" w:ascii="仿宋" w:hAnsi="仿宋" w:eastAsia="仿宋" w:cs="仿宋"/>
          <w:b/>
          <w:color w:val="auto"/>
          <w:kern w:val="0"/>
          <w:sz w:val="32"/>
          <w:szCs w:val="32"/>
          <w:lang w:val="zh-CN" w:eastAsia="zh-CN" w:bidi="ar-SA"/>
        </w:rPr>
        <w:t>、</w:t>
      </w:r>
      <w:r>
        <w:rPr>
          <w:rFonts w:hint="eastAsia" w:ascii="仿宋" w:hAnsi="仿宋" w:eastAsia="仿宋" w:cs="仿宋"/>
          <w:b/>
          <w:color w:val="auto"/>
          <w:kern w:val="0"/>
          <w:sz w:val="32"/>
          <w:szCs w:val="32"/>
          <w:highlight w:val="none"/>
          <w:lang w:val="zh-CN"/>
        </w:rPr>
        <w:t>商务响应表</w:t>
      </w:r>
      <w:bookmarkEnd w:id="429"/>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1B08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8471EE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72" w:type="dxa"/>
            <w:noWrap w:val="0"/>
            <w:vAlign w:val="top"/>
          </w:tcPr>
          <w:p w14:paraId="6DB2FF9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85" w:type="dxa"/>
            <w:noWrap w:val="0"/>
            <w:vAlign w:val="top"/>
          </w:tcPr>
          <w:p w14:paraId="4A3A5F0C">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948" w:type="dxa"/>
            <w:noWrap w:val="0"/>
            <w:vAlign w:val="top"/>
          </w:tcPr>
          <w:p w14:paraId="00A991F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响应或</w:t>
            </w:r>
            <w:r>
              <w:rPr>
                <w:rFonts w:hint="eastAsia" w:ascii="仿宋" w:hAnsi="仿宋" w:eastAsia="仿宋" w:cs="仿宋"/>
                <w:b/>
                <w:bCs/>
                <w:color w:val="auto"/>
                <w:sz w:val="24"/>
                <w:highlight w:val="none"/>
              </w:rPr>
              <w:t>偏离说明</w:t>
            </w:r>
          </w:p>
        </w:tc>
      </w:tr>
      <w:tr w14:paraId="2BCD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4FA01E">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72" w:type="dxa"/>
            <w:noWrap w:val="0"/>
            <w:vAlign w:val="top"/>
          </w:tcPr>
          <w:p w14:paraId="67207865">
            <w:pPr>
              <w:spacing w:line="360" w:lineRule="auto"/>
              <w:jc w:val="center"/>
              <w:rPr>
                <w:rFonts w:hint="eastAsia" w:ascii="仿宋" w:hAnsi="仿宋" w:eastAsia="仿宋" w:cs="仿宋"/>
                <w:b/>
                <w:color w:val="auto"/>
                <w:kern w:val="0"/>
                <w:sz w:val="32"/>
                <w:szCs w:val="32"/>
                <w:highlight w:val="none"/>
              </w:rPr>
            </w:pPr>
          </w:p>
        </w:tc>
        <w:tc>
          <w:tcPr>
            <w:tcW w:w="3285" w:type="dxa"/>
            <w:noWrap w:val="0"/>
            <w:vAlign w:val="top"/>
          </w:tcPr>
          <w:p w14:paraId="77A3A06E">
            <w:pPr>
              <w:spacing w:line="360" w:lineRule="auto"/>
              <w:jc w:val="center"/>
              <w:rPr>
                <w:rFonts w:hint="eastAsia" w:ascii="仿宋" w:hAnsi="仿宋" w:eastAsia="仿宋" w:cs="仿宋"/>
                <w:b/>
                <w:color w:val="auto"/>
                <w:kern w:val="0"/>
                <w:sz w:val="32"/>
                <w:szCs w:val="32"/>
                <w:highlight w:val="none"/>
              </w:rPr>
            </w:pPr>
          </w:p>
        </w:tc>
        <w:tc>
          <w:tcPr>
            <w:tcW w:w="1948" w:type="dxa"/>
            <w:noWrap w:val="0"/>
            <w:vAlign w:val="top"/>
          </w:tcPr>
          <w:p w14:paraId="6C88CE65">
            <w:pPr>
              <w:spacing w:line="360" w:lineRule="auto"/>
              <w:jc w:val="center"/>
              <w:rPr>
                <w:rFonts w:hint="eastAsia" w:ascii="仿宋" w:hAnsi="仿宋" w:eastAsia="仿宋" w:cs="仿宋"/>
                <w:b/>
                <w:color w:val="auto"/>
                <w:kern w:val="0"/>
                <w:sz w:val="32"/>
                <w:szCs w:val="32"/>
                <w:highlight w:val="none"/>
              </w:rPr>
            </w:pPr>
          </w:p>
        </w:tc>
      </w:tr>
      <w:tr w14:paraId="7A59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0D9C01B">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72" w:type="dxa"/>
            <w:noWrap w:val="0"/>
            <w:vAlign w:val="top"/>
          </w:tcPr>
          <w:p w14:paraId="18131412">
            <w:pPr>
              <w:spacing w:line="360" w:lineRule="auto"/>
              <w:jc w:val="center"/>
              <w:rPr>
                <w:rFonts w:hint="eastAsia" w:ascii="仿宋" w:hAnsi="仿宋" w:eastAsia="仿宋" w:cs="仿宋"/>
                <w:b/>
                <w:color w:val="auto"/>
                <w:kern w:val="0"/>
                <w:sz w:val="32"/>
                <w:szCs w:val="32"/>
                <w:highlight w:val="none"/>
              </w:rPr>
            </w:pPr>
          </w:p>
        </w:tc>
        <w:tc>
          <w:tcPr>
            <w:tcW w:w="3285" w:type="dxa"/>
            <w:noWrap w:val="0"/>
            <w:vAlign w:val="top"/>
          </w:tcPr>
          <w:p w14:paraId="0107DEE0">
            <w:pPr>
              <w:spacing w:line="360" w:lineRule="auto"/>
              <w:jc w:val="center"/>
              <w:rPr>
                <w:rFonts w:hint="eastAsia" w:ascii="仿宋" w:hAnsi="仿宋" w:eastAsia="仿宋" w:cs="仿宋"/>
                <w:b/>
                <w:color w:val="auto"/>
                <w:kern w:val="0"/>
                <w:sz w:val="32"/>
                <w:szCs w:val="32"/>
                <w:highlight w:val="none"/>
              </w:rPr>
            </w:pPr>
          </w:p>
        </w:tc>
        <w:tc>
          <w:tcPr>
            <w:tcW w:w="1948" w:type="dxa"/>
            <w:noWrap w:val="0"/>
            <w:vAlign w:val="top"/>
          </w:tcPr>
          <w:p w14:paraId="17B13B22">
            <w:pPr>
              <w:spacing w:line="360" w:lineRule="auto"/>
              <w:jc w:val="center"/>
              <w:rPr>
                <w:rFonts w:hint="eastAsia" w:ascii="仿宋" w:hAnsi="仿宋" w:eastAsia="仿宋" w:cs="仿宋"/>
                <w:b/>
                <w:color w:val="auto"/>
                <w:kern w:val="0"/>
                <w:sz w:val="32"/>
                <w:szCs w:val="32"/>
                <w:highlight w:val="none"/>
              </w:rPr>
            </w:pPr>
          </w:p>
        </w:tc>
      </w:tr>
      <w:tr w14:paraId="32BD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247A55C">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72" w:type="dxa"/>
            <w:noWrap w:val="0"/>
            <w:vAlign w:val="top"/>
          </w:tcPr>
          <w:p w14:paraId="2F1D07B7">
            <w:pPr>
              <w:spacing w:line="360" w:lineRule="auto"/>
              <w:jc w:val="center"/>
              <w:rPr>
                <w:rFonts w:hint="eastAsia" w:ascii="仿宋" w:hAnsi="仿宋" w:eastAsia="仿宋" w:cs="仿宋"/>
                <w:b/>
                <w:color w:val="auto"/>
                <w:kern w:val="0"/>
                <w:sz w:val="32"/>
                <w:szCs w:val="32"/>
                <w:highlight w:val="none"/>
              </w:rPr>
            </w:pPr>
          </w:p>
        </w:tc>
        <w:tc>
          <w:tcPr>
            <w:tcW w:w="3285" w:type="dxa"/>
            <w:noWrap w:val="0"/>
            <w:vAlign w:val="top"/>
          </w:tcPr>
          <w:p w14:paraId="6C5AA2C3">
            <w:pPr>
              <w:spacing w:line="360" w:lineRule="auto"/>
              <w:jc w:val="center"/>
              <w:rPr>
                <w:rFonts w:hint="eastAsia" w:ascii="仿宋" w:hAnsi="仿宋" w:eastAsia="仿宋" w:cs="仿宋"/>
                <w:b/>
                <w:color w:val="auto"/>
                <w:kern w:val="0"/>
                <w:sz w:val="32"/>
                <w:szCs w:val="32"/>
                <w:highlight w:val="none"/>
              </w:rPr>
            </w:pPr>
          </w:p>
        </w:tc>
        <w:tc>
          <w:tcPr>
            <w:tcW w:w="1948" w:type="dxa"/>
            <w:noWrap w:val="0"/>
            <w:vAlign w:val="top"/>
          </w:tcPr>
          <w:p w14:paraId="4777F174">
            <w:pPr>
              <w:spacing w:line="360" w:lineRule="auto"/>
              <w:jc w:val="center"/>
              <w:rPr>
                <w:rFonts w:hint="eastAsia" w:ascii="仿宋" w:hAnsi="仿宋" w:eastAsia="仿宋" w:cs="仿宋"/>
                <w:b/>
                <w:color w:val="auto"/>
                <w:kern w:val="0"/>
                <w:sz w:val="32"/>
                <w:szCs w:val="32"/>
                <w:highlight w:val="none"/>
              </w:rPr>
            </w:pPr>
          </w:p>
        </w:tc>
      </w:tr>
    </w:tbl>
    <w:p w14:paraId="4FC335FA">
      <w:pPr>
        <w:pStyle w:val="27"/>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备注：此表根据“第三部分采购需求”商务要求逐条填写；</w:t>
      </w:r>
      <w:r>
        <w:rPr>
          <w:rFonts w:hint="eastAsia" w:ascii="仿宋" w:hAnsi="仿宋" w:eastAsia="仿宋" w:cs="仿宋"/>
          <w:b/>
          <w:bCs/>
          <w:color w:val="auto"/>
          <w:kern w:val="0"/>
          <w:sz w:val="24"/>
          <w:highlight w:val="none"/>
        </w:rPr>
        <w:t>本表后附商务要求中规定的相关证书。</w:t>
      </w:r>
    </w:p>
    <w:p w14:paraId="17B34BFB">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68DD8F2D">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14:paraId="41F88B8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45330168">
      <w:pPr>
        <w:pStyle w:val="27"/>
        <w:rPr>
          <w:rFonts w:hint="eastAsia" w:ascii="仿宋" w:hAnsi="仿宋" w:eastAsia="仿宋" w:cs="仿宋"/>
          <w:color w:val="auto"/>
          <w:kern w:val="0"/>
          <w:sz w:val="24"/>
          <w:highlight w:val="none"/>
          <w:lang w:eastAsia="zh-CN"/>
        </w:rPr>
      </w:pPr>
    </w:p>
    <w:p w14:paraId="518B74AD">
      <w:pPr>
        <w:pStyle w:val="27"/>
        <w:rPr>
          <w:rFonts w:hint="eastAsia" w:ascii="仿宋" w:hAnsi="仿宋" w:eastAsia="仿宋" w:cs="仿宋"/>
          <w:color w:val="auto"/>
          <w:highlight w:val="none"/>
          <w:lang w:val="zh-CN"/>
        </w:rPr>
      </w:pPr>
    </w:p>
    <w:p w14:paraId="2C0CF69A">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30" w:name="_Toc21619"/>
      <w:r>
        <w:rPr>
          <w:rFonts w:hint="eastAsia" w:ascii="仿宋" w:hAnsi="仿宋" w:eastAsia="仿宋" w:cs="仿宋"/>
          <w:b/>
          <w:color w:val="auto"/>
          <w:kern w:val="0"/>
          <w:sz w:val="32"/>
          <w:szCs w:val="32"/>
          <w:lang w:val="en-US" w:eastAsia="zh-CN" w:bidi="ar-SA"/>
        </w:rPr>
        <w:t>九</w:t>
      </w:r>
      <w:r>
        <w:rPr>
          <w:rFonts w:hint="eastAsia" w:ascii="仿宋" w:hAnsi="仿宋" w:eastAsia="仿宋" w:cs="仿宋"/>
          <w:b/>
          <w:color w:val="auto"/>
          <w:kern w:val="0"/>
          <w:sz w:val="32"/>
          <w:szCs w:val="32"/>
          <w:lang w:val="zh-CN" w:eastAsia="zh-CN" w:bidi="ar-SA"/>
        </w:rPr>
        <w:t>、</w:t>
      </w:r>
      <w:r>
        <w:rPr>
          <w:rFonts w:hint="eastAsia" w:ascii="仿宋" w:hAnsi="仿宋" w:eastAsia="仿宋" w:cs="仿宋"/>
          <w:b/>
          <w:color w:val="auto"/>
          <w:kern w:val="0"/>
          <w:sz w:val="32"/>
          <w:szCs w:val="32"/>
          <w:highlight w:val="none"/>
          <w:lang w:val="zh-CN"/>
        </w:rPr>
        <w:t>技术响应表</w:t>
      </w:r>
      <w:bookmarkEnd w:id="430"/>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2840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2CE8D75">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27" w:type="dxa"/>
            <w:noWrap w:val="0"/>
            <w:vAlign w:val="top"/>
          </w:tcPr>
          <w:p w14:paraId="0053191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70" w:type="dxa"/>
            <w:noWrap w:val="0"/>
            <w:vAlign w:val="top"/>
          </w:tcPr>
          <w:p w14:paraId="02A12BB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2008" w:type="dxa"/>
            <w:noWrap w:val="0"/>
            <w:vAlign w:val="top"/>
          </w:tcPr>
          <w:p w14:paraId="4B16CD8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响应或</w:t>
            </w:r>
            <w:r>
              <w:rPr>
                <w:rFonts w:hint="eastAsia" w:ascii="仿宋" w:hAnsi="仿宋" w:eastAsia="仿宋" w:cs="仿宋"/>
                <w:b/>
                <w:bCs/>
                <w:color w:val="auto"/>
                <w:sz w:val="24"/>
                <w:highlight w:val="none"/>
              </w:rPr>
              <w:t>偏离说明</w:t>
            </w:r>
          </w:p>
        </w:tc>
      </w:tr>
      <w:tr w14:paraId="585C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51B645">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27" w:type="dxa"/>
            <w:noWrap w:val="0"/>
            <w:vAlign w:val="top"/>
          </w:tcPr>
          <w:p w14:paraId="3231808B">
            <w:pPr>
              <w:spacing w:line="360" w:lineRule="auto"/>
              <w:jc w:val="center"/>
              <w:rPr>
                <w:rFonts w:hint="eastAsia" w:ascii="仿宋" w:hAnsi="仿宋" w:eastAsia="仿宋" w:cs="仿宋"/>
                <w:b/>
                <w:color w:val="auto"/>
                <w:kern w:val="0"/>
                <w:sz w:val="32"/>
                <w:szCs w:val="32"/>
                <w:highlight w:val="none"/>
              </w:rPr>
            </w:pPr>
          </w:p>
        </w:tc>
        <w:tc>
          <w:tcPr>
            <w:tcW w:w="3270" w:type="dxa"/>
            <w:noWrap w:val="0"/>
            <w:vAlign w:val="top"/>
          </w:tcPr>
          <w:p w14:paraId="3CF5D8D1">
            <w:pPr>
              <w:spacing w:line="360" w:lineRule="auto"/>
              <w:jc w:val="center"/>
              <w:rPr>
                <w:rFonts w:hint="eastAsia" w:ascii="仿宋" w:hAnsi="仿宋" w:eastAsia="仿宋" w:cs="仿宋"/>
                <w:b/>
                <w:color w:val="auto"/>
                <w:kern w:val="0"/>
                <w:sz w:val="32"/>
                <w:szCs w:val="32"/>
                <w:highlight w:val="none"/>
              </w:rPr>
            </w:pPr>
          </w:p>
        </w:tc>
        <w:tc>
          <w:tcPr>
            <w:tcW w:w="2008" w:type="dxa"/>
            <w:noWrap w:val="0"/>
            <w:vAlign w:val="top"/>
          </w:tcPr>
          <w:p w14:paraId="06D55C16">
            <w:pPr>
              <w:spacing w:line="360" w:lineRule="auto"/>
              <w:jc w:val="center"/>
              <w:rPr>
                <w:rFonts w:hint="eastAsia" w:ascii="仿宋" w:hAnsi="仿宋" w:eastAsia="仿宋" w:cs="仿宋"/>
                <w:b/>
                <w:color w:val="auto"/>
                <w:kern w:val="0"/>
                <w:sz w:val="32"/>
                <w:szCs w:val="32"/>
                <w:highlight w:val="none"/>
              </w:rPr>
            </w:pPr>
          </w:p>
        </w:tc>
      </w:tr>
      <w:tr w14:paraId="3523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54E41C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27" w:type="dxa"/>
            <w:noWrap w:val="0"/>
            <w:vAlign w:val="top"/>
          </w:tcPr>
          <w:p w14:paraId="2E1144DE">
            <w:pPr>
              <w:spacing w:line="360" w:lineRule="auto"/>
              <w:jc w:val="center"/>
              <w:rPr>
                <w:rFonts w:hint="eastAsia" w:ascii="仿宋" w:hAnsi="仿宋" w:eastAsia="仿宋" w:cs="仿宋"/>
                <w:b/>
                <w:color w:val="auto"/>
                <w:kern w:val="0"/>
                <w:sz w:val="32"/>
                <w:szCs w:val="32"/>
                <w:highlight w:val="none"/>
              </w:rPr>
            </w:pPr>
          </w:p>
        </w:tc>
        <w:tc>
          <w:tcPr>
            <w:tcW w:w="3270" w:type="dxa"/>
            <w:noWrap w:val="0"/>
            <w:vAlign w:val="top"/>
          </w:tcPr>
          <w:p w14:paraId="0A2641A9">
            <w:pPr>
              <w:spacing w:line="360" w:lineRule="auto"/>
              <w:jc w:val="center"/>
              <w:rPr>
                <w:rFonts w:hint="eastAsia" w:ascii="仿宋" w:hAnsi="仿宋" w:eastAsia="仿宋" w:cs="仿宋"/>
                <w:b/>
                <w:color w:val="auto"/>
                <w:kern w:val="0"/>
                <w:sz w:val="32"/>
                <w:szCs w:val="32"/>
                <w:highlight w:val="none"/>
              </w:rPr>
            </w:pPr>
          </w:p>
        </w:tc>
        <w:tc>
          <w:tcPr>
            <w:tcW w:w="2008" w:type="dxa"/>
            <w:noWrap w:val="0"/>
            <w:vAlign w:val="top"/>
          </w:tcPr>
          <w:p w14:paraId="7AFE647E">
            <w:pPr>
              <w:spacing w:line="360" w:lineRule="auto"/>
              <w:jc w:val="center"/>
              <w:rPr>
                <w:rFonts w:hint="eastAsia" w:ascii="仿宋" w:hAnsi="仿宋" w:eastAsia="仿宋" w:cs="仿宋"/>
                <w:b/>
                <w:color w:val="auto"/>
                <w:kern w:val="0"/>
                <w:sz w:val="32"/>
                <w:szCs w:val="32"/>
                <w:highlight w:val="none"/>
              </w:rPr>
            </w:pPr>
          </w:p>
        </w:tc>
      </w:tr>
      <w:tr w14:paraId="50F6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93B7B4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27" w:type="dxa"/>
            <w:noWrap w:val="0"/>
            <w:vAlign w:val="top"/>
          </w:tcPr>
          <w:p w14:paraId="42B8A7B4">
            <w:pPr>
              <w:spacing w:line="360" w:lineRule="auto"/>
              <w:jc w:val="center"/>
              <w:rPr>
                <w:rFonts w:hint="eastAsia" w:ascii="仿宋" w:hAnsi="仿宋" w:eastAsia="仿宋" w:cs="仿宋"/>
                <w:b/>
                <w:color w:val="auto"/>
                <w:kern w:val="0"/>
                <w:sz w:val="32"/>
                <w:szCs w:val="32"/>
                <w:highlight w:val="none"/>
              </w:rPr>
            </w:pPr>
          </w:p>
        </w:tc>
        <w:tc>
          <w:tcPr>
            <w:tcW w:w="3270" w:type="dxa"/>
            <w:noWrap w:val="0"/>
            <w:vAlign w:val="top"/>
          </w:tcPr>
          <w:p w14:paraId="241B3DA0">
            <w:pPr>
              <w:spacing w:line="360" w:lineRule="auto"/>
              <w:jc w:val="center"/>
              <w:rPr>
                <w:rFonts w:hint="eastAsia" w:ascii="仿宋" w:hAnsi="仿宋" w:eastAsia="仿宋" w:cs="仿宋"/>
                <w:b/>
                <w:color w:val="auto"/>
                <w:kern w:val="0"/>
                <w:sz w:val="32"/>
                <w:szCs w:val="32"/>
                <w:highlight w:val="none"/>
              </w:rPr>
            </w:pPr>
          </w:p>
        </w:tc>
        <w:tc>
          <w:tcPr>
            <w:tcW w:w="2008" w:type="dxa"/>
            <w:noWrap w:val="0"/>
            <w:vAlign w:val="top"/>
          </w:tcPr>
          <w:p w14:paraId="17686605">
            <w:pPr>
              <w:spacing w:line="360" w:lineRule="auto"/>
              <w:jc w:val="center"/>
              <w:rPr>
                <w:rFonts w:hint="eastAsia" w:ascii="仿宋" w:hAnsi="仿宋" w:eastAsia="仿宋" w:cs="仿宋"/>
                <w:b/>
                <w:color w:val="auto"/>
                <w:kern w:val="0"/>
                <w:sz w:val="32"/>
                <w:szCs w:val="32"/>
                <w:highlight w:val="none"/>
              </w:rPr>
            </w:pPr>
          </w:p>
        </w:tc>
      </w:tr>
    </w:tbl>
    <w:p w14:paraId="295D846E">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r>
        <w:rPr>
          <w:rFonts w:hint="eastAsia" w:ascii="仿宋" w:hAnsi="仿宋" w:eastAsia="仿宋" w:cs="仿宋"/>
          <w:color w:val="auto"/>
          <w:kern w:val="0"/>
          <w:sz w:val="24"/>
          <w:highlight w:val="none"/>
          <w:lang w:val="zh-CN"/>
        </w:rPr>
        <w:t>此表根据“第三部分采购需求”技术要求逐</w:t>
      </w:r>
      <w:r>
        <w:rPr>
          <w:rFonts w:hint="eastAsia" w:ascii="仿宋" w:hAnsi="仿宋" w:eastAsia="仿宋" w:cs="仿宋"/>
          <w:color w:val="auto"/>
          <w:kern w:val="0"/>
          <w:sz w:val="24"/>
          <w:highlight w:val="none"/>
        </w:rPr>
        <w:t>条</w:t>
      </w:r>
      <w:r>
        <w:rPr>
          <w:rFonts w:hint="eastAsia" w:ascii="仿宋" w:hAnsi="仿宋" w:eastAsia="仿宋" w:cs="仿宋"/>
          <w:color w:val="auto"/>
          <w:kern w:val="0"/>
          <w:sz w:val="24"/>
          <w:highlight w:val="none"/>
          <w:lang w:val="zh-CN"/>
        </w:rPr>
        <w:t>填写</w:t>
      </w:r>
      <w:r>
        <w:rPr>
          <w:rFonts w:hint="eastAsia" w:ascii="仿宋" w:hAnsi="仿宋" w:eastAsia="仿宋" w:cs="仿宋"/>
          <w:color w:val="auto"/>
          <w:kern w:val="0"/>
          <w:sz w:val="24"/>
          <w:highlight w:val="none"/>
        </w:rPr>
        <w:t>。</w:t>
      </w:r>
    </w:p>
    <w:p w14:paraId="12BCF15F">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p>
    <w:p w14:paraId="7CE62135">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65D4D3AB">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14:paraId="73859A8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日期：</w:t>
      </w:r>
    </w:p>
    <w:p w14:paraId="1C8B9664">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br w:type="page"/>
      </w:r>
      <w:bookmarkStart w:id="431" w:name="_Toc7390"/>
      <w:r>
        <w:rPr>
          <w:rFonts w:hint="eastAsia" w:ascii="仿宋" w:hAnsi="仿宋" w:eastAsia="仿宋" w:cs="仿宋"/>
          <w:b/>
          <w:color w:val="auto"/>
          <w:kern w:val="0"/>
          <w:sz w:val="32"/>
          <w:szCs w:val="32"/>
          <w:highlight w:val="none"/>
          <w:lang w:val="en-US" w:eastAsia="zh-CN"/>
        </w:rPr>
        <w:t>十、同类业绩情况一览表</w:t>
      </w:r>
      <w:bookmarkEnd w:id="431"/>
    </w:p>
    <w:p w14:paraId="6EF763E1">
      <w:pPr>
        <w:spacing w:line="360" w:lineRule="auto"/>
        <w:jc w:val="center"/>
        <w:rPr>
          <w:rFonts w:hint="eastAsia" w:ascii="仿宋" w:hAnsi="仿宋" w:eastAsia="仿宋" w:cs="仿宋"/>
          <w:color w:val="auto"/>
          <w:highlight w:val="none"/>
        </w:rPr>
      </w:pPr>
    </w:p>
    <w:tbl>
      <w:tblPr>
        <w:tblStyle w:val="1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FB05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FB1D58A">
            <w:pPr>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19A0C63">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采购单位名称</w:t>
            </w:r>
          </w:p>
        </w:tc>
        <w:tc>
          <w:tcPr>
            <w:tcW w:w="1732" w:type="dxa"/>
            <w:tcBorders>
              <w:top w:val="single" w:color="auto" w:sz="4" w:space="0"/>
              <w:left w:val="single" w:color="auto" w:sz="4" w:space="0"/>
              <w:right w:val="single" w:color="auto" w:sz="4" w:space="0"/>
            </w:tcBorders>
            <w:noWrap w:val="0"/>
            <w:vAlign w:val="center"/>
          </w:tcPr>
          <w:p w14:paraId="08B83FFE">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4190634">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合同金额</w:t>
            </w:r>
          </w:p>
          <w:p w14:paraId="260C9FA7">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E9F6D2F">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0B5A03D">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w:t>
            </w:r>
          </w:p>
        </w:tc>
      </w:tr>
      <w:tr w14:paraId="787DC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68C7179">
            <w:pP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1DB2530">
            <w:pPr>
              <w:spacing w:line="360" w:lineRule="auto"/>
              <w:jc w:val="left"/>
              <w:rPr>
                <w:rFonts w:hint="eastAsia" w:ascii="仿宋" w:hAnsi="仿宋" w:eastAsia="仿宋" w:cs="仿宋"/>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158485B">
            <w:pPr>
              <w:spacing w:line="360" w:lineRule="auto"/>
              <w:jc w:val="left"/>
              <w:rPr>
                <w:rFonts w:hint="eastAsia" w:ascii="仿宋" w:hAnsi="仿宋" w:eastAsia="仿宋" w:cs="仿宋"/>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5B6CF80">
            <w:pPr>
              <w:spacing w:line="360" w:lineRule="auto"/>
              <w:jc w:val="left"/>
              <w:rPr>
                <w:rFonts w:hint="eastAsia" w:ascii="仿宋" w:hAnsi="仿宋" w:eastAsia="仿宋" w:cs="仿宋"/>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C48A72E">
            <w:pPr>
              <w:spacing w:line="360" w:lineRule="auto"/>
              <w:jc w:val="left"/>
              <w:rPr>
                <w:rFonts w:hint="eastAsia" w:ascii="仿宋" w:hAnsi="仿宋" w:eastAsia="仿宋" w:cs="仿宋"/>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ED0427A">
            <w:pPr>
              <w:spacing w:line="360" w:lineRule="auto"/>
              <w:jc w:val="left"/>
              <w:rPr>
                <w:rFonts w:hint="eastAsia" w:ascii="仿宋" w:hAnsi="仿宋" w:eastAsia="仿宋" w:cs="仿宋"/>
                <w:color w:val="auto"/>
                <w:kern w:val="0"/>
                <w:sz w:val="24"/>
                <w:highlight w:val="none"/>
              </w:rPr>
            </w:pPr>
          </w:p>
        </w:tc>
      </w:tr>
      <w:tr w14:paraId="4CFCA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A116226">
            <w:pP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CC5C6F2">
            <w:pPr>
              <w:spacing w:line="360" w:lineRule="auto"/>
              <w:jc w:val="left"/>
              <w:rPr>
                <w:rFonts w:hint="eastAsia" w:ascii="仿宋" w:hAnsi="仿宋" w:eastAsia="仿宋" w:cs="仿宋"/>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149223B">
            <w:pPr>
              <w:spacing w:line="360" w:lineRule="auto"/>
              <w:jc w:val="left"/>
              <w:rPr>
                <w:rFonts w:hint="eastAsia" w:ascii="仿宋" w:hAnsi="仿宋" w:eastAsia="仿宋" w:cs="仿宋"/>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433C724">
            <w:pPr>
              <w:spacing w:line="360" w:lineRule="auto"/>
              <w:jc w:val="left"/>
              <w:rPr>
                <w:rFonts w:hint="eastAsia" w:ascii="仿宋" w:hAnsi="仿宋" w:eastAsia="仿宋" w:cs="仿宋"/>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5C89D79">
            <w:pPr>
              <w:spacing w:line="360" w:lineRule="auto"/>
              <w:jc w:val="left"/>
              <w:rPr>
                <w:rFonts w:hint="eastAsia" w:ascii="仿宋" w:hAnsi="仿宋" w:eastAsia="仿宋" w:cs="仿宋"/>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9F47D30">
            <w:pPr>
              <w:spacing w:line="360" w:lineRule="auto"/>
              <w:jc w:val="left"/>
              <w:rPr>
                <w:rFonts w:hint="eastAsia" w:ascii="仿宋" w:hAnsi="仿宋" w:eastAsia="仿宋" w:cs="仿宋"/>
                <w:color w:val="auto"/>
                <w:kern w:val="0"/>
                <w:sz w:val="24"/>
                <w:highlight w:val="none"/>
              </w:rPr>
            </w:pPr>
          </w:p>
        </w:tc>
      </w:tr>
      <w:tr w14:paraId="18664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DF656FF">
            <w:pP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35B66BF">
            <w:pPr>
              <w:spacing w:line="360" w:lineRule="auto"/>
              <w:jc w:val="left"/>
              <w:rPr>
                <w:rFonts w:hint="eastAsia" w:ascii="仿宋" w:hAnsi="仿宋" w:eastAsia="仿宋" w:cs="仿宋"/>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62C3DDE">
            <w:pPr>
              <w:spacing w:line="360" w:lineRule="auto"/>
              <w:jc w:val="left"/>
              <w:rPr>
                <w:rFonts w:hint="eastAsia" w:ascii="仿宋" w:hAnsi="仿宋" w:eastAsia="仿宋" w:cs="仿宋"/>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5F65BF1">
            <w:pPr>
              <w:spacing w:line="360" w:lineRule="auto"/>
              <w:jc w:val="left"/>
              <w:rPr>
                <w:rFonts w:hint="eastAsia" w:ascii="仿宋" w:hAnsi="仿宋" w:eastAsia="仿宋" w:cs="仿宋"/>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4E2F37B">
            <w:pPr>
              <w:spacing w:line="360" w:lineRule="auto"/>
              <w:jc w:val="left"/>
              <w:rPr>
                <w:rFonts w:hint="eastAsia" w:ascii="仿宋" w:hAnsi="仿宋" w:eastAsia="仿宋" w:cs="仿宋"/>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BFB8ADF">
            <w:pPr>
              <w:spacing w:line="360" w:lineRule="auto"/>
              <w:jc w:val="left"/>
              <w:rPr>
                <w:rFonts w:hint="eastAsia" w:ascii="仿宋" w:hAnsi="仿宋" w:eastAsia="仿宋" w:cs="仿宋"/>
                <w:color w:val="auto"/>
                <w:kern w:val="0"/>
                <w:sz w:val="24"/>
                <w:highlight w:val="none"/>
              </w:rPr>
            </w:pPr>
          </w:p>
        </w:tc>
      </w:tr>
      <w:tr w14:paraId="76628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97CBFCA">
            <w:pP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E81303C">
            <w:pPr>
              <w:spacing w:line="360" w:lineRule="auto"/>
              <w:jc w:val="left"/>
              <w:rPr>
                <w:rFonts w:hint="eastAsia" w:ascii="仿宋" w:hAnsi="仿宋" w:eastAsia="仿宋" w:cs="仿宋"/>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CCC0307">
            <w:pPr>
              <w:spacing w:line="360" w:lineRule="auto"/>
              <w:jc w:val="left"/>
              <w:rPr>
                <w:rFonts w:hint="eastAsia" w:ascii="仿宋" w:hAnsi="仿宋" w:eastAsia="仿宋" w:cs="仿宋"/>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29B488B">
            <w:pPr>
              <w:spacing w:line="360" w:lineRule="auto"/>
              <w:jc w:val="left"/>
              <w:rPr>
                <w:rFonts w:hint="eastAsia" w:ascii="仿宋" w:hAnsi="仿宋" w:eastAsia="仿宋" w:cs="仿宋"/>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BD7A8B5">
            <w:pPr>
              <w:spacing w:line="360" w:lineRule="auto"/>
              <w:jc w:val="left"/>
              <w:rPr>
                <w:rFonts w:hint="eastAsia" w:ascii="仿宋" w:hAnsi="仿宋" w:eastAsia="仿宋" w:cs="仿宋"/>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72DC22A">
            <w:pPr>
              <w:spacing w:line="360" w:lineRule="auto"/>
              <w:jc w:val="left"/>
              <w:rPr>
                <w:rFonts w:hint="eastAsia" w:ascii="仿宋" w:hAnsi="仿宋" w:eastAsia="仿宋" w:cs="仿宋"/>
                <w:color w:val="auto"/>
                <w:kern w:val="0"/>
                <w:sz w:val="24"/>
                <w:highlight w:val="none"/>
              </w:rPr>
            </w:pPr>
          </w:p>
        </w:tc>
      </w:tr>
      <w:tr w14:paraId="3B19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A43C9B4">
            <w:pP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E462562">
            <w:pPr>
              <w:spacing w:line="360" w:lineRule="auto"/>
              <w:jc w:val="left"/>
              <w:rPr>
                <w:rFonts w:hint="eastAsia" w:ascii="仿宋" w:hAnsi="仿宋" w:eastAsia="仿宋" w:cs="仿宋"/>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2F51374">
            <w:pPr>
              <w:spacing w:line="360" w:lineRule="auto"/>
              <w:jc w:val="left"/>
              <w:rPr>
                <w:rFonts w:hint="eastAsia" w:ascii="仿宋" w:hAnsi="仿宋" w:eastAsia="仿宋" w:cs="仿宋"/>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D4AB8DA">
            <w:pPr>
              <w:spacing w:line="360" w:lineRule="auto"/>
              <w:jc w:val="left"/>
              <w:rPr>
                <w:rFonts w:hint="eastAsia" w:ascii="仿宋" w:hAnsi="仿宋" w:eastAsia="仿宋" w:cs="仿宋"/>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E374157">
            <w:pPr>
              <w:spacing w:line="360" w:lineRule="auto"/>
              <w:jc w:val="left"/>
              <w:rPr>
                <w:rFonts w:hint="eastAsia" w:ascii="仿宋" w:hAnsi="仿宋" w:eastAsia="仿宋" w:cs="仿宋"/>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16E0965">
            <w:pPr>
              <w:spacing w:line="360" w:lineRule="auto"/>
              <w:jc w:val="left"/>
              <w:rPr>
                <w:rFonts w:hint="eastAsia" w:ascii="仿宋" w:hAnsi="仿宋" w:eastAsia="仿宋" w:cs="仿宋"/>
                <w:color w:val="auto"/>
                <w:kern w:val="0"/>
                <w:sz w:val="24"/>
                <w:highlight w:val="none"/>
              </w:rPr>
            </w:pPr>
          </w:p>
        </w:tc>
      </w:tr>
    </w:tbl>
    <w:p w14:paraId="6E9A703C">
      <w:pPr>
        <w:spacing w:line="360" w:lineRule="auto"/>
        <w:jc w:val="left"/>
        <w:rPr>
          <w:rFonts w:hint="eastAsia" w:ascii="仿宋" w:hAnsi="仿宋" w:eastAsia="仿宋" w:cs="仿宋"/>
          <w:color w:val="auto"/>
          <w:kern w:val="0"/>
          <w:sz w:val="24"/>
          <w:highlight w:val="none"/>
        </w:rPr>
      </w:pPr>
    </w:p>
    <w:p w14:paraId="1735A93B">
      <w:pPr>
        <w:spacing w:line="360" w:lineRule="auto"/>
        <w:jc w:val="left"/>
        <w:rPr>
          <w:rFonts w:hint="eastAsia" w:ascii="仿宋" w:hAnsi="仿宋" w:eastAsia="仿宋" w:cs="仿宋"/>
          <w:color w:val="auto"/>
          <w:kern w:val="0"/>
          <w:sz w:val="24"/>
          <w:highlight w:val="none"/>
        </w:rPr>
      </w:pPr>
    </w:p>
    <w:p w14:paraId="0BD1397D">
      <w:pPr>
        <w:spacing w:line="360" w:lineRule="auto"/>
        <w:jc w:val="left"/>
        <w:rPr>
          <w:rFonts w:hint="eastAsia" w:ascii="仿宋" w:hAnsi="仿宋" w:eastAsia="仿宋" w:cs="仿宋"/>
          <w:color w:val="auto"/>
          <w:kern w:val="0"/>
          <w:sz w:val="24"/>
          <w:highlight w:val="none"/>
        </w:rPr>
      </w:pPr>
    </w:p>
    <w:p w14:paraId="104FED6F">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65525416">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14:paraId="5BDCBAC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3F019686">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Start w:id="432" w:name="_Toc31561"/>
      <w:r>
        <w:rPr>
          <w:rFonts w:hint="eastAsia" w:ascii="仿宋" w:hAnsi="仿宋" w:eastAsia="仿宋" w:cs="仿宋"/>
          <w:b/>
          <w:color w:val="auto"/>
          <w:kern w:val="0"/>
          <w:sz w:val="32"/>
          <w:szCs w:val="32"/>
          <w:highlight w:val="none"/>
          <w:lang w:val="zh-CN"/>
        </w:rPr>
        <w:t>十一、</w:t>
      </w:r>
      <w:r>
        <w:rPr>
          <w:rFonts w:hint="eastAsia" w:ascii="仿宋" w:hAnsi="仿宋" w:eastAsia="仿宋" w:cs="仿宋"/>
          <w:b/>
          <w:color w:val="auto"/>
          <w:kern w:val="0"/>
          <w:sz w:val="32"/>
          <w:szCs w:val="32"/>
          <w:highlight w:val="none"/>
          <w:lang w:val="zh-CN"/>
        </w:rPr>
        <w:t>政府采购供应商廉洁自律承诺书</w:t>
      </w:r>
      <w:bookmarkEnd w:id="432"/>
    </w:p>
    <w:p w14:paraId="4C25AB87">
      <w:pPr>
        <w:snapToGrid w:val="0"/>
        <w:spacing w:line="360" w:lineRule="auto"/>
        <w:rPr>
          <w:rFonts w:hint="eastAsia" w:ascii="仿宋" w:hAnsi="仿宋" w:eastAsia="仿宋" w:cs="仿宋"/>
          <w:color w:val="auto"/>
          <w:sz w:val="24"/>
          <w:highlight w:val="none"/>
        </w:rPr>
      </w:pPr>
    </w:p>
    <w:p w14:paraId="55F67D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50E231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D36408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EE581D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23B6DE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36A6AD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CEF12E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714FB9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2A5D63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A5DE1A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AC9662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55A372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3C86AD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B0E6B7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C9BB955">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14:paraId="6BEAE499">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14:paraId="540F12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p>
    <w:p w14:paraId="21D07308">
      <w:pPr>
        <w:spacing w:line="360" w:lineRule="auto"/>
        <w:jc w:val="center"/>
        <w:rPr>
          <w:rFonts w:hint="eastAsia" w:ascii="仿宋" w:hAnsi="仿宋" w:eastAsia="仿宋" w:cs="仿宋"/>
          <w:b/>
          <w:bCs/>
          <w:color w:val="auto"/>
          <w:sz w:val="24"/>
          <w:highlight w:val="none"/>
        </w:rPr>
      </w:pPr>
    </w:p>
    <w:p w14:paraId="27A920D1">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7C1F987">
      <w:pPr>
        <w:spacing w:line="360" w:lineRule="auto"/>
        <w:jc w:val="center"/>
        <w:outlineLvl w:val="0"/>
        <w:rPr>
          <w:rFonts w:hint="eastAsia" w:ascii="仿宋" w:hAnsi="仿宋" w:eastAsia="仿宋" w:cs="仿宋"/>
          <w:b/>
          <w:color w:val="auto"/>
          <w:kern w:val="0"/>
          <w:sz w:val="36"/>
          <w:szCs w:val="36"/>
          <w:highlight w:val="none"/>
        </w:rPr>
      </w:pPr>
      <w:bookmarkStart w:id="433" w:name="_Toc7476"/>
      <w:r>
        <w:rPr>
          <w:rFonts w:hint="eastAsia" w:ascii="仿宋" w:hAnsi="仿宋" w:eastAsia="仿宋" w:cs="仿宋"/>
          <w:b/>
          <w:color w:val="auto"/>
          <w:kern w:val="0"/>
          <w:sz w:val="36"/>
          <w:szCs w:val="36"/>
          <w:highlight w:val="none"/>
        </w:rPr>
        <w:t>报价文件部分</w:t>
      </w:r>
      <w:bookmarkEnd w:id="433"/>
    </w:p>
    <w:p w14:paraId="0F009A1D">
      <w:pPr>
        <w:spacing w:line="360" w:lineRule="auto"/>
        <w:jc w:val="center"/>
        <w:outlineLvl w:val="0"/>
        <w:rPr>
          <w:rFonts w:hint="eastAsia" w:ascii="仿宋" w:hAnsi="仿宋" w:eastAsia="仿宋" w:cs="仿宋"/>
          <w:b/>
          <w:color w:val="auto"/>
          <w:kern w:val="0"/>
          <w:sz w:val="36"/>
          <w:szCs w:val="36"/>
          <w:highlight w:val="none"/>
        </w:rPr>
      </w:pPr>
      <w:bookmarkStart w:id="434" w:name="_Toc4954"/>
      <w:r>
        <w:rPr>
          <w:rFonts w:hint="eastAsia" w:ascii="仿宋" w:hAnsi="仿宋" w:eastAsia="仿宋" w:cs="仿宋"/>
          <w:b/>
          <w:color w:val="auto"/>
          <w:kern w:val="0"/>
          <w:sz w:val="36"/>
          <w:szCs w:val="36"/>
          <w:highlight w:val="none"/>
        </w:rPr>
        <w:t>目录</w:t>
      </w:r>
      <w:bookmarkEnd w:id="434"/>
    </w:p>
    <w:p w14:paraId="4E53B5A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p>
    <w:p w14:paraId="5193DDA7">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报价一览表；</w:t>
      </w:r>
    </w:p>
    <w:p w14:paraId="0B6A9B0D">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政府采购统计基础信息表；</w:t>
      </w:r>
    </w:p>
    <w:p w14:paraId="03EAA65C">
      <w:pPr>
        <w:snapToGrid w:val="0"/>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其他资料（如有）。</w:t>
      </w:r>
    </w:p>
    <w:p w14:paraId="092641E5">
      <w:pPr>
        <w:snapToGrid w:val="0"/>
        <w:spacing w:line="360" w:lineRule="auto"/>
        <w:ind w:right="480"/>
        <w:jc w:val="both"/>
        <w:rPr>
          <w:rFonts w:hint="eastAsia" w:ascii="仿宋" w:hAnsi="仿宋" w:eastAsia="仿宋" w:cs="仿宋"/>
          <w:b/>
          <w:color w:val="auto"/>
          <w:kern w:val="0"/>
          <w:sz w:val="32"/>
          <w:szCs w:val="32"/>
          <w:highlight w:val="none"/>
        </w:rPr>
      </w:pPr>
    </w:p>
    <w:p w14:paraId="7FE0338D">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r>
        <w:rPr>
          <w:rFonts w:hint="eastAsia" w:ascii="仿宋" w:hAnsi="仿宋" w:eastAsia="仿宋" w:cs="仿宋"/>
          <w:color w:val="auto"/>
          <w:kern w:val="2"/>
          <w:sz w:val="32"/>
          <w:szCs w:val="32"/>
          <w:highlight w:val="none"/>
        </w:rPr>
        <w:t>一、报价一览表（报价表）</w:t>
      </w:r>
    </w:p>
    <w:p w14:paraId="106F6C3B">
      <w:pPr>
        <w:snapToGrid w:val="0"/>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u w:val="single"/>
          <w:lang w:val="zh-CN"/>
        </w:rPr>
        <w:t>：</w:t>
      </w:r>
    </w:p>
    <w:p w14:paraId="318D950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仿宋" w:hAnsi="仿宋" w:eastAsia="仿宋" w:cs="仿宋"/>
          <w:color w:val="auto"/>
          <w:kern w:val="0"/>
          <w:sz w:val="24"/>
          <w:highlight w:val="none"/>
        </w:rPr>
        <w:t>本项目的实施</w:t>
      </w:r>
      <w:r>
        <w:rPr>
          <w:rFonts w:hint="eastAsia" w:ascii="仿宋" w:hAnsi="仿宋" w:eastAsia="仿宋" w:cs="仿宋"/>
          <w:color w:val="auto"/>
          <w:kern w:val="0"/>
          <w:sz w:val="24"/>
          <w:highlight w:val="none"/>
          <w:lang w:val="zh-CN"/>
        </w:rPr>
        <w:t>。</w:t>
      </w:r>
    </w:p>
    <w:tbl>
      <w:tblPr>
        <w:tblStyle w:val="18"/>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4"/>
        <w:gridCol w:w="2499"/>
        <w:gridCol w:w="2653"/>
      </w:tblGrid>
      <w:tr w14:paraId="14CA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225" w:type="pct"/>
            <w:noWrap w:val="0"/>
            <w:vAlign w:val="center"/>
          </w:tcPr>
          <w:p w14:paraId="4A0CFA35">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345" w:type="pct"/>
            <w:noWrap w:val="0"/>
            <w:vAlign w:val="center"/>
          </w:tcPr>
          <w:p w14:paraId="4899F7DD">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项目内容</w:t>
            </w:r>
          </w:p>
        </w:tc>
        <w:tc>
          <w:tcPr>
            <w:tcW w:w="1428" w:type="pct"/>
            <w:noWrap w:val="0"/>
            <w:vAlign w:val="center"/>
          </w:tcPr>
          <w:p w14:paraId="7087A97A">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w:t>
            </w:r>
          </w:p>
        </w:tc>
      </w:tr>
      <w:tr w14:paraId="2812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5" w:type="pct"/>
            <w:noWrap w:val="0"/>
            <w:vAlign w:val="center"/>
          </w:tcPr>
          <w:p w14:paraId="07E2E963">
            <w:pPr>
              <w:spacing w:line="360" w:lineRule="auto"/>
              <w:jc w:val="center"/>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奉化区莼湖街道中心小学校舍改造提升工程 </w:t>
            </w:r>
          </w:p>
        </w:tc>
        <w:tc>
          <w:tcPr>
            <w:tcW w:w="1345" w:type="pct"/>
            <w:noWrap w:val="0"/>
            <w:vAlign w:val="center"/>
          </w:tcPr>
          <w:p w14:paraId="69ED8310">
            <w:pPr>
              <w:spacing w:line="360" w:lineRule="auto"/>
              <w:jc w:val="center"/>
              <w:rPr>
                <w:rFonts w:hint="eastAsia" w:ascii="仿宋" w:hAnsi="仿宋" w:eastAsia="仿宋" w:cs="仿宋"/>
                <w:color w:val="auto"/>
                <w:kern w:val="1"/>
                <w:sz w:val="28"/>
                <w:szCs w:val="28"/>
                <w:highlight w:val="none"/>
                <w:lang w:val="en-US" w:eastAsia="zh-CN"/>
              </w:rPr>
            </w:pPr>
            <w:r>
              <w:rPr>
                <w:rFonts w:hint="eastAsia" w:ascii="仿宋" w:hAnsi="仿宋" w:eastAsia="仿宋" w:cs="仿宋"/>
                <w:color w:val="auto"/>
                <w:kern w:val="1"/>
                <w:sz w:val="28"/>
                <w:szCs w:val="28"/>
                <w:highlight w:val="none"/>
                <w:lang w:eastAsia="zh-CN"/>
              </w:rPr>
              <w:t>校园改造提升工程</w:t>
            </w:r>
          </w:p>
        </w:tc>
        <w:tc>
          <w:tcPr>
            <w:tcW w:w="1428" w:type="pct"/>
            <w:noWrap w:val="0"/>
            <w:vAlign w:val="center"/>
          </w:tcPr>
          <w:p w14:paraId="45ACDD88">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综合折扣率</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tc>
      </w:tr>
    </w:tbl>
    <w:p w14:paraId="077591C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注：</w:t>
      </w: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磋商报价折扣率以“%”的形式填写</w:t>
      </w:r>
      <w:r>
        <w:rPr>
          <w:rFonts w:hint="eastAsia" w:ascii="仿宋" w:hAnsi="仿宋" w:eastAsia="仿宋" w:cs="仿宋"/>
          <w:b/>
          <w:color w:val="auto"/>
          <w:sz w:val="24"/>
          <w:highlight w:val="none"/>
          <w:u w:val="single"/>
          <w:lang w:val="en-US" w:eastAsia="zh-CN"/>
        </w:rPr>
        <w:t>并保留一位小数</w:t>
      </w:r>
      <w:r>
        <w:rPr>
          <w:rFonts w:hint="eastAsia" w:ascii="仿宋" w:hAnsi="仿宋" w:eastAsia="仿宋" w:cs="仿宋"/>
          <w:b/>
          <w:color w:val="auto"/>
          <w:sz w:val="24"/>
          <w:highlight w:val="none"/>
          <w:u w:val="single"/>
        </w:rPr>
        <w:t>。本项目设有最高</w:t>
      </w:r>
      <w:r>
        <w:rPr>
          <w:rFonts w:hint="eastAsia" w:ascii="仿宋" w:hAnsi="仿宋" w:eastAsia="仿宋" w:cs="仿宋"/>
          <w:b/>
          <w:color w:val="auto"/>
          <w:sz w:val="24"/>
          <w:highlight w:val="none"/>
          <w:u w:val="single"/>
          <w:lang w:val="en-US" w:eastAsia="zh-CN"/>
        </w:rPr>
        <w:t>综合</w:t>
      </w:r>
      <w:r>
        <w:rPr>
          <w:rFonts w:hint="eastAsia" w:ascii="仿宋" w:hAnsi="仿宋" w:eastAsia="仿宋" w:cs="仿宋"/>
          <w:b/>
          <w:color w:val="auto"/>
          <w:sz w:val="24"/>
          <w:highlight w:val="none"/>
          <w:u w:val="single"/>
        </w:rPr>
        <w:t>折扣率（9</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rPr>
        <w:t>，未按折扣率进行报价或超过最高综合折扣率进行报价的磋商响应文件作无效处理。</w:t>
      </w:r>
    </w:p>
    <w:p w14:paraId="15DA7B7A">
      <w:pPr>
        <w:numPr>
          <w:ilvl w:val="0"/>
          <w:numId w:val="0"/>
        </w:numPr>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报价一经涂改，应在涂改处加盖单位公章或者由法定代表人或授权委托人签名或盖章，否则其投标作无效标处理。</w:t>
      </w:r>
    </w:p>
    <w:p w14:paraId="0743F40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3、供应商</w:t>
      </w:r>
      <w:r>
        <w:rPr>
          <w:rFonts w:hint="eastAsia" w:ascii="仿宋" w:hAnsi="仿宋" w:eastAsia="仿宋" w:cs="仿宋"/>
          <w:color w:val="auto"/>
          <w:kern w:val="0"/>
          <w:sz w:val="24"/>
          <w:highlight w:val="none"/>
          <w:lang w:val="zh-CN"/>
        </w:rPr>
        <w:t>需按本表格式填写，不得自行更改。</w:t>
      </w:r>
    </w:p>
    <w:p w14:paraId="5C71630F">
      <w:pPr>
        <w:snapToGrid w:val="0"/>
        <w:spacing w:line="360" w:lineRule="auto"/>
        <w:ind w:firstLine="48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w:t>
      </w:r>
      <w:r>
        <w:rPr>
          <w:rFonts w:hint="eastAsia" w:ascii="仿宋" w:hAnsi="仿宋" w:eastAsia="仿宋" w:cs="仿宋"/>
          <w:b/>
          <w:color w:val="auto"/>
          <w:kern w:val="0"/>
          <w:sz w:val="24"/>
          <w:highlight w:val="none"/>
          <w:lang w:val="en-US" w:eastAsia="zh-CN"/>
        </w:rPr>
        <w:t>商品</w:t>
      </w:r>
      <w:r>
        <w:rPr>
          <w:rFonts w:hint="eastAsia" w:ascii="仿宋" w:hAnsi="仿宋" w:eastAsia="仿宋" w:cs="仿宋"/>
          <w:b/>
          <w:color w:val="auto"/>
          <w:kern w:val="0"/>
          <w:sz w:val="24"/>
          <w:highlight w:val="none"/>
          <w:lang w:val="zh-CN"/>
        </w:rPr>
        <w:t>，不接受</w:t>
      </w:r>
      <w:r>
        <w:rPr>
          <w:rFonts w:hint="eastAsia" w:ascii="仿宋" w:hAnsi="仿宋" w:eastAsia="仿宋" w:cs="仿宋"/>
          <w:b/>
          <w:color w:val="auto"/>
          <w:kern w:val="0"/>
          <w:sz w:val="24"/>
          <w:highlight w:val="none"/>
          <w:lang w:val="en-US" w:eastAsia="zh-CN"/>
        </w:rPr>
        <w:t>供应</w:t>
      </w:r>
      <w:r>
        <w:rPr>
          <w:rFonts w:hint="eastAsia" w:ascii="仿宋" w:hAnsi="仿宋" w:eastAsia="仿宋" w:cs="仿宋"/>
          <w:b/>
          <w:color w:val="auto"/>
          <w:kern w:val="0"/>
          <w:sz w:val="24"/>
          <w:highlight w:val="none"/>
          <w:lang w:val="zh-CN"/>
        </w:rPr>
        <w:t>给予的赠品、回扣或者与采购无关的其他商品</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val="en-US" w:eastAsia="zh-CN"/>
        </w:rPr>
        <w:t>作响应</w:t>
      </w:r>
      <w:r>
        <w:rPr>
          <w:rFonts w:hint="eastAsia" w:ascii="仿宋" w:hAnsi="仿宋" w:eastAsia="仿宋" w:cs="仿宋"/>
          <w:b/>
          <w:color w:val="auto"/>
          <w:sz w:val="24"/>
          <w:highlight w:val="none"/>
        </w:rPr>
        <w:t>无效</w:t>
      </w:r>
      <w:r>
        <w:rPr>
          <w:rFonts w:hint="eastAsia" w:ascii="仿宋" w:hAnsi="仿宋" w:eastAsia="仿宋" w:cs="仿宋"/>
          <w:b/>
          <w:color w:val="auto"/>
          <w:sz w:val="24"/>
          <w:highlight w:val="none"/>
          <w:lang w:val="en-US" w:eastAsia="zh-CN"/>
        </w:rPr>
        <w:t>处理</w:t>
      </w:r>
      <w:r>
        <w:rPr>
          <w:rFonts w:hint="eastAsia" w:ascii="仿宋" w:hAnsi="仿宋" w:eastAsia="仿宋" w:cs="仿宋"/>
          <w:b/>
          <w:color w:val="auto"/>
          <w:kern w:val="0"/>
          <w:sz w:val="24"/>
          <w:highlight w:val="none"/>
          <w:lang w:val="zh-CN"/>
        </w:rPr>
        <w:t>。</w:t>
      </w:r>
    </w:p>
    <w:p w14:paraId="5E585EBD">
      <w:pPr>
        <w:spacing w:line="360" w:lineRule="auto"/>
        <w:rPr>
          <w:rFonts w:hint="eastAsia" w:ascii="仿宋" w:hAnsi="仿宋" w:eastAsia="仿宋" w:cs="仿宋"/>
          <w:color w:val="auto"/>
          <w:sz w:val="24"/>
          <w:highlight w:val="none"/>
        </w:rPr>
      </w:pPr>
    </w:p>
    <w:p w14:paraId="457F509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法定代表人或其授权委托人（签名或印章）：  </w:t>
      </w:r>
    </w:p>
    <w:p w14:paraId="47C5467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供应商（盖章）：         </w:t>
      </w:r>
    </w:p>
    <w:p w14:paraId="36413AF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  期：</w:t>
      </w:r>
    </w:p>
    <w:p w14:paraId="02718D5E">
      <w:pPr>
        <w:pStyle w:val="28"/>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BE7715B">
      <w:pPr>
        <w:numPr>
          <w:ilvl w:val="0"/>
          <w:numId w:val="0"/>
        </w:num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val="en-US" w:eastAsia="zh-CN"/>
        </w:rPr>
        <w:t>二、</w:t>
      </w:r>
      <w:r>
        <w:rPr>
          <w:rFonts w:hint="eastAsia" w:ascii="仿宋" w:hAnsi="仿宋" w:eastAsia="仿宋" w:cs="仿宋"/>
          <w:b/>
          <w:color w:val="auto"/>
          <w:spacing w:val="6"/>
          <w:sz w:val="32"/>
          <w:szCs w:val="32"/>
          <w:highlight w:val="none"/>
        </w:rPr>
        <w:t>政府采购统计基础信息表</w:t>
      </w:r>
    </w:p>
    <w:p w14:paraId="7581DF13">
      <w:pPr>
        <w:pStyle w:val="27"/>
        <w:numPr>
          <w:ilvl w:val="0"/>
          <w:numId w:val="0"/>
        </w:numPr>
        <w:spacing w:line="360" w:lineRule="auto"/>
        <w:rPr>
          <w:rFonts w:hint="eastAsia" w:ascii="仿宋" w:hAnsi="仿宋" w:eastAsia="仿宋" w:cs="仿宋"/>
          <w:color w:val="auto"/>
          <w:highlight w:val="none"/>
        </w:rPr>
      </w:pPr>
    </w:p>
    <w:tbl>
      <w:tblPr>
        <w:tblStyle w:val="18"/>
        <w:tblW w:w="8537" w:type="dxa"/>
        <w:jc w:val="center"/>
        <w:tblLayout w:type="fixed"/>
        <w:tblCellMar>
          <w:top w:w="0" w:type="dxa"/>
          <w:left w:w="108" w:type="dxa"/>
          <w:bottom w:w="0" w:type="dxa"/>
          <w:right w:w="108" w:type="dxa"/>
        </w:tblCellMar>
      </w:tblPr>
      <w:tblGrid>
        <w:gridCol w:w="4998"/>
        <w:gridCol w:w="3539"/>
      </w:tblGrid>
      <w:tr w14:paraId="053D560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017759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top"/>
          </w:tcPr>
          <w:p w14:paraId="0E62D067">
            <w:pPr>
              <w:spacing w:line="360" w:lineRule="auto"/>
              <w:rPr>
                <w:rFonts w:hint="eastAsia" w:ascii="仿宋" w:hAnsi="仿宋" w:eastAsia="仿宋" w:cs="仿宋"/>
                <w:color w:val="auto"/>
                <w:highlight w:val="none"/>
              </w:rPr>
            </w:pPr>
          </w:p>
        </w:tc>
      </w:tr>
      <w:tr w14:paraId="12CC7B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1AFBAE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top"/>
          </w:tcPr>
          <w:p w14:paraId="315502C1">
            <w:pPr>
              <w:spacing w:line="360" w:lineRule="auto"/>
              <w:rPr>
                <w:rFonts w:hint="eastAsia" w:ascii="仿宋" w:hAnsi="仿宋" w:eastAsia="仿宋" w:cs="仿宋"/>
                <w:color w:val="auto"/>
                <w:highlight w:val="none"/>
              </w:rPr>
            </w:pPr>
          </w:p>
        </w:tc>
      </w:tr>
      <w:tr w14:paraId="38F8177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2DF81A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是否</w:t>
            </w:r>
            <w:r>
              <w:rPr>
                <w:rFonts w:hint="eastAsia" w:ascii="仿宋" w:hAnsi="仿宋" w:eastAsia="仿宋" w:cs="仿宋"/>
                <w:color w:val="auto"/>
                <w:sz w:val="24"/>
                <w:highlight w:val="none"/>
                <w:lang w:eastAsia="zh-CN"/>
              </w:rPr>
              <w:t>为外商投资企业</w:t>
            </w:r>
          </w:p>
        </w:tc>
        <w:tc>
          <w:tcPr>
            <w:tcW w:w="3539" w:type="dxa"/>
            <w:tcBorders>
              <w:top w:val="single" w:color="000000" w:sz="4" w:space="0"/>
              <w:left w:val="nil"/>
              <w:bottom w:val="single" w:color="000000" w:sz="4" w:space="0"/>
              <w:right w:val="single" w:color="000000" w:sz="4" w:space="0"/>
            </w:tcBorders>
            <w:noWrap w:val="0"/>
            <w:vAlign w:val="top"/>
          </w:tcPr>
          <w:p w14:paraId="0563B2C3">
            <w:pPr>
              <w:spacing w:line="360" w:lineRule="auto"/>
              <w:rPr>
                <w:rFonts w:hint="eastAsia" w:ascii="仿宋" w:hAnsi="仿宋" w:eastAsia="仿宋" w:cs="仿宋"/>
                <w:color w:val="auto"/>
                <w:highlight w:val="none"/>
              </w:rPr>
            </w:pPr>
          </w:p>
        </w:tc>
      </w:tr>
      <w:tr w14:paraId="2955325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F941CD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是否</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rPr>
              <w:t>宁波企业</w:t>
            </w:r>
          </w:p>
        </w:tc>
        <w:tc>
          <w:tcPr>
            <w:tcW w:w="3539" w:type="dxa"/>
            <w:tcBorders>
              <w:top w:val="single" w:color="000000" w:sz="4" w:space="0"/>
              <w:left w:val="nil"/>
              <w:bottom w:val="single" w:color="000000" w:sz="4" w:space="0"/>
              <w:right w:val="single" w:color="000000" w:sz="4" w:space="0"/>
            </w:tcBorders>
            <w:noWrap w:val="0"/>
            <w:vAlign w:val="top"/>
          </w:tcPr>
          <w:p w14:paraId="4954F508">
            <w:pPr>
              <w:spacing w:line="360" w:lineRule="auto"/>
              <w:rPr>
                <w:rFonts w:hint="eastAsia" w:ascii="仿宋" w:hAnsi="仿宋" w:eastAsia="仿宋" w:cs="仿宋"/>
                <w:color w:val="auto"/>
                <w:highlight w:val="none"/>
              </w:rPr>
            </w:pPr>
          </w:p>
        </w:tc>
      </w:tr>
      <w:tr w14:paraId="32C794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47F82F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top"/>
          </w:tcPr>
          <w:p w14:paraId="0AC58EE5">
            <w:pPr>
              <w:spacing w:line="360" w:lineRule="auto"/>
              <w:rPr>
                <w:rFonts w:hint="eastAsia" w:ascii="仿宋" w:hAnsi="仿宋" w:eastAsia="仿宋" w:cs="仿宋"/>
                <w:color w:val="auto"/>
                <w:highlight w:val="none"/>
              </w:rPr>
            </w:pPr>
          </w:p>
        </w:tc>
      </w:tr>
      <w:tr w14:paraId="3F0BE26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75028F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top"/>
          </w:tcPr>
          <w:p w14:paraId="0FC94625">
            <w:pPr>
              <w:spacing w:line="360" w:lineRule="auto"/>
              <w:rPr>
                <w:rFonts w:hint="eastAsia" w:ascii="仿宋" w:hAnsi="仿宋" w:eastAsia="仿宋" w:cs="仿宋"/>
                <w:color w:val="auto"/>
                <w:highlight w:val="none"/>
              </w:rPr>
            </w:pPr>
          </w:p>
        </w:tc>
      </w:tr>
      <w:tr w14:paraId="060F656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49F4E0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货物原产地</w:t>
            </w:r>
            <w:r>
              <w:rPr>
                <w:rFonts w:hint="eastAsia" w:ascii="仿宋" w:hAnsi="仿宋" w:eastAsia="仿宋" w:cs="仿宋"/>
                <w:color w:val="auto"/>
                <w:sz w:val="24"/>
                <w:highlight w:val="none"/>
                <w:lang w:eastAsia="zh-CN"/>
              </w:rPr>
              <w:t>国别</w:t>
            </w:r>
          </w:p>
        </w:tc>
        <w:tc>
          <w:tcPr>
            <w:tcW w:w="3539" w:type="dxa"/>
            <w:tcBorders>
              <w:top w:val="single" w:color="000000" w:sz="4" w:space="0"/>
              <w:left w:val="nil"/>
              <w:bottom w:val="single" w:color="000000" w:sz="4" w:space="0"/>
              <w:right w:val="single" w:color="000000" w:sz="4" w:space="0"/>
            </w:tcBorders>
            <w:noWrap w:val="0"/>
            <w:vAlign w:val="top"/>
          </w:tcPr>
          <w:p w14:paraId="4B307AE7">
            <w:pPr>
              <w:spacing w:line="360" w:lineRule="auto"/>
              <w:rPr>
                <w:rFonts w:hint="eastAsia" w:ascii="仿宋" w:hAnsi="仿宋" w:eastAsia="仿宋" w:cs="仿宋"/>
                <w:color w:val="auto"/>
                <w:highlight w:val="none"/>
              </w:rPr>
            </w:pPr>
          </w:p>
        </w:tc>
      </w:tr>
      <w:tr w14:paraId="2634495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78C5EE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提供的货物是否</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rPr>
              <w:t>节能清单产品</w:t>
            </w:r>
          </w:p>
        </w:tc>
        <w:tc>
          <w:tcPr>
            <w:tcW w:w="3539" w:type="dxa"/>
            <w:tcBorders>
              <w:top w:val="single" w:color="000000" w:sz="4" w:space="0"/>
              <w:left w:val="nil"/>
              <w:bottom w:val="single" w:color="000000" w:sz="4" w:space="0"/>
              <w:right w:val="single" w:color="000000" w:sz="4" w:space="0"/>
            </w:tcBorders>
            <w:noWrap w:val="0"/>
            <w:vAlign w:val="top"/>
          </w:tcPr>
          <w:p w14:paraId="792ED977">
            <w:pPr>
              <w:spacing w:line="360" w:lineRule="auto"/>
              <w:rPr>
                <w:rFonts w:hint="eastAsia" w:ascii="仿宋" w:hAnsi="仿宋" w:eastAsia="仿宋" w:cs="仿宋"/>
                <w:color w:val="auto"/>
                <w:highlight w:val="none"/>
              </w:rPr>
            </w:pPr>
          </w:p>
        </w:tc>
      </w:tr>
      <w:tr w14:paraId="189C8CA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06D1FA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提供的货物是否</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rPr>
              <w:t>环境标志清单产品</w:t>
            </w:r>
          </w:p>
        </w:tc>
        <w:tc>
          <w:tcPr>
            <w:tcW w:w="3539" w:type="dxa"/>
            <w:tcBorders>
              <w:top w:val="single" w:color="000000" w:sz="4" w:space="0"/>
              <w:left w:val="nil"/>
              <w:bottom w:val="single" w:color="000000" w:sz="4" w:space="0"/>
              <w:right w:val="single" w:color="000000" w:sz="4" w:space="0"/>
            </w:tcBorders>
            <w:noWrap w:val="0"/>
            <w:vAlign w:val="top"/>
          </w:tcPr>
          <w:p w14:paraId="5CF298D9">
            <w:pPr>
              <w:spacing w:line="360" w:lineRule="auto"/>
              <w:rPr>
                <w:rFonts w:hint="eastAsia" w:ascii="仿宋" w:hAnsi="仿宋" w:eastAsia="仿宋" w:cs="仿宋"/>
                <w:color w:val="auto"/>
                <w:highlight w:val="none"/>
              </w:rPr>
            </w:pPr>
          </w:p>
        </w:tc>
      </w:tr>
      <w:tr w14:paraId="3EACB76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4F7C41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top"/>
          </w:tcPr>
          <w:p w14:paraId="3A4C102F">
            <w:pPr>
              <w:spacing w:line="360" w:lineRule="auto"/>
              <w:rPr>
                <w:rFonts w:hint="eastAsia" w:ascii="仿宋" w:hAnsi="仿宋" w:eastAsia="仿宋" w:cs="仿宋"/>
                <w:color w:val="auto"/>
                <w:highlight w:val="none"/>
              </w:rPr>
            </w:pPr>
          </w:p>
        </w:tc>
      </w:tr>
    </w:tbl>
    <w:p w14:paraId="162B8F9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p>
    <w:p w14:paraId="4292C69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备注：请各投标人务必填写此表作为投标文件的组成部分。</w:t>
      </w:r>
    </w:p>
    <w:p w14:paraId="1430AC3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p>
    <w:p w14:paraId="6C32313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highlight w:val="none"/>
        </w:rPr>
      </w:pPr>
    </w:p>
    <w:p w14:paraId="01818620">
      <w:pPr>
        <w:keepNext w:val="0"/>
        <w:keepLines w:val="0"/>
        <w:pageBreakBefore w:val="0"/>
        <w:widowControl w:val="0"/>
        <w:kinsoku/>
        <w:wordWrap/>
        <w:overflowPunct/>
        <w:topLinePunct w:val="0"/>
        <w:autoSpaceDE/>
        <w:autoSpaceDN/>
        <w:bidi w:val="0"/>
        <w:adjustRightInd w:val="0"/>
        <w:snapToGrid/>
        <w:spacing w:line="360" w:lineRule="auto"/>
        <w:ind w:leftChars="300" w:firstLine="2400" w:firstLineChars="10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法定代表人或其授权委托人（签名或印章）：</w:t>
      </w:r>
    </w:p>
    <w:p w14:paraId="248B8D63">
      <w:pPr>
        <w:keepNext w:val="0"/>
        <w:keepLines w:val="0"/>
        <w:pageBreakBefore w:val="0"/>
        <w:widowControl w:val="0"/>
        <w:kinsoku/>
        <w:wordWrap/>
        <w:overflowPunct/>
        <w:topLinePunct w:val="0"/>
        <w:autoSpaceDE/>
        <w:autoSpaceDN/>
        <w:bidi w:val="0"/>
        <w:adjustRightInd w:val="0"/>
        <w:snapToGrid/>
        <w:spacing w:line="360" w:lineRule="auto"/>
        <w:ind w:leftChars="300" w:firstLine="2400" w:firstLineChars="10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14:paraId="67952389">
      <w:pPr>
        <w:keepNext w:val="0"/>
        <w:keepLines w:val="0"/>
        <w:pageBreakBefore w:val="0"/>
        <w:widowControl w:val="0"/>
        <w:kinsoku/>
        <w:wordWrap/>
        <w:overflowPunct/>
        <w:topLinePunct w:val="0"/>
        <w:autoSpaceDE/>
        <w:autoSpaceDN/>
        <w:bidi w:val="0"/>
        <w:adjustRightInd w:val="0"/>
        <w:snapToGrid/>
        <w:spacing w:line="360" w:lineRule="auto"/>
        <w:ind w:leftChars="30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p>
    <w:p w14:paraId="00B099ED">
      <w:pPr>
        <w:pStyle w:val="27"/>
        <w:ind w:left="0" w:leftChars="0" w:firstLine="0" w:firstLineChars="0"/>
        <w:rPr>
          <w:rFonts w:hint="eastAsia" w:ascii="仿宋" w:hAnsi="仿宋" w:eastAsia="仿宋" w:cs="仿宋"/>
          <w:color w:val="auto"/>
          <w:highlight w:val="none"/>
          <w:lang w:val="en-US" w:eastAsia="zh-CN"/>
        </w:rPr>
      </w:pPr>
    </w:p>
    <w:p w14:paraId="7D54EC53">
      <w:pPr>
        <w:rPr>
          <w:rFonts w:hint="eastAsia"/>
          <w:color w:val="auto"/>
        </w:rPr>
      </w:pPr>
    </w:p>
    <w:bookmarkEnd w:id="435"/>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D5EF">
    <w:pPr>
      <w:pStyle w:val="9"/>
      <w:jc w:val="center"/>
      <w:rPr>
        <w:rFonts w:ascii="仿宋_GB2312" w:eastAsia="仿宋_GB2312"/>
      </w:rPr>
    </w:pPr>
  </w:p>
  <w:p w14:paraId="5C318D0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B619">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6C56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86C562">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3EA73A2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983A4">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3E6CEE">
                          <w:pPr>
                            <w:pStyle w:val="9"/>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Mt51s1wEAALIDAAAOAAAAAAAAAAEAIAAA&#10;AB8BAABkcnMvZTJvRG9jLnhtbFBLBQYAAAAABgAGAFkBAABoBQAAAAA=&#10;">
              <v:fill on="f" focussize="0,0"/>
              <v:stroke on="f" weight="0.5pt"/>
              <v:imagedata o:title=""/>
              <o:lock v:ext="edit" aspectratio="f"/>
              <v:textbox inset="0mm,0mm,0mm,0mm" style="mso-fit-shape-to-text:t;">
                <w:txbxContent>
                  <w:p w14:paraId="6D3E6CEE">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C3A">
    <w:pPr>
      <w:pStyle w:val="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6073">
                          <w:pPr>
                            <w:pStyle w:val="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3B6073">
                    <w:pPr>
                      <w:pStyle w:val="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526BA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6C24">
    <w:pPr>
      <w:pStyle w:val="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27673">
                          <w:pPr>
                            <w:pStyle w:val="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9F27673">
                    <w:pPr>
                      <w:pStyle w:val="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5F301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1958">
    <w:pPr>
      <w:pStyle w:val="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20470" cy="139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20470" cy="139065"/>
                      </a:xfrm>
                      <a:prstGeom prst="rect">
                        <a:avLst/>
                      </a:prstGeom>
                      <a:noFill/>
                      <a:ln>
                        <a:noFill/>
                      </a:ln>
                    </wps:spPr>
                    <wps:txbx>
                      <w:txbxContent>
                        <w:p w14:paraId="5ABDD0BB">
                          <w:pPr>
                            <w:pStyle w:val="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top:0pt;height:10.95pt;width:96.1pt;mso-position-horizontal:center;mso-position-horizontal-relative:margin;z-index:251660288;mso-width-relative:page;mso-height-relative:page;" filled="f" stroked="f" coordsize="21600,21600" o:gfxdata="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9fz4a0wAAAAQBAAAPAAAAAAAAAAEAIAAAACIAAABkcnMvZG93bnJldi54bWxQSwECFAAUAAAA&#10;CACHTuJAVgu2iroBAAByAwAADgAAAAAAAAABACAAAAAiAQAAZHJzL2Uyb0RvYy54bWxQSwUGAAAA&#10;AAYABgBZAQAATgUAAAAA&#10;">
              <v:fill on="f" focussize="0,0"/>
              <v:stroke on="f"/>
              <v:imagedata o:title=""/>
              <o:lock v:ext="edit" aspectratio="f"/>
              <v:textbox inset="0mm,0mm,0mm,0mm">
                <w:txbxContent>
                  <w:p w14:paraId="5ABDD0BB">
                    <w:pPr>
                      <w:pStyle w:val="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649BC32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3DEA">
    <w:pPr>
      <w:pStyle w:val="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911EFF">
                          <w:pPr>
                            <w:pStyle w:val="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C911EFF">
                    <w:pPr>
                      <w:pStyle w:val="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3200EEB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041D9">
    <w:pPr>
      <w:pStyle w:val="10"/>
      <w:pBdr>
        <w:bottom w:val="none" w:color="auto" w:sz="0" w:space="1"/>
      </w:pBdr>
      <w:jc w:val="right"/>
      <w:rPr>
        <w:rFonts w:ascii="仿宋_GB2312" w:eastAsia="仿宋_GB2312"/>
        <w:b/>
        <w:i/>
        <w:u w:val="single"/>
      </w:rPr>
    </w:pPr>
    <w:r>
      <w:t></w:t>
    </w:r>
    <w:r>
      <w:rPr>
        <w:rFonts w:hint="eastAsia"/>
      </w:rPr>
      <w:t xml:space="preserve">                                               </w:t>
    </w:r>
  </w:p>
  <w:p w14:paraId="6FD6136C">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3CF0">
    <w:pPr>
      <w:pStyle w:val="1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4AB5">
    <w:pPr>
      <w:pStyle w:val="10"/>
      <w:pBdr>
        <w:bottom w:val="none" w:color="auto" w:sz="0" w:space="1"/>
      </w:pBdr>
      <w:jc w:val="right"/>
      <w:rPr>
        <w:rFonts w:ascii="仿宋_GB2312" w:eastAsia="仿宋_GB2312"/>
        <w:b/>
        <w:i/>
        <w:u w:val="single"/>
      </w:rPr>
    </w:pPr>
    <w:r>
      <w:t></w:t>
    </w:r>
    <w:r>
      <w:rPr>
        <w:rFonts w:hint="eastAsia"/>
      </w:rPr>
      <w:t xml:space="preserve">                                               </w:t>
    </w:r>
  </w:p>
  <w:p w14:paraId="15CB31C3">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FF62">
    <w:pPr>
      <w:pStyle w:val="10"/>
      <w:pBdr>
        <w:bottom w:val="none" w:color="auto" w:sz="0" w:space="1"/>
      </w:pBdr>
      <w:jc w:val="right"/>
      <w:rPr>
        <w:rFonts w:ascii="仿宋_GB2312" w:eastAsia="仿宋_GB2312"/>
        <w:b/>
        <w:i/>
        <w:u w:val="single"/>
      </w:rPr>
    </w:pPr>
    <w:r>
      <w:rPr>
        <w:rFonts w:hint="eastAsia"/>
      </w:rPr>
      <w:t xml:space="preserve">                                 </w:t>
    </w:r>
  </w:p>
  <w:p w14:paraId="7CDEDF80">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AE65">
    <w:pPr>
      <w:pStyle w:val="1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FEEC7972"/>
    <w:multiLevelType w:val="singleLevel"/>
    <w:tmpl w:val="FEEC7972"/>
    <w:lvl w:ilvl="0" w:tentative="0">
      <w:start w:val="13"/>
      <w:numFmt w:val="decimal"/>
      <w:suff w:val="nothing"/>
      <w:lvlText w:val="%1、"/>
      <w:lvlJc w:val="left"/>
    </w:lvl>
  </w:abstractNum>
  <w:abstractNum w:abstractNumId="2">
    <w:nsid w:val="2B103F34"/>
    <w:multiLevelType w:val="singleLevel"/>
    <w:tmpl w:val="2B103F34"/>
    <w:lvl w:ilvl="0" w:tentative="0">
      <w:start w:val="1"/>
      <w:numFmt w:val="chineseCounting"/>
      <w:suff w:val="nothing"/>
      <w:lvlText w:val="%1、"/>
      <w:lvlJc w:val="left"/>
      <w:rPr>
        <w:rFonts w:hint="eastAsia"/>
      </w:rPr>
    </w:lvl>
  </w:abstractNum>
  <w:abstractNum w:abstractNumId="3">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5F915054"/>
    <w:multiLevelType w:val="singleLevel"/>
    <w:tmpl w:val="5F915054"/>
    <w:lvl w:ilvl="0" w:tentative="0">
      <w:start w:val="4"/>
      <w:numFmt w:val="chineseCounting"/>
      <w:suff w:val="space"/>
      <w:lvlText w:val="第%1部分"/>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22A73"/>
    <w:rsid w:val="057273E5"/>
    <w:rsid w:val="19B55067"/>
    <w:rsid w:val="1C522A73"/>
    <w:rsid w:val="36BF6D38"/>
    <w:rsid w:val="49241942"/>
    <w:rsid w:val="4C3C439E"/>
    <w:rsid w:val="52C90590"/>
    <w:rsid w:val="53A36B60"/>
    <w:rsid w:val="5C8B1EAE"/>
    <w:rsid w:val="640B705D"/>
    <w:rsid w:val="6A5A6E82"/>
    <w:rsid w:val="6BFF0411"/>
    <w:rsid w:val="715D7B71"/>
    <w:rsid w:val="7207107E"/>
    <w:rsid w:val="7CED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rFonts w:ascii="Calibri" w:hAnsi="Calibri"/>
      <w:b/>
      <w:kern w:val="44"/>
      <w:sz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Date"/>
    <w:basedOn w:val="1"/>
    <w:next w:val="1"/>
    <w:qFormat/>
    <w:uiPriority w:val="0"/>
    <w:pPr>
      <w:ind w:left="100" w:leftChars="2500"/>
    </w:pPr>
    <w:rPr>
      <w:rFonts w:ascii="宋体"/>
      <w:sz w:val="24"/>
      <w:szCs w:val="21"/>
      <w:lang w:val="zh-C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6"/>
    <w:basedOn w:val="1"/>
    <w:next w:val="1"/>
    <w:qFormat/>
    <w:uiPriority w:val="39"/>
    <w:pPr>
      <w:ind w:left="1000" w:leftChars="1000"/>
    </w:pPr>
  </w:style>
  <w:style w:type="paragraph" w:styleId="13">
    <w:name w:val="Body Text Indent 3"/>
    <w:basedOn w:val="1"/>
    <w:qFormat/>
    <w:uiPriority w:val="0"/>
    <w:pPr>
      <w:spacing w:after="120"/>
      <w:ind w:left="420" w:leftChars="200"/>
    </w:pPr>
    <w:rPr>
      <w:rFonts w:ascii="Times New Roman" w:hAnsi="Times New Roman"/>
      <w:sz w:val="16"/>
      <w:szCs w:val="16"/>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5"/>
    <w:next w:val="12"/>
    <w:qFormat/>
    <w:uiPriority w:val="99"/>
    <w:pPr>
      <w:spacing w:line="360" w:lineRule="auto"/>
      <w:ind w:firstLine="200" w:firstLineChars="200"/>
      <w:jc w:val="left"/>
    </w:pPr>
    <w:rPr>
      <w:rFonts w:ascii="Times New Roman" w:hAnsi="Times New Roman"/>
      <w:b/>
      <w:bCs/>
      <w:sz w:val="24"/>
      <w:lang w:val="en-GB"/>
    </w:rPr>
  </w:style>
  <w:style w:type="paragraph" w:styleId="17">
    <w:name w:val="Body Text First Indent 2"/>
    <w:basedOn w:val="6"/>
    <w:next w:val="1"/>
    <w:qFormat/>
    <w:uiPriority w:val="0"/>
    <w:pPr>
      <w:spacing w:before="0" w:beforeLines="0" w:after="120"/>
      <w:ind w:left="200" w:leftChars="200" w:firstLine="200"/>
    </w:pPr>
    <w:rPr>
      <w:rFonts w:ascii="宋体" w:hAnsi="宋体" w:eastAsia="宋体"/>
      <w:sz w:val="21"/>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unhideWhenUsed/>
    <w:qFormat/>
    <w:uiPriority w:val="0"/>
    <w:rPr>
      <w:sz w:val="21"/>
      <w:szCs w:val="21"/>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列出段落1"/>
    <w:basedOn w:val="1"/>
    <w:qFormat/>
    <w:uiPriority w:val="0"/>
    <w:pPr>
      <w:ind w:firstLine="420" w:firstLineChars="200"/>
    </w:pPr>
    <w:rPr>
      <w:szCs w:val="22"/>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公告正文"/>
    <w:basedOn w:val="1"/>
    <w:qFormat/>
    <w:uiPriority w:val="0"/>
    <w:pPr>
      <w:spacing w:line="400" w:lineRule="atLeast"/>
      <w:ind w:firstLine="437"/>
    </w:pPr>
    <w:rPr>
      <w:rFonts w:ascii="宋体"/>
      <w:sz w:val="24"/>
      <w:szCs w:val="24"/>
    </w:rPr>
  </w:style>
  <w:style w:type="paragraph" w:customStyle="1" w:styleId="27">
    <w:name w:val="_Style 3"/>
    <w:basedOn w:val="1"/>
    <w:next w:val="1"/>
    <w:qFormat/>
    <w:uiPriority w:val="0"/>
    <w:pPr>
      <w:adjustRightInd/>
      <w:ind w:firstLine="420" w:firstLineChars="200"/>
    </w:pPr>
    <w:rPr>
      <w:rFonts w:eastAsia="仿宋_GB2312"/>
      <w:sz w:val="28"/>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段"/>
    <w:next w:val="1"/>
    <w:qFormat/>
    <w:uiPriority w:val="99"/>
    <w:pPr>
      <w:autoSpaceDE w:val="0"/>
      <w:autoSpaceDN w:val="0"/>
      <w:ind w:firstLine="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3921</Words>
  <Characters>4353</Characters>
  <Lines>0</Lines>
  <Paragraphs>0</Paragraphs>
  <TotalTime>59</TotalTime>
  <ScaleCrop>false</ScaleCrop>
  <LinksUpToDate>false</LinksUpToDate>
  <CharactersWithSpaces>4561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2025-05-06T05:53:00Z</dcterms:created>
  <dc:creator>小小</dc:creator>
  <cp:lastModifiedBy>小小</cp:lastModifiedBy>
  <cp:lastPrinted>2025-05-26T08:43:00Z</cp:lastPrinted>
  <dcterms:modified xsi:type="dcterms:W3CDTF">2025-06-19T03:22:09Z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6DF76F4756ED4C40A217050C74C8FAB5_13</vt:lpwstr>
  </property>
  <property fmtid="{D5CDD505-2E9C-101B-9397-08002B2CF9AE}" pid="4" name="KSOTemplateDocerSaveRecord">
    <vt:lpwstr>eyJoZGlkIjoiNzdjNTFiZTlmYTExN2EwNzE4NTc4MDNjZjEwZTJkY2MiLCJ1c2VySWQiOiI3MjI3MTY5MDEifQ==</vt:lpwstr>
  </property>
</Properties>
</file>