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17A413">
      <w:pPr>
        <w:pStyle w:val="29"/>
        <w:shd w:val="clear" w:color="auto" w:fill="auto"/>
        <w:ind w:firstLine="0"/>
        <w:jc w:val="center"/>
        <w:rPr>
          <w:rFonts w:hint="eastAsia" w:ascii="宋体" w:hAnsi="宋体" w:cs="宋体"/>
          <w:b/>
          <w:bCs/>
          <w:color w:val="auto"/>
          <w:sz w:val="36"/>
          <w:szCs w:val="36"/>
          <w:highlight w:val="none"/>
        </w:rPr>
      </w:pPr>
    </w:p>
    <w:p w14:paraId="32C59CC4">
      <w:pPr>
        <w:pStyle w:val="30"/>
        <w:jc w:val="both"/>
        <w:outlineLvl w:val="9"/>
        <w:rPr>
          <w:rFonts w:hint="eastAsia" w:ascii="宋体" w:hAnsi="宋体" w:cs="宋体"/>
          <w:b/>
          <w:bCs/>
          <w:color w:val="auto"/>
          <w:sz w:val="48"/>
          <w:szCs w:val="48"/>
          <w:highlight w:val="none"/>
          <w:lang w:eastAsia="zh-CN"/>
        </w:rPr>
      </w:pPr>
    </w:p>
    <w:p w14:paraId="0E8BD00C">
      <w:pPr>
        <w:pStyle w:val="30"/>
        <w:jc w:val="center"/>
        <w:outlineLvl w:val="9"/>
        <w:rPr>
          <w:rFonts w:hint="eastAsia" w:ascii="宋体" w:hAnsi="宋体" w:cs="宋体"/>
          <w:b/>
          <w:bCs/>
          <w:color w:val="auto"/>
          <w:sz w:val="44"/>
          <w:szCs w:val="44"/>
          <w:highlight w:val="none"/>
          <w:lang w:eastAsia="zh-CN"/>
        </w:rPr>
      </w:pPr>
      <w:r>
        <w:rPr>
          <w:rFonts w:hint="eastAsia" w:ascii="宋体" w:hAnsi="宋体" w:cs="宋体"/>
          <w:b/>
          <w:bCs/>
          <w:color w:val="auto"/>
          <w:sz w:val="44"/>
          <w:szCs w:val="44"/>
          <w:highlight w:val="none"/>
          <w:lang w:eastAsia="zh-CN"/>
        </w:rPr>
        <w:t>宁波市海曙区章水镇202</w:t>
      </w:r>
      <w:r>
        <w:rPr>
          <w:rFonts w:hint="eastAsia" w:ascii="宋体" w:hAnsi="宋体" w:cs="宋体"/>
          <w:b/>
          <w:bCs/>
          <w:color w:val="auto"/>
          <w:sz w:val="44"/>
          <w:szCs w:val="44"/>
          <w:highlight w:val="none"/>
          <w:lang w:val="en-US" w:eastAsia="zh-CN"/>
        </w:rPr>
        <w:t>4</w:t>
      </w:r>
      <w:r>
        <w:rPr>
          <w:rFonts w:hint="eastAsia" w:ascii="宋体" w:hAnsi="宋体" w:cs="宋体"/>
          <w:b/>
          <w:bCs/>
          <w:color w:val="auto"/>
          <w:sz w:val="44"/>
          <w:szCs w:val="44"/>
          <w:highlight w:val="none"/>
          <w:lang w:eastAsia="zh-CN"/>
        </w:rPr>
        <w:t>年度结余资金</w:t>
      </w:r>
    </w:p>
    <w:p w14:paraId="6772786F">
      <w:pPr>
        <w:pStyle w:val="30"/>
        <w:jc w:val="center"/>
        <w:outlineLvl w:val="9"/>
        <w:rPr>
          <w:rFonts w:hint="eastAsia" w:ascii="宋体" w:hAnsi="宋体" w:cs="宋体"/>
          <w:b/>
          <w:bCs/>
          <w:color w:val="auto"/>
          <w:sz w:val="44"/>
          <w:szCs w:val="44"/>
          <w:highlight w:val="none"/>
          <w:lang w:eastAsia="zh-CN"/>
        </w:rPr>
      </w:pPr>
      <w:r>
        <w:rPr>
          <w:rFonts w:hint="eastAsia" w:ascii="宋体" w:hAnsi="宋体" w:cs="宋体"/>
          <w:b/>
          <w:bCs/>
          <w:color w:val="auto"/>
          <w:sz w:val="44"/>
          <w:szCs w:val="44"/>
          <w:highlight w:val="none"/>
          <w:lang w:eastAsia="zh-CN"/>
        </w:rPr>
        <w:t>林相优化改造工程</w:t>
      </w:r>
    </w:p>
    <w:p w14:paraId="1414FEB2">
      <w:pPr>
        <w:pStyle w:val="30"/>
        <w:jc w:val="center"/>
        <w:outlineLvl w:val="9"/>
        <w:rPr>
          <w:rFonts w:hint="eastAsia" w:ascii="宋体" w:hAnsi="宋体" w:cs="宋体"/>
          <w:b/>
          <w:bCs/>
          <w:color w:val="auto"/>
          <w:sz w:val="44"/>
          <w:szCs w:val="44"/>
          <w:highlight w:val="none"/>
          <w:lang w:eastAsia="zh-CN"/>
        </w:rPr>
      </w:pPr>
    </w:p>
    <w:p w14:paraId="3D947EA6">
      <w:pPr>
        <w:shd w:val="clear" w:color="auto" w:fill="auto"/>
        <w:spacing w:before="120" w:beforeLines="50"/>
        <w:jc w:val="center"/>
        <w:outlineLvl w:val="9"/>
        <w:rPr>
          <w:rFonts w:hint="eastAsia" w:hAnsi="宋体" w:eastAsia="宋体" w:cs="宋体"/>
          <w:b/>
          <w:color w:val="auto"/>
          <w:sz w:val="72"/>
          <w:szCs w:val="72"/>
          <w:highlight w:val="none"/>
        </w:rPr>
      </w:pPr>
      <w:bookmarkStart w:id="0" w:name="_Toc16451"/>
      <w:bookmarkStart w:id="1" w:name="_Toc19519"/>
      <w:bookmarkStart w:id="2" w:name="_Toc6652"/>
      <w:r>
        <w:rPr>
          <w:rFonts w:hint="eastAsia" w:hAnsi="宋体" w:eastAsia="宋体" w:cs="宋体"/>
          <w:b/>
          <w:color w:val="auto"/>
          <w:sz w:val="72"/>
          <w:szCs w:val="72"/>
          <w:highlight w:val="none"/>
        </w:rPr>
        <w:t>竞争性磋商文件</w:t>
      </w:r>
      <w:bookmarkEnd w:id="0"/>
      <w:bookmarkEnd w:id="1"/>
      <w:bookmarkEnd w:id="2"/>
    </w:p>
    <w:p w14:paraId="5FAF6677">
      <w:pPr>
        <w:pStyle w:val="29"/>
        <w:shd w:val="clear" w:color="auto" w:fill="auto"/>
        <w:ind w:firstLine="0"/>
        <w:rPr>
          <w:rFonts w:hint="eastAsia" w:ascii="宋体" w:hAnsi="宋体" w:cs="宋体"/>
          <w:b/>
          <w:bCs/>
          <w:color w:val="auto"/>
          <w:sz w:val="36"/>
          <w:szCs w:val="36"/>
          <w:highlight w:val="none"/>
        </w:rPr>
      </w:pPr>
    </w:p>
    <w:p w14:paraId="379B3EF8">
      <w:pPr>
        <w:pStyle w:val="29"/>
        <w:shd w:val="clear" w:color="auto" w:fill="auto"/>
        <w:ind w:firstLine="0"/>
        <w:rPr>
          <w:rFonts w:hint="eastAsia" w:ascii="宋体" w:hAnsi="宋体" w:cs="宋体"/>
          <w:b/>
          <w:color w:val="auto"/>
          <w:sz w:val="32"/>
          <w:szCs w:val="52"/>
          <w:highlight w:val="none"/>
        </w:rPr>
      </w:pPr>
    </w:p>
    <w:p w14:paraId="4731EB32">
      <w:pPr>
        <w:pStyle w:val="29"/>
        <w:shd w:val="clear" w:color="auto" w:fill="auto"/>
        <w:ind w:firstLine="0"/>
        <w:rPr>
          <w:rFonts w:hint="eastAsia" w:ascii="宋体" w:hAnsi="宋体" w:cs="宋体"/>
          <w:b/>
          <w:color w:val="auto"/>
          <w:sz w:val="32"/>
          <w:szCs w:val="52"/>
          <w:highlight w:val="none"/>
        </w:rPr>
      </w:pPr>
    </w:p>
    <w:p w14:paraId="2BF07DE6">
      <w:pPr>
        <w:pStyle w:val="29"/>
        <w:shd w:val="clear" w:color="auto" w:fill="auto"/>
        <w:ind w:firstLine="0"/>
        <w:rPr>
          <w:rFonts w:hint="eastAsia" w:ascii="宋体" w:hAnsi="宋体" w:cs="宋体"/>
          <w:b/>
          <w:color w:val="auto"/>
          <w:sz w:val="32"/>
          <w:szCs w:val="52"/>
          <w:highlight w:val="none"/>
        </w:rPr>
      </w:pPr>
    </w:p>
    <w:p w14:paraId="1734F204">
      <w:pPr>
        <w:pStyle w:val="14"/>
        <w:shd w:val="clear" w:color="auto" w:fill="auto"/>
        <w:snapToGrid w:val="0"/>
        <w:spacing w:before="120" w:after="120"/>
        <w:ind w:left="210" w:leftChars="100" w:firstLine="0" w:firstLineChars="0"/>
        <w:outlineLvl w:val="9"/>
        <w:rPr>
          <w:rFonts w:hint="default" w:ascii="宋体" w:hAnsi="宋体" w:eastAsia="宋体" w:cs="宋体"/>
          <w:b/>
          <w:bCs/>
          <w:color w:val="auto"/>
          <w:sz w:val="32"/>
          <w:szCs w:val="32"/>
          <w:highlight w:val="none"/>
          <w:lang w:val="en-US" w:eastAsia="zh-CN"/>
        </w:rPr>
      </w:pPr>
      <w:bookmarkStart w:id="3" w:name="_Toc23839"/>
      <w:bookmarkStart w:id="4" w:name="_Toc13217"/>
      <w:bookmarkStart w:id="5" w:name="_Toc27274"/>
      <w:r>
        <w:rPr>
          <w:rFonts w:hint="eastAsia" w:ascii="宋体" w:hAnsi="宋体" w:cs="宋体"/>
          <w:b/>
          <w:bCs/>
          <w:color w:val="auto"/>
          <w:sz w:val="32"/>
          <w:szCs w:val="32"/>
          <w:highlight w:val="none"/>
        </w:rPr>
        <w:t>项目编号：</w:t>
      </w:r>
      <w:bookmarkEnd w:id="3"/>
      <w:bookmarkEnd w:id="4"/>
      <w:bookmarkEnd w:id="5"/>
      <w:r>
        <w:rPr>
          <w:rFonts w:hint="eastAsia" w:ascii="宋体" w:hAnsi="宋体" w:cs="宋体"/>
          <w:b/>
          <w:bCs/>
          <w:color w:val="auto"/>
          <w:sz w:val="32"/>
          <w:szCs w:val="32"/>
          <w:highlight w:val="none"/>
          <w:lang w:eastAsia="zh-CN"/>
        </w:rPr>
        <w:t>2025NBHSWCS314</w:t>
      </w:r>
    </w:p>
    <w:p w14:paraId="685A7ED8">
      <w:pPr>
        <w:pStyle w:val="14"/>
        <w:shd w:val="clear" w:color="auto" w:fill="auto"/>
        <w:snapToGrid w:val="0"/>
        <w:spacing w:before="120" w:after="120"/>
        <w:ind w:left="249" w:leftChars="100" w:hanging="39" w:hangingChars="12"/>
        <w:outlineLvl w:val="9"/>
        <w:rPr>
          <w:rFonts w:hint="eastAsia" w:ascii="宋体" w:hAnsi="宋体" w:eastAsia="宋体" w:cs="宋体"/>
          <w:b/>
          <w:bCs/>
          <w:color w:val="auto"/>
          <w:sz w:val="32"/>
          <w:szCs w:val="32"/>
          <w:highlight w:val="none"/>
          <w:lang w:eastAsia="zh-CN"/>
        </w:rPr>
      </w:pPr>
      <w:bookmarkStart w:id="6" w:name="_Toc1338"/>
      <w:bookmarkStart w:id="7" w:name="_Toc5661"/>
      <w:bookmarkStart w:id="8" w:name="_Toc9412"/>
      <w:r>
        <w:rPr>
          <w:rFonts w:hint="eastAsia" w:ascii="宋体" w:hAnsi="宋体" w:cs="宋体"/>
          <w:b/>
          <w:bCs/>
          <w:color w:val="auto"/>
          <w:sz w:val="32"/>
          <w:szCs w:val="32"/>
          <w:highlight w:val="none"/>
        </w:rPr>
        <w:t>采</w:t>
      </w:r>
      <w:r>
        <w:rPr>
          <w:rFonts w:hint="eastAsia" w:ascii="宋体" w:hAnsi="宋体" w:cs="宋体"/>
          <w:b/>
          <w:bCs/>
          <w:color w:val="auto"/>
          <w:sz w:val="32"/>
          <w:szCs w:val="32"/>
          <w:highlight w:val="none"/>
          <w:lang w:val="en-US" w:eastAsia="zh-CN"/>
        </w:rPr>
        <w:t xml:space="preserve"> </w:t>
      </w:r>
      <w:r>
        <w:rPr>
          <w:rFonts w:hint="eastAsia" w:ascii="宋体" w:hAnsi="宋体" w:cs="宋体"/>
          <w:b/>
          <w:bCs/>
          <w:color w:val="auto"/>
          <w:sz w:val="32"/>
          <w:szCs w:val="32"/>
          <w:highlight w:val="none"/>
        </w:rPr>
        <w:t>购</w:t>
      </w:r>
      <w:r>
        <w:rPr>
          <w:rFonts w:hint="eastAsia" w:ascii="宋体" w:hAnsi="宋体" w:cs="宋体"/>
          <w:b/>
          <w:bCs/>
          <w:color w:val="auto"/>
          <w:sz w:val="32"/>
          <w:szCs w:val="32"/>
          <w:highlight w:val="none"/>
          <w:lang w:val="en-US" w:eastAsia="zh-CN"/>
        </w:rPr>
        <w:t xml:space="preserve"> 人</w:t>
      </w:r>
      <w:r>
        <w:rPr>
          <w:rFonts w:hint="eastAsia" w:ascii="宋体" w:hAnsi="宋体" w:cs="宋体"/>
          <w:b/>
          <w:bCs/>
          <w:color w:val="auto"/>
          <w:sz w:val="32"/>
          <w:szCs w:val="32"/>
          <w:highlight w:val="none"/>
        </w:rPr>
        <w:t>：</w:t>
      </w:r>
      <w:bookmarkEnd w:id="6"/>
      <w:r>
        <w:rPr>
          <w:rFonts w:hint="eastAsia" w:ascii="宋体" w:hAnsi="宋体" w:cs="宋体"/>
          <w:b/>
          <w:bCs/>
          <w:color w:val="auto"/>
          <w:sz w:val="32"/>
          <w:szCs w:val="32"/>
          <w:highlight w:val="none"/>
          <w:lang w:eastAsia="zh-CN"/>
        </w:rPr>
        <w:t>宁波市海曙区</w:t>
      </w:r>
      <w:r>
        <w:rPr>
          <w:rFonts w:hint="eastAsia" w:ascii="宋体" w:hAnsi="宋体" w:cs="宋体"/>
          <w:b/>
          <w:bCs/>
          <w:color w:val="auto"/>
          <w:sz w:val="32"/>
          <w:szCs w:val="32"/>
          <w:highlight w:val="none"/>
          <w:lang w:val="en-US" w:eastAsia="zh-CN"/>
        </w:rPr>
        <w:t>章水</w:t>
      </w:r>
      <w:r>
        <w:rPr>
          <w:rFonts w:hint="eastAsia" w:ascii="宋体" w:hAnsi="宋体" w:cs="宋体"/>
          <w:b/>
          <w:bCs/>
          <w:color w:val="auto"/>
          <w:sz w:val="32"/>
          <w:szCs w:val="32"/>
          <w:highlight w:val="none"/>
          <w:lang w:eastAsia="zh-CN"/>
        </w:rPr>
        <w:t>镇人民政府</w:t>
      </w:r>
      <w:bookmarkEnd w:id="7"/>
      <w:bookmarkEnd w:id="8"/>
    </w:p>
    <w:p w14:paraId="21184C9E">
      <w:pPr>
        <w:pStyle w:val="14"/>
        <w:shd w:val="clear" w:color="auto" w:fill="auto"/>
        <w:snapToGrid w:val="0"/>
        <w:spacing w:before="120" w:after="120"/>
        <w:ind w:left="0" w:leftChars="0" w:firstLine="279" w:firstLineChars="87"/>
        <w:outlineLvl w:val="9"/>
        <w:rPr>
          <w:rFonts w:hint="default" w:ascii="宋体" w:hAnsi="宋体" w:eastAsia="宋体" w:cs="宋体"/>
          <w:b/>
          <w:bCs/>
          <w:color w:val="auto"/>
          <w:sz w:val="32"/>
          <w:szCs w:val="32"/>
          <w:highlight w:val="none"/>
          <w:lang w:val="en-US" w:eastAsia="zh-CN"/>
        </w:rPr>
      </w:pPr>
      <w:bookmarkStart w:id="9" w:name="_Toc23142"/>
      <w:bookmarkStart w:id="10" w:name="_Toc25172"/>
      <w:bookmarkStart w:id="11" w:name="_Toc25889"/>
      <w:r>
        <w:rPr>
          <w:rFonts w:hint="eastAsia" w:ascii="宋体" w:hAnsi="宋体" w:cs="宋体"/>
          <w:b/>
          <w:bCs/>
          <w:color w:val="auto"/>
          <w:sz w:val="32"/>
          <w:szCs w:val="32"/>
          <w:highlight w:val="none"/>
        </w:rPr>
        <w:t>代理机构：</w:t>
      </w:r>
      <w:r>
        <w:rPr>
          <w:rFonts w:hint="eastAsia" w:ascii="宋体" w:hAnsi="宋体" w:cs="宋体"/>
          <w:b/>
          <w:bCs/>
          <w:color w:val="auto"/>
          <w:sz w:val="32"/>
          <w:szCs w:val="32"/>
          <w:highlight w:val="none"/>
          <w:lang w:val="en-US" w:eastAsia="zh-CN"/>
        </w:rPr>
        <w:t>宁波国采招标咨询有限公司</w:t>
      </w:r>
      <w:bookmarkEnd w:id="9"/>
      <w:bookmarkEnd w:id="10"/>
      <w:bookmarkEnd w:id="11"/>
    </w:p>
    <w:p w14:paraId="2E720F0A">
      <w:pPr>
        <w:pStyle w:val="14"/>
        <w:shd w:val="clear" w:color="auto" w:fill="auto"/>
        <w:snapToGrid w:val="0"/>
        <w:spacing w:before="120" w:after="120"/>
        <w:ind w:left="0" w:leftChars="0" w:firstLine="279" w:firstLineChars="87"/>
        <w:rPr>
          <w:rFonts w:hint="default" w:ascii="宋体" w:hAnsi="宋体" w:eastAsia="宋体" w:cs="宋体"/>
          <w:b/>
          <w:bCs/>
          <w:color w:val="auto"/>
          <w:sz w:val="32"/>
          <w:szCs w:val="32"/>
          <w:highlight w:val="none"/>
          <w:lang w:val="en-US" w:eastAsia="zh-CN"/>
        </w:rPr>
      </w:pPr>
      <w:r>
        <w:rPr>
          <w:rFonts w:hint="eastAsia" w:ascii="宋体" w:hAnsi="宋体" w:cs="宋体"/>
          <w:b/>
          <w:bCs/>
          <w:color w:val="auto"/>
          <w:sz w:val="32"/>
          <w:szCs w:val="32"/>
          <w:highlight w:val="none"/>
          <w:lang w:val="en-US" w:eastAsia="zh-CN"/>
        </w:rPr>
        <w:t>编制时间：2025年6月</w:t>
      </w:r>
    </w:p>
    <w:p w14:paraId="4FB501F7">
      <w:pPr>
        <w:pStyle w:val="14"/>
        <w:shd w:val="clear" w:color="auto" w:fill="auto"/>
        <w:snapToGrid w:val="0"/>
        <w:spacing w:before="120" w:after="120"/>
        <w:rPr>
          <w:rFonts w:hint="eastAsia" w:ascii="宋体" w:hAnsi="宋体" w:cs="宋体"/>
          <w:b/>
          <w:bCs/>
          <w:color w:val="auto"/>
          <w:w w:val="95"/>
          <w:sz w:val="32"/>
          <w:szCs w:val="32"/>
          <w:highlight w:val="none"/>
        </w:rPr>
      </w:pPr>
    </w:p>
    <w:p w14:paraId="468FCDEC">
      <w:pPr>
        <w:shd w:val="clear" w:color="auto" w:fill="auto"/>
        <w:snapToGrid w:val="0"/>
        <w:spacing w:before="120" w:beforeLines="50"/>
        <w:jc w:val="center"/>
        <w:rPr>
          <w:rFonts w:hint="eastAsia" w:hAnsi="宋体" w:eastAsia="宋体" w:cs="宋体"/>
          <w:b/>
          <w:bCs/>
          <w:color w:val="auto"/>
          <w:w w:val="95"/>
          <w:sz w:val="32"/>
          <w:szCs w:val="32"/>
          <w:highlight w:val="none"/>
        </w:rPr>
      </w:pPr>
    </w:p>
    <w:p w14:paraId="65427386">
      <w:pPr>
        <w:shd w:val="clear" w:color="auto" w:fill="auto"/>
        <w:snapToGrid w:val="0"/>
        <w:spacing w:before="120" w:beforeLines="50"/>
        <w:jc w:val="center"/>
        <w:rPr>
          <w:rFonts w:hint="eastAsia" w:hAnsi="宋体" w:eastAsia="宋体" w:cs="宋体"/>
          <w:b/>
          <w:bCs/>
          <w:color w:val="auto"/>
          <w:w w:val="95"/>
          <w:sz w:val="32"/>
          <w:szCs w:val="32"/>
          <w:highlight w:val="none"/>
        </w:rPr>
      </w:pPr>
    </w:p>
    <w:p w14:paraId="6C2EC090">
      <w:pPr>
        <w:pStyle w:val="29"/>
        <w:shd w:val="clear" w:color="auto" w:fill="auto"/>
        <w:ind w:left="0" w:leftChars="0" w:firstLine="0" w:firstLineChars="0"/>
        <w:jc w:val="both"/>
        <w:rPr>
          <w:rFonts w:hint="eastAsia" w:ascii="宋体" w:hAnsi="宋体" w:cs="宋体"/>
          <w:b/>
          <w:color w:val="auto"/>
          <w:sz w:val="30"/>
          <w:szCs w:val="48"/>
          <w:highlight w:val="none"/>
        </w:rPr>
        <w:sectPr>
          <w:footerReference r:id="rId5" w:type="default"/>
          <w:pgSz w:w="11906" w:h="16838"/>
          <w:pgMar w:top="1440" w:right="1800" w:bottom="1440" w:left="1800" w:header="851" w:footer="851" w:gutter="0"/>
          <w:pgBorders>
            <w:top w:val="none" w:sz="0" w:space="0"/>
            <w:left w:val="none" w:sz="0" w:space="0"/>
            <w:bottom w:val="none" w:sz="0" w:space="0"/>
            <w:right w:val="none" w:sz="0" w:space="0"/>
          </w:pgBorders>
          <w:pgNumType w:start="1"/>
          <w:cols w:space="720" w:num="1"/>
          <w:docGrid w:linePitch="312" w:charSpace="0"/>
        </w:sectPr>
      </w:pPr>
    </w:p>
    <w:p w14:paraId="4AE1488A">
      <w:pPr>
        <w:pStyle w:val="19"/>
        <w:shd w:val="clear" w:color="auto" w:fill="auto"/>
        <w:tabs>
          <w:tab w:val="left" w:pos="1200"/>
          <w:tab w:val="right" w:leader="dot" w:pos="9060"/>
        </w:tabs>
        <w:jc w:val="center"/>
        <w:rPr>
          <w:rFonts w:hint="eastAsia" w:ascii="宋体" w:hAnsi="宋体" w:cs="宋体"/>
          <w:color w:val="auto"/>
          <w:sz w:val="32"/>
          <w:szCs w:val="32"/>
          <w:highlight w:val="none"/>
        </w:rPr>
      </w:pPr>
      <w:bookmarkStart w:id="12" w:name="_Toc403987193"/>
      <w:bookmarkStart w:id="13" w:name="_Toc513029200"/>
      <w:bookmarkStart w:id="14" w:name="_Toc16938516"/>
      <w:bookmarkStart w:id="15" w:name="_Toc403986986"/>
      <w:bookmarkStart w:id="16" w:name="_Toc120614210"/>
      <w:bookmarkStart w:id="17" w:name="_Toc523127445"/>
      <w:bookmarkStart w:id="18" w:name="_Toc479757206"/>
      <w:bookmarkStart w:id="19" w:name="_Toc20823272"/>
      <w:r>
        <w:rPr>
          <w:rFonts w:hint="eastAsia" w:ascii="宋体" w:hAnsi="宋体" w:cs="宋体"/>
          <w:color w:val="auto"/>
          <w:sz w:val="32"/>
          <w:szCs w:val="32"/>
          <w:highlight w:val="none"/>
        </w:rPr>
        <w:t>目  录</w:t>
      </w:r>
      <w:bookmarkEnd w:id="12"/>
      <w:bookmarkEnd w:id="13"/>
      <w:bookmarkEnd w:id="14"/>
      <w:bookmarkEnd w:id="15"/>
      <w:bookmarkEnd w:id="16"/>
      <w:bookmarkEnd w:id="17"/>
      <w:bookmarkEnd w:id="18"/>
      <w:bookmarkEnd w:id="19"/>
    </w:p>
    <w:sdt>
      <w:sdtPr>
        <w:rPr>
          <w:rFonts w:ascii="宋体" w:hAnsi="宋体" w:eastAsia="宋体" w:cs="Times New Roman"/>
          <w:color w:val="auto"/>
          <w:sz w:val="21"/>
          <w:szCs w:val="21"/>
          <w:highlight w:val="none"/>
          <w:lang w:val="en-US" w:eastAsia="zh-CN" w:bidi="ar-SA"/>
        </w:rPr>
        <w:id w:val="147453995"/>
        <w15:color w:val="DBDBDB"/>
        <w:docPartObj>
          <w:docPartGallery w:val="Table of Contents"/>
          <w:docPartUnique/>
        </w:docPartObj>
      </w:sdtPr>
      <w:sdtEndPr>
        <w:rPr>
          <w:rFonts w:hint="eastAsia" w:ascii="宋体" w:hAnsi="宋体" w:eastAsia="宋体" w:cs="宋体"/>
          <w:color w:val="auto"/>
          <w:sz w:val="24"/>
          <w:szCs w:val="24"/>
          <w:highlight w:val="none"/>
          <w:lang w:val="en-US" w:eastAsia="zh-CN" w:bidi="ar-SA"/>
        </w:rPr>
      </w:sdtEndPr>
      <w:sdtContent>
        <w:p w14:paraId="785501D4">
          <w:pPr>
            <w:keepNext w:val="0"/>
            <w:keepLines w:val="0"/>
            <w:pageBreakBefore w:val="0"/>
            <w:kinsoku/>
            <w:wordWrap/>
            <w:overflowPunct/>
            <w:topLinePunct w:val="0"/>
            <w:autoSpaceDE/>
            <w:autoSpaceDN/>
            <w:bidi w:val="0"/>
            <w:snapToGrid/>
            <w:spacing w:before="0" w:beforeLines="0" w:after="0" w:afterLines="0" w:line="480" w:lineRule="auto"/>
            <w:ind w:left="0" w:leftChars="0" w:right="0" w:rightChars="0" w:firstLine="0" w:firstLineChars="0"/>
            <w:jc w:val="center"/>
            <w:rPr>
              <w:rFonts w:hint="eastAsia" w:ascii="宋体" w:hAnsi="宋体" w:eastAsia="宋体" w:cs="宋体"/>
              <w:color w:val="auto"/>
              <w:sz w:val="24"/>
              <w:szCs w:val="24"/>
              <w:highlight w:val="none"/>
              <w:lang w:val="en-US" w:eastAsia="zh-CN" w:bidi="ar-SA"/>
            </w:rPr>
          </w:pPr>
          <w:bookmarkStart w:id="20" w:name="_Toc6490"/>
          <w:bookmarkStart w:id="21" w:name="_Toc20823274"/>
          <w:bookmarkStart w:id="22" w:name="_Toc120614213"/>
          <w:bookmarkStart w:id="23" w:name="_Toc16938518"/>
          <w:bookmarkStart w:id="24" w:name="_Toc513029202"/>
          <w:bookmarkStart w:id="25" w:name="_Toc341992710"/>
          <w:bookmarkStart w:id="26" w:name="_Toc342241487"/>
          <w:bookmarkStart w:id="27" w:name="_Toc342252863"/>
          <w:bookmarkStart w:id="28" w:name="_Toc337584958"/>
          <w:bookmarkStart w:id="29" w:name="_Toc403401434"/>
          <w:bookmarkStart w:id="30" w:name="_Toc403560410"/>
          <w:bookmarkStart w:id="31" w:name="_Toc337622590"/>
          <w:bookmarkStart w:id="32" w:name="_Toc342497332"/>
          <w:bookmarkStart w:id="33" w:name="_Toc373781378"/>
          <w:bookmarkStart w:id="34" w:name="_Toc337584877"/>
          <w:bookmarkStart w:id="35" w:name="_Toc337620692"/>
          <w:bookmarkStart w:id="36" w:name="_Toc366517151"/>
          <w:bookmarkStart w:id="37" w:name="_Toc337622790"/>
          <w:bookmarkStart w:id="38" w:name="_Toc341993114"/>
          <w:bookmarkStart w:id="39" w:name="_Toc337622640"/>
          <w:bookmarkStart w:id="40" w:name="_Toc341991044"/>
          <w:bookmarkStart w:id="41" w:name="_Toc342558384"/>
          <w:bookmarkStart w:id="42" w:name="_Toc337584644"/>
          <w:bookmarkStart w:id="43" w:name="_Toc337622690"/>
          <w:bookmarkStart w:id="44" w:name="_Toc337622372"/>
          <w:bookmarkStart w:id="45" w:name="_Toc337620800"/>
          <w:bookmarkStart w:id="46" w:name="_Toc337620620"/>
          <w:bookmarkStart w:id="47" w:name="_Toc342374716"/>
          <w:bookmarkStart w:id="48" w:name="_Toc341992630"/>
          <w:bookmarkStart w:id="49" w:name="_Toc337622983"/>
          <w:bookmarkStart w:id="50" w:name="_Toc337622278"/>
          <w:bookmarkStart w:id="51" w:name="_Toc337622251"/>
          <w:bookmarkStart w:id="52" w:name="_Toc341993788"/>
          <w:bookmarkStart w:id="53" w:name="_Toc365619242"/>
          <w:bookmarkStart w:id="54" w:name="_Toc341988484"/>
          <w:bookmarkStart w:id="55" w:name="_Ref352791871"/>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"1-1" \h \u </w:instrText>
          </w:r>
          <w:r>
            <w:rPr>
              <w:rFonts w:hint="eastAsia" w:ascii="宋体" w:hAnsi="宋体" w:eastAsia="宋体" w:cs="宋体"/>
              <w:color w:val="auto"/>
              <w:sz w:val="24"/>
              <w:szCs w:val="24"/>
              <w:highlight w:val="none"/>
            </w:rPr>
            <w:fldChar w:fldCharType="separate"/>
          </w:r>
        </w:p>
        <w:p w14:paraId="32791552">
          <w:pPr>
            <w:pStyle w:val="19"/>
            <w:tabs>
              <w:tab w:val="right" w:leader="dot" w:pos="8958"/>
            </w:tabs>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_Toc23193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 xml:space="preserve">第一章 </w:t>
          </w:r>
          <w:r>
            <w:rPr>
              <w:rFonts w:hint="eastAsia" w:ascii="宋体" w:hAnsi="宋体" w:eastAsia="宋体" w:cs="宋体"/>
              <w:b w:val="0"/>
              <w:bCs w:val="0"/>
              <w:color w:val="auto"/>
              <w:sz w:val="24"/>
              <w:szCs w:val="24"/>
              <w:highlight w:val="none"/>
              <w:lang w:val="en-US" w:eastAsia="zh-CN"/>
            </w:rPr>
            <w:t>竞争性磋商公告</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_Toc23193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2</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highlight w:val="none"/>
            </w:rPr>
            <w:fldChar w:fldCharType="end"/>
          </w:r>
        </w:p>
        <w:p w14:paraId="58D4A448">
          <w:pPr>
            <w:pStyle w:val="19"/>
            <w:tabs>
              <w:tab w:val="right" w:leader="dot" w:pos="8958"/>
            </w:tabs>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_Toc30562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rPr>
            <w:t xml:space="preserve">第二章 </w:t>
          </w:r>
          <w:r>
            <w:rPr>
              <w:rFonts w:hint="eastAsia" w:ascii="宋体" w:hAnsi="宋体" w:eastAsia="宋体" w:cs="宋体"/>
              <w:b w:val="0"/>
              <w:bCs w:val="0"/>
              <w:color w:val="auto"/>
              <w:sz w:val="24"/>
              <w:szCs w:val="24"/>
              <w:highlight w:val="none"/>
            </w:rPr>
            <w:t>供应商须知</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_Toc30562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6</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highlight w:val="none"/>
            </w:rPr>
            <w:fldChar w:fldCharType="end"/>
          </w:r>
        </w:p>
        <w:p w14:paraId="575314C5">
          <w:pPr>
            <w:pStyle w:val="19"/>
            <w:tabs>
              <w:tab w:val="right" w:leader="dot" w:pos="8958"/>
            </w:tabs>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_Toc17916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第</w:t>
          </w:r>
          <w:r>
            <w:rPr>
              <w:rFonts w:hint="eastAsia" w:ascii="宋体" w:hAnsi="宋体" w:eastAsia="宋体" w:cs="宋体"/>
              <w:b w:val="0"/>
              <w:bCs w:val="0"/>
              <w:color w:val="auto"/>
              <w:sz w:val="24"/>
              <w:szCs w:val="24"/>
              <w:highlight w:val="none"/>
              <w:lang w:val="en-US" w:eastAsia="zh-CN"/>
            </w:rPr>
            <w:t>三</w:t>
          </w:r>
          <w:r>
            <w:rPr>
              <w:rFonts w:hint="eastAsia" w:ascii="宋体" w:hAnsi="宋体" w:eastAsia="宋体" w:cs="宋体"/>
              <w:b w:val="0"/>
              <w:bCs w:val="0"/>
              <w:color w:val="auto"/>
              <w:sz w:val="24"/>
              <w:szCs w:val="24"/>
              <w:highlight w:val="none"/>
            </w:rPr>
            <w:t>章 项目需求</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_Toc17916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19</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highlight w:val="none"/>
            </w:rPr>
            <w:fldChar w:fldCharType="end"/>
          </w:r>
        </w:p>
        <w:p w14:paraId="2E097D3A">
          <w:pPr>
            <w:pStyle w:val="19"/>
            <w:tabs>
              <w:tab w:val="right" w:leader="dot" w:pos="8958"/>
            </w:tabs>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_Toc19199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第</w:t>
          </w:r>
          <w:r>
            <w:rPr>
              <w:rFonts w:hint="eastAsia" w:ascii="宋体" w:hAnsi="宋体" w:eastAsia="宋体" w:cs="宋体"/>
              <w:b w:val="0"/>
              <w:bCs w:val="0"/>
              <w:color w:val="auto"/>
              <w:sz w:val="24"/>
              <w:szCs w:val="24"/>
              <w:highlight w:val="none"/>
              <w:lang w:val="en-US" w:eastAsia="zh-CN"/>
            </w:rPr>
            <w:t>四</w:t>
          </w:r>
          <w:r>
            <w:rPr>
              <w:rFonts w:hint="eastAsia" w:ascii="宋体" w:hAnsi="宋体" w:eastAsia="宋体" w:cs="宋体"/>
              <w:b w:val="0"/>
              <w:bCs w:val="0"/>
              <w:color w:val="auto"/>
              <w:sz w:val="24"/>
              <w:szCs w:val="24"/>
              <w:highlight w:val="none"/>
            </w:rPr>
            <w:t>章 评审标准</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_Toc19199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46</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highlight w:val="none"/>
            </w:rPr>
            <w:fldChar w:fldCharType="end"/>
          </w:r>
        </w:p>
        <w:p w14:paraId="57B0E874">
          <w:pPr>
            <w:pStyle w:val="19"/>
            <w:tabs>
              <w:tab w:val="right" w:leader="dot" w:pos="8958"/>
            </w:tabs>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_Toc2668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第</w:t>
          </w:r>
          <w:r>
            <w:rPr>
              <w:rFonts w:hint="eastAsia" w:ascii="宋体" w:hAnsi="宋体" w:eastAsia="宋体" w:cs="宋体"/>
              <w:b w:val="0"/>
              <w:bCs w:val="0"/>
              <w:color w:val="auto"/>
              <w:sz w:val="24"/>
              <w:szCs w:val="24"/>
              <w:highlight w:val="none"/>
              <w:lang w:val="en-US" w:eastAsia="zh-CN"/>
            </w:rPr>
            <w:t>五</w:t>
          </w:r>
          <w:r>
            <w:rPr>
              <w:rFonts w:hint="eastAsia" w:ascii="宋体" w:hAnsi="宋体" w:eastAsia="宋体" w:cs="宋体"/>
              <w:b w:val="0"/>
              <w:bCs w:val="0"/>
              <w:color w:val="auto"/>
              <w:sz w:val="24"/>
              <w:szCs w:val="24"/>
              <w:highlight w:val="none"/>
            </w:rPr>
            <w:t>章 合同条款及格式</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_Toc2668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50</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highlight w:val="none"/>
            </w:rPr>
            <w:fldChar w:fldCharType="end"/>
          </w:r>
        </w:p>
        <w:p w14:paraId="4B3B7811">
          <w:pPr>
            <w:pStyle w:val="19"/>
            <w:tabs>
              <w:tab w:val="right" w:leader="dot" w:pos="8958"/>
            </w:tabs>
            <w:rPr>
              <w:color w:val="auto"/>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_Toc15863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第六章 响应文件格式</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_Toc15863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54</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highlight w:val="none"/>
            </w:rPr>
            <w:fldChar w:fldCharType="end"/>
          </w:r>
        </w:p>
        <w:p w14:paraId="3BAB61A5">
          <w:pPr>
            <w:keepNext w:val="0"/>
            <w:keepLines w:val="0"/>
            <w:pageBreakBefore w:val="0"/>
            <w:kinsoku/>
            <w:wordWrap/>
            <w:overflowPunct/>
            <w:topLinePunct w:val="0"/>
            <w:autoSpaceDE/>
            <w:autoSpaceDN/>
            <w:bidi w:val="0"/>
            <w:snapToGrid/>
            <w:spacing w:before="0" w:beforeLines="0" w:after="0" w:afterLines="0" w:line="480" w:lineRule="auto"/>
            <w:ind w:left="0" w:leftChars="0" w:right="0" w:righ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end"/>
          </w:r>
        </w:p>
      </w:sdtContent>
    </w:sdt>
    <w:p w14:paraId="4C49A8D4">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4C8D803C">
      <w:pPr>
        <w:pStyle w:val="4"/>
        <w:bidi w:val="0"/>
        <w:jc w:val="center"/>
        <w:outlineLvl w:val="0"/>
        <w:rPr>
          <w:rFonts w:hint="eastAsia" w:ascii="宋体" w:hAnsi="宋体" w:eastAsia="宋体" w:cs="宋体"/>
          <w:color w:val="auto"/>
          <w:highlight w:val="none"/>
          <w:lang w:val="en-US" w:eastAsia="zh-CN"/>
        </w:rPr>
      </w:pPr>
      <w:bookmarkStart w:id="56" w:name="_Toc23193"/>
      <w:r>
        <w:rPr>
          <w:rFonts w:hint="eastAsia" w:ascii="宋体" w:hAnsi="宋体" w:eastAsia="宋体" w:cs="宋体"/>
          <w:color w:val="auto"/>
          <w:highlight w:val="none"/>
        </w:rPr>
        <w:t xml:space="preserve">第一章 </w:t>
      </w:r>
      <w:r>
        <w:rPr>
          <w:rFonts w:hint="eastAsia" w:ascii="宋体" w:hAnsi="宋体" w:eastAsia="宋体" w:cs="宋体"/>
          <w:color w:val="auto"/>
          <w:highlight w:val="none"/>
          <w:lang w:val="en-US" w:eastAsia="zh-CN"/>
        </w:rPr>
        <w:t>竞争性磋商公告</w:t>
      </w:r>
      <w:bookmarkEnd w:id="20"/>
      <w:bookmarkEnd w:id="56"/>
    </w:p>
    <w:tbl>
      <w:tblPr>
        <w:tblStyle w:val="23"/>
        <w:tblW w:w="0" w:type="auto"/>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5"/>
      </w:tblGrid>
      <w:tr w14:paraId="1C50A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noWrap w:val="0"/>
            <w:vAlign w:val="top"/>
          </w:tcPr>
          <w:p w14:paraId="180B55AE">
            <w:pPr>
              <w:shd w:val="clear" w:color="auto" w:fill="auto"/>
              <w:adjustRightInd/>
              <w:textAlignment w:val="auto"/>
              <w:rPr>
                <w:rFonts w:hint="eastAsia" w:hAnsi="宋体" w:eastAsia="宋体" w:cs="宋体"/>
                <w:color w:val="auto"/>
                <w:sz w:val="21"/>
                <w:highlight w:val="none"/>
              </w:rPr>
            </w:pPr>
            <w:bookmarkStart w:id="57" w:name="_Toc28359079"/>
            <w:bookmarkStart w:id="58" w:name="_Toc28359002"/>
            <w:bookmarkStart w:id="59" w:name="_Toc35393621"/>
            <w:bookmarkStart w:id="60" w:name="_Toc35393790"/>
            <w:bookmarkStart w:id="61" w:name="_Hlk24379207"/>
            <w:r>
              <w:rPr>
                <w:rFonts w:hint="eastAsia" w:hAnsi="宋体" w:eastAsia="宋体" w:cs="宋体"/>
                <w:color w:val="auto"/>
                <w:sz w:val="21"/>
                <w:highlight w:val="none"/>
              </w:rPr>
              <w:t>项目概况：</w:t>
            </w:r>
          </w:p>
          <w:p w14:paraId="2136F1F5">
            <w:pPr>
              <w:pStyle w:val="32"/>
              <w:widowControl w:val="0"/>
              <w:shd w:val="clear" w:color="auto" w:fill="auto"/>
              <w:snapToGrid/>
              <w:spacing w:after="0" w:afterLines="0" w:line="360" w:lineRule="auto"/>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u w:val="none"/>
                <w:lang w:eastAsia="zh-CN"/>
              </w:rPr>
              <w:t>宁波市海曙区章水镇2024年度结余资金林相优化改造工程</w:t>
            </w:r>
            <w:r>
              <w:rPr>
                <w:rFonts w:hint="eastAsia" w:ascii="宋体" w:hAnsi="宋体" w:cs="宋体"/>
                <w:color w:val="auto"/>
                <w:sz w:val="21"/>
                <w:szCs w:val="21"/>
                <w:highlight w:val="none"/>
                <w:u w:val="none"/>
              </w:rPr>
              <w:t>的潜在供应商应在政府采购云平台（http://www.zcygov.cn/）获取（下载）采购文件，并于</w:t>
            </w:r>
            <w:r>
              <w:rPr>
                <w:rFonts w:hint="eastAsia" w:ascii="宋体" w:hAnsi="宋体" w:cs="宋体"/>
                <w:color w:val="auto"/>
                <w:sz w:val="21"/>
                <w:szCs w:val="21"/>
                <w:highlight w:val="none"/>
                <w:u w:val="none"/>
                <w:lang w:eastAsia="zh-CN"/>
              </w:rPr>
              <w:t>202</w:t>
            </w:r>
            <w:r>
              <w:rPr>
                <w:rFonts w:hint="eastAsia" w:ascii="宋体" w:hAnsi="宋体" w:cs="宋体"/>
                <w:color w:val="auto"/>
                <w:sz w:val="21"/>
                <w:szCs w:val="21"/>
                <w:highlight w:val="none"/>
                <w:u w:val="none"/>
                <w:lang w:val="en-US" w:eastAsia="zh-CN"/>
              </w:rPr>
              <w:t>5</w:t>
            </w:r>
            <w:r>
              <w:rPr>
                <w:rFonts w:hint="eastAsia" w:ascii="宋体" w:hAnsi="宋体" w:cs="宋体"/>
                <w:color w:val="auto"/>
                <w:sz w:val="21"/>
                <w:szCs w:val="21"/>
                <w:highlight w:val="none"/>
                <w:u w:val="none"/>
                <w:lang w:eastAsia="zh-CN"/>
              </w:rPr>
              <w:t>年</w:t>
            </w:r>
            <w:r>
              <w:rPr>
                <w:rFonts w:hint="eastAsia" w:ascii="宋体" w:hAnsi="宋体" w:cs="宋体"/>
                <w:bCs/>
                <w:color w:val="auto"/>
                <w:sz w:val="21"/>
                <w:szCs w:val="21"/>
                <w:highlight w:val="none"/>
                <w:u w:val="none"/>
                <w:lang w:val="en-US" w:eastAsia="zh-CN"/>
              </w:rPr>
              <w:t>7月7</w:t>
            </w:r>
            <w:r>
              <w:rPr>
                <w:rFonts w:hint="eastAsia" w:ascii="宋体" w:hAnsi="宋体" w:cs="宋体"/>
                <w:bCs/>
                <w:color w:val="auto"/>
                <w:sz w:val="21"/>
                <w:szCs w:val="21"/>
                <w:highlight w:val="none"/>
                <w:u w:val="none"/>
              </w:rPr>
              <w:t>日</w:t>
            </w:r>
            <w:r>
              <w:rPr>
                <w:rFonts w:hint="eastAsia" w:ascii="宋体" w:hAnsi="宋体" w:cs="宋体"/>
                <w:bCs/>
                <w:color w:val="auto"/>
                <w:sz w:val="21"/>
                <w:szCs w:val="21"/>
                <w:highlight w:val="none"/>
                <w:u w:val="none"/>
                <w:lang w:val="en-US" w:eastAsia="zh-CN"/>
              </w:rPr>
              <w:t>9</w:t>
            </w:r>
            <w:r>
              <w:rPr>
                <w:rFonts w:hint="eastAsia" w:ascii="宋体" w:hAnsi="宋体" w:cs="宋体"/>
                <w:bCs/>
                <w:color w:val="auto"/>
                <w:sz w:val="21"/>
                <w:szCs w:val="21"/>
                <w:highlight w:val="none"/>
                <w:u w:val="none"/>
              </w:rPr>
              <w:t>:</w:t>
            </w:r>
            <w:r>
              <w:rPr>
                <w:rFonts w:hint="eastAsia" w:ascii="宋体" w:hAnsi="宋体" w:cs="宋体"/>
                <w:bCs/>
                <w:color w:val="auto"/>
                <w:sz w:val="21"/>
                <w:szCs w:val="21"/>
                <w:highlight w:val="none"/>
                <w:u w:val="none"/>
                <w:lang w:val="en-US" w:eastAsia="zh-CN"/>
              </w:rPr>
              <w:t>00</w:t>
            </w:r>
            <w:r>
              <w:rPr>
                <w:rFonts w:hint="eastAsia" w:ascii="宋体" w:hAnsi="宋体" w:cs="宋体"/>
                <w:bCs/>
                <w:color w:val="auto"/>
                <w:sz w:val="21"/>
                <w:szCs w:val="21"/>
                <w:highlight w:val="none"/>
                <w:u w:val="none"/>
              </w:rPr>
              <w:t>（北京时间）前递交（上传）响应文件</w:t>
            </w:r>
            <w:r>
              <w:rPr>
                <w:rFonts w:hint="eastAsia" w:ascii="宋体" w:hAnsi="宋体" w:cs="宋体"/>
                <w:color w:val="auto"/>
                <w:sz w:val="21"/>
                <w:szCs w:val="21"/>
                <w:highlight w:val="none"/>
              </w:rPr>
              <w:t>。</w:t>
            </w:r>
          </w:p>
        </w:tc>
      </w:tr>
    </w:tbl>
    <w:p w14:paraId="797E562E">
      <w:pPr>
        <w:shd w:val="clear" w:color="auto" w:fill="auto"/>
        <w:tabs>
          <w:tab w:val="left" w:pos="720"/>
        </w:tabs>
        <w:adjustRightInd/>
        <w:textAlignment w:val="auto"/>
        <w:rPr>
          <w:rFonts w:hint="eastAsia" w:hAnsi="宋体" w:eastAsia="宋体" w:cs="宋体"/>
          <w:b/>
          <w:color w:val="auto"/>
          <w:sz w:val="21"/>
          <w:highlight w:val="none"/>
        </w:rPr>
      </w:pPr>
      <w:r>
        <w:rPr>
          <w:rFonts w:hint="eastAsia" w:hAnsi="宋体" w:eastAsia="宋体" w:cs="宋体"/>
          <w:b/>
          <w:color w:val="auto"/>
          <w:sz w:val="21"/>
          <w:highlight w:val="none"/>
        </w:rPr>
        <w:t>一、项目基本情况</w:t>
      </w:r>
      <w:bookmarkEnd w:id="57"/>
      <w:bookmarkEnd w:id="58"/>
      <w:bookmarkEnd w:id="59"/>
      <w:bookmarkEnd w:id="60"/>
    </w:p>
    <w:p w14:paraId="0D3E46F8">
      <w:pPr>
        <w:shd w:val="clear" w:color="auto" w:fill="auto"/>
        <w:adjustRightInd/>
        <w:ind w:firstLine="420" w:firstLineChars="200"/>
        <w:textAlignment w:val="auto"/>
        <w:rPr>
          <w:rFonts w:hint="default" w:hAnsi="宋体" w:eastAsia="宋体" w:cs="宋体"/>
          <w:color w:val="auto"/>
          <w:sz w:val="21"/>
          <w:highlight w:val="none"/>
          <w:lang w:val="en-US" w:eastAsia="zh-CN"/>
        </w:rPr>
      </w:pPr>
      <w:r>
        <w:rPr>
          <w:rFonts w:hint="eastAsia" w:hAnsi="宋体" w:eastAsia="宋体" w:cs="宋体"/>
          <w:color w:val="auto"/>
          <w:sz w:val="21"/>
          <w:highlight w:val="none"/>
        </w:rPr>
        <w:t>项目编号：</w:t>
      </w:r>
      <w:r>
        <w:rPr>
          <w:rFonts w:hint="eastAsia" w:cs="宋体"/>
          <w:color w:val="auto"/>
          <w:sz w:val="21"/>
          <w:highlight w:val="none"/>
          <w:lang w:eastAsia="zh-CN"/>
        </w:rPr>
        <w:t>2025NBHSWCS314</w:t>
      </w:r>
    </w:p>
    <w:p w14:paraId="148B9CD0">
      <w:pPr>
        <w:shd w:val="clear" w:color="auto" w:fill="auto"/>
        <w:adjustRightInd/>
        <w:ind w:firstLine="420" w:firstLineChars="200"/>
        <w:textAlignment w:val="auto"/>
        <w:rPr>
          <w:rFonts w:hint="eastAsia" w:hAnsi="宋体" w:eastAsia="宋体" w:cs="宋体"/>
          <w:color w:val="auto"/>
          <w:sz w:val="21"/>
          <w:highlight w:val="none"/>
          <w:lang w:eastAsia="zh-CN"/>
        </w:rPr>
      </w:pPr>
      <w:r>
        <w:rPr>
          <w:rFonts w:hint="eastAsia" w:hAnsi="宋体" w:eastAsia="宋体" w:cs="宋体"/>
          <w:color w:val="auto"/>
          <w:sz w:val="21"/>
          <w:highlight w:val="none"/>
        </w:rPr>
        <w:t>项目名称：</w:t>
      </w:r>
      <w:bookmarkEnd w:id="61"/>
      <w:r>
        <w:rPr>
          <w:rFonts w:hint="eastAsia" w:cs="宋体"/>
          <w:color w:val="auto"/>
          <w:sz w:val="21"/>
          <w:highlight w:val="none"/>
          <w:lang w:eastAsia="zh-CN"/>
        </w:rPr>
        <w:t>宁波市海曙区章水镇2024年度结余资金林相优化改造工程</w:t>
      </w:r>
    </w:p>
    <w:p w14:paraId="0EFA97B7">
      <w:pPr>
        <w:shd w:val="clear" w:color="auto" w:fill="auto"/>
        <w:adjustRightInd/>
        <w:ind w:firstLine="420" w:firstLineChars="200"/>
        <w:textAlignment w:val="auto"/>
        <w:rPr>
          <w:rFonts w:hint="eastAsia" w:hAnsi="宋体" w:eastAsia="宋体" w:cs="宋体"/>
          <w:color w:val="auto"/>
          <w:sz w:val="21"/>
          <w:highlight w:val="none"/>
        </w:rPr>
      </w:pPr>
      <w:r>
        <w:rPr>
          <w:rFonts w:hint="eastAsia" w:hAnsi="宋体" w:eastAsia="宋体" w:cs="宋体"/>
          <w:color w:val="auto"/>
          <w:sz w:val="21"/>
          <w:highlight w:val="none"/>
        </w:rPr>
        <w:t>采购方式：竞争性磋商</w:t>
      </w:r>
    </w:p>
    <w:p w14:paraId="3A9781D4">
      <w:pPr>
        <w:shd w:val="clear" w:color="auto" w:fill="auto"/>
        <w:adjustRightInd/>
        <w:ind w:firstLine="420" w:firstLineChars="200"/>
        <w:textAlignment w:val="auto"/>
        <w:rPr>
          <w:rFonts w:hint="default" w:hAnsi="宋体" w:eastAsia="宋体" w:cs="宋体"/>
          <w:color w:val="auto"/>
          <w:sz w:val="21"/>
          <w:highlight w:val="none"/>
          <w:lang w:val="en-US" w:eastAsia="zh-CN"/>
        </w:rPr>
      </w:pPr>
      <w:r>
        <w:rPr>
          <w:rFonts w:hint="eastAsia" w:hAnsi="宋体" w:eastAsia="宋体" w:cs="宋体"/>
          <w:color w:val="auto"/>
          <w:sz w:val="21"/>
          <w:highlight w:val="none"/>
        </w:rPr>
        <w:t>预算金额</w:t>
      </w:r>
      <w:r>
        <w:rPr>
          <w:rFonts w:hint="eastAsia" w:hAnsi="宋体" w:eastAsia="宋体" w:cs="宋体"/>
          <w:color w:val="auto"/>
          <w:sz w:val="21"/>
          <w:highlight w:val="none"/>
          <w:lang w:eastAsia="zh-CN"/>
        </w:rPr>
        <w:t>（</w:t>
      </w:r>
      <w:r>
        <w:rPr>
          <w:rFonts w:hint="eastAsia" w:hAnsi="宋体" w:eastAsia="宋体" w:cs="宋体"/>
          <w:color w:val="auto"/>
          <w:sz w:val="21"/>
          <w:highlight w:val="none"/>
          <w:lang w:val="en-US" w:eastAsia="zh-CN"/>
        </w:rPr>
        <w:t>元）</w:t>
      </w:r>
      <w:r>
        <w:rPr>
          <w:rFonts w:hint="eastAsia" w:hAnsi="宋体" w:eastAsia="宋体" w:cs="宋体"/>
          <w:color w:val="auto"/>
          <w:sz w:val="21"/>
          <w:highlight w:val="none"/>
        </w:rPr>
        <w:t>：</w:t>
      </w:r>
      <w:r>
        <w:rPr>
          <w:rFonts w:hint="eastAsia" w:hAnsi="宋体" w:eastAsia="宋体" w:cs="宋体"/>
          <w:color w:val="auto"/>
          <w:sz w:val="21"/>
          <w:highlight w:val="none"/>
          <w:lang w:val="en-US" w:eastAsia="zh-CN"/>
        </w:rPr>
        <w:t>340681.00</w:t>
      </w:r>
    </w:p>
    <w:p w14:paraId="6880D4C7">
      <w:pPr>
        <w:shd w:val="clear" w:color="auto" w:fill="auto"/>
        <w:adjustRightInd/>
        <w:ind w:firstLine="420" w:firstLineChars="200"/>
        <w:textAlignment w:val="auto"/>
        <w:rPr>
          <w:rFonts w:hint="default" w:hAnsi="宋体" w:eastAsia="宋体" w:cs="宋体"/>
          <w:color w:val="auto"/>
          <w:sz w:val="21"/>
          <w:highlight w:val="none"/>
          <w:lang w:val="en-US" w:eastAsia="zh-CN"/>
        </w:rPr>
      </w:pPr>
      <w:r>
        <w:rPr>
          <w:rFonts w:hint="eastAsia" w:hAnsi="宋体" w:eastAsia="宋体" w:cs="宋体"/>
          <w:color w:val="auto"/>
          <w:sz w:val="21"/>
          <w:highlight w:val="none"/>
        </w:rPr>
        <w:t>最高限价</w:t>
      </w:r>
      <w:r>
        <w:rPr>
          <w:rFonts w:hint="eastAsia" w:hAnsi="宋体" w:eastAsia="宋体" w:cs="宋体"/>
          <w:color w:val="auto"/>
          <w:sz w:val="21"/>
          <w:highlight w:val="none"/>
          <w:lang w:eastAsia="zh-CN"/>
        </w:rPr>
        <w:t>（</w:t>
      </w:r>
      <w:r>
        <w:rPr>
          <w:rFonts w:hint="eastAsia" w:hAnsi="宋体" w:eastAsia="宋体" w:cs="宋体"/>
          <w:color w:val="auto"/>
          <w:sz w:val="21"/>
          <w:highlight w:val="none"/>
          <w:lang w:val="en-US" w:eastAsia="zh-CN"/>
        </w:rPr>
        <w:t>元）</w:t>
      </w:r>
      <w:r>
        <w:rPr>
          <w:rFonts w:hint="eastAsia" w:hAnsi="宋体" w:eastAsia="宋体" w:cs="宋体"/>
          <w:color w:val="auto"/>
          <w:sz w:val="21"/>
          <w:highlight w:val="none"/>
        </w:rPr>
        <w:t>：</w:t>
      </w:r>
      <w:r>
        <w:rPr>
          <w:rFonts w:hint="eastAsia" w:hAnsi="宋体" w:eastAsia="宋体" w:cs="宋体"/>
          <w:color w:val="auto"/>
          <w:sz w:val="21"/>
          <w:highlight w:val="none"/>
          <w:lang w:val="en-US" w:eastAsia="zh-CN"/>
        </w:rPr>
        <w:t>340681.00</w:t>
      </w:r>
    </w:p>
    <w:p w14:paraId="0DBAB01F">
      <w:pPr>
        <w:shd w:val="clear" w:color="auto" w:fill="auto"/>
        <w:adjustRightInd/>
        <w:ind w:firstLine="420" w:firstLineChars="200"/>
        <w:textAlignment w:val="auto"/>
        <w:rPr>
          <w:rFonts w:hint="eastAsia" w:hAnsi="宋体" w:eastAsia="宋体" w:cs="宋体"/>
          <w:color w:val="auto"/>
          <w:sz w:val="21"/>
          <w:highlight w:val="none"/>
        </w:rPr>
      </w:pPr>
      <w:r>
        <w:rPr>
          <w:rFonts w:hint="eastAsia" w:hAnsi="宋体" w:eastAsia="宋体" w:cs="宋体"/>
          <w:color w:val="auto"/>
          <w:sz w:val="21"/>
          <w:highlight w:val="none"/>
        </w:rPr>
        <w:t>采购需求：</w:t>
      </w:r>
    </w:p>
    <w:p w14:paraId="0C0422C1">
      <w:pPr>
        <w:shd w:val="clear" w:color="auto" w:fill="auto"/>
        <w:adjustRightInd/>
        <w:ind w:firstLine="420" w:firstLineChars="200"/>
        <w:textAlignment w:val="auto"/>
        <w:rPr>
          <w:rFonts w:hAnsi="宋体" w:eastAsia="宋体" w:cs="宋体"/>
          <w:color w:val="auto"/>
          <w:sz w:val="21"/>
          <w:highlight w:val="none"/>
        </w:rPr>
      </w:pPr>
      <w:r>
        <w:rPr>
          <w:rFonts w:hint="eastAsia" w:hAnsi="宋体" w:eastAsia="宋体" w:cs="宋体"/>
          <w:color w:val="auto"/>
          <w:sz w:val="21"/>
          <w:highlight w:val="none"/>
        </w:rPr>
        <w:t>数量:1</w:t>
      </w:r>
    </w:p>
    <w:p w14:paraId="0FBA6F62">
      <w:pPr>
        <w:shd w:val="clear" w:color="auto" w:fill="auto"/>
        <w:adjustRightInd/>
        <w:ind w:firstLine="420" w:firstLineChars="200"/>
        <w:textAlignment w:val="auto"/>
        <w:rPr>
          <w:rFonts w:hint="default" w:hAnsi="宋体" w:eastAsia="宋体" w:cs="宋体"/>
          <w:color w:val="auto"/>
          <w:sz w:val="21"/>
          <w:highlight w:val="none"/>
          <w:lang w:val="en-US" w:eastAsia="zh-CN"/>
        </w:rPr>
      </w:pPr>
      <w:r>
        <w:rPr>
          <w:rFonts w:hint="eastAsia" w:hAnsi="宋体" w:eastAsia="宋体" w:cs="宋体"/>
          <w:color w:val="auto"/>
          <w:sz w:val="21"/>
          <w:highlight w:val="none"/>
        </w:rPr>
        <w:t>预算金额（元）:</w:t>
      </w:r>
      <w:r>
        <w:rPr>
          <w:rFonts w:hint="eastAsia" w:hAnsi="宋体" w:eastAsia="宋体" w:cs="宋体"/>
          <w:color w:val="auto"/>
          <w:sz w:val="21"/>
          <w:highlight w:val="none"/>
          <w:lang w:val="en-US" w:eastAsia="zh-CN"/>
        </w:rPr>
        <w:t>340681.00</w:t>
      </w:r>
    </w:p>
    <w:p w14:paraId="5EC38A00">
      <w:pPr>
        <w:shd w:val="clear" w:color="auto" w:fill="auto"/>
        <w:adjustRightInd/>
        <w:ind w:firstLine="420" w:firstLineChars="200"/>
        <w:textAlignment w:val="auto"/>
        <w:rPr>
          <w:rFonts w:hint="eastAsia"/>
          <w:color w:val="auto"/>
          <w:highlight w:val="none"/>
        </w:rPr>
      </w:pPr>
      <w:r>
        <w:rPr>
          <w:rFonts w:hint="eastAsia" w:hAnsi="宋体" w:eastAsia="宋体" w:cs="宋体"/>
          <w:color w:val="auto"/>
          <w:sz w:val="21"/>
          <w:highlight w:val="none"/>
        </w:rPr>
        <w:t>单位：项</w:t>
      </w:r>
    </w:p>
    <w:p w14:paraId="63FF1AAA">
      <w:pPr>
        <w:shd w:val="clear" w:color="auto" w:fill="auto"/>
        <w:adjustRightInd/>
        <w:ind w:firstLine="420" w:firstLineChars="200"/>
        <w:textAlignment w:val="auto"/>
        <w:rPr>
          <w:rFonts w:hint="eastAsia" w:hAnsi="宋体" w:eastAsia="宋体" w:cs="宋体"/>
          <w:color w:val="auto"/>
          <w:sz w:val="21"/>
          <w:highlight w:val="none"/>
        </w:rPr>
      </w:pPr>
      <w:r>
        <w:rPr>
          <w:rFonts w:hint="eastAsia" w:hAnsi="宋体" w:eastAsia="宋体" w:cs="宋体"/>
          <w:color w:val="auto"/>
          <w:sz w:val="21"/>
          <w:highlight w:val="none"/>
        </w:rPr>
        <w:t>简要规格描述或项目基本概况介绍、用途：详见</w:t>
      </w:r>
      <w:r>
        <w:rPr>
          <w:rFonts w:hint="eastAsia" w:hAnsi="宋体" w:eastAsia="宋体" w:cs="宋体"/>
          <w:color w:val="auto"/>
          <w:sz w:val="21"/>
          <w:highlight w:val="none"/>
          <w:lang w:val="en-US" w:eastAsia="zh-CN"/>
        </w:rPr>
        <w:t>竞争性磋商</w:t>
      </w:r>
      <w:r>
        <w:rPr>
          <w:rFonts w:hint="eastAsia" w:hAnsi="宋体" w:eastAsia="宋体" w:cs="宋体"/>
          <w:color w:val="auto"/>
          <w:sz w:val="21"/>
          <w:highlight w:val="none"/>
        </w:rPr>
        <w:t>文件第</w:t>
      </w:r>
      <w:r>
        <w:rPr>
          <w:rFonts w:hint="eastAsia" w:hAnsi="宋体" w:eastAsia="宋体" w:cs="宋体"/>
          <w:color w:val="auto"/>
          <w:sz w:val="21"/>
          <w:highlight w:val="none"/>
          <w:lang w:val="en-US" w:eastAsia="zh-CN"/>
        </w:rPr>
        <w:t>三</w:t>
      </w:r>
      <w:r>
        <w:rPr>
          <w:rFonts w:hint="eastAsia" w:hAnsi="宋体" w:eastAsia="宋体" w:cs="宋体"/>
          <w:color w:val="auto"/>
          <w:sz w:val="21"/>
          <w:highlight w:val="none"/>
        </w:rPr>
        <w:t>章“</w:t>
      </w:r>
      <w:r>
        <w:rPr>
          <w:rFonts w:hint="eastAsia" w:hAnsi="宋体" w:eastAsia="宋体" w:cs="宋体"/>
          <w:color w:val="auto"/>
          <w:sz w:val="21"/>
          <w:highlight w:val="none"/>
          <w:lang w:val="en-US" w:eastAsia="zh-CN"/>
        </w:rPr>
        <w:t>项目</w:t>
      </w:r>
      <w:r>
        <w:rPr>
          <w:rFonts w:hint="eastAsia" w:hAnsi="宋体" w:eastAsia="宋体" w:cs="宋体"/>
          <w:color w:val="auto"/>
          <w:sz w:val="21"/>
          <w:highlight w:val="none"/>
        </w:rPr>
        <w:t>需求”。</w:t>
      </w:r>
    </w:p>
    <w:p w14:paraId="02AD10ED">
      <w:pPr>
        <w:shd w:val="clear" w:color="auto" w:fill="auto"/>
        <w:adjustRightInd/>
        <w:ind w:firstLine="420" w:firstLineChars="200"/>
        <w:textAlignment w:val="auto"/>
        <w:rPr>
          <w:rFonts w:hint="default" w:hAnsi="宋体" w:eastAsia="宋体" w:cs="宋体"/>
          <w:color w:val="auto"/>
          <w:sz w:val="21"/>
          <w:highlight w:val="none"/>
          <w:lang w:val="en-US" w:eastAsia="zh-CN"/>
        </w:rPr>
      </w:pPr>
      <w:r>
        <w:rPr>
          <w:rFonts w:hint="eastAsia" w:hAnsi="宋体" w:eastAsia="宋体" w:cs="宋体"/>
          <w:color w:val="auto"/>
          <w:sz w:val="21"/>
          <w:highlight w:val="none"/>
        </w:rPr>
        <w:t>合同履约期限：</w:t>
      </w:r>
      <w:r>
        <w:rPr>
          <w:rFonts w:hint="eastAsia" w:hAnsi="宋体" w:eastAsia="宋体" w:cs="宋体"/>
          <w:color w:val="auto"/>
          <w:sz w:val="21"/>
          <w:highlight w:val="none"/>
          <w:lang w:eastAsia="zh-CN"/>
        </w:rPr>
        <w:t>自合同签订之日起</w:t>
      </w:r>
      <w:r>
        <w:rPr>
          <w:rFonts w:hint="eastAsia" w:hAnsi="宋体" w:eastAsia="宋体" w:cs="宋体"/>
          <w:color w:val="auto"/>
          <w:sz w:val="21"/>
          <w:highlight w:val="none"/>
          <w:lang w:val="en-US" w:eastAsia="zh-CN"/>
        </w:rPr>
        <w:t>至双方权力义务履行完毕止。</w:t>
      </w:r>
    </w:p>
    <w:p w14:paraId="29612F7A">
      <w:pPr>
        <w:shd w:val="clear" w:color="auto" w:fill="auto"/>
        <w:adjustRightInd/>
        <w:ind w:firstLine="420" w:firstLineChars="200"/>
        <w:textAlignment w:val="auto"/>
        <w:rPr>
          <w:rFonts w:hint="eastAsia" w:hAnsi="宋体" w:eastAsia="宋体" w:cs="宋体"/>
          <w:color w:val="auto"/>
          <w:sz w:val="21"/>
          <w:highlight w:val="none"/>
        </w:rPr>
      </w:pPr>
      <w:r>
        <w:rPr>
          <w:rFonts w:hint="eastAsia" w:hAnsi="宋体" w:eastAsia="宋体" w:cs="宋体"/>
          <w:color w:val="auto"/>
          <w:sz w:val="21"/>
          <w:highlight w:val="none"/>
        </w:rPr>
        <w:t>本项目（</w:t>
      </w:r>
      <w:r>
        <w:rPr>
          <w:rFonts w:hint="eastAsia" w:hAnsi="宋体" w:eastAsia="宋体" w:cs="宋体"/>
          <w:color w:val="auto"/>
          <w:sz w:val="21"/>
          <w:highlight w:val="none"/>
          <w:lang w:val="en-US" w:eastAsia="zh-CN"/>
        </w:rPr>
        <w:t>否</w:t>
      </w:r>
      <w:r>
        <w:rPr>
          <w:rFonts w:hint="eastAsia" w:hAnsi="宋体" w:eastAsia="宋体" w:cs="宋体"/>
          <w:color w:val="auto"/>
          <w:sz w:val="21"/>
          <w:highlight w:val="none"/>
        </w:rPr>
        <w:t>）接受联合体投标。</w:t>
      </w:r>
    </w:p>
    <w:p w14:paraId="2714E09B">
      <w:pPr>
        <w:shd w:val="clear" w:color="auto" w:fill="auto"/>
        <w:tabs>
          <w:tab w:val="left" w:pos="720"/>
        </w:tabs>
        <w:adjustRightInd/>
        <w:textAlignment w:val="auto"/>
        <w:rPr>
          <w:rFonts w:hint="eastAsia" w:hAnsi="宋体" w:eastAsia="宋体" w:cs="宋体"/>
          <w:b/>
          <w:color w:val="auto"/>
          <w:sz w:val="21"/>
          <w:highlight w:val="none"/>
        </w:rPr>
      </w:pPr>
      <w:bookmarkStart w:id="62" w:name="_Toc28359003"/>
      <w:bookmarkStart w:id="63" w:name="_Toc28359080"/>
      <w:bookmarkStart w:id="64" w:name="_Toc35393622"/>
      <w:bookmarkStart w:id="65" w:name="_Toc35393791"/>
      <w:r>
        <w:rPr>
          <w:rFonts w:hint="eastAsia" w:hAnsi="宋体" w:eastAsia="宋体" w:cs="宋体"/>
          <w:b/>
          <w:color w:val="auto"/>
          <w:sz w:val="21"/>
          <w:highlight w:val="none"/>
        </w:rPr>
        <w:t>二、申请人的资格要求：</w:t>
      </w:r>
      <w:bookmarkEnd w:id="62"/>
      <w:bookmarkEnd w:id="63"/>
      <w:bookmarkEnd w:id="64"/>
      <w:bookmarkEnd w:id="65"/>
    </w:p>
    <w:p w14:paraId="0122AA87">
      <w:pPr>
        <w:shd w:val="clear" w:color="auto" w:fill="auto"/>
        <w:adjustRightInd/>
        <w:ind w:firstLine="420" w:firstLineChars="200"/>
        <w:textAlignment w:val="auto"/>
        <w:rPr>
          <w:rFonts w:hint="eastAsia" w:hAnsi="宋体" w:eastAsia="宋体" w:cs="宋体"/>
          <w:color w:val="auto"/>
          <w:sz w:val="21"/>
          <w:highlight w:val="none"/>
        </w:rPr>
      </w:pPr>
      <w:r>
        <w:rPr>
          <w:rFonts w:hint="eastAsia" w:hAnsi="宋体" w:eastAsia="宋体" w:cs="宋体"/>
          <w:color w:val="auto"/>
          <w:sz w:val="21"/>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419DBAEA">
      <w:pPr>
        <w:shd w:val="clear" w:color="auto" w:fill="auto"/>
        <w:adjustRightInd/>
        <w:ind w:firstLine="420" w:firstLineChars="200"/>
        <w:rPr>
          <w:rFonts w:hint="default" w:ascii="宋体" w:hAnsi="宋体" w:eastAsia="宋体" w:cs="宋体"/>
          <w:color w:val="auto"/>
          <w:sz w:val="21"/>
          <w:highlight w:val="none"/>
          <w:lang w:val="en-US" w:eastAsia="zh-CN"/>
        </w:rPr>
      </w:pPr>
      <w:bookmarkStart w:id="66" w:name="_Toc28359004"/>
      <w:bookmarkStart w:id="67" w:name="_Toc28359081"/>
      <w:r>
        <w:rPr>
          <w:rFonts w:hint="eastAsia" w:hAnsi="宋体" w:eastAsia="宋体" w:cs="宋体"/>
          <w:color w:val="auto"/>
          <w:sz w:val="21"/>
          <w:highlight w:val="none"/>
        </w:rPr>
        <w:t>2.落实政府采</w:t>
      </w:r>
      <w:r>
        <w:rPr>
          <w:rFonts w:hint="eastAsia" w:ascii="宋体" w:hAnsi="宋体" w:eastAsia="宋体" w:cs="宋体"/>
          <w:color w:val="auto"/>
          <w:sz w:val="21"/>
          <w:highlight w:val="none"/>
        </w:rPr>
        <w:t>购政策需满足的资格要求</w:t>
      </w:r>
      <w:r>
        <w:rPr>
          <w:rFonts w:hint="eastAsia" w:hAnsi="宋体" w:eastAsia="宋体" w:cs="宋体"/>
          <w:color w:val="auto"/>
          <w:sz w:val="21"/>
          <w:highlight w:val="none"/>
          <w:lang w:eastAsia="zh-CN"/>
        </w:rPr>
        <w:t>：本项目专门面向中小企业采购（监狱企业和残疾人福利性单位视同小微企业）</w:t>
      </w:r>
      <w:r>
        <w:rPr>
          <w:rFonts w:hint="eastAsia" w:hAnsi="宋体" w:eastAsia="宋体" w:cs="宋体"/>
          <w:color w:val="auto"/>
          <w:sz w:val="21"/>
          <w:highlight w:val="none"/>
          <w:lang w:val="en-US" w:eastAsia="zh-CN"/>
        </w:rPr>
        <w:t>。</w:t>
      </w:r>
    </w:p>
    <w:p w14:paraId="1795921D">
      <w:pPr>
        <w:shd w:val="clear" w:color="auto" w:fill="auto"/>
        <w:adjustRightInd/>
        <w:ind w:firstLine="420" w:firstLineChars="200"/>
        <w:rPr>
          <w:rFonts w:hint="default" w:ascii="宋体" w:hAnsi="宋体" w:eastAsia="宋体" w:cs="宋体"/>
          <w:color w:val="auto"/>
          <w:sz w:val="21"/>
          <w:highlight w:val="none"/>
          <w:lang w:val="en-US" w:eastAsia="zh-CN"/>
        </w:rPr>
      </w:pPr>
      <w:r>
        <w:rPr>
          <w:rFonts w:hint="eastAsia" w:ascii="宋体" w:hAnsi="宋体" w:eastAsia="宋体" w:cs="宋体"/>
          <w:color w:val="auto"/>
          <w:sz w:val="21"/>
          <w:highlight w:val="none"/>
        </w:rPr>
        <w:t>3.本项目的特定资格要求</w:t>
      </w:r>
      <w:r>
        <w:rPr>
          <w:rFonts w:hint="eastAsia" w:hAnsi="宋体" w:eastAsia="宋体" w:cs="宋体"/>
          <w:color w:val="auto"/>
          <w:sz w:val="21"/>
          <w:highlight w:val="none"/>
          <w:lang w:eastAsia="zh-CN"/>
        </w:rPr>
        <w:t>：</w:t>
      </w:r>
      <w:r>
        <w:rPr>
          <w:rFonts w:hint="eastAsia" w:hAnsi="宋体" w:eastAsia="宋体" w:cs="宋体"/>
          <w:color w:val="auto"/>
          <w:sz w:val="21"/>
          <w:highlight w:val="none"/>
          <w:lang w:val="en-US" w:eastAsia="zh-CN"/>
        </w:rPr>
        <w:t>无。</w:t>
      </w:r>
    </w:p>
    <w:p w14:paraId="67CA5E35">
      <w:pPr>
        <w:shd w:val="clear" w:color="auto" w:fill="auto"/>
        <w:tabs>
          <w:tab w:val="left" w:pos="720"/>
        </w:tabs>
        <w:adjustRightInd/>
        <w:textAlignment w:val="auto"/>
        <w:rPr>
          <w:rFonts w:hint="eastAsia" w:hAnsi="宋体" w:eastAsia="宋体" w:cs="宋体"/>
          <w:b/>
          <w:color w:val="auto"/>
          <w:sz w:val="21"/>
          <w:highlight w:val="none"/>
        </w:rPr>
      </w:pPr>
      <w:bookmarkStart w:id="68" w:name="_Toc35393623"/>
      <w:bookmarkStart w:id="69" w:name="_Toc35393792"/>
      <w:r>
        <w:rPr>
          <w:rFonts w:hint="eastAsia" w:hAnsi="宋体" w:eastAsia="宋体" w:cs="宋体"/>
          <w:b/>
          <w:color w:val="auto"/>
          <w:sz w:val="21"/>
          <w:highlight w:val="none"/>
        </w:rPr>
        <w:t>三、</w:t>
      </w:r>
      <w:bookmarkEnd w:id="66"/>
      <w:bookmarkEnd w:id="67"/>
      <w:bookmarkEnd w:id="68"/>
      <w:bookmarkEnd w:id="69"/>
      <w:r>
        <w:rPr>
          <w:rFonts w:hint="eastAsia" w:hAnsi="宋体" w:eastAsia="宋体" w:cs="宋体"/>
          <w:b/>
          <w:color w:val="auto"/>
          <w:sz w:val="21"/>
          <w:highlight w:val="none"/>
        </w:rPr>
        <w:t>获取（下载）采购文件</w:t>
      </w:r>
    </w:p>
    <w:p w14:paraId="6A59D976">
      <w:pPr>
        <w:shd w:val="clear" w:color="auto" w:fill="auto"/>
        <w:adjustRightInd/>
        <w:ind w:firstLine="540"/>
        <w:textAlignment w:val="auto"/>
        <w:rPr>
          <w:rFonts w:hint="eastAsia" w:hAnsi="宋体" w:eastAsia="宋体" w:cs="宋体"/>
          <w:color w:val="auto"/>
          <w:sz w:val="21"/>
          <w:highlight w:val="none"/>
        </w:rPr>
      </w:pPr>
      <w:r>
        <w:rPr>
          <w:rFonts w:hint="eastAsia" w:hAnsi="宋体" w:eastAsia="宋体" w:cs="宋体"/>
          <w:color w:val="auto"/>
          <w:sz w:val="21"/>
          <w:highlight w:val="none"/>
        </w:rPr>
        <w:t>1.时间：</w:t>
      </w:r>
      <w:r>
        <w:rPr>
          <w:rFonts w:hint="eastAsia" w:hAnsi="宋体" w:eastAsia="宋体" w:cs="宋体"/>
          <w:color w:val="auto"/>
          <w:sz w:val="21"/>
          <w:highlight w:val="none"/>
          <w:u w:val="single"/>
          <w:lang w:eastAsia="zh-CN"/>
        </w:rPr>
        <w:t>2025年</w:t>
      </w:r>
      <w:r>
        <w:rPr>
          <w:rFonts w:hint="eastAsia" w:cs="宋体"/>
          <w:color w:val="auto"/>
          <w:sz w:val="21"/>
          <w:highlight w:val="none"/>
          <w:u w:val="single"/>
          <w:lang w:val="en-US" w:eastAsia="zh-CN"/>
        </w:rPr>
        <w:t>6</w:t>
      </w:r>
      <w:r>
        <w:rPr>
          <w:rFonts w:hint="eastAsia" w:hAnsi="宋体" w:eastAsia="宋体" w:cs="宋体"/>
          <w:color w:val="auto"/>
          <w:sz w:val="21"/>
          <w:highlight w:val="none"/>
          <w:u w:val="single"/>
          <w:lang w:val="en-US" w:eastAsia="zh-CN"/>
        </w:rPr>
        <w:t>月</w:t>
      </w:r>
      <w:r>
        <w:rPr>
          <w:rFonts w:hint="eastAsia" w:cs="宋体"/>
          <w:color w:val="auto"/>
          <w:sz w:val="21"/>
          <w:highlight w:val="none"/>
          <w:u w:val="single"/>
          <w:lang w:val="en-US" w:eastAsia="zh-CN"/>
        </w:rPr>
        <w:t>18</w:t>
      </w:r>
      <w:r>
        <w:rPr>
          <w:rFonts w:hint="eastAsia" w:hAnsi="宋体" w:eastAsia="宋体" w:cs="宋体"/>
          <w:color w:val="auto"/>
          <w:sz w:val="21"/>
          <w:highlight w:val="none"/>
          <w:u w:val="single"/>
        </w:rPr>
        <w:t>日</w:t>
      </w:r>
      <w:r>
        <w:rPr>
          <w:rFonts w:hint="eastAsia" w:hAnsi="宋体" w:eastAsia="宋体" w:cs="宋体"/>
          <w:color w:val="auto"/>
          <w:sz w:val="21"/>
          <w:highlight w:val="none"/>
        </w:rPr>
        <w:t>至</w:t>
      </w:r>
      <w:r>
        <w:rPr>
          <w:rFonts w:hint="eastAsia" w:hAnsi="宋体" w:eastAsia="宋体" w:cs="宋体"/>
          <w:color w:val="auto"/>
          <w:sz w:val="21"/>
          <w:highlight w:val="none"/>
          <w:u w:val="single"/>
          <w:lang w:eastAsia="zh-CN"/>
        </w:rPr>
        <w:t>2025年</w:t>
      </w:r>
      <w:r>
        <w:rPr>
          <w:rFonts w:hint="eastAsia" w:cs="宋体"/>
          <w:color w:val="auto"/>
          <w:sz w:val="21"/>
          <w:highlight w:val="none"/>
          <w:u w:val="single"/>
          <w:lang w:val="en-US" w:eastAsia="zh-CN"/>
        </w:rPr>
        <w:t>6</w:t>
      </w:r>
      <w:r>
        <w:rPr>
          <w:rFonts w:hint="eastAsia" w:hAnsi="宋体" w:eastAsia="宋体" w:cs="宋体"/>
          <w:color w:val="auto"/>
          <w:sz w:val="21"/>
          <w:highlight w:val="none"/>
          <w:u w:val="single"/>
          <w:lang w:val="en-US" w:eastAsia="zh-CN"/>
        </w:rPr>
        <w:t>月</w:t>
      </w:r>
      <w:r>
        <w:rPr>
          <w:rFonts w:hint="eastAsia" w:cs="宋体"/>
          <w:color w:val="auto"/>
          <w:sz w:val="21"/>
          <w:highlight w:val="none"/>
          <w:u w:val="single"/>
          <w:lang w:val="en-US" w:eastAsia="zh-CN"/>
        </w:rPr>
        <w:t>25</w:t>
      </w:r>
      <w:r>
        <w:rPr>
          <w:rFonts w:hint="eastAsia" w:hAnsi="宋体" w:eastAsia="宋体" w:cs="宋体"/>
          <w:color w:val="auto"/>
          <w:sz w:val="21"/>
          <w:highlight w:val="none"/>
          <w:u w:val="single"/>
        </w:rPr>
        <w:t>日</w:t>
      </w:r>
      <w:r>
        <w:rPr>
          <w:rFonts w:hint="eastAsia" w:hAnsi="宋体" w:eastAsia="宋体" w:cs="宋体"/>
          <w:color w:val="auto"/>
          <w:sz w:val="21"/>
          <w:highlight w:val="none"/>
        </w:rPr>
        <w:t>，每天上午</w:t>
      </w:r>
      <w:r>
        <w:rPr>
          <w:rFonts w:hint="eastAsia" w:hAnsi="宋体" w:eastAsia="宋体" w:cs="宋体"/>
          <w:color w:val="auto"/>
          <w:sz w:val="21"/>
          <w:highlight w:val="none"/>
          <w:u w:val="single"/>
        </w:rPr>
        <w:t>00:00</w:t>
      </w:r>
      <w:r>
        <w:rPr>
          <w:rFonts w:hint="eastAsia" w:hAnsi="宋体" w:eastAsia="宋体" w:cs="宋体"/>
          <w:color w:val="auto"/>
          <w:sz w:val="21"/>
          <w:highlight w:val="none"/>
        </w:rPr>
        <w:t>至</w:t>
      </w:r>
      <w:r>
        <w:rPr>
          <w:rFonts w:hint="eastAsia" w:hAnsi="宋体" w:eastAsia="宋体" w:cs="宋体"/>
          <w:color w:val="auto"/>
          <w:sz w:val="21"/>
          <w:highlight w:val="none"/>
          <w:u w:val="single"/>
        </w:rPr>
        <w:t>12:00</w:t>
      </w:r>
      <w:r>
        <w:rPr>
          <w:rFonts w:hint="eastAsia" w:hAnsi="宋体" w:eastAsia="宋体" w:cs="宋体"/>
          <w:color w:val="auto"/>
          <w:sz w:val="21"/>
          <w:highlight w:val="none"/>
        </w:rPr>
        <w:t>，下午</w:t>
      </w:r>
      <w:r>
        <w:rPr>
          <w:rFonts w:hint="eastAsia" w:hAnsi="宋体" w:eastAsia="宋体" w:cs="宋体"/>
          <w:color w:val="auto"/>
          <w:sz w:val="21"/>
          <w:highlight w:val="none"/>
          <w:u w:val="single"/>
        </w:rPr>
        <w:t>12:00</w:t>
      </w:r>
      <w:r>
        <w:rPr>
          <w:rFonts w:hint="eastAsia" w:hAnsi="宋体" w:eastAsia="宋体" w:cs="宋体"/>
          <w:color w:val="auto"/>
          <w:sz w:val="21"/>
          <w:highlight w:val="none"/>
        </w:rPr>
        <w:t>至</w:t>
      </w:r>
      <w:r>
        <w:rPr>
          <w:rFonts w:hint="eastAsia" w:hAnsi="宋体" w:eastAsia="宋体" w:cs="宋体"/>
          <w:color w:val="auto"/>
          <w:sz w:val="21"/>
          <w:highlight w:val="none"/>
          <w:u w:val="single"/>
        </w:rPr>
        <w:t>23:59</w:t>
      </w:r>
      <w:r>
        <w:rPr>
          <w:rFonts w:hint="eastAsia" w:hAnsi="宋体" w:eastAsia="宋体" w:cs="宋体"/>
          <w:color w:val="auto"/>
          <w:sz w:val="21"/>
          <w:highlight w:val="none"/>
        </w:rPr>
        <w:t>（北京时间，线上获取法定节假日均可，线下获取文件法定节假日除外）。</w:t>
      </w:r>
    </w:p>
    <w:p w14:paraId="4018D4AC">
      <w:pPr>
        <w:shd w:val="clear" w:color="auto" w:fill="auto"/>
        <w:adjustRightInd/>
        <w:ind w:firstLine="540"/>
        <w:textAlignment w:val="auto"/>
        <w:rPr>
          <w:rFonts w:hint="eastAsia" w:hAnsi="宋体" w:eastAsia="宋体" w:cs="宋体"/>
          <w:color w:val="auto"/>
          <w:sz w:val="21"/>
          <w:highlight w:val="none"/>
          <w:u w:val="single"/>
        </w:rPr>
      </w:pPr>
      <w:r>
        <w:rPr>
          <w:rFonts w:hint="eastAsia" w:hAnsi="宋体" w:eastAsia="宋体" w:cs="宋体"/>
          <w:color w:val="auto"/>
          <w:sz w:val="21"/>
          <w:highlight w:val="none"/>
        </w:rPr>
        <w:t>2.地点（网址）：政府采购云平台（http://www.zcygov.cn/）。</w:t>
      </w:r>
      <w:bookmarkStart w:id="136" w:name="_GoBack"/>
      <w:bookmarkEnd w:id="136"/>
    </w:p>
    <w:p w14:paraId="7F2BB42D">
      <w:pPr>
        <w:shd w:val="clear" w:color="auto" w:fill="auto"/>
        <w:adjustRightInd/>
        <w:ind w:firstLine="540"/>
        <w:textAlignment w:val="auto"/>
        <w:rPr>
          <w:rFonts w:hint="eastAsia" w:hAnsi="宋体" w:eastAsia="宋体" w:cs="宋体"/>
          <w:color w:val="auto"/>
          <w:sz w:val="21"/>
          <w:highlight w:val="none"/>
          <w:u w:val="single"/>
        </w:rPr>
      </w:pPr>
      <w:r>
        <w:rPr>
          <w:rFonts w:hint="eastAsia" w:hAnsi="宋体" w:eastAsia="宋体" w:cs="宋体"/>
          <w:color w:val="auto"/>
          <w:sz w:val="21"/>
          <w:highlight w:val="none"/>
        </w:rPr>
        <w:t>3.方式：供应商注册后直接登录“政府采购云平台”（http://www.zcygov.cn/）下载电子磋商文件。供应商未在规定时间内或未按上述方式获取磋商文件的，其投标无效。</w:t>
      </w:r>
    </w:p>
    <w:p w14:paraId="3A7C0344">
      <w:pPr>
        <w:shd w:val="clear" w:color="auto" w:fill="auto"/>
        <w:adjustRightInd/>
        <w:ind w:firstLine="540"/>
        <w:textAlignment w:val="auto"/>
        <w:rPr>
          <w:rFonts w:hint="eastAsia" w:hAnsi="宋体" w:eastAsia="宋体" w:cs="宋体"/>
          <w:color w:val="auto"/>
          <w:sz w:val="21"/>
          <w:highlight w:val="none"/>
        </w:rPr>
      </w:pPr>
      <w:r>
        <w:rPr>
          <w:rFonts w:hint="eastAsia" w:hAnsi="宋体" w:eastAsia="宋体" w:cs="宋体"/>
          <w:color w:val="auto"/>
          <w:sz w:val="21"/>
          <w:highlight w:val="none"/>
        </w:rPr>
        <w:t>4.售价（元）：0</w:t>
      </w:r>
    </w:p>
    <w:p w14:paraId="067338D3">
      <w:pPr>
        <w:shd w:val="clear" w:color="auto" w:fill="auto"/>
        <w:tabs>
          <w:tab w:val="left" w:pos="720"/>
        </w:tabs>
        <w:adjustRightInd/>
        <w:textAlignment w:val="auto"/>
        <w:rPr>
          <w:rFonts w:hint="eastAsia" w:hAnsi="宋体" w:eastAsia="宋体" w:cs="宋体"/>
          <w:b/>
          <w:color w:val="auto"/>
          <w:sz w:val="21"/>
          <w:highlight w:val="none"/>
        </w:rPr>
      </w:pPr>
      <w:bookmarkStart w:id="70" w:name="_Toc28359005"/>
      <w:bookmarkStart w:id="71" w:name="_Toc35393624"/>
      <w:bookmarkStart w:id="72" w:name="_Toc35393793"/>
      <w:bookmarkStart w:id="73" w:name="_Toc28359082"/>
      <w:r>
        <w:rPr>
          <w:rFonts w:hint="eastAsia" w:hAnsi="宋体" w:eastAsia="宋体" w:cs="宋体"/>
          <w:b/>
          <w:color w:val="auto"/>
          <w:sz w:val="21"/>
          <w:highlight w:val="none"/>
        </w:rPr>
        <w:t>四、</w:t>
      </w:r>
      <w:bookmarkEnd w:id="70"/>
      <w:bookmarkEnd w:id="71"/>
      <w:bookmarkEnd w:id="72"/>
      <w:bookmarkEnd w:id="73"/>
      <w:r>
        <w:rPr>
          <w:rFonts w:hint="eastAsia" w:hAnsi="宋体" w:eastAsia="宋体" w:cs="宋体"/>
          <w:b/>
          <w:color w:val="auto"/>
          <w:sz w:val="21"/>
          <w:highlight w:val="none"/>
        </w:rPr>
        <w:t>响应文件提交（上传）</w:t>
      </w:r>
    </w:p>
    <w:p w14:paraId="730E4F02">
      <w:pPr>
        <w:shd w:val="clear" w:color="auto" w:fill="auto"/>
        <w:adjustRightInd/>
        <w:spacing w:line="336" w:lineRule="auto"/>
        <w:ind w:firstLine="540"/>
        <w:textAlignment w:val="auto"/>
        <w:rPr>
          <w:rFonts w:hint="eastAsia" w:hAnsi="宋体" w:eastAsia="宋体" w:cs="宋体"/>
          <w:color w:val="auto"/>
          <w:sz w:val="21"/>
          <w:highlight w:val="none"/>
        </w:rPr>
      </w:pPr>
      <w:r>
        <w:rPr>
          <w:rFonts w:hint="eastAsia" w:hAnsi="宋体" w:eastAsia="宋体" w:cs="宋体"/>
          <w:color w:val="auto"/>
          <w:sz w:val="21"/>
          <w:highlight w:val="none"/>
        </w:rPr>
        <w:t>1.截止时间：</w:t>
      </w:r>
      <w:r>
        <w:rPr>
          <w:rFonts w:hint="eastAsia" w:hAnsi="宋体" w:eastAsia="宋体" w:cs="宋体"/>
          <w:color w:val="auto"/>
          <w:sz w:val="21"/>
          <w:highlight w:val="none"/>
          <w:lang w:eastAsia="zh-CN"/>
        </w:rPr>
        <w:t>2025年</w:t>
      </w:r>
      <w:r>
        <w:rPr>
          <w:rFonts w:hint="eastAsia" w:cs="宋体"/>
          <w:color w:val="auto"/>
          <w:sz w:val="21"/>
          <w:highlight w:val="none"/>
          <w:lang w:val="en-US" w:eastAsia="zh-CN"/>
        </w:rPr>
        <w:t>7</w:t>
      </w:r>
      <w:r>
        <w:rPr>
          <w:rFonts w:hint="eastAsia" w:hAnsi="宋体" w:eastAsia="宋体" w:cs="宋体"/>
          <w:color w:val="auto"/>
          <w:sz w:val="21"/>
          <w:highlight w:val="none"/>
          <w:lang w:val="en-US" w:eastAsia="zh-CN"/>
        </w:rPr>
        <w:t>月</w:t>
      </w:r>
      <w:r>
        <w:rPr>
          <w:rFonts w:hint="eastAsia" w:cs="宋体"/>
          <w:color w:val="auto"/>
          <w:sz w:val="21"/>
          <w:highlight w:val="none"/>
          <w:lang w:val="en-US" w:eastAsia="zh-CN"/>
        </w:rPr>
        <w:t>7</w:t>
      </w:r>
      <w:r>
        <w:rPr>
          <w:rFonts w:hint="eastAsia" w:hAnsi="宋体" w:eastAsia="宋体" w:cs="宋体"/>
          <w:color w:val="auto"/>
          <w:sz w:val="21"/>
          <w:highlight w:val="none"/>
        </w:rPr>
        <w:t>日</w:t>
      </w:r>
      <w:r>
        <w:rPr>
          <w:rFonts w:hint="eastAsia" w:cs="宋体"/>
          <w:color w:val="auto"/>
          <w:sz w:val="21"/>
          <w:highlight w:val="none"/>
          <w:lang w:val="en-US" w:eastAsia="zh-CN"/>
        </w:rPr>
        <w:t>9</w:t>
      </w:r>
      <w:r>
        <w:rPr>
          <w:rFonts w:hint="eastAsia" w:hAnsi="宋体" w:eastAsia="宋体" w:cs="宋体"/>
          <w:color w:val="auto"/>
          <w:sz w:val="21"/>
          <w:highlight w:val="none"/>
        </w:rPr>
        <w:t>:</w:t>
      </w:r>
      <w:r>
        <w:rPr>
          <w:rFonts w:hint="eastAsia" w:hAnsi="宋体" w:eastAsia="宋体" w:cs="宋体"/>
          <w:color w:val="auto"/>
          <w:sz w:val="21"/>
          <w:highlight w:val="none"/>
          <w:lang w:val="en-US" w:eastAsia="zh-CN"/>
        </w:rPr>
        <w:t>00</w:t>
      </w:r>
      <w:r>
        <w:rPr>
          <w:rFonts w:hint="eastAsia" w:hAnsi="宋体" w:eastAsia="宋体" w:cs="宋体"/>
          <w:color w:val="auto"/>
          <w:sz w:val="21"/>
          <w:highlight w:val="none"/>
        </w:rPr>
        <w:t>（北京时间）。</w:t>
      </w:r>
    </w:p>
    <w:p w14:paraId="3AF93768">
      <w:pPr>
        <w:shd w:val="clear" w:color="auto" w:fill="auto"/>
        <w:adjustRightInd/>
        <w:spacing w:line="336" w:lineRule="auto"/>
        <w:ind w:firstLine="540"/>
        <w:textAlignment w:val="auto"/>
        <w:rPr>
          <w:rFonts w:hint="eastAsia" w:hAnsi="宋体" w:eastAsia="宋体" w:cs="宋体"/>
          <w:color w:val="auto"/>
          <w:sz w:val="21"/>
          <w:highlight w:val="none"/>
        </w:rPr>
      </w:pPr>
      <w:r>
        <w:rPr>
          <w:rFonts w:hint="eastAsia" w:hAnsi="宋体" w:eastAsia="宋体" w:cs="宋体"/>
          <w:color w:val="auto"/>
          <w:sz w:val="21"/>
          <w:highlight w:val="none"/>
        </w:rPr>
        <w:t>2.地点（网址）：</w:t>
      </w:r>
      <w:r>
        <w:rPr>
          <w:rFonts w:hint="eastAsia" w:hAnsi="宋体" w:eastAsia="宋体" w:cs="宋体"/>
          <w:color w:val="auto"/>
          <w:sz w:val="21"/>
          <w:highlight w:val="none"/>
          <w:lang w:eastAsia="zh-CN"/>
        </w:rPr>
        <w:t>宁波市海曙区营商环境服务中心</w:t>
      </w:r>
      <w:r>
        <w:rPr>
          <w:rFonts w:hint="eastAsia" w:hAnsi="宋体" w:eastAsia="宋体" w:cs="宋体"/>
          <w:color w:val="auto"/>
          <w:sz w:val="21"/>
          <w:highlight w:val="none"/>
        </w:rPr>
        <w:t>二楼开标室</w:t>
      </w:r>
      <w:r>
        <w:rPr>
          <w:rFonts w:hint="eastAsia" w:cs="宋体"/>
          <w:color w:val="auto"/>
          <w:sz w:val="21"/>
          <w:highlight w:val="none"/>
          <w:lang w:val="en-US" w:eastAsia="zh-CN"/>
        </w:rPr>
        <w:t>3</w:t>
      </w:r>
      <w:r>
        <w:rPr>
          <w:rFonts w:hint="eastAsia" w:hAnsi="宋体" w:eastAsia="宋体" w:cs="宋体"/>
          <w:color w:val="auto"/>
          <w:sz w:val="21"/>
          <w:highlight w:val="none"/>
        </w:rPr>
        <w:t>[宁波市海曙区气象路58号(南门上)]。政府采购云平台（http://www.zcygov.cn/）。</w:t>
      </w:r>
    </w:p>
    <w:p w14:paraId="039803B2">
      <w:pPr>
        <w:shd w:val="clear" w:color="auto" w:fill="auto"/>
        <w:adjustRightInd/>
        <w:spacing w:line="336" w:lineRule="auto"/>
        <w:textAlignment w:val="auto"/>
        <w:rPr>
          <w:rFonts w:hint="eastAsia" w:hAnsi="宋体" w:eastAsia="宋体" w:cs="宋体"/>
          <w:color w:val="auto"/>
          <w:sz w:val="21"/>
          <w:highlight w:val="none"/>
        </w:rPr>
      </w:pPr>
      <w:r>
        <w:rPr>
          <w:rFonts w:hint="eastAsia" w:hAnsi="宋体" w:eastAsia="宋体" w:cs="宋体"/>
          <w:b/>
          <w:color w:val="auto"/>
          <w:sz w:val="21"/>
          <w:highlight w:val="none"/>
        </w:rPr>
        <w:t>五、响应文件开启</w:t>
      </w:r>
    </w:p>
    <w:p w14:paraId="25B91A02">
      <w:pPr>
        <w:shd w:val="clear" w:color="auto" w:fill="auto"/>
        <w:adjustRightInd/>
        <w:spacing w:line="336" w:lineRule="auto"/>
        <w:ind w:firstLine="540"/>
        <w:textAlignment w:val="auto"/>
        <w:rPr>
          <w:rFonts w:hint="eastAsia" w:hAnsi="宋体" w:eastAsia="宋体" w:cs="宋体"/>
          <w:color w:val="auto"/>
          <w:sz w:val="21"/>
          <w:highlight w:val="none"/>
        </w:rPr>
      </w:pPr>
      <w:r>
        <w:rPr>
          <w:rFonts w:hint="eastAsia" w:hAnsi="宋体" w:eastAsia="宋体" w:cs="宋体"/>
          <w:color w:val="auto"/>
          <w:sz w:val="21"/>
          <w:highlight w:val="none"/>
        </w:rPr>
        <w:t>1.开启时间：</w:t>
      </w:r>
      <w:r>
        <w:rPr>
          <w:rFonts w:hint="eastAsia" w:hAnsi="宋体" w:eastAsia="宋体" w:cs="宋体"/>
          <w:color w:val="auto"/>
          <w:sz w:val="21"/>
          <w:highlight w:val="none"/>
          <w:lang w:eastAsia="zh-CN"/>
        </w:rPr>
        <w:t>2025年</w:t>
      </w:r>
      <w:r>
        <w:rPr>
          <w:rFonts w:hint="eastAsia" w:cs="宋体"/>
          <w:color w:val="auto"/>
          <w:sz w:val="21"/>
          <w:highlight w:val="none"/>
          <w:lang w:val="en-US" w:eastAsia="zh-CN"/>
        </w:rPr>
        <w:t>7</w:t>
      </w:r>
      <w:r>
        <w:rPr>
          <w:rFonts w:hint="eastAsia" w:hAnsi="宋体" w:eastAsia="宋体" w:cs="宋体"/>
          <w:color w:val="auto"/>
          <w:sz w:val="21"/>
          <w:highlight w:val="none"/>
          <w:lang w:val="en-US" w:eastAsia="zh-CN"/>
        </w:rPr>
        <w:t>月</w:t>
      </w:r>
      <w:r>
        <w:rPr>
          <w:rFonts w:hint="eastAsia" w:cs="宋体"/>
          <w:color w:val="auto"/>
          <w:sz w:val="21"/>
          <w:highlight w:val="none"/>
          <w:lang w:val="en-US" w:eastAsia="zh-CN"/>
        </w:rPr>
        <w:t>7</w:t>
      </w:r>
      <w:r>
        <w:rPr>
          <w:rFonts w:hint="eastAsia" w:hAnsi="宋体" w:eastAsia="宋体" w:cs="宋体"/>
          <w:color w:val="auto"/>
          <w:sz w:val="21"/>
          <w:highlight w:val="none"/>
        </w:rPr>
        <w:t>日</w:t>
      </w:r>
      <w:r>
        <w:rPr>
          <w:rFonts w:hint="eastAsia" w:cs="宋体"/>
          <w:color w:val="auto"/>
          <w:sz w:val="21"/>
          <w:highlight w:val="none"/>
          <w:lang w:val="en-US" w:eastAsia="zh-CN"/>
        </w:rPr>
        <w:t>9</w:t>
      </w:r>
      <w:r>
        <w:rPr>
          <w:rFonts w:hint="eastAsia" w:hAnsi="宋体" w:eastAsia="宋体" w:cs="宋体"/>
          <w:color w:val="auto"/>
          <w:sz w:val="21"/>
          <w:highlight w:val="none"/>
        </w:rPr>
        <w:t>:</w:t>
      </w:r>
      <w:r>
        <w:rPr>
          <w:rFonts w:hint="eastAsia" w:hAnsi="宋体" w:eastAsia="宋体" w:cs="宋体"/>
          <w:color w:val="auto"/>
          <w:sz w:val="21"/>
          <w:highlight w:val="none"/>
          <w:lang w:val="en-US" w:eastAsia="zh-CN"/>
        </w:rPr>
        <w:t>00</w:t>
      </w:r>
      <w:r>
        <w:rPr>
          <w:rFonts w:hint="eastAsia" w:hAnsi="宋体" w:eastAsia="宋体" w:cs="宋体"/>
          <w:color w:val="auto"/>
          <w:sz w:val="21"/>
          <w:highlight w:val="none"/>
        </w:rPr>
        <w:t>（北京时间）。</w:t>
      </w:r>
    </w:p>
    <w:p w14:paraId="4A58299C">
      <w:pPr>
        <w:shd w:val="clear" w:color="auto" w:fill="auto"/>
        <w:adjustRightInd/>
        <w:ind w:firstLine="540"/>
        <w:textAlignment w:val="auto"/>
        <w:rPr>
          <w:rFonts w:hint="eastAsia" w:hAnsi="宋体" w:eastAsia="宋体" w:cs="宋体"/>
          <w:color w:val="auto"/>
          <w:sz w:val="21"/>
          <w:highlight w:val="none"/>
        </w:rPr>
      </w:pPr>
      <w:r>
        <w:rPr>
          <w:rFonts w:hint="eastAsia" w:hAnsi="宋体" w:eastAsia="宋体" w:cs="宋体"/>
          <w:color w:val="auto"/>
          <w:sz w:val="21"/>
          <w:highlight w:val="none"/>
        </w:rPr>
        <w:t>2.地点（网址）：</w:t>
      </w:r>
      <w:r>
        <w:rPr>
          <w:rFonts w:hint="eastAsia" w:hAnsi="宋体" w:eastAsia="宋体" w:cs="宋体"/>
          <w:color w:val="auto"/>
          <w:sz w:val="21"/>
          <w:highlight w:val="none"/>
          <w:lang w:eastAsia="zh-CN"/>
        </w:rPr>
        <w:t>宁波市海曙区营商环境服务中心</w:t>
      </w:r>
      <w:r>
        <w:rPr>
          <w:rFonts w:hint="eastAsia" w:hAnsi="宋体" w:eastAsia="宋体" w:cs="宋体"/>
          <w:color w:val="auto"/>
          <w:sz w:val="21"/>
          <w:highlight w:val="none"/>
        </w:rPr>
        <w:t>二楼开标室</w:t>
      </w:r>
      <w:r>
        <w:rPr>
          <w:rFonts w:hint="eastAsia" w:cs="宋体"/>
          <w:color w:val="auto"/>
          <w:sz w:val="21"/>
          <w:highlight w:val="none"/>
          <w:lang w:val="en-US" w:eastAsia="zh-CN"/>
        </w:rPr>
        <w:t>3</w:t>
      </w:r>
      <w:r>
        <w:rPr>
          <w:rFonts w:hint="eastAsia" w:hAnsi="宋体" w:eastAsia="宋体" w:cs="宋体"/>
          <w:color w:val="auto"/>
          <w:sz w:val="21"/>
          <w:highlight w:val="none"/>
        </w:rPr>
        <w:t>[宁波市海曙区气象路58号(南门上)]。政府采购云平台（http://www.zcygov.cn/）。</w:t>
      </w:r>
    </w:p>
    <w:p w14:paraId="3C218566">
      <w:pPr>
        <w:shd w:val="clear" w:color="auto" w:fill="auto"/>
        <w:tabs>
          <w:tab w:val="left" w:pos="720"/>
        </w:tabs>
        <w:adjustRightInd/>
        <w:textAlignment w:val="auto"/>
        <w:rPr>
          <w:rFonts w:hint="eastAsia" w:hAnsi="宋体" w:eastAsia="宋体" w:cs="宋体"/>
          <w:b/>
          <w:color w:val="auto"/>
          <w:sz w:val="21"/>
          <w:highlight w:val="none"/>
        </w:rPr>
      </w:pPr>
      <w:bookmarkStart w:id="74" w:name="_Toc35393794"/>
      <w:bookmarkStart w:id="75" w:name="_Toc28359007"/>
      <w:bookmarkStart w:id="76" w:name="_Toc35393625"/>
      <w:bookmarkStart w:id="77" w:name="_Toc28359084"/>
      <w:r>
        <w:rPr>
          <w:rFonts w:hint="eastAsia" w:hAnsi="宋体" w:eastAsia="宋体" w:cs="宋体"/>
          <w:b/>
          <w:color w:val="auto"/>
          <w:sz w:val="21"/>
          <w:highlight w:val="none"/>
        </w:rPr>
        <w:t>六、公告期限</w:t>
      </w:r>
      <w:bookmarkEnd w:id="74"/>
      <w:bookmarkEnd w:id="75"/>
      <w:bookmarkEnd w:id="76"/>
      <w:bookmarkEnd w:id="77"/>
    </w:p>
    <w:p w14:paraId="253BA422">
      <w:pPr>
        <w:shd w:val="clear" w:color="auto" w:fill="auto"/>
        <w:adjustRightInd/>
        <w:ind w:firstLine="420" w:firstLineChars="200"/>
        <w:textAlignment w:val="auto"/>
        <w:rPr>
          <w:rFonts w:hint="eastAsia" w:hAnsi="宋体" w:eastAsia="宋体" w:cs="宋体"/>
          <w:color w:val="auto"/>
          <w:sz w:val="21"/>
          <w:highlight w:val="none"/>
        </w:rPr>
      </w:pPr>
      <w:r>
        <w:rPr>
          <w:rFonts w:hint="eastAsia" w:hAnsi="宋体" w:eastAsia="宋体" w:cs="宋体"/>
          <w:color w:val="auto"/>
          <w:sz w:val="21"/>
          <w:highlight w:val="none"/>
        </w:rPr>
        <w:t>自本公告发布之日起3个工作日。</w:t>
      </w:r>
    </w:p>
    <w:p w14:paraId="57757905">
      <w:pPr>
        <w:shd w:val="clear" w:color="auto" w:fill="auto"/>
        <w:tabs>
          <w:tab w:val="left" w:pos="720"/>
        </w:tabs>
        <w:adjustRightInd/>
        <w:textAlignment w:val="auto"/>
        <w:rPr>
          <w:rFonts w:hint="eastAsia" w:hAnsi="宋体" w:eastAsia="宋体" w:cs="宋体"/>
          <w:b/>
          <w:color w:val="auto"/>
          <w:sz w:val="21"/>
          <w:highlight w:val="none"/>
        </w:rPr>
      </w:pPr>
      <w:r>
        <w:rPr>
          <w:rFonts w:hint="eastAsia" w:hAnsi="宋体" w:eastAsia="宋体" w:cs="宋体"/>
          <w:b/>
          <w:color w:val="auto"/>
          <w:sz w:val="21"/>
          <w:highlight w:val="none"/>
        </w:rPr>
        <w:t>七、其他补充事宜</w:t>
      </w:r>
    </w:p>
    <w:p w14:paraId="261BD4D8">
      <w:pPr>
        <w:widowControl/>
        <w:shd w:val="clear" w:color="auto" w:fill="auto"/>
        <w:adjustRightInd/>
        <w:ind w:firstLine="420" w:firstLineChars="200"/>
        <w:textAlignment w:val="auto"/>
        <w:rPr>
          <w:rFonts w:hint="eastAsia" w:hAnsi="宋体" w:eastAsia="宋体" w:cs="宋体"/>
          <w:color w:val="auto"/>
          <w:sz w:val="21"/>
          <w:highlight w:val="none"/>
        </w:rPr>
      </w:pPr>
      <w:r>
        <w:rPr>
          <w:rFonts w:hint="eastAsia" w:hAnsi="宋体" w:eastAsia="宋体" w:cs="宋体"/>
          <w:color w:val="auto"/>
          <w:sz w:val="21"/>
          <w:highlight w:val="none"/>
        </w:rPr>
        <w:t>1.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0678662">
      <w:pPr>
        <w:widowControl/>
        <w:shd w:val="clear" w:color="auto" w:fill="auto"/>
        <w:adjustRightInd/>
        <w:ind w:firstLine="420" w:firstLineChars="200"/>
        <w:textAlignment w:val="auto"/>
        <w:rPr>
          <w:rFonts w:hint="eastAsia" w:hAnsi="宋体" w:eastAsia="宋体" w:cs="宋体"/>
          <w:color w:val="auto"/>
          <w:sz w:val="21"/>
          <w:highlight w:val="none"/>
        </w:rPr>
      </w:pPr>
      <w:r>
        <w:rPr>
          <w:rFonts w:hint="eastAsia" w:hAnsi="宋体" w:eastAsia="宋体" w:cs="宋体"/>
          <w:color w:val="auto"/>
          <w:sz w:val="21"/>
          <w:highlight w:val="none"/>
        </w:rPr>
        <w:t>2.其他事项：</w:t>
      </w:r>
    </w:p>
    <w:p w14:paraId="774DBAFB">
      <w:pPr>
        <w:widowControl/>
        <w:adjustRightInd/>
        <w:ind w:firstLine="420" w:firstLineChars="200"/>
        <w:textAlignment w:val="auto"/>
        <w:rPr>
          <w:rFonts w:hAnsi="宋体" w:eastAsia="宋体" w:cs="宋体"/>
          <w:color w:val="auto"/>
          <w:sz w:val="21"/>
          <w:highlight w:val="none"/>
        </w:rPr>
      </w:pPr>
      <w:r>
        <w:rPr>
          <w:rFonts w:hint="eastAsia" w:hAnsi="宋体" w:eastAsia="宋体" w:cs="宋体"/>
          <w:color w:val="auto"/>
          <w:sz w:val="21"/>
          <w:highlight w:val="none"/>
        </w:rPr>
        <w:t>2.1落实的政策：</w:t>
      </w:r>
      <w:r>
        <w:rPr>
          <w:rFonts w:hint="eastAsia" w:ascii="宋体" w:hAnsi="宋体" w:eastAsia="宋体" w:cs="宋体"/>
          <w:color w:val="auto"/>
          <w:kern w:val="0"/>
          <w:sz w:val="21"/>
          <w:szCs w:val="21"/>
        </w:rPr>
        <w:t>《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23BCBB1E">
      <w:pPr>
        <w:widowControl/>
        <w:shd w:val="clear" w:color="auto" w:fill="auto"/>
        <w:adjustRightInd/>
        <w:ind w:firstLine="420" w:firstLineChars="200"/>
        <w:textAlignment w:val="auto"/>
        <w:rPr>
          <w:rFonts w:hint="eastAsia" w:hAnsi="宋体" w:eastAsia="宋体" w:cs="宋体"/>
          <w:color w:val="auto"/>
          <w:sz w:val="21"/>
          <w:highlight w:val="none"/>
        </w:rPr>
      </w:pPr>
      <w:r>
        <w:rPr>
          <w:rFonts w:hint="eastAsia" w:hAnsi="宋体" w:eastAsia="宋体" w:cs="宋体"/>
          <w:color w:val="auto"/>
          <w:sz w:val="21"/>
          <w:highlight w:val="none"/>
        </w:rPr>
        <w:t>2.2投标与开标注意事项</w:t>
      </w:r>
    </w:p>
    <w:p w14:paraId="7A8E829F">
      <w:pPr>
        <w:widowControl/>
        <w:numPr>
          <w:ilvl w:val="0"/>
          <w:numId w:val="2"/>
        </w:numPr>
        <w:shd w:val="clear" w:color="auto" w:fill="auto"/>
        <w:adjustRightInd/>
        <w:ind w:left="425" w:leftChars="0" w:hanging="425" w:firstLineChars="0"/>
        <w:textAlignment w:val="auto"/>
        <w:rPr>
          <w:rFonts w:hint="eastAsia" w:hAnsi="宋体" w:eastAsia="宋体" w:cs="宋体"/>
          <w:color w:val="auto"/>
          <w:sz w:val="21"/>
          <w:highlight w:val="none"/>
        </w:rPr>
      </w:pPr>
      <w:r>
        <w:rPr>
          <w:rFonts w:hint="eastAsia" w:hAnsi="宋体" w:eastAsia="宋体" w:cs="宋体"/>
          <w:color w:val="auto"/>
          <w:sz w:val="21"/>
          <w:highlight w:val="none"/>
        </w:rPr>
        <w:t>本项目实行网上投标，采用电子响应文件。若供应商参与投标，自行承担投标一切费用。</w:t>
      </w:r>
    </w:p>
    <w:p w14:paraId="249C260C">
      <w:pPr>
        <w:widowControl/>
        <w:numPr>
          <w:ilvl w:val="0"/>
          <w:numId w:val="2"/>
        </w:numPr>
        <w:shd w:val="clear" w:color="auto" w:fill="auto"/>
        <w:adjustRightInd/>
        <w:ind w:left="425" w:leftChars="0" w:hanging="425" w:firstLineChars="0"/>
        <w:textAlignment w:val="auto"/>
        <w:rPr>
          <w:rFonts w:hint="eastAsia" w:hAnsi="宋体" w:eastAsia="宋体" w:cs="宋体"/>
          <w:color w:val="auto"/>
          <w:sz w:val="21"/>
          <w:highlight w:val="none"/>
        </w:rPr>
      </w:pPr>
      <w:r>
        <w:rPr>
          <w:rFonts w:hint="eastAsia" w:hAnsi="宋体" w:eastAsia="宋体" w:cs="宋体"/>
          <w:color w:val="auto"/>
          <w:sz w:val="21"/>
          <w:highlight w:val="none"/>
        </w:rPr>
        <w:t>标前准备：因未办理CA数字证书等原因造成无法投标或投标失败等后果由供应商自行承担。</w:t>
      </w:r>
    </w:p>
    <w:p w14:paraId="2C07446C">
      <w:pPr>
        <w:widowControl/>
        <w:numPr>
          <w:ilvl w:val="0"/>
          <w:numId w:val="2"/>
        </w:numPr>
        <w:shd w:val="clear" w:color="auto" w:fill="auto"/>
        <w:adjustRightInd/>
        <w:ind w:left="425" w:leftChars="0" w:hanging="425" w:firstLineChars="0"/>
        <w:textAlignment w:val="auto"/>
        <w:rPr>
          <w:rFonts w:hint="eastAsia" w:hAnsi="宋体" w:eastAsia="宋体" w:cs="宋体"/>
          <w:color w:val="auto"/>
          <w:sz w:val="21"/>
          <w:highlight w:val="none"/>
        </w:rPr>
      </w:pPr>
      <w:r>
        <w:rPr>
          <w:rFonts w:hint="eastAsia" w:hAnsi="宋体" w:eastAsia="宋体" w:cs="宋体"/>
          <w:color w:val="auto"/>
          <w:sz w:val="21"/>
          <w:highlight w:val="none"/>
        </w:rPr>
        <w:t>响应文件制作：</w:t>
      </w:r>
    </w:p>
    <w:p w14:paraId="2DA492EF">
      <w:pPr>
        <w:widowControl/>
        <w:numPr>
          <w:ilvl w:val="0"/>
          <w:numId w:val="3"/>
        </w:numPr>
        <w:shd w:val="clear" w:color="auto" w:fill="auto"/>
        <w:adjustRightInd/>
        <w:ind w:left="425" w:leftChars="0" w:hanging="425" w:firstLineChars="0"/>
        <w:textAlignment w:val="auto"/>
        <w:rPr>
          <w:rFonts w:hint="eastAsia" w:hAnsi="宋体" w:eastAsia="宋体" w:cs="宋体"/>
          <w:color w:val="auto"/>
          <w:sz w:val="21"/>
          <w:highlight w:val="none"/>
        </w:rPr>
      </w:pPr>
      <w:r>
        <w:rPr>
          <w:rFonts w:hint="eastAsia" w:hAnsi="宋体" w:eastAsia="宋体" w:cs="宋体"/>
          <w:color w:val="auto"/>
          <w:sz w:val="21"/>
          <w:highlight w:val="none"/>
        </w:rPr>
        <w:t>应按照本项目磋商文件和政府采购云平台的要求编制、加密并递交响应文件。供应商在使用系统进行投标的过程中遇到涉及平台使用的任何问题，可致电政府采购云平台技术支持热线</w:t>
      </w:r>
      <w:r>
        <w:rPr>
          <w:rFonts w:hint="eastAsia" w:hAnsi="宋体" w:eastAsia="宋体" w:cs="宋体"/>
          <w:color w:val="auto"/>
          <w:sz w:val="21"/>
          <w:highlight w:val="none"/>
          <w:lang w:eastAsia="zh-CN"/>
        </w:rPr>
        <w:t>95763</w:t>
      </w:r>
      <w:r>
        <w:rPr>
          <w:rFonts w:hint="eastAsia" w:hAnsi="宋体" w:eastAsia="宋体" w:cs="宋体"/>
          <w:color w:val="auto"/>
          <w:sz w:val="21"/>
          <w:highlight w:val="none"/>
        </w:rPr>
        <w:t>咨询。</w:t>
      </w:r>
    </w:p>
    <w:p w14:paraId="0B7E765D">
      <w:pPr>
        <w:widowControl/>
        <w:numPr>
          <w:ilvl w:val="0"/>
          <w:numId w:val="3"/>
        </w:numPr>
        <w:shd w:val="clear" w:color="auto" w:fill="auto"/>
        <w:adjustRightInd/>
        <w:ind w:left="425" w:leftChars="0" w:hanging="425" w:firstLineChars="0"/>
        <w:textAlignment w:val="auto"/>
        <w:rPr>
          <w:rFonts w:hint="eastAsia" w:hAnsi="宋体" w:eastAsia="宋体" w:cs="宋体"/>
          <w:color w:val="auto"/>
          <w:sz w:val="21"/>
          <w:highlight w:val="none"/>
        </w:rPr>
      </w:pPr>
      <w:r>
        <w:rPr>
          <w:rFonts w:hint="eastAsia" w:hAnsi="宋体" w:eastAsia="宋体" w:cs="宋体"/>
          <w:color w:val="auto"/>
          <w:sz w:val="21"/>
          <w:highlight w:val="none"/>
        </w:rPr>
        <w:t>供应商通过政府采购云平台电子投标工具制作响应文件，电子投标工具请供应商自行前往浙江政府采购网下载并安装，响应文件制作具体流程详见政府采购云平台。</w:t>
      </w:r>
    </w:p>
    <w:p w14:paraId="2AC9A566">
      <w:pPr>
        <w:widowControl/>
        <w:numPr>
          <w:ilvl w:val="0"/>
          <w:numId w:val="3"/>
        </w:numPr>
        <w:shd w:val="clear" w:color="auto" w:fill="auto"/>
        <w:adjustRightInd/>
        <w:ind w:left="425" w:leftChars="0" w:hanging="425" w:firstLineChars="0"/>
        <w:textAlignment w:val="auto"/>
        <w:rPr>
          <w:rFonts w:hint="eastAsia" w:hAnsi="宋体" w:eastAsia="宋体" w:cs="宋体"/>
          <w:color w:val="auto"/>
          <w:sz w:val="21"/>
          <w:highlight w:val="none"/>
        </w:rPr>
      </w:pPr>
      <w:r>
        <w:rPr>
          <w:rFonts w:hint="eastAsia" w:hAnsi="宋体" w:eastAsia="宋体" w:cs="宋体"/>
          <w:color w:val="auto"/>
          <w:sz w:val="21"/>
          <w:highlight w:val="none"/>
        </w:rPr>
        <w:t>以U盘存储的电子备份响应文件1份，供应商上传平台的是后缀为.jmbs的加密文件，递交给招标代理公司的是后缀为.bfbs的备份文件，未及时解密的责任自负。</w:t>
      </w:r>
    </w:p>
    <w:p w14:paraId="5B4C0B34">
      <w:pPr>
        <w:shd w:val="clear" w:color="auto" w:fill="auto"/>
        <w:adjustRightInd/>
        <w:ind w:firstLine="420"/>
        <w:textAlignment w:val="auto"/>
        <w:rPr>
          <w:rFonts w:hint="eastAsia" w:hAnsi="宋体" w:eastAsia="宋体" w:cs="宋体"/>
          <w:bCs/>
          <w:color w:val="auto"/>
          <w:kern w:val="2"/>
          <w:sz w:val="21"/>
          <w:highlight w:val="none"/>
        </w:rPr>
      </w:pPr>
      <w:r>
        <w:rPr>
          <w:rFonts w:hint="eastAsia" w:hAnsi="宋体" w:eastAsia="宋体" w:cs="宋体"/>
          <w:color w:val="auto"/>
          <w:sz w:val="21"/>
          <w:highlight w:val="none"/>
        </w:rPr>
        <w:t>2.3供应商应在规定的磋商文件获取期限内在政采云平台登录供应商注册的账号后获取磋商文件，未按上述方式获取磋商文件的，不得对磋商文件提起质疑投诉。</w:t>
      </w:r>
    </w:p>
    <w:p w14:paraId="1251F2FF">
      <w:pPr>
        <w:widowControl/>
        <w:shd w:val="clear" w:color="auto" w:fill="auto"/>
        <w:adjustRightInd/>
        <w:ind w:firstLine="420" w:firstLineChars="200"/>
        <w:textAlignment w:val="auto"/>
        <w:rPr>
          <w:rFonts w:hint="eastAsia" w:hAnsi="宋体" w:eastAsia="宋体" w:cs="宋体"/>
          <w:color w:val="auto"/>
          <w:sz w:val="21"/>
          <w:highlight w:val="none"/>
        </w:rPr>
      </w:pPr>
      <w:r>
        <w:rPr>
          <w:rFonts w:hint="eastAsia" w:hAnsi="宋体" w:eastAsia="宋体" w:cs="宋体"/>
          <w:color w:val="auto"/>
          <w:sz w:val="21"/>
          <w:highlight w:val="none"/>
        </w:rPr>
        <w:t>2.4供应商应于响应文件提交（上传）截止时间前将电子响应文件上传到政府采购云平台www.zcygov.cn，未上传电子响应文件，视为供应商放弃投标。</w:t>
      </w:r>
    </w:p>
    <w:p w14:paraId="16B43DEC">
      <w:pPr>
        <w:widowControl/>
        <w:shd w:val="clear" w:color="auto" w:fill="auto"/>
        <w:adjustRightInd/>
        <w:ind w:firstLine="420" w:firstLineChars="200"/>
        <w:textAlignment w:val="auto"/>
        <w:rPr>
          <w:rFonts w:hint="eastAsia" w:hAnsi="宋体" w:eastAsia="宋体" w:cs="宋体"/>
          <w:color w:val="auto"/>
          <w:sz w:val="21"/>
          <w:highlight w:val="none"/>
        </w:rPr>
      </w:pPr>
      <w:r>
        <w:rPr>
          <w:rFonts w:hint="eastAsia" w:hAnsi="宋体" w:eastAsia="宋体" w:cs="宋体"/>
          <w:color w:val="auto"/>
          <w:sz w:val="21"/>
          <w:highlight w:val="none"/>
        </w:rPr>
        <w:t>2.5供应商如提供备份响应文件的，应于响应文件提交（上传）截止时间前，将以U盘存储的电子备份响应文件密封，逾期送达或未密封将予以拒收。供应商仅提供备份响应文件的，投标无效。</w:t>
      </w:r>
    </w:p>
    <w:p w14:paraId="5537D968">
      <w:pPr>
        <w:widowControl/>
        <w:shd w:val="clear" w:color="auto" w:fill="auto"/>
        <w:adjustRightInd/>
        <w:ind w:firstLine="420" w:firstLineChars="200"/>
        <w:textAlignment w:val="auto"/>
        <w:rPr>
          <w:rFonts w:hint="eastAsia" w:hAnsi="宋体" w:eastAsia="宋体" w:cs="宋体"/>
          <w:color w:val="auto"/>
          <w:sz w:val="21"/>
          <w:highlight w:val="none"/>
        </w:rPr>
      </w:pPr>
      <w:r>
        <w:rPr>
          <w:rFonts w:hint="eastAsia" w:hAnsi="宋体" w:eastAsia="宋体" w:cs="宋体"/>
          <w:color w:val="auto"/>
          <w:sz w:val="21"/>
          <w:highlight w:val="none"/>
        </w:rPr>
        <w:t>2.6采购代理机构将在磋商文件规定的响应文件开启时间通过政府采购云平台组织开标、开启响应文件，所有供应商均应准时在线参加。响应文件开启时间后30分钟内供应商可以登录政府采购云平台www.zcygov.cn，用“项目采购－开标评标”功能进行解密响应文件。</w:t>
      </w:r>
    </w:p>
    <w:p w14:paraId="11687EFA">
      <w:pPr>
        <w:widowControl/>
        <w:shd w:val="clear" w:color="auto" w:fill="auto"/>
        <w:adjustRightInd/>
        <w:ind w:firstLine="420" w:firstLineChars="200"/>
        <w:textAlignment w:val="auto"/>
        <w:rPr>
          <w:rFonts w:hint="eastAsia" w:hAnsi="宋体" w:eastAsia="宋体" w:cs="宋体"/>
          <w:color w:val="auto"/>
          <w:sz w:val="21"/>
          <w:highlight w:val="none"/>
        </w:rPr>
      </w:pPr>
      <w:r>
        <w:rPr>
          <w:rFonts w:hint="eastAsia" w:hAnsi="宋体" w:eastAsia="宋体" w:cs="宋体"/>
          <w:color w:val="auto"/>
          <w:sz w:val="21"/>
          <w:highlight w:val="none"/>
        </w:rPr>
        <w:t>2.7供应商可采用邮寄（含快递）方式或现场方式递交备份响应文件。</w:t>
      </w:r>
    </w:p>
    <w:p w14:paraId="4A5AEC58">
      <w:pPr>
        <w:widowControl/>
        <w:numPr>
          <w:ilvl w:val="0"/>
          <w:numId w:val="4"/>
        </w:numPr>
        <w:shd w:val="clear" w:color="auto" w:fill="auto"/>
        <w:adjustRightInd/>
        <w:ind w:left="425" w:leftChars="0" w:hanging="425" w:firstLineChars="0"/>
        <w:textAlignment w:val="auto"/>
        <w:rPr>
          <w:rFonts w:hint="eastAsia" w:hAnsi="宋体" w:eastAsia="宋体" w:cs="宋体"/>
          <w:color w:val="auto"/>
          <w:sz w:val="21"/>
          <w:highlight w:val="none"/>
        </w:rPr>
      </w:pPr>
      <w:r>
        <w:rPr>
          <w:rFonts w:hint="eastAsia" w:hAnsi="宋体" w:eastAsia="宋体" w:cs="宋体"/>
          <w:color w:val="auto"/>
          <w:sz w:val="21"/>
          <w:highlight w:val="none"/>
        </w:rPr>
        <w:t>采用邮寄方式递交备份响应文件，需按以下要求递交：</w:t>
      </w:r>
    </w:p>
    <w:p w14:paraId="2548854B">
      <w:pPr>
        <w:widowControl/>
        <w:shd w:val="clear" w:color="auto" w:fill="auto"/>
        <w:adjustRightInd/>
        <w:ind w:firstLine="420" w:firstLineChars="200"/>
        <w:textAlignment w:val="auto"/>
        <w:rPr>
          <w:rFonts w:hint="eastAsia" w:hAnsi="宋体" w:eastAsia="宋体" w:cs="宋体"/>
          <w:color w:val="auto"/>
          <w:sz w:val="21"/>
          <w:highlight w:val="none"/>
        </w:rPr>
      </w:pPr>
      <w:r>
        <w:rPr>
          <w:rFonts w:hint="eastAsia" w:hAnsi="宋体" w:eastAsia="宋体" w:cs="宋体"/>
          <w:color w:val="auto"/>
          <w:sz w:val="21"/>
          <w:highlight w:val="none"/>
        </w:rPr>
        <w:t>各供应商自行考虑邮寄在途时间，邮寄过程中无论何种因素导致备份响应文件未按时递交的后果，均由供应商自行负责。备份响应文件递交时间以采购代理实际收到备份响应文件的时间为准。</w:t>
      </w:r>
    </w:p>
    <w:p w14:paraId="15EA7908">
      <w:pPr>
        <w:widowControl/>
        <w:shd w:val="clear" w:color="auto" w:fill="auto"/>
        <w:adjustRightInd/>
        <w:ind w:firstLine="420" w:firstLineChars="200"/>
        <w:textAlignment w:val="auto"/>
        <w:rPr>
          <w:rFonts w:hint="eastAsia" w:hAnsi="宋体" w:eastAsia="宋体" w:cs="宋体"/>
          <w:color w:val="auto"/>
          <w:sz w:val="21"/>
          <w:highlight w:val="none"/>
        </w:rPr>
      </w:pPr>
      <w:r>
        <w:rPr>
          <w:rFonts w:hint="eastAsia" w:hAnsi="宋体" w:eastAsia="宋体" w:cs="宋体"/>
          <w:color w:val="auto"/>
          <w:sz w:val="21"/>
          <w:highlight w:val="none"/>
        </w:rPr>
        <w:t>请各供应商确保密封包装在邮寄过程密封包装完好，因邮寄过程的密封破损造成不符合开标要求的，本采购代理及采购人概不负责。</w:t>
      </w:r>
    </w:p>
    <w:p w14:paraId="19ADD3EA">
      <w:pPr>
        <w:widowControl/>
        <w:numPr>
          <w:ilvl w:val="0"/>
          <w:numId w:val="4"/>
        </w:numPr>
        <w:shd w:val="clear" w:color="auto" w:fill="auto"/>
        <w:adjustRightInd/>
        <w:ind w:left="425" w:leftChars="0" w:hanging="425" w:firstLineChars="0"/>
        <w:textAlignment w:val="auto"/>
        <w:rPr>
          <w:rFonts w:hint="eastAsia" w:hAnsi="宋体" w:eastAsia="宋体" w:cs="宋体"/>
          <w:color w:val="auto"/>
          <w:sz w:val="21"/>
          <w:highlight w:val="none"/>
        </w:rPr>
      </w:pPr>
      <w:r>
        <w:rPr>
          <w:rFonts w:hint="eastAsia" w:hAnsi="宋体" w:eastAsia="宋体" w:cs="宋体"/>
          <w:color w:val="auto"/>
          <w:sz w:val="21"/>
          <w:highlight w:val="none"/>
        </w:rPr>
        <w:t>采用现场方式送达备份响应文件，需按以下要求递交：</w:t>
      </w:r>
    </w:p>
    <w:p w14:paraId="219C7CA3">
      <w:pPr>
        <w:widowControl/>
        <w:shd w:val="clear" w:color="auto" w:fill="auto"/>
        <w:adjustRightInd/>
        <w:ind w:firstLine="420" w:firstLineChars="200"/>
        <w:textAlignment w:val="auto"/>
        <w:rPr>
          <w:rFonts w:hint="eastAsia" w:hAnsi="宋体" w:eastAsia="宋体" w:cs="宋体"/>
          <w:color w:val="auto"/>
          <w:sz w:val="21"/>
          <w:highlight w:val="none"/>
        </w:rPr>
      </w:pPr>
      <w:r>
        <w:rPr>
          <w:rFonts w:hint="eastAsia" w:hAnsi="宋体" w:eastAsia="宋体" w:cs="宋体"/>
          <w:color w:val="auto"/>
          <w:sz w:val="21"/>
          <w:highlight w:val="none"/>
        </w:rPr>
        <w:t>所有供应商可安排相关人员（原则上不超过一名）在响应文件提交（上传）截止时间前将备份响应文件送至</w:t>
      </w:r>
      <w:r>
        <w:rPr>
          <w:rFonts w:hint="eastAsia" w:hAnsi="宋体" w:eastAsia="宋体" w:cs="宋体"/>
          <w:color w:val="auto"/>
          <w:sz w:val="21"/>
          <w:highlight w:val="none"/>
          <w:lang w:eastAsia="zh-CN"/>
        </w:rPr>
        <w:t>宁波市海曙区营商环境服务中心</w:t>
      </w:r>
      <w:r>
        <w:rPr>
          <w:rFonts w:hint="eastAsia" w:hAnsi="宋体" w:eastAsia="宋体" w:cs="宋体"/>
          <w:color w:val="auto"/>
          <w:sz w:val="21"/>
          <w:highlight w:val="none"/>
        </w:rPr>
        <w:t>二楼开标室（南门上，宁波市海曙区气象路58号）。响应文件递交时需同时递交供应商的法定代表人（或其委托代理人）联系方式，并保证开标期间联系方式的畅通。</w:t>
      </w:r>
    </w:p>
    <w:p w14:paraId="3081079B">
      <w:pPr>
        <w:widowControl/>
        <w:shd w:val="clear" w:color="auto" w:fill="auto"/>
        <w:adjustRightInd/>
        <w:ind w:firstLine="420" w:firstLineChars="200"/>
        <w:textAlignment w:val="auto"/>
        <w:rPr>
          <w:rFonts w:hint="eastAsia" w:hAnsi="宋体" w:eastAsia="宋体" w:cs="宋体"/>
          <w:color w:val="auto"/>
          <w:sz w:val="21"/>
          <w:highlight w:val="none"/>
        </w:rPr>
      </w:pPr>
      <w:r>
        <w:rPr>
          <w:rFonts w:hint="eastAsia" w:hAnsi="宋体" w:eastAsia="宋体" w:cs="宋体"/>
          <w:color w:val="auto"/>
          <w:sz w:val="21"/>
          <w:highlight w:val="none"/>
        </w:rPr>
        <w:t>2.</w:t>
      </w:r>
      <w:r>
        <w:rPr>
          <w:rFonts w:hint="eastAsia" w:hAnsi="宋体" w:eastAsia="宋体" w:cs="宋体"/>
          <w:color w:val="auto"/>
          <w:sz w:val="21"/>
          <w:highlight w:val="none"/>
          <w:lang w:val="en-US" w:eastAsia="zh-CN"/>
        </w:rPr>
        <w:t>8</w:t>
      </w:r>
      <w:r>
        <w:rPr>
          <w:rFonts w:hint="eastAsia" w:hAnsi="宋体" w:eastAsia="宋体" w:cs="宋体"/>
          <w:color w:val="auto"/>
          <w:sz w:val="21"/>
          <w:highlight w:val="none"/>
        </w:rPr>
        <w:t>本公告发布媒体：中国政府采购网（www.ccgp.gov.cn）、浙江政府采购网（www.zjzfcg.gov.cn）、宁波政府采购网（www.nbzfcg.cn）、浙江省公共资源交易服务平台（ggzy.zj.gov.cn）、宁波市公共资源交易电子服务系统（甬易阳光）（jyxt.zwb.ningbo.gov.cn:4011/website/home）。</w:t>
      </w:r>
    </w:p>
    <w:p w14:paraId="40027E65">
      <w:pPr>
        <w:pStyle w:val="32"/>
        <w:widowControl w:val="0"/>
        <w:shd w:val="clear" w:color="auto" w:fill="auto"/>
        <w:snapToGrid/>
        <w:spacing w:after="0" w:afterLines="0" w:line="336" w:lineRule="auto"/>
        <w:ind w:firstLine="420"/>
        <w:jc w:val="left"/>
        <w:rPr>
          <w:rFonts w:ascii="宋体" w:hAnsi="宋体" w:cs="宋体"/>
          <w:color w:val="auto"/>
          <w:sz w:val="21"/>
          <w:szCs w:val="21"/>
          <w:highlight w:val="none"/>
        </w:rPr>
      </w:pPr>
      <w:r>
        <w:rPr>
          <w:rFonts w:hint="eastAsia" w:ascii="宋体" w:hAnsi="宋体" w:cs="宋体"/>
          <w:bCs/>
          <w:color w:val="auto"/>
          <w:kern w:val="2"/>
          <w:sz w:val="21"/>
          <w:szCs w:val="21"/>
          <w:highlight w:val="none"/>
        </w:rPr>
        <w:t>2.</w:t>
      </w:r>
      <w:r>
        <w:rPr>
          <w:rFonts w:hint="eastAsia" w:ascii="宋体" w:hAnsi="宋体" w:cs="宋体"/>
          <w:bCs/>
          <w:color w:val="auto"/>
          <w:kern w:val="2"/>
          <w:sz w:val="21"/>
          <w:szCs w:val="21"/>
          <w:highlight w:val="none"/>
          <w:lang w:val="en-US" w:eastAsia="zh-CN"/>
        </w:rPr>
        <w:t>9</w:t>
      </w:r>
      <w:r>
        <w:rPr>
          <w:rFonts w:hint="eastAsia" w:ascii="宋体" w:hAnsi="宋体" w:cs="宋体"/>
          <w:bCs/>
          <w:color w:val="auto"/>
          <w:kern w:val="2"/>
          <w:sz w:val="21"/>
          <w:szCs w:val="21"/>
          <w:highlight w:val="none"/>
        </w:rPr>
        <w:t>海曙区“政采贷”助力中小企业金融服务，有需要的中标（成交）供应商请于网站</w:t>
      </w:r>
      <w:r>
        <w:rPr>
          <w:rFonts w:hint="eastAsia" w:ascii="宋体" w:hAnsi="宋体" w:cs="宋体"/>
          <w:color w:val="auto"/>
          <w:sz w:val="21"/>
          <w:szCs w:val="21"/>
          <w:highlight w:val="none"/>
          <w:lang w:eastAsia="zh-CN"/>
        </w:rPr>
        <w:t>https://jyxt.zwb.ningbo.gov.cn:4011/website/announcementDetails?article_ID=9174636&amp;code=0101&amp;project_ID=N&amp;isShowTypeSteps=false&amp;project_NO=N&amp;sidebarID=</w:t>
      </w:r>
      <w:r>
        <w:rPr>
          <w:rFonts w:hint="eastAsia" w:ascii="宋体" w:hAnsi="宋体" w:cs="宋体"/>
          <w:bCs/>
          <w:color w:val="auto"/>
          <w:kern w:val="2"/>
          <w:sz w:val="21"/>
          <w:szCs w:val="21"/>
          <w:highlight w:val="none"/>
        </w:rPr>
        <w:t>办理具体业务。</w:t>
      </w:r>
    </w:p>
    <w:p w14:paraId="1D498E02">
      <w:pPr>
        <w:shd w:val="clear" w:color="auto" w:fill="auto"/>
        <w:tabs>
          <w:tab w:val="left" w:pos="720"/>
        </w:tabs>
        <w:adjustRightInd/>
        <w:textAlignment w:val="auto"/>
        <w:rPr>
          <w:rFonts w:hint="eastAsia" w:hAnsi="宋体" w:eastAsia="宋体" w:cs="宋体"/>
          <w:b/>
          <w:color w:val="auto"/>
          <w:sz w:val="21"/>
          <w:highlight w:val="none"/>
        </w:rPr>
      </w:pPr>
      <w:bookmarkStart w:id="78" w:name="_Toc28359085"/>
      <w:bookmarkStart w:id="79" w:name="_Toc35393796"/>
      <w:bookmarkStart w:id="80" w:name="_Toc28359008"/>
      <w:bookmarkStart w:id="81" w:name="_Toc35393627"/>
      <w:r>
        <w:rPr>
          <w:rFonts w:hint="eastAsia" w:hAnsi="宋体" w:eastAsia="宋体" w:cs="宋体"/>
          <w:b/>
          <w:color w:val="auto"/>
          <w:sz w:val="21"/>
          <w:highlight w:val="none"/>
        </w:rPr>
        <w:t>八、</w:t>
      </w:r>
      <w:bookmarkEnd w:id="78"/>
      <w:bookmarkEnd w:id="79"/>
      <w:bookmarkEnd w:id="80"/>
      <w:bookmarkEnd w:id="81"/>
      <w:r>
        <w:rPr>
          <w:rFonts w:hint="eastAsia" w:hAnsi="宋体" w:eastAsia="宋体" w:cs="宋体"/>
          <w:b/>
          <w:color w:val="auto"/>
          <w:sz w:val="21"/>
          <w:highlight w:val="none"/>
        </w:rPr>
        <w:t>凡对本次招标提出询问、质疑、投诉，请按以下方式联系</w:t>
      </w:r>
    </w:p>
    <w:p w14:paraId="6A66CD78">
      <w:pPr>
        <w:shd w:val="clear" w:color="auto" w:fill="auto"/>
        <w:adjustRightInd/>
        <w:spacing w:line="336" w:lineRule="auto"/>
        <w:ind w:firstLine="630" w:firstLineChars="300"/>
        <w:textAlignment w:val="auto"/>
        <w:rPr>
          <w:rFonts w:hint="eastAsia" w:ascii="宋体" w:hAnsi="宋体" w:eastAsia="宋体" w:cs="宋体"/>
          <w:color w:val="auto"/>
          <w:sz w:val="21"/>
          <w:highlight w:val="none"/>
        </w:rPr>
      </w:pPr>
      <w:r>
        <w:rPr>
          <w:rFonts w:hint="eastAsia" w:ascii="宋体" w:hAnsi="宋体" w:eastAsia="宋体" w:cs="宋体"/>
          <w:color w:val="auto"/>
          <w:sz w:val="21"/>
          <w:highlight w:val="none"/>
        </w:rPr>
        <w:t>1.采购人信息</w:t>
      </w:r>
    </w:p>
    <w:p w14:paraId="776B6EA5">
      <w:pPr>
        <w:shd w:val="clear" w:color="auto" w:fill="auto"/>
        <w:adjustRightInd/>
        <w:spacing w:line="336" w:lineRule="auto"/>
        <w:ind w:firstLine="630" w:firstLineChars="300"/>
        <w:textAlignment w:val="auto"/>
        <w:rPr>
          <w:rFonts w:hint="eastAsia" w:hAnsi="宋体" w:eastAsia="宋体" w:cs="宋体"/>
          <w:color w:val="auto"/>
          <w:sz w:val="21"/>
          <w:highlight w:val="none"/>
          <w:lang w:eastAsia="zh-CN"/>
        </w:rPr>
      </w:pPr>
      <w:r>
        <w:rPr>
          <w:rFonts w:hint="eastAsia" w:hAnsi="宋体" w:eastAsia="宋体" w:cs="宋体"/>
          <w:color w:val="auto"/>
          <w:sz w:val="21"/>
          <w:highlight w:val="none"/>
        </w:rPr>
        <w:t xml:space="preserve">名 </w:t>
      </w:r>
      <w:r>
        <w:rPr>
          <w:rFonts w:hint="eastAsia" w:hAnsi="宋体" w:eastAsia="宋体" w:cs="宋体"/>
          <w:color w:val="auto"/>
          <w:sz w:val="21"/>
          <w:highlight w:val="none"/>
          <w:lang w:val="en-US" w:eastAsia="zh-CN"/>
        </w:rPr>
        <w:t xml:space="preserve">   </w:t>
      </w:r>
      <w:r>
        <w:rPr>
          <w:rFonts w:hint="eastAsia" w:hAnsi="宋体" w:eastAsia="宋体" w:cs="宋体"/>
          <w:color w:val="auto"/>
          <w:sz w:val="21"/>
          <w:highlight w:val="none"/>
        </w:rPr>
        <w:t>称：</w:t>
      </w:r>
      <w:r>
        <w:rPr>
          <w:rFonts w:hint="eastAsia" w:hAnsi="宋体" w:eastAsia="宋体" w:cs="宋体"/>
          <w:color w:val="auto"/>
          <w:sz w:val="21"/>
          <w:highlight w:val="none"/>
          <w:lang w:eastAsia="zh-CN"/>
        </w:rPr>
        <w:t>宁波市海曙区</w:t>
      </w:r>
      <w:r>
        <w:rPr>
          <w:rFonts w:hint="eastAsia" w:hAnsi="宋体" w:eastAsia="宋体" w:cs="宋体"/>
          <w:color w:val="auto"/>
          <w:sz w:val="21"/>
          <w:highlight w:val="none"/>
          <w:lang w:val="en-US" w:eastAsia="zh-CN"/>
        </w:rPr>
        <w:t>章水</w:t>
      </w:r>
      <w:r>
        <w:rPr>
          <w:rFonts w:hint="eastAsia" w:hAnsi="宋体" w:eastAsia="宋体" w:cs="宋体"/>
          <w:color w:val="auto"/>
          <w:sz w:val="21"/>
          <w:highlight w:val="none"/>
          <w:lang w:eastAsia="zh-CN"/>
        </w:rPr>
        <w:t>镇人民政府</w:t>
      </w:r>
    </w:p>
    <w:p w14:paraId="7BBE1377">
      <w:pPr>
        <w:shd w:val="clear" w:color="auto" w:fill="auto"/>
        <w:adjustRightInd/>
        <w:spacing w:line="336" w:lineRule="auto"/>
        <w:ind w:firstLine="630" w:firstLineChars="300"/>
        <w:textAlignment w:val="auto"/>
        <w:rPr>
          <w:rFonts w:hint="default" w:ascii="宋体" w:hAnsi="宋体" w:eastAsia="宋体" w:cs="宋体"/>
          <w:color w:val="auto"/>
          <w:sz w:val="21"/>
          <w:highlight w:val="none"/>
          <w:lang w:val="en-US"/>
        </w:rPr>
      </w:pPr>
      <w:r>
        <w:rPr>
          <w:rFonts w:hint="eastAsia" w:hAnsi="宋体" w:eastAsia="宋体" w:cs="宋体"/>
          <w:color w:val="auto"/>
          <w:sz w:val="21"/>
          <w:highlight w:val="none"/>
        </w:rPr>
        <w:t xml:space="preserve">地 </w:t>
      </w:r>
      <w:r>
        <w:rPr>
          <w:rFonts w:hint="eastAsia" w:hAnsi="宋体" w:eastAsia="宋体" w:cs="宋体"/>
          <w:color w:val="auto"/>
          <w:sz w:val="21"/>
          <w:highlight w:val="none"/>
          <w:lang w:val="en-US" w:eastAsia="zh-CN"/>
        </w:rPr>
        <w:t xml:space="preserve">   </w:t>
      </w:r>
      <w:r>
        <w:rPr>
          <w:rFonts w:hint="eastAsia" w:hAnsi="宋体" w:eastAsia="宋体" w:cs="宋体"/>
          <w:color w:val="auto"/>
          <w:sz w:val="21"/>
          <w:highlight w:val="none"/>
        </w:rPr>
        <w:t>址：</w:t>
      </w:r>
      <w:r>
        <w:rPr>
          <w:rFonts w:hint="eastAsia" w:hAnsi="宋体" w:eastAsia="宋体" w:cs="宋体"/>
          <w:color w:val="auto"/>
          <w:sz w:val="21"/>
          <w:highlight w:val="none"/>
          <w:lang w:eastAsia="zh-CN"/>
        </w:rPr>
        <w:t>宁波市海曙区</w:t>
      </w:r>
      <w:r>
        <w:rPr>
          <w:rFonts w:hint="eastAsia" w:hAnsi="宋体" w:eastAsia="宋体" w:cs="宋体"/>
          <w:color w:val="auto"/>
          <w:sz w:val="21"/>
          <w:highlight w:val="none"/>
          <w:lang w:val="en-US" w:eastAsia="zh-CN"/>
        </w:rPr>
        <w:t>章水镇通远路700号</w:t>
      </w:r>
    </w:p>
    <w:p w14:paraId="1297D98C">
      <w:pPr>
        <w:shd w:val="clear" w:color="auto" w:fill="auto"/>
        <w:adjustRightInd/>
        <w:spacing w:line="336" w:lineRule="auto"/>
        <w:ind w:firstLine="630" w:firstLineChars="300"/>
        <w:textAlignment w:val="auto"/>
        <w:rPr>
          <w:rFonts w:hint="default" w:ascii="宋体" w:hAnsi="宋体" w:eastAsia="宋体" w:cs="宋体"/>
          <w:color w:val="auto"/>
          <w:sz w:val="21"/>
          <w:highlight w:val="none"/>
          <w:lang w:val="en-US" w:eastAsia="zh-CN"/>
        </w:rPr>
      </w:pPr>
      <w:r>
        <w:rPr>
          <w:rFonts w:hint="eastAsia" w:ascii="宋体" w:hAnsi="宋体" w:eastAsia="宋体" w:cs="宋体"/>
          <w:color w:val="auto"/>
          <w:sz w:val="21"/>
          <w:highlight w:val="none"/>
        </w:rPr>
        <w:t>项目联系人（询问）：</w:t>
      </w:r>
      <w:r>
        <w:rPr>
          <w:rFonts w:hint="eastAsia" w:cs="宋体"/>
          <w:color w:val="auto"/>
          <w:sz w:val="21"/>
          <w:highlight w:val="none"/>
          <w:lang w:val="en-US" w:eastAsia="zh-CN"/>
        </w:rPr>
        <w:t>郑老师</w:t>
      </w:r>
    </w:p>
    <w:p w14:paraId="67420438">
      <w:pPr>
        <w:shd w:val="clear" w:color="auto" w:fill="auto"/>
        <w:adjustRightInd/>
        <w:spacing w:line="336" w:lineRule="auto"/>
        <w:ind w:firstLine="630" w:firstLineChars="300"/>
        <w:textAlignment w:val="auto"/>
        <w:rPr>
          <w:rFonts w:hint="eastAsia" w:ascii="宋体" w:hAnsi="宋体" w:eastAsia="宋体" w:cs="宋体"/>
          <w:color w:val="auto"/>
          <w:sz w:val="21"/>
          <w:highlight w:val="none"/>
        </w:rPr>
      </w:pPr>
      <w:r>
        <w:rPr>
          <w:rFonts w:hint="eastAsia" w:ascii="宋体" w:hAnsi="宋体" w:eastAsia="宋体" w:cs="宋体"/>
          <w:color w:val="auto"/>
          <w:sz w:val="21"/>
          <w:highlight w:val="none"/>
        </w:rPr>
        <w:t>项目联系方式（询问）：</w:t>
      </w:r>
      <w:r>
        <w:rPr>
          <w:rFonts w:hint="eastAsia" w:cs="宋体"/>
          <w:color w:val="auto"/>
          <w:sz w:val="21"/>
          <w:highlight w:val="none"/>
          <w:lang w:val="en-US" w:eastAsia="zh-CN"/>
        </w:rPr>
        <w:t>0574-</w:t>
      </w:r>
      <w:r>
        <w:rPr>
          <w:rFonts w:hint="eastAsia" w:ascii="宋体" w:hAnsi="宋体" w:eastAsia="宋体" w:cs="宋体"/>
          <w:color w:val="auto"/>
          <w:sz w:val="21"/>
          <w:highlight w:val="none"/>
        </w:rPr>
        <w:t>88477899</w:t>
      </w:r>
    </w:p>
    <w:p w14:paraId="4AEC2D42">
      <w:pPr>
        <w:shd w:val="clear" w:color="auto" w:fill="auto"/>
        <w:adjustRightInd/>
        <w:spacing w:line="336" w:lineRule="auto"/>
        <w:ind w:firstLine="630" w:firstLineChars="300"/>
        <w:textAlignment w:val="auto"/>
        <w:rPr>
          <w:rFonts w:hint="eastAsia" w:ascii="宋体" w:hAnsi="宋体" w:eastAsia="宋体" w:cs="宋体"/>
          <w:color w:val="auto"/>
          <w:sz w:val="21"/>
          <w:highlight w:val="none"/>
        </w:rPr>
      </w:pPr>
      <w:r>
        <w:rPr>
          <w:rFonts w:hint="eastAsia" w:ascii="宋体" w:hAnsi="宋体" w:eastAsia="宋体" w:cs="宋体"/>
          <w:color w:val="auto"/>
          <w:sz w:val="21"/>
          <w:highlight w:val="none"/>
        </w:rPr>
        <w:t>质疑联系人：</w:t>
      </w:r>
      <w:r>
        <w:rPr>
          <w:rFonts w:hint="eastAsia" w:hAnsi="宋体" w:eastAsia="宋体" w:cs="宋体"/>
          <w:color w:val="auto"/>
          <w:sz w:val="21"/>
          <w:highlight w:val="none"/>
          <w:lang w:eastAsia="zh-CN"/>
        </w:rPr>
        <w:t>陈老师</w:t>
      </w:r>
      <w:r>
        <w:rPr>
          <w:rFonts w:hint="eastAsia" w:ascii="宋体" w:hAnsi="宋体" w:eastAsia="宋体" w:cs="宋体"/>
          <w:color w:val="auto"/>
          <w:sz w:val="21"/>
          <w:highlight w:val="none"/>
        </w:rPr>
        <w:t xml:space="preserve">   </w:t>
      </w:r>
    </w:p>
    <w:p w14:paraId="07129277">
      <w:pPr>
        <w:shd w:val="clear" w:color="auto" w:fill="auto"/>
        <w:adjustRightInd/>
        <w:spacing w:line="336" w:lineRule="auto"/>
        <w:ind w:firstLine="630" w:firstLineChars="300"/>
        <w:textAlignment w:val="auto"/>
        <w:rPr>
          <w:rFonts w:hint="default" w:eastAsia="宋体"/>
          <w:color w:val="auto"/>
          <w:highlight w:val="none"/>
          <w:lang w:val="en-US" w:eastAsia="zh-CN"/>
        </w:rPr>
      </w:pPr>
      <w:r>
        <w:rPr>
          <w:rFonts w:hint="eastAsia" w:ascii="宋体" w:hAnsi="宋体" w:eastAsia="宋体" w:cs="宋体"/>
          <w:color w:val="auto"/>
          <w:sz w:val="21"/>
          <w:highlight w:val="none"/>
        </w:rPr>
        <w:t>质疑联系方式：0574-8828</w:t>
      </w:r>
      <w:r>
        <w:rPr>
          <w:rFonts w:hint="eastAsia" w:hAnsi="宋体" w:eastAsia="宋体" w:cs="宋体"/>
          <w:color w:val="auto"/>
          <w:sz w:val="21"/>
          <w:highlight w:val="none"/>
          <w:lang w:val="en-US" w:eastAsia="zh-CN"/>
        </w:rPr>
        <w:t>9938</w:t>
      </w:r>
    </w:p>
    <w:p w14:paraId="68066E92">
      <w:pPr>
        <w:shd w:val="clear" w:color="auto" w:fill="auto"/>
        <w:adjustRightInd/>
        <w:spacing w:line="336" w:lineRule="auto"/>
        <w:ind w:firstLine="630" w:firstLineChars="300"/>
        <w:textAlignment w:val="auto"/>
        <w:rPr>
          <w:rFonts w:hint="eastAsia" w:hAnsi="宋体" w:eastAsia="宋体" w:cs="宋体"/>
          <w:color w:val="auto"/>
          <w:sz w:val="21"/>
          <w:highlight w:val="none"/>
        </w:rPr>
      </w:pPr>
      <w:r>
        <w:rPr>
          <w:rFonts w:hint="eastAsia" w:hAnsi="宋体" w:eastAsia="宋体" w:cs="宋体"/>
          <w:color w:val="auto"/>
          <w:sz w:val="21"/>
          <w:highlight w:val="none"/>
        </w:rPr>
        <w:t>2.采购代理机构信息</w:t>
      </w:r>
    </w:p>
    <w:p w14:paraId="5C0B1384">
      <w:pPr>
        <w:shd w:val="clear" w:color="auto" w:fill="auto"/>
        <w:adjustRightInd/>
        <w:spacing w:line="336" w:lineRule="auto"/>
        <w:ind w:firstLine="630" w:firstLineChars="300"/>
        <w:textAlignment w:val="auto"/>
        <w:rPr>
          <w:rFonts w:hint="eastAsia" w:hAnsi="宋体" w:eastAsia="宋体" w:cs="宋体"/>
          <w:color w:val="auto"/>
          <w:sz w:val="21"/>
          <w:highlight w:val="none"/>
          <w:lang w:val="en-US" w:eastAsia="zh-CN"/>
        </w:rPr>
      </w:pPr>
      <w:r>
        <w:rPr>
          <w:rFonts w:hint="eastAsia" w:hAnsi="宋体" w:eastAsia="宋体" w:cs="宋体"/>
          <w:color w:val="auto"/>
          <w:sz w:val="21"/>
          <w:highlight w:val="none"/>
        </w:rPr>
        <w:t>名    称：宁波</w:t>
      </w:r>
      <w:r>
        <w:rPr>
          <w:rFonts w:hint="eastAsia" w:hAnsi="宋体" w:eastAsia="宋体" w:cs="宋体"/>
          <w:color w:val="auto"/>
          <w:sz w:val="21"/>
          <w:highlight w:val="none"/>
          <w:lang w:val="en-US" w:eastAsia="zh-CN"/>
        </w:rPr>
        <w:t>国采招标咨询有限公司</w:t>
      </w:r>
    </w:p>
    <w:p w14:paraId="4C77B793">
      <w:pPr>
        <w:shd w:val="clear" w:color="auto" w:fill="auto"/>
        <w:adjustRightInd/>
        <w:spacing w:line="336" w:lineRule="auto"/>
        <w:ind w:firstLine="630" w:firstLineChars="300"/>
        <w:textAlignment w:val="auto"/>
        <w:rPr>
          <w:rFonts w:hint="eastAsia" w:hAnsi="宋体" w:eastAsia="宋体" w:cs="宋体"/>
          <w:color w:val="auto"/>
          <w:sz w:val="21"/>
          <w:highlight w:val="none"/>
          <w:lang w:eastAsia="zh-CN"/>
        </w:rPr>
      </w:pPr>
      <w:r>
        <w:rPr>
          <w:rFonts w:hint="eastAsia" w:hAnsi="宋体" w:eastAsia="宋体" w:cs="宋体"/>
          <w:color w:val="auto"/>
          <w:sz w:val="21"/>
          <w:highlight w:val="none"/>
        </w:rPr>
        <w:t>地    址：</w:t>
      </w:r>
      <w:r>
        <w:rPr>
          <w:rFonts w:hint="eastAsia" w:hAnsi="宋体" w:eastAsia="宋体" w:cs="宋体"/>
          <w:color w:val="auto"/>
          <w:sz w:val="21"/>
          <w:highlight w:val="none"/>
          <w:lang w:eastAsia="zh-CN"/>
        </w:rPr>
        <w:t>宁波市海曙区中山西路11号海曙大厦10楼A9室</w:t>
      </w:r>
    </w:p>
    <w:p w14:paraId="13BFA381">
      <w:pPr>
        <w:shd w:val="clear" w:color="auto" w:fill="auto"/>
        <w:adjustRightInd/>
        <w:spacing w:line="336" w:lineRule="auto"/>
        <w:ind w:firstLine="630" w:firstLineChars="300"/>
        <w:textAlignment w:val="auto"/>
        <w:rPr>
          <w:rFonts w:hint="default" w:cs="宋体"/>
          <w:color w:val="auto"/>
          <w:sz w:val="21"/>
          <w:highlight w:val="none"/>
          <w:lang w:val="en-US" w:eastAsia="zh-CN"/>
        </w:rPr>
      </w:pPr>
      <w:r>
        <w:rPr>
          <w:rFonts w:hint="eastAsia" w:hAnsi="宋体" w:eastAsia="宋体" w:cs="宋体"/>
          <w:color w:val="auto"/>
          <w:sz w:val="21"/>
          <w:highlight w:val="none"/>
        </w:rPr>
        <w:t>项目联系人（询问）：</w:t>
      </w:r>
      <w:r>
        <w:rPr>
          <w:rFonts w:hint="eastAsia" w:hAnsi="宋体" w:eastAsia="宋体" w:cs="宋体"/>
          <w:color w:val="auto"/>
          <w:sz w:val="21"/>
          <w:highlight w:val="none"/>
          <w:lang w:val="en-US" w:eastAsia="zh-CN"/>
        </w:rPr>
        <w:t>孟凤英、</w:t>
      </w:r>
      <w:r>
        <w:rPr>
          <w:rFonts w:hint="eastAsia" w:cs="宋体"/>
          <w:color w:val="auto"/>
          <w:sz w:val="21"/>
          <w:highlight w:val="none"/>
          <w:lang w:val="en-US" w:eastAsia="zh-CN"/>
        </w:rPr>
        <w:t>黄佳睿、郑纯璐、何频</w:t>
      </w:r>
    </w:p>
    <w:p w14:paraId="19997CF9">
      <w:pPr>
        <w:shd w:val="clear" w:color="auto" w:fill="auto"/>
        <w:adjustRightInd/>
        <w:spacing w:line="336" w:lineRule="auto"/>
        <w:ind w:firstLine="630" w:firstLineChars="300"/>
        <w:textAlignment w:val="auto"/>
        <w:rPr>
          <w:rFonts w:hint="default" w:hAnsi="宋体" w:eastAsia="宋体" w:cs="宋体"/>
          <w:color w:val="auto"/>
          <w:sz w:val="21"/>
          <w:highlight w:val="none"/>
          <w:lang w:val="en-US" w:eastAsia="zh-CN"/>
        </w:rPr>
      </w:pPr>
      <w:r>
        <w:rPr>
          <w:rFonts w:hint="eastAsia" w:hAnsi="宋体" w:eastAsia="宋体" w:cs="宋体"/>
          <w:color w:val="auto"/>
          <w:sz w:val="21"/>
          <w:highlight w:val="none"/>
        </w:rPr>
        <w:t>项目联系方式（询问）：</w:t>
      </w:r>
      <w:r>
        <w:rPr>
          <w:rFonts w:hint="eastAsia" w:hAnsi="宋体" w:eastAsia="宋体" w:cs="宋体"/>
          <w:color w:val="auto"/>
          <w:sz w:val="21"/>
          <w:highlight w:val="none"/>
          <w:lang w:val="en-US" w:eastAsia="zh-CN"/>
        </w:rPr>
        <w:t>0574-88340695</w:t>
      </w:r>
      <w:r>
        <w:rPr>
          <w:rFonts w:hint="eastAsia" w:cs="宋体"/>
          <w:color w:val="auto"/>
          <w:sz w:val="21"/>
          <w:highlight w:val="none"/>
          <w:lang w:val="en-US" w:eastAsia="zh-CN"/>
        </w:rPr>
        <w:t xml:space="preserve">  </w:t>
      </w:r>
      <w:r>
        <w:rPr>
          <w:rFonts w:hint="eastAsia" w:hAnsi="宋体" w:eastAsia="宋体" w:cs="宋体"/>
          <w:color w:val="auto"/>
          <w:sz w:val="21"/>
          <w:highlight w:val="none"/>
          <w:lang w:val="en-US" w:eastAsia="zh-CN"/>
        </w:rPr>
        <w:t xml:space="preserve"> 15205742166</w:t>
      </w:r>
    </w:p>
    <w:p w14:paraId="7D1DF03D">
      <w:pPr>
        <w:shd w:val="clear" w:color="auto" w:fill="auto"/>
        <w:adjustRightInd/>
        <w:spacing w:line="336" w:lineRule="auto"/>
        <w:ind w:firstLine="630" w:firstLineChars="300"/>
        <w:textAlignment w:val="auto"/>
        <w:rPr>
          <w:rFonts w:hint="default" w:hAnsi="宋体" w:eastAsia="宋体" w:cs="宋体"/>
          <w:color w:val="auto"/>
          <w:sz w:val="21"/>
          <w:highlight w:val="none"/>
          <w:lang w:val="en-US" w:eastAsia="zh-CN"/>
        </w:rPr>
      </w:pPr>
      <w:r>
        <w:rPr>
          <w:rFonts w:hint="eastAsia" w:hAnsi="宋体" w:eastAsia="宋体" w:cs="宋体"/>
          <w:color w:val="auto"/>
          <w:sz w:val="21"/>
          <w:highlight w:val="none"/>
        </w:rPr>
        <w:t>质疑联系人：</w:t>
      </w:r>
      <w:r>
        <w:rPr>
          <w:rFonts w:hint="eastAsia" w:hAnsi="宋体" w:eastAsia="宋体" w:cs="宋体"/>
          <w:color w:val="auto"/>
          <w:sz w:val="21"/>
          <w:highlight w:val="none"/>
          <w:lang w:val="en-US" w:eastAsia="zh-CN"/>
        </w:rPr>
        <w:t>梅棉棉</w:t>
      </w:r>
    </w:p>
    <w:p w14:paraId="7CF1406B">
      <w:pPr>
        <w:shd w:val="clear" w:color="auto" w:fill="auto"/>
        <w:adjustRightInd/>
        <w:spacing w:line="336" w:lineRule="auto"/>
        <w:ind w:firstLine="630" w:firstLineChars="300"/>
        <w:textAlignment w:val="auto"/>
        <w:rPr>
          <w:rFonts w:hint="default" w:hAnsi="宋体" w:eastAsia="宋体" w:cs="宋体"/>
          <w:color w:val="auto"/>
          <w:sz w:val="21"/>
          <w:highlight w:val="none"/>
          <w:lang w:val="en-US" w:eastAsia="zh-CN"/>
        </w:rPr>
      </w:pPr>
      <w:r>
        <w:rPr>
          <w:rFonts w:hint="eastAsia" w:hAnsi="宋体" w:eastAsia="宋体" w:cs="宋体"/>
          <w:color w:val="auto"/>
          <w:sz w:val="21"/>
          <w:highlight w:val="none"/>
        </w:rPr>
        <w:t>质疑联系方式：0574-88342931</w:t>
      </w:r>
    </w:p>
    <w:p w14:paraId="0F811E58">
      <w:pPr>
        <w:shd w:val="clear" w:color="auto" w:fill="auto"/>
        <w:adjustRightInd/>
        <w:spacing w:line="336" w:lineRule="auto"/>
        <w:ind w:firstLine="630" w:firstLineChars="300"/>
        <w:textAlignment w:val="auto"/>
        <w:rPr>
          <w:rFonts w:hint="eastAsia" w:hAnsi="宋体" w:eastAsia="宋体" w:cs="宋体"/>
          <w:color w:val="auto"/>
          <w:sz w:val="21"/>
          <w:highlight w:val="none"/>
        </w:rPr>
      </w:pPr>
      <w:r>
        <w:rPr>
          <w:rFonts w:hint="eastAsia" w:hAnsi="宋体" w:eastAsia="宋体" w:cs="宋体"/>
          <w:color w:val="auto"/>
          <w:sz w:val="21"/>
          <w:highlight w:val="none"/>
        </w:rPr>
        <w:t>3.同级政府采购监督管理部门</w:t>
      </w:r>
    </w:p>
    <w:p w14:paraId="7759CAAB">
      <w:pPr>
        <w:shd w:val="clear" w:color="auto" w:fill="auto"/>
        <w:adjustRightInd/>
        <w:spacing w:line="336" w:lineRule="auto"/>
        <w:ind w:firstLine="630" w:firstLineChars="300"/>
        <w:textAlignment w:val="auto"/>
        <w:rPr>
          <w:rFonts w:hint="eastAsia" w:hAnsi="宋体" w:eastAsia="宋体" w:cs="宋体"/>
          <w:color w:val="auto"/>
          <w:sz w:val="21"/>
          <w:highlight w:val="none"/>
        </w:rPr>
      </w:pPr>
      <w:r>
        <w:rPr>
          <w:rFonts w:hint="eastAsia" w:hAnsi="宋体" w:eastAsia="宋体" w:cs="宋体"/>
          <w:color w:val="auto"/>
          <w:sz w:val="21"/>
          <w:highlight w:val="none"/>
        </w:rPr>
        <w:t xml:space="preserve">名    称：宁波市海曙区政府采购办公室 </w:t>
      </w:r>
    </w:p>
    <w:p w14:paraId="3785725D">
      <w:pPr>
        <w:shd w:val="clear" w:color="auto" w:fill="auto"/>
        <w:adjustRightInd/>
        <w:spacing w:line="336" w:lineRule="auto"/>
        <w:ind w:firstLine="630" w:firstLineChars="300"/>
        <w:textAlignment w:val="auto"/>
        <w:rPr>
          <w:rFonts w:hint="eastAsia" w:hAnsi="宋体" w:eastAsia="宋体" w:cs="宋体"/>
          <w:color w:val="auto"/>
          <w:sz w:val="21"/>
          <w:highlight w:val="none"/>
        </w:rPr>
      </w:pPr>
      <w:r>
        <w:rPr>
          <w:rFonts w:hint="eastAsia" w:ascii="宋体" w:hAnsi="宋体" w:eastAsia="宋体" w:cs="宋体"/>
          <w:color w:val="auto"/>
          <w:sz w:val="21"/>
          <w:highlight w:val="none"/>
          <w:lang w:val="en-US" w:eastAsia="zh-CN"/>
        </w:rPr>
        <w:t>地    址：</w:t>
      </w:r>
      <w:r>
        <w:rPr>
          <w:rFonts w:hint="eastAsia" w:ascii="宋体" w:hAnsi="宋体" w:eastAsia="宋体" w:cs="宋体"/>
          <w:color w:val="auto"/>
          <w:sz w:val="21"/>
          <w:highlight w:val="none"/>
        </w:rPr>
        <w:t>宁波市海曙区大梁街48号天之海大厦</w:t>
      </w:r>
      <w:r>
        <w:rPr>
          <w:rFonts w:hint="eastAsia" w:ascii="宋体" w:hAnsi="宋体" w:eastAsia="宋体" w:cs="宋体"/>
          <w:color w:val="auto"/>
          <w:sz w:val="21"/>
          <w:highlight w:val="none"/>
          <w:lang w:val="en-US" w:eastAsia="zh-CN"/>
        </w:rPr>
        <w:t>214</w:t>
      </w:r>
      <w:r>
        <w:rPr>
          <w:rFonts w:hint="eastAsia" w:ascii="宋体" w:hAnsi="宋体" w:eastAsia="宋体" w:cs="宋体"/>
          <w:color w:val="auto"/>
          <w:sz w:val="21"/>
          <w:highlight w:val="none"/>
        </w:rPr>
        <w:t xml:space="preserve">         </w:t>
      </w:r>
      <w:r>
        <w:rPr>
          <w:rFonts w:hint="eastAsia" w:hAnsi="宋体" w:eastAsia="宋体" w:cs="宋体"/>
          <w:color w:val="auto"/>
          <w:sz w:val="21"/>
          <w:highlight w:val="none"/>
        </w:rPr>
        <w:t xml:space="preserve">                     </w:t>
      </w:r>
    </w:p>
    <w:p w14:paraId="06FF9BF5">
      <w:pPr>
        <w:shd w:val="clear" w:color="auto" w:fill="auto"/>
        <w:adjustRightInd/>
        <w:spacing w:line="336" w:lineRule="auto"/>
        <w:ind w:firstLine="630" w:firstLineChars="300"/>
        <w:textAlignment w:val="auto"/>
        <w:rPr>
          <w:rFonts w:hint="eastAsia" w:hAnsi="宋体" w:eastAsia="宋体" w:cs="宋体"/>
          <w:color w:val="auto"/>
          <w:sz w:val="21"/>
          <w:highlight w:val="none"/>
        </w:rPr>
      </w:pPr>
      <w:r>
        <w:rPr>
          <w:rFonts w:hint="eastAsia" w:hAnsi="宋体" w:eastAsia="宋体" w:cs="宋体"/>
          <w:color w:val="auto"/>
          <w:sz w:val="21"/>
          <w:highlight w:val="none"/>
        </w:rPr>
        <w:t>联系人：</w:t>
      </w:r>
      <w:r>
        <w:rPr>
          <w:rFonts w:hint="eastAsia" w:hAnsi="宋体" w:eastAsia="宋体" w:cs="宋体"/>
          <w:color w:val="auto"/>
          <w:sz w:val="21"/>
          <w:highlight w:val="none"/>
          <w:lang w:eastAsia="zh-CN"/>
        </w:rPr>
        <w:t>王</w:t>
      </w:r>
      <w:r>
        <w:rPr>
          <w:rFonts w:hint="eastAsia" w:hAnsi="宋体" w:eastAsia="宋体" w:cs="宋体"/>
          <w:color w:val="auto"/>
          <w:sz w:val="21"/>
          <w:highlight w:val="none"/>
        </w:rPr>
        <w:t xml:space="preserve">老师             </w:t>
      </w:r>
    </w:p>
    <w:p w14:paraId="71BEDA0D">
      <w:pPr>
        <w:shd w:val="clear" w:color="auto" w:fill="auto"/>
        <w:adjustRightInd/>
        <w:spacing w:line="336" w:lineRule="auto"/>
        <w:ind w:firstLine="630" w:firstLineChars="300"/>
        <w:textAlignment w:val="auto"/>
        <w:rPr>
          <w:rFonts w:hint="eastAsia" w:hAnsi="宋体" w:eastAsia="宋体" w:cs="宋体"/>
          <w:color w:val="auto"/>
          <w:sz w:val="21"/>
          <w:highlight w:val="none"/>
        </w:rPr>
      </w:pPr>
      <w:r>
        <w:rPr>
          <w:rFonts w:hint="eastAsia" w:hAnsi="宋体" w:eastAsia="宋体" w:cs="宋体"/>
          <w:color w:val="auto"/>
          <w:sz w:val="21"/>
          <w:highlight w:val="none"/>
        </w:rPr>
        <w:t>投诉电话：0574-87297540</w:t>
      </w:r>
    </w:p>
    <w:p w14:paraId="1DC5D7B5">
      <w:pPr>
        <w:shd w:val="clear" w:color="auto" w:fill="auto"/>
        <w:adjustRightInd/>
        <w:ind w:firstLine="420" w:firstLineChars="200"/>
        <w:textAlignment w:val="auto"/>
        <w:rPr>
          <w:rFonts w:hint="eastAsia" w:hAnsi="宋体" w:eastAsia="宋体" w:cs="宋体"/>
          <w:color w:val="auto"/>
          <w:sz w:val="21"/>
          <w:highlight w:val="none"/>
        </w:rPr>
      </w:pPr>
    </w:p>
    <w:p w14:paraId="53BA4270">
      <w:pPr>
        <w:shd w:val="clear" w:color="auto" w:fill="auto"/>
        <w:adjustRightInd/>
        <w:ind w:firstLine="420" w:firstLineChars="200"/>
        <w:textAlignment w:val="auto"/>
        <w:rPr>
          <w:rFonts w:hint="eastAsia" w:hAnsi="宋体" w:eastAsia="宋体" w:cs="宋体"/>
          <w:color w:val="auto"/>
          <w:sz w:val="21"/>
          <w:highlight w:val="none"/>
        </w:rPr>
      </w:pPr>
      <w:r>
        <w:rPr>
          <w:rFonts w:hint="eastAsia" w:hAnsi="宋体" w:eastAsia="宋体" w:cs="宋体"/>
          <w:color w:val="auto"/>
          <w:sz w:val="21"/>
          <w:highlight w:val="none"/>
        </w:rPr>
        <w:t>若对项目采购电子交易系统操作有疑问，可登录政采云（https://www.zcygov.cn/），点击右侧咨询小采，获取采小蜜智能服务管家帮助，或拨打政采云服务热线</w:t>
      </w:r>
      <w:r>
        <w:rPr>
          <w:rFonts w:hint="eastAsia" w:hAnsi="宋体" w:eastAsia="宋体" w:cs="宋体"/>
          <w:color w:val="auto"/>
          <w:sz w:val="21"/>
          <w:highlight w:val="none"/>
          <w:lang w:eastAsia="zh-CN"/>
        </w:rPr>
        <w:t>95763</w:t>
      </w:r>
      <w:r>
        <w:rPr>
          <w:rFonts w:hint="eastAsia" w:hAnsi="宋体" w:eastAsia="宋体" w:cs="宋体"/>
          <w:color w:val="auto"/>
          <w:sz w:val="21"/>
          <w:highlight w:val="none"/>
        </w:rPr>
        <w:t>获取热线服务帮助。</w:t>
      </w:r>
    </w:p>
    <w:p w14:paraId="29D7029F">
      <w:pPr>
        <w:shd w:val="clear" w:color="auto" w:fill="auto"/>
        <w:adjustRightInd/>
        <w:ind w:firstLine="420" w:firstLineChars="200"/>
        <w:textAlignment w:val="auto"/>
        <w:rPr>
          <w:rFonts w:hint="eastAsia" w:hAnsi="宋体" w:eastAsia="宋体" w:cs="宋体"/>
          <w:color w:val="auto"/>
          <w:sz w:val="21"/>
          <w:highlight w:val="none"/>
        </w:rPr>
      </w:pPr>
      <w:r>
        <w:rPr>
          <w:rFonts w:hint="eastAsia" w:hAnsi="宋体" w:eastAsia="宋体" w:cs="宋体"/>
          <w:color w:val="auto"/>
          <w:sz w:val="21"/>
          <w:highlight w:val="none"/>
        </w:rPr>
        <w:t>CA问题联系电话（人工）：汇信CA 400-888-4636；天谷CA 400-087-8198。</w:t>
      </w:r>
    </w:p>
    <w:p w14:paraId="4CE6894B">
      <w:pPr>
        <w:shd w:val="clear" w:color="auto" w:fill="auto"/>
        <w:adjustRightInd/>
        <w:ind w:firstLine="420" w:firstLineChars="200"/>
        <w:textAlignment w:val="auto"/>
        <w:rPr>
          <w:rFonts w:hint="eastAsia" w:hAnsi="宋体" w:eastAsia="宋体" w:cs="宋体"/>
          <w:color w:val="auto"/>
          <w:sz w:val="21"/>
          <w:highlight w:val="none"/>
        </w:rPr>
      </w:pPr>
    </w:p>
    <w:p w14:paraId="1C668A5B">
      <w:pPr>
        <w:pStyle w:val="32"/>
        <w:widowControl w:val="0"/>
        <w:shd w:val="clear" w:color="auto" w:fill="auto"/>
        <w:snapToGrid/>
        <w:spacing w:after="0" w:afterLines="0" w:line="336" w:lineRule="auto"/>
        <w:ind w:firstLine="420"/>
        <w:jc w:val="left"/>
        <w:rPr>
          <w:rFonts w:hint="eastAsia" w:ascii="宋体" w:hAnsi="宋体" w:cs="宋体"/>
          <w:color w:val="auto"/>
          <w:sz w:val="21"/>
          <w:szCs w:val="21"/>
          <w:highlight w:val="none"/>
        </w:rPr>
      </w:pPr>
    </w:p>
    <w:p w14:paraId="39465CCB">
      <w:pPr>
        <w:pStyle w:val="14"/>
        <w:shd w:val="clear" w:color="auto" w:fill="auto"/>
        <w:adjustRightInd/>
        <w:snapToGrid w:val="0"/>
        <w:jc w:val="center"/>
        <w:textAlignment w:val="auto"/>
        <w:rPr>
          <w:rFonts w:hint="eastAsia" w:ascii="宋体" w:hAnsi="宋体" w:cs="宋体"/>
          <w:b/>
          <w:color w:val="auto"/>
          <w:kern w:val="2"/>
          <w:sz w:val="32"/>
          <w:szCs w:val="32"/>
          <w:highlight w:val="none"/>
        </w:rPr>
        <w:sectPr>
          <w:headerReference r:id="rId6" w:type="default"/>
          <w:footerReference r:id="rId7" w:type="default"/>
          <w:pgSz w:w="11906" w:h="16838"/>
          <w:pgMar w:top="1474" w:right="1474" w:bottom="1247" w:left="1474" w:header="851" w:footer="850" w:gutter="0"/>
          <w:pgBorders>
            <w:top w:val="none" w:sz="0" w:space="0"/>
            <w:left w:val="none" w:sz="0" w:space="0"/>
            <w:bottom w:val="none" w:sz="0" w:space="0"/>
            <w:right w:val="none" w:sz="0" w:space="0"/>
          </w:pgBorders>
          <w:pgNumType w:fmt="decimal" w:start="1"/>
          <w:cols w:space="720" w:num="1"/>
          <w:docGrid w:linePitch="312" w:charSpace="0"/>
        </w:sectPr>
      </w:pPr>
    </w:p>
    <w:p w14:paraId="52BFB149">
      <w:pPr>
        <w:pStyle w:val="4"/>
        <w:numPr>
          <w:ilvl w:val="0"/>
          <w:numId w:val="5"/>
        </w:numPr>
        <w:bidi w:val="0"/>
        <w:jc w:val="center"/>
        <w:outlineLvl w:val="0"/>
        <w:rPr>
          <w:rFonts w:hint="eastAsia"/>
          <w:color w:val="auto"/>
          <w:highlight w:val="none"/>
        </w:rPr>
      </w:pPr>
      <w:bookmarkStart w:id="82" w:name="_Toc30562"/>
      <w:bookmarkStart w:id="83" w:name="_Toc27715"/>
      <w:r>
        <w:rPr>
          <w:rFonts w:hint="eastAsia"/>
          <w:color w:val="auto"/>
          <w:highlight w:val="none"/>
        </w:rPr>
        <w:t>供应商须知</w:t>
      </w:r>
      <w:bookmarkEnd w:id="21"/>
      <w:bookmarkEnd w:id="22"/>
      <w:bookmarkEnd w:id="23"/>
      <w:bookmarkEnd w:id="24"/>
      <w:bookmarkEnd w:id="82"/>
      <w:bookmarkEnd w:id="83"/>
      <w:bookmarkStart w:id="84" w:name="_Toc20823314"/>
      <w:bookmarkStart w:id="85" w:name="_Toc120614221"/>
      <w:bookmarkStart w:id="86" w:name="_Toc513029242"/>
      <w:bookmarkStart w:id="87" w:name="_Toc16938558"/>
      <w:bookmarkStart w:id="88" w:name="_Toc479757207"/>
    </w:p>
    <w:tbl>
      <w:tblPr>
        <w:tblStyle w:val="23"/>
        <w:tblW w:w="920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58"/>
        <w:gridCol w:w="1100"/>
        <w:gridCol w:w="7447"/>
      </w:tblGrid>
      <w:tr w14:paraId="35E8D3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8" w:type="dxa"/>
            <w:tcBorders>
              <w:top w:val="single" w:color="auto" w:sz="4" w:space="0"/>
              <w:left w:val="single" w:color="auto" w:sz="4" w:space="0"/>
              <w:bottom w:val="single" w:color="auto" w:sz="4" w:space="0"/>
              <w:right w:val="single" w:color="auto" w:sz="4" w:space="0"/>
            </w:tcBorders>
            <w:noWrap w:val="0"/>
            <w:vAlign w:val="center"/>
          </w:tcPr>
          <w:p w14:paraId="55A7817F">
            <w:pPr>
              <w:adjustRightInd/>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8547" w:type="dxa"/>
            <w:gridSpan w:val="2"/>
            <w:tcBorders>
              <w:top w:val="single" w:color="auto" w:sz="4" w:space="0"/>
              <w:left w:val="single" w:color="auto" w:sz="4" w:space="0"/>
              <w:bottom w:val="single" w:color="auto" w:sz="4" w:space="0"/>
              <w:right w:val="single" w:color="auto" w:sz="4" w:space="0"/>
            </w:tcBorders>
            <w:noWrap w:val="0"/>
            <w:vAlign w:val="center"/>
          </w:tcPr>
          <w:p w14:paraId="365304B0">
            <w:pPr>
              <w:adjustRightInd/>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内       容</w:t>
            </w:r>
          </w:p>
        </w:tc>
      </w:tr>
      <w:tr w14:paraId="1627EA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8" w:type="dxa"/>
            <w:tcBorders>
              <w:top w:val="single" w:color="auto" w:sz="4" w:space="0"/>
              <w:left w:val="single" w:color="auto" w:sz="4" w:space="0"/>
              <w:bottom w:val="single" w:color="auto" w:sz="4" w:space="0"/>
              <w:right w:val="single" w:color="auto" w:sz="4" w:space="0"/>
            </w:tcBorders>
            <w:noWrap w:val="0"/>
            <w:vAlign w:val="center"/>
          </w:tcPr>
          <w:p w14:paraId="2851E763">
            <w:pPr>
              <w:adjustRightInd/>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44F2E88E">
            <w:pPr>
              <w:adjustRightInd/>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投标报价和预算</w:t>
            </w:r>
          </w:p>
        </w:tc>
        <w:tc>
          <w:tcPr>
            <w:tcW w:w="7447" w:type="dxa"/>
            <w:tcBorders>
              <w:top w:val="single" w:color="auto" w:sz="4" w:space="0"/>
              <w:left w:val="single" w:color="auto" w:sz="4" w:space="0"/>
              <w:bottom w:val="single" w:color="auto" w:sz="4" w:space="0"/>
              <w:right w:val="single" w:color="auto" w:sz="4" w:space="0"/>
            </w:tcBorders>
            <w:noWrap w:val="0"/>
            <w:vAlign w:val="center"/>
          </w:tcPr>
          <w:p w14:paraId="06936A17">
            <w:pPr>
              <w:adjustRightInd/>
              <w:spacing w:line="288" w:lineRule="auto"/>
              <w:textAlignment w:val="auto"/>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投标报价及费用：</w:t>
            </w:r>
          </w:p>
          <w:p w14:paraId="55CADDFC">
            <w:pPr>
              <w:numPr>
                <w:ilvl w:val="0"/>
                <w:numId w:val="6"/>
              </w:numPr>
              <w:adjustRightInd/>
              <w:spacing w:line="336" w:lineRule="auto"/>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本项目投标应采用人民币报价。</w:t>
            </w:r>
          </w:p>
          <w:p w14:paraId="1EFE73C9">
            <w:pPr>
              <w:numPr>
                <w:ilvl w:val="0"/>
                <w:numId w:val="6"/>
              </w:numPr>
              <w:spacing w:line="400" w:lineRule="exact"/>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b w:val="0"/>
                <w:bCs w:val="0"/>
                <w:color w:val="auto"/>
                <w:kern w:val="2"/>
                <w:sz w:val="21"/>
                <w:szCs w:val="21"/>
                <w:highlight w:val="none"/>
              </w:rPr>
              <w:t>报价构成：</w:t>
            </w:r>
            <w:r>
              <w:rPr>
                <w:rFonts w:hint="eastAsia" w:ascii="宋体" w:hAnsi="宋体" w:eastAsia="宋体" w:cs="宋体"/>
                <w:color w:val="auto"/>
                <w:sz w:val="21"/>
                <w:szCs w:val="21"/>
                <w:highlight w:val="none"/>
              </w:rPr>
              <w:t>本项目的投标总价须包含完成服务所需的人工、按规定应缴纳的各种社会保险（含人身意外伤害保险等）、材料、运输、机械设备、劳保用品、林地清理、整地、挖穴、施基肥、定植、搬运上下山、交通、质保期内服务、采购代理服务费、利润、管理费、税金、政策性文件规定及合同包含的所有风险、责任等各项应有的费用，即完成本项目服务涉及的全部费用。</w:t>
            </w:r>
          </w:p>
          <w:p w14:paraId="06FCB78C">
            <w:pPr>
              <w:numPr>
                <w:ilvl w:val="0"/>
                <w:numId w:val="0"/>
              </w:numPr>
              <w:spacing w:line="400" w:lineRule="exact"/>
              <w:ind w:leftChars="0"/>
              <w:rPr>
                <w:rFonts w:hint="eastAsia" w:ascii="宋体" w:hAnsi="宋体" w:eastAsia="宋体" w:cs="宋体"/>
                <w:color w:val="auto"/>
                <w:kern w:val="2"/>
                <w:sz w:val="21"/>
                <w:szCs w:val="21"/>
                <w:highlight w:val="none"/>
                <w:lang w:bidi="ar"/>
              </w:rPr>
            </w:pPr>
            <w:r>
              <w:rPr>
                <w:rFonts w:hint="eastAsia" w:ascii="宋体" w:hAnsi="宋体" w:eastAsia="宋体" w:cs="宋体"/>
                <w:color w:val="auto"/>
                <w:sz w:val="21"/>
                <w:szCs w:val="21"/>
                <w:highlight w:val="none"/>
              </w:rPr>
              <w:t>注：人员基本工资不得低于宁波市人力资源和社会保障局最新发布的宁波市最低劳动工资标准。</w:t>
            </w:r>
          </w:p>
          <w:p w14:paraId="616E051E">
            <w:pPr>
              <w:adjustRightInd/>
              <w:snapToGrid w:val="0"/>
              <w:spacing w:before="31" w:beforeLines="10" w:after="31" w:afterLines="10"/>
              <w:textAlignment w:val="auto"/>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3）最高限价详见《第一章  竞争性磋商公告》 ，供应商响应报价超过预算金额或最高限价的作无效标处理。</w:t>
            </w:r>
          </w:p>
          <w:p w14:paraId="7A97F474">
            <w:pPr>
              <w:adjustRightInd/>
              <w:spacing w:line="336" w:lineRule="auto"/>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4）不论投标结果如何，供应商均应自行承担应承担的全部费用。</w:t>
            </w:r>
          </w:p>
          <w:p w14:paraId="5DBB59D7">
            <w:pPr>
              <w:adjustRightInd/>
              <w:spacing w:line="336" w:lineRule="auto"/>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rPr>
              <w:t>5）招标代理服务费的收取标准：根据国家发改委发改办价格[2003]857号通知和原国家计委计价格[2002]1980号文件规定的收费费率为取费标准下浮</w:t>
            </w:r>
            <w:r>
              <w:rPr>
                <w:rFonts w:hint="eastAsia"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0%</w:t>
            </w:r>
            <w:r>
              <w:rPr>
                <w:rFonts w:hint="eastAsia" w:hAnsi="宋体" w:eastAsia="宋体" w:cs="宋体"/>
                <w:color w:val="auto"/>
                <w:kern w:val="2"/>
                <w:sz w:val="21"/>
                <w:szCs w:val="21"/>
                <w:highlight w:val="none"/>
                <w:lang w:eastAsia="zh-CN"/>
              </w:rPr>
              <w:t>。</w:t>
            </w:r>
          </w:p>
          <w:p w14:paraId="57982D6A">
            <w:pPr>
              <w:adjustRightInd/>
              <w:spacing w:line="336" w:lineRule="auto"/>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6）关于本次招标代理服务费汇入以下账户：</w:t>
            </w:r>
          </w:p>
          <w:p w14:paraId="012FEE25">
            <w:pPr>
              <w:adjustRightInd/>
              <w:spacing w:line="336" w:lineRule="auto"/>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rPr>
              <w:t>户    名：</w:t>
            </w:r>
            <w:r>
              <w:rPr>
                <w:rFonts w:hint="eastAsia" w:ascii="宋体" w:hAnsi="宋体" w:eastAsia="宋体" w:cs="宋体"/>
                <w:color w:val="auto"/>
                <w:kern w:val="2"/>
                <w:sz w:val="21"/>
                <w:szCs w:val="21"/>
                <w:highlight w:val="none"/>
                <w:lang w:val="en-US" w:eastAsia="zh-CN"/>
              </w:rPr>
              <w:t>宁波国采招标咨询有限公司</w:t>
            </w:r>
          </w:p>
          <w:p w14:paraId="6B7B7031">
            <w:pPr>
              <w:adjustRightInd/>
              <w:spacing w:line="336" w:lineRule="auto"/>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rPr>
              <w:t>开户银行：</w:t>
            </w:r>
            <w:r>
              <w:rPr>
                <w:rFonts w:hint="eastAsia" w:ascii="宋体" w:hAnsi="宋体" w:eastAsia="宋体" w:cs="宋体"/>
                <w:color w:val="auto"/>
                <w:kern w:val="2"/>
                <w:sz w:val="21"/>
                <w:szCs w:val="21"/>
                <w:highlight w:val="none"/>
                <w:lang w:val="en-US" w:eastAsia="zh-CN"/>
              </w:rPr>
              <w:t>杭州银行宁波分行营业部</w:t>
            </w:r>
          </w:p>
          <w:p w14:paraId="45C0856F">
            <w:pPr>
              <w:adjustRightInd/>
              <w:spacing w:line="336" w:lineRule="auto"/>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帐    号：3302040160000911447</w:t>
            </w:r>
          </w:p>
          <w:p w14:paraId="5A5E73E4">
            <w:pPr>
              <w:adjustRightInd/>
              <w:spacing w:line="336" w:lineRule="auto"/>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7）支付流程：成交人按照中标（成交）结果公告确定金额支付至采购代理机构账户后将汇款底单、开票信息和发票、中标（成交）通知书邮寄地址发送至nbgczb1@163.com，采购代理机构在收到邮件后开具发票。</w:t>
            </w:r>
          </w:p>
        </w:tc>
      </w:tr>
      <w:tr w14:paraId="054D8B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8" w:type="dxa"/>
            <w:tcBorders>
              <w:top w:val="single" w:color="auto" w:sz="4" w:space="0"/>
              <w:left w:val="single" w:color="auto" w:sz="4" w:space="0"/>
              <w:bottom w:val="single" w:color="auto" w:sz="4" w:space="0"/>
              <w:right w:val="single" w:color="auto" w:sz="4" w:space="0"/>
            </w:tcBorders>
            <w:noWrap w:val="0"/>
            <w:vAlign w:val="center"/>
          </w:tcPr>
          <w:p w14:paraId="2D353903">
            <w:pPr>
              <w:adjustRightInd/>
              <w:jc w:val="center"/>
              <w:rPr>
                <w:rFonts w:hint="default" w:ascii="宋体" w:hAnsi="宋体" w:eastAsia="宋体" w:cs="宋体"/>
                <w:color w:val="auto"/>
                <w:sz w:val="21"/>
                <w:szCs w:val="21"/>
                <w:highlight w:val="none"/>
                <w:lang w:val="en-US" w:eastAsia="zh-CN"/>
              </w:rPr>
            </w:pPr>
            <w:r>
              <w:rPr>
                <w:rFonts w:hint="eastAsia" w:hAnsi="宋体" w:eastAsia="宋体" w:cs="宋体"/>
                <w:color w:val="auto"/>
                <w:sz w:val="21"/>
                <w:szCs w:val="21"/>
                <w:highlight w:val="none"/>
                <w:lang w:val="en-US" w:eastAsia="zh-CN"/>
              </w:rPr>
              <w:t>2</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1CDB0D9F">
            <w:pPr>
              <w:adjustRightInd/>
              <w:jc w:val="both"/>
              <w:rPr>
                <w:rFonts w:hint="default" w:ascii="宋体" w:hAnsi="宋体" w:eastAsia="宋体" w:cs="宋体"/>
                <w:color w:val="auto"/>
                <w:sz w:val="21"/>
                <w:szCs w:val="21"/>
                <w:highlight w:val="none"/>
                <w:lang w:val="en-US" w:eastAsia="zh-CN"/>
              </w:rPr>
            </w:pPr>
            <w:r>
              <w:rPr>
                <w:rFonts w:hint="eastAsia" w:hAnsi="宋体" w:eastAsia="宋体" w:cs="宋体"/>
                <w:color w:val="auto"/>
                <w:sz w:val="21"/>
                <w:szCs w:val="21"/>
                <w:highlight w:val="none"/>
                <w:lang w:val="en-US" w:eastAsia="zh-CN"/>
              </w:rPr>
              <w:t>服务期限</w:t>
            </w:r>
          </w:p>
        </w:tc>
        <w:tc>
          <w:tcPr>
            <w:tcW w:w="7447" w:type="dxa"/>
            <w:tcBorders>
              <w:top w:val="single" w:color="auto" w:sz="4" w:space="0"/>
              <w:left w:val="single" w:color="auto" w:sz="4" w:space="0"/>
              <w:bottom w:val="single" w:color="auto" w:sz="4" w:space="0"/>
              <w:right w:val="single" w:color="auto" w:sz="4" w:space="0"/>
            </w:tcBorders>
            <w:noWrap w:val="0"/>
            <w:vAlign w:val="center"/>
          </w:tcPr>
          <w:p w14:paraId="13AD38D9">
            <w:pPr>
              <w:numPr>
                <w:ilvl w:val="0"/>
                <w:numId w:val="0"/>
              </w:numPr>
              <w:adjustRightInd/>
              <w:ind w:left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自合同签订之日起至双方权力义务履行完毕止。</w:t>
            </w:r>
          </w:p>
        </w:tc>
      </w:tr>
      <w:tr w14:paraId="3E6F80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8" w:type="dxa"/>
            <w:tcBorders>
              <w:top w:val="single" w:color="auto" w:sz="4" w:space="0"/>
              <w:left w:val="single" w:color="auto" w:sz="4" w:space="0"/>
              <w:bottom w:val="single" w:color="auto" w:sz="4" w:space="0"/>
              <w:right w:val="single" w:color="auto" w:sz="4" w:space="0"/>
            </w:tcBorders>
            <w:noWrap w:val="0"/>
            <w:vAlign w:val="center"/>
          </w:tcPr>
          <w:p w14:paraId="7F6E1812">
            <w:pPr>
              <w:adjustRightInd/>
              <w:jc w:val="center"/>
              <w:rPr>
                <w:rFonts w:hint="eastAsia" w:ascii="宋体" w:hAnsi="宋体" w:eastAsia="宋体" w:cs="宋体"/>
                <w:color w:val="auto"/>
                <w:sz w:val="21"/>
                <w:szCs w:val="21"/>
                <w:highlight w:val="none"/>
                <w:lang w:val="en-US" w:eastAsia="zh-CN"/>
              </w:rPr>
            </w:pPr>
            <w:r>
              <w:rPr>
                <w:rFonts w:hint="eastAsia" w:hAnsi="宋体" w:eastAsia="宋体" w:cs="宋体"/>
                <w:color w:val="auto"/>
                <w:sz w:val="21"/>
                <w:szCs w:val="21"/>
                <w:highlight w:val="none"/>
                <w:lang w:val="en-US" w:eastAsia="zh-CN"/>
              </w:rPr>
              <w:t>3</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61CE7D1C">
            <w:pPr>
              <w:adjustRightInd/>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付款及</w:t>
            </w:r>
            <w:r>
              <w:rPr>
                <w:rFonts w:hint="eastAsia" w:hAnsi="宋体" w:eastAsia="宋体" w:cs="宋体"/>
                <w:color w:val="auto"/>
                <w:sz w:val="21"/>
                <w:szCs w:val="21"/>
                <w:highlight w:val="none"/>
                <w:lang w:val="en-US" w:eastAsia="zh-CN"/>
              </w:rPr>
              <w:t>履约</w:t>
            </w:r>
            <w:r>
              <w:rPr>
                <w:rFonts w:hint="eastAsia" w:ascii="宋体" w:hAnsi="宋体" w:eastAsia="宋体" w:cs="宋体"/>
                <w:color w:val="auto"/>
                <w:sz w:val="21"/>
                <w:szCs w:val="21"/>
                <w:highlight w:val="none"/>
                <w:lang w:val="en-US" w:eastAsia="zh-CN"/>
              </w:rPr>
              <w:t>保证金</w:t>
            </w:r>
          </w:p>
        </w:tc>
        <w:tc>
          <w:tcPr>
            <w:tcW w:w="7447" w:type="dxa"/>
            <w:tcBorders>
              <w:top w:val="single" w:color="auto" w:sz="4" w:space="0"/>
              <w:left w:val="single" w:color="auto" w:sz="4" w:space="0"/>
              <w:bottom w:val="single" w:color="auto" w:sz="4" w:space="0"/>
              <w:right w:val="single" w:color="auto" w:sz="4" w:space="0"/>
            </w:tcBorders>
            <w:noWrap w:val="0"/>
            <w:vAlign w:val="center"/>
          </w:tcPr>
          <w:p w14:paraId="64BAE1D5">
            <w:pPr>
              <w:numPr>
                <w:ilvl w:val="0"/>
                <w:numId w:val="7"/>
              </w:numPr>
              <w:adjustRightInd/>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付款方式：</w:t>
            </w:r>
          </w:p>
          <w:p w14:paraId="26BD6746">
            <w:pPr>
              <w:numPr>
                <w:ilvl w:val="0"/>
                <w:numId w:val="0"/>
              </w:numPr>
              <w:adjustRightInd/>
              <w:ind w:left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（1）合同签订后7个工作日内支付合同总价的40%；（中标人于合同签订前书面承诺放弃预付款或降低预付款支付比例的，可不适用本条款）；</w:t>
            </w:r>
          </w:p>
          <w:p w14:paraId="4CB4731A">
            <w:pPr>
              <w:numPr>
                <w:ilvl w:val="0"/>
                <w:numId w:val="0"/>
              </w:numPr>
              <w:adjustRightInd/>
              <w:ind w:left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（2）项目完成验收合格后支付至合同总价的100%。</w:t>
            </w:r>
          </w:p>
          <w:p w14:paraId="15E0F6B9">
            <w:pPr>
              <w:numPr>
                <w:ilvl w:val="0"/>
                <w:numId w:val="0"/>
              </w:numPr>
              <w:adjustRightInd/>
              <w:ind w:left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2.履约保证金：无</w:t>
            </w:r>
          </w:p>
        </w:tc>
      </w:tr>
      <w:tr w14:paraId="590CE4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1" w:hRule="atLeast"/>
          <w:jc w:val="center"/>
        </w:trPr>
        <w:tc>
          <w:tcPr>
            <w:tcW w:w="658" w:type="dxa"/>
            <w:tcBorders>
              <w:top w:val="single" w:color="auto" w:sz="4" w:space="0"/>
              <w:left w:val="single" w:color="auto" w:sz="4" w:space="0"/>
              <w:bottom w:val="single" w:color="auto" w:sz="4" w:space="0"/>
              <w:right w:val="single" w:color="auto" w:sz="4" w:space="0"/>
            </w:tcBorders>
            <w:noWrap w:val="0"/>
            <w:vAlign w:val="center"/>
          </w:tcPr>
          <w:p w14:paraId="3FC1BB0F">
            <w:pPr>
              <w:adjustRightInd/>
              <w:jc w:val="center"/>
              <w:rPr>
                <w:rFonts w:hint="eastAsia" w:ascii="宋体" w:hAnsi="宋体" w:eastAsia="宋体" w:cs="宋体"/>
                <w:color w:val="auto"/>
                <w:sz w:val="21"/>
                <w:szCs w:val="21"/>
                <w:highlight w:val="none"/>
                <w:lang w:eastAsia="zh-CN"/>
              </w:rPr>
            </w:pPr>
            <w:r>
              <w:rPr>
                <w:rFonts w:hint="eastAsia" w:hAnsi="宋体" w:eastAsia="宋体" w:cs="宋体"/>
                <w:color w:val="auto"/>
                <w:sz w:val="21"/>
                <w:szCs w:val="21"/>
                <w:highlight w:val="none"/>
                <w:lang w:val="en-US" w:eastAsia="zh-CN"/>
              </w:rPr>
              <w:t>4</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15A67915">
            <w:pPr>
              <w:adjustRightInd/>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采购方式</w:t>
            </w:r>
          </w:p>
        </w:tc>
        <w:tc>
          <w:tcPr>
            <w:tcW w:w="7447" w:type="dxa"/>
            <w:tcBorders>
              <w:top w:val="single" w:color="auto" w:sz="4" w:space="0"/>
              <w:left w:val="single" w:color="auto" w:sz="4" w:space="0"/>
              <w:bottom w:val="single" w:color="auto" w:sz="4" w:space="0"/>
              <w:right w:val="single" w:color="auto" w:sz="4" w:space="0"/>
            </w:tcBorders>
            <w:noWrap w:val="0"/>
            <w:vAlign w:val="center"/>
          </w:tcPr>
          <w:p w14:paraId="3555E2A8">
            <w:pPr>
              <w:adjustRightInd/>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竞争性磋商</w:t>
            </w:r>
          </w:p>
        </w:tc>
      </w:tr>
      <w:tr w14:paraId="12FA56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8" w:type="dxa"/>
            <w:tcBorders>
              <w:top w:val="single" w:color="auto" w:sz="4" w:space="0"/>
              <w:left w:val="single" w:color="auto" w:sz="4" w:space="0"/>
              <w:bottom w:val="single" w:color="auto" w:sz="4" w:space="0"/>
              <w:right w:val="single" w:color="auto" w:sz="4" w:space="0"/>
            </w:tcBorders>
            <w:noWrap w:val="0"/>
            <w:vAlign w:val="center"/>
          </w:tcPr>
          <w:p w14:paraId="355BA35F">
            <w:pPr>
              <w:adjustRightInd/>
              <w:jc w:val="center"/>
              <w:rPr>
                <w:rFonts w:hint="eastAsia" w:ascii="宋体" w:hAnsi="宋体" w:eastAsia="宋体" w:cs="宋体"/>
                <w:color w:val="auto"/>
                <w:sz w:val="21"/>
                <w:szCs w:val="21"/>
                <w:highlight w:val="none"/>
                <w:lang w:val="en-US" w:eastAsia="zh-CN"/>
              </w:rPr>
            </w:pPr>
            <w:r>
              <w:rPr>
                <w:rFonts w:hint="eastAsia" w:hAnsi="宋体" w:eastAsia="宋体" w:cs="宋体"/>
                <w:color w:val="auto"/>
                <w:sz w:val="21"/>
                <w:szCs w:val="21"/>
                <w:highlight w:val="none"/>
                <w:lang w:val="en-US" w:eastAsia="zh-CN"/>
              </w:rPr>
              <w:t>5</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03C29947">
            <w:pPr>
              <w:adjustRightInd/>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评分办法</w:t>
            </w:r>
          </w:p>
        </w:tc>
        <w:tc>
          <w:tcPr>
            <w:tcW w:w="7447" w:type="dxa"/>
            <w:tcBorders>
              <w:top w:val="single" w:color="auto" w:sz="4" w:space="0"/>
              <w:left w:val="single" w:color="auto" w:sz="4" w:space="0"/>
              <w:bottom w:val="single" w:color="auto" w:sz="4" w:space="0"/>
              <w:right w:val="single" w:color="auto" w:sz="4" w:space="0"/>
            </w:tcBorders>
            <w:noWrap w:val="0"/>
            <w:vAlign w:val="center"/>
          </w:tcPr>
          <w:p w14:paraId="37C5CC86">
            <w:pPr>
              <w:adjustRightInd/>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综合评分法</w:t>
            </w:r>
          </w:p>
        </w:tc>
      </w:tr>
      <w:tr w14:paraId="5B4101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658" w:type="dxa"/>
            <w:tcBorders>
              <w:top w:val="single" w:color="auto" w:sz="4" w:space="0"/>
              <w:left w:val="single" w:color="auto" w:sz="4" w:space="0"/>
              <w:bottom w:val="single" w:color="auto" w:sz="4" w:space="0"/>
              <w:right w:val="single" w:color="auto" w:sz="4" w:space="0"/>
            </w:tcBorders>
            <w:noWrap w:val="0"/>
            <w:vAlign w:val="center"/>
          </w:tcPr>
          <w:p w14:paraId="51FF92E2">
            <w:pPr>
              <w:adjustRightInd/>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hAnsi="宋体" w:eastAsia="宋体" w:cs="宋体"/>
                <w:color w:val="auto"/>
                <w:sz w:val="21"/>
                <w:szCs w:val="21"/>
                <w:highlight w:val="none"/>
                <w:lang w:val="en-US" w:eastAsia="zh-CN"/>
              </w:rPr>
              <w:t>6</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137A2425">
            <w:pPr>
              <w:adjustRightInd/>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7447" w:type="dxa"/>
            <w:tcBorders>
              <w:top w:val="single" w:color="auto" w:sz="4" w:space="0"/>
              <w:left w:val="single" w:color="auto" w:sz="4" w:space="0"/>
              <w:bottom w:val="single" w:color="auto" w:sz="4" w:space="0"/>
              <w:right w:val="single" w:color="auto" w:sz="4" w:space="0"/>
            </w:tcBorders>
            <w:noWrap w:val="0"/>
            <w:vAlign w:val="center"/>
          </w:tcPr>
          <w:p w14:paraId="0FEEC786">
            <w:pPr>
              <w:adjustRightInd/>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提交首次响应文件之日起</w:t>
            </w:r>
            <w:r>
              <w:rPr>
                <w:rFonts w:hint="eastAsia" w:hAnsi="宋体" w:eastAsia="宋体" w:cs="宋体"/>
                <w:color w:val="auto"/>
                <w:sz w:val="21"/>
                <w:szCs w:val="21"/>
                <w:highlight w:val="none"/>
                <w:lang w:val="en-US" w:eastAsia="zh-CN"/>
              </w:rPr>
              <w:t>60</w:t>
            </w:r>
            <w:r>
              <w:rPr>
                <w:rFonts w:hint="eastAsia" w:hAnsi="宋体" w:eastAsia="宋体" w:cs="宋体"/>
                <w:color w:val="auto"/>
                <w:sz w:val="21"/>
                <w:szCs w:val="21"/>
                <w:highlight w:val="none"/>
                <w:lang w:eastAsia="zh-CN"/>
              </w:rPr>
              <w:t>天</w:t>
            </w:r>
          </w:p>
        </w:tc>
      </w:tr>
      <w:tr w14:paraId="73DC03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4" w:hRule="atLeast"/>
          <w:jc w:val="center"/>
        </w:trPr>
        <w:tc>
          <w:tcPr>
            <w:tcW w:w="658" w:type="dxa"/>
            <w:tcBorders>
              <w:top w:val="single" w:color="auto" w:sz="4" w:space="0"/>
              <w:left w:val="single" w:color="auto" w:sz="4" w:space="0"/>
              <w:bottom w:val="single" w:color="auto" w:sz="4" w:space="0"/>
              <w:right w:val="single" w:color="auto" w:sz="4" w:space="0"/>
            </w:tcBorders>
            <w:noWrap w:val="0"/>
            <w:vAlign w:val="center"/>
          </w:tcPr>
          <w:p w14:paraId="3DAD0FD8">
            <w:pPr>
              <w:adjustRightInd/>
              <w:jc w:val="center"/>
              <w:rPr>
                <w:rFonts w:hint="eastAsia" w:ascii="宋体" w:hAnsi="宋体" w:eastAsia="宋体" w:cs="宋体"/>
                <w:color w:val="auto"/>
                <w:sz w:val="21"/>
                <w:szCs w:val="21"/>
                <w:highlight w:val="none"/>
                <w:lang w:eastAsia="zh-CN"/>
              </w:rPr>
            </w:pPr>
            <w:r>
              <w:rPr>
                <w:rFonts w:hint="eastAsia" w:hAnsi="宋体" w:eastAsia="宋体" w:cs="宋体"/>
                <w:color w:val="auto"/>
                <w:sz w:val="21"/>
                <w:szCs w:val="21"/>
                <w:highlight w:val="none"/>
                <w:lang w:val="en-US" w:eastAsia="zh-CN"/>
              </w:rPr>
              <w:t>7</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18360890">
            <w:pPr>
              <w:adjustRightInd/>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响应文件份数</w:t>
            </w:r>
          </w:p>
        </w:tc>
        <w:tc>
          <w:tcPr>
            <w:tcW w:w="7447" w:type="dxa"/>
            <w:tcBorders>
              <w:top w:val="single" w:color="auto" w:sz="4" w:space="0"/>
              <w:left w:val="single" w:color="auto" w:sz="4" w:space="0"/>
              <w:bottom w:val="single" w:color="auto" w:sz="4" w:space="0"/>
              <w:right w:val="single" w:color="auto" w:sz="4" w:space="0"/>
            </w:tcBorders>
            <w:noWrap w:val="0"/>
            <w:vAlign w:val="center"/>
          </w:tcPr>
          <w:p w14:paraId="1910E841">
            <w:pPr>
              <w:adjustRightInd/>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响应文件组成与份数：</w:t>
            </w:r>
          </w:p>
          <w:p w14:paraId="3330FAA3">
            <w:pPr>
              <w:adjustRightInd/>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上传到政府采购云平台的电子响应文件（含资格文件、商务技术文件、报价文件）1份。</w:t>
            </w:r>
          </w:p>
          <w:p w14:paraId="1D09C096">
            <w:pPr>
              <w:adjustRightInd/>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以U盘存储的电子备份响应文件（含资格文件、商务技术文件、报价文件）1份。</w:t>
            </w:r>
          </w:p>
        </w:tc>
      </w:tr>
      <w:tr w14:paraId="20CA65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8" w:type="dxa"/>
            <w:tcBorders>
              <w:top w:val="single" w:color="auto" w:sz="4" w:space="0"/>
              <w:left w:val="single" w:color="auto" w:sz="4" w:space="0"/>
              <w:bottom w:val="single" w:color="auto" w:sz="4" w:space="0"/>
              <w:right w:val="single" w:color="auto" w:sz="4" w:space="0"/>
            </w:tcBorders>
            <w:noWrap w:val="0"/>
            <w:vAlign w:val="center"/>
          </w:tcPr>
          <w:p w14:paraId="013ACAEF">
            <w:pPr>
              <w:adjustRightInd/>
              <w:jc w:val="center"/>
              <w:rPr>
                <w:rFonts w:hint="eastAsia" w:ascii="宋体" w:hAnsi="宋体" w:eastAsia="宋体" w:cs="宋体"/>
                <w:color w:val="auto"/>
                <w:sz w:val="21"/>
                <w:szCs w:val="21"/>
                <w:highlight w:val="none"/>
                <w:lang w:eastAsia="zh-CN"/>
              </w:rPr>
            </w:pPr>
            <w:r>
              <w:rPr>
                <w:rFonts w:hint="eastAsia" w:hAnsi="宋体" w:eastAsia="宋体" w:cs="宋体"/>
                <w:color w:val="auto"/>
                <w:sz w:val="21"/>
                <w:szCs w:val="21"/>
                <w:highlight w:val="none"/>
                <w:lang w:val="en-US" w:eastAsia="zh-CN"/>
              </w:rPr>
              <w:t>8</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1DFDEEDA">
            <w:pPr>
              <w:adjustRightInd/>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签订合同时间</w:t>
            </w:r>
          </w:p>
        </w:tc>
        <w:tc>
          <w:tcPr>
            <w:tcW w:w="7447" w:type="dxa"/>
            <w:tcBorders>
              <w:top w:val="single" w:color="auto" w:sz="4" w:space="0"/>
              <w:left w:val="single" w:color="auto" w:sz="4" w:space="0"/>
              <w:bottom w:val="single" w:color="auto" w:sz="4" w:space="0"/>
              <w:right w:val="single" w:color="auto" w:sz="4" w:space="0"/>
            </w:tcBorders>
            <w:noWrap w:val="0"/>
            <w:vAlign w:val="center"/>
          </w:tcPr>
          <w:p w14:paraId="478E55C1">
            <w:pPr>
              <w:adjustRightInd/>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成交通知书发出后30日内。</w:t>
            </w:r>
          </w:p>
        </w:tc>
      </w:tr>
      <w:tr w14:paraId="3B07B9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8" w:type="dxa"/>
            <w:tcBorders>
              <w:top w:val="single" w:color="auto" w:sz="4" w:space="0"/>
              <w:left w:val="single" w:color="auto" w:sz="4" w:space="0"/>
              <w:bottom w:val="single" w:color="auto" w:sz="4" w:space="0"/>
              <w:right w:val="single" w:color="auto" w:sz="4" w:space="0"/>
            </w:tcBorders>
            <w:noWrap w:val="0"/>
            <w:vAlign w:val="center"/>
          </w:tcPr>
          <w:p w14:paraId="1DD9816D">
            <w:pPr>
              <w:pStyle w:val="14"/>
              <w:adjustRightInd/>
              <w:jc w:val="center"/>
              <w:rPr>
                <w:rFonts w:hint="eastAsia" w:ascii="宋体" w:hAnsi="宋体" w:eastAsia="宋体" w:cs="宋体"/>
                <w:bCs/>
                <w:color w:val="auto"/>
                <w:sz w:val="21"/>
                <w:szCs w:val="21"/>
                <w:highlight w:val="none"/>
                <w:lang w:eastAsia="zh-CN"/>
              </w:rPr>
            </w:pPr>
            <w:r>
              <w:rPr>
                <w:rFonts w:hint="eastAsia" w:ascii="宋体" w:hAnsi="宋体" w:cs="宋体"/>
                <w:bCs/>
                <w:color w:val="auto"/>
                <w:sz w:val="21"/>
                <w:szCs w:val="21"/>
                <w:highlight w:val="none"/>
                <w:lang w:val="en-US" w:eastAsia="zh-CN"/>
              </w:rPr>
              <w:t>9</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03DC564B">
            <w:pPr>
              <w:adjustRightInd/>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采购资金来源</w:t>
            </w:r>
          </w:p>
        </w:tc>
        <w:tc>
          <w:tcPr>
            <w:tcW w:w="7447" w:type="dxa"/>
            <w:tcBorders>
              <w:top w:val="single" w:color="auto" w:sz="4" w:space="0"/>
              <w:left w:val="single" w:color="auto" w:sz="4" w:space="0"/>
              <w:bottom w:val="single" w:color="auto" w:sz="4" w:space="0"/>
              <w:right w:val="single" w:color="auto" w:sz="4" w:space="0"/>
            </w:tcBorders>
            <w:noWrap w:val="0"/>
            <w:vAlign w:val="center"/>
          </w:tcPr>
          <w:p w14:paraId="1E08A162">
            <w:pPr>
              <w:adjustRightInd/>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财政资金</w:t>
            </w:r>
          </w:p>
        </w:tc>
      </w:tr>
      <w:tr w14:paraId="47F95F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9205" w:type="dxa"/>
            <w:gridSpan w:val="3"/>
            <w:tcBorders>
              <w:top w:val="single" w:color="auto" w:sz="4" w:space="0"/>
              <w:left w:val="single" w:color="auto" w:sz="4" w:space="0"/>
              <w:bottom w:val="single" w:color="auto" w:sz="4" w:space="0"/>
              <w:right w:val="single" w:color="auto" w:sz="4" w:space="0"/>
            </w:tcBorders>
            <w:noWrap w:val="0"/>
            <w:vAlign w:val="center"/>
          </w:tcPr>
          <w:p w14:paraId="7F3D58FD">
            <w:pPr>
              <w:adjustRightInd/>
              <w:jc w:val="lef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解释：本磋商文件的解释权属于采购单位。</w:t>
            </w:r>
          </w:p>
        </w:tc>
      </w:tr>
    </w:tbl>
    <w:p w14:paraId="166739E3">
      <w:pP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br w:type="page"/>
      </w:r>
    </w:p>
    <w:p w14:paraId="24AE35D0">
      <w:pPr>
        <w:bidi w:val="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一  总  则</w:t>
      </w:r>
    </w:p>
    <w:p w14:paraId="0FFC3BF1">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 适用范围</w:t>
      </w:r>
    </w:p>
    <w:p w14:paraId="4D208521">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本磋商文件适用于本项目的采购邀请、响应、评审、验收、合同履约、付款等行为（法律、法规另有规定的，从其规定）。除非另有规定和说明，本须知中的“供应商”一词亦指联合体各方。</w:t>
      </w:r>
    </w:p>
    <w:p w14:paraId="3E2CC82E">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（二）定义</w:t>
      </w:r>
    </w:p>
    <w:p w14:paraId="6149BB40">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1.“采购单位”系指组织本次采购的代理机构和采购人。</w:t>
      </w:r>
    </w:p>
    <w:p w14:paraId="2447EFD6">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2.“供应商”系指向采购单位提交响应文件的单位或个人。</w:t>
      </w:r>
    </w:p>
    <w:p w14:paraId="30C1AEA7">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3.“产品”系指供应商按磋商文件规定，须向采购人提供的一切设备、保险、税金、备品备件、工具、手册及其它有关技术资料和材料。</w:t>
      </w:r>
    </w:p>
    <w:p w14:paraId="5E5AD0C7">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4.“服务”系指磋商文件规定供应商须提供的本项目相关服务以及其他类似的义务。</w:t>
      </w:r>
    </w:p>
    <w:p w14:paraId="4E3E2887">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5.“项目”系指供应商按磋商文件规定向采购人提供的产品和服务。</w:t>
      </w:r>
    </w:p>
    <w:p w14:paraId="3FE1F7C8">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6.“书面形式”包括信函、传真、电函等。</w:t>
      </w:r>
    </w:p>
    <w:p w14:paraId="07547E73">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7.“★”系指实质性要求条款，供应商的投标对任何带“★”号的重要商务和技术条款的偏离和未作实质性响应都将直接导致投标无效。</w:t>
      </w:r>
    </w:p>
    <w:p w14:paraId="417FE9BD">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（三）采购方式</w:t>
      </w:r>
    </w:p>
    <w:p w14:paraId="172083BE">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本次采购采用竞争性磋商方式进行。</w:t>
      </w:r>
    </w:p>
    <w:p w14:paraId="6696A720">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（四）磋商委托</w:t>
      </w:r>
    </w:p>
    <w:p w14:paraId="2382195E">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如供应商派授权代表出席磋商会议，授权代表须携带有效身份证件。如授权代表不是法定代表人，须有法定代表人出具的授权委托书（格式见第六章）。</w:t>
      </w:r>
    </w:p>
    <w:p w14:paraId="60E2C6D4">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（五）磋商费用</w:t>
      </w:r>
    </w:p>
    <w:p w14:paraId="16E15E1F">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不论采购结果如何，供应商均应自行承担所有与采购有关的全部费用（磋商文件有相关规定除外）。</w:t>
      </w:r>
    </w:p>
    <w:p w14:paraId="0FB5526C">
      <w:pPr>
        <w:pStyle w:val="5"/>
        <w:keepNext w:val="0"/>
        <w:keepLines w:val="0"/>
        <w:pageBreakBefore w:val="0"/>
        <w:widowControl w:val="0"/>
        <w:numPr>
          <w:ilvl w:val="0"/>
          <w:numId w:val="0"/>
        </w:numPr>
        <w:shd w:val="clear" w:color="auto" w:fill="auto"/>
        <w:tabs>
          <w:tab w:val="left" w:pos="720"/>
          <w:tab w:val="center" w:pos="4810"/>
        </w:tabs>
        <w:kinsoku/>
        <w:wordWrap/>
        <w:overflowPunct/>
        <w:topLinePunct w:val="0"/>
        <w:autoSpaceDE/>
        <w:autoSpaceDN/>
        <w:bidi w:val="0"/>
        <w:adjustRightInd/>
        <w:spacing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（六）联合体报价</w:t>
      </w:r>
    </w:p>
    <w:p w14:paraId="7F94BD5D">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本项目</w:t>
      </w:r>
      <w:r>
        <w:rPr>
          <w:rFonts w:hint="eastAsia" w:ascii="宋体" w:hAnsi="宋体" w:eastAsia="宋体" w:cs="宋体"/>
          <w:bCs/>
          <w:color w:val="auto"/>
          <w:sz w:val="21"/>
          <w:szCs w:val="21"/>
          <w:highlight w:val="none"/>
          <w:lang w:val="en-US" w:eastAsia="zh-CN"/>
        </w:rPr>
        <w:t>不</w:t>
      </w:r>
      <w:r>
        <w:rPr>
          <w:rFonts w:hint="eastAsia" w:ascii="宋体" w:hAnsi="宋体" w:eastAsia="宋体" w:cs="宋体"/>
          <w:bCs/>
          <w:color w:val="auto"/>
          <w:sz w:val="21"/>
          <w:szCs w:val="21"/>
          <w:highlight w:val="none"/>
        </w:rPr>
        <w:t>接受联合体报价。</w:t>
      </w:r>
    </w:p>
    <w:p w14:paraId="70641B49">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（七）转包与分包</w:t>
      </w:r>
    </w:p>
    <w:p w14:paraId="32D08B27">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本项目不允许转包，未经采购人同意，不得分包。</w:t>
      </w:r>
    </w:p>
    <w:p w14:paraId="7C09D976">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（八）特别说明</w:t>
      </w:r>
    </w:p>
    <w:p w14:paraId="5A080A34">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★1.供应商磋商所使用的资格、信誉、荣誉、业绩与企业认证必须为</w:t>
      </w:r>
      <w:r>
        <w:rPr>
          <w:rFonts w:hint="eastAsia" w:ascii="宋体" w:hAnsi="宋体" w:eastAsia="宋体" w:cs="宋体"/>
          <w:color w:val="auto"/>
          <w:sz w:val="21"/>
          <w:szCs w:val="21"/>
          <w:highlight w:val="none"/>
          <w:lang w:val="en-US" w:eastAsia="zh-CN"/>
        </w:rPr>
        <w:t>其</w:t>
      </w:r>
      <w:r>
        <w:rPr>
          <w:rFonts w:hint="eastAsia" w:ascii="宋体" w:hAnsi="宋体" w:eastAsia="宋体" w:cs="宋体"/>
          <w:color w:val="auto"/>
          <w:sz w:val="21"/>
          <w:szCs w:val="21"/>
          <w:highlight w:val="none"/>
        </w:rPr>
        <w:t>所拥有。</w:t>
      </w:r>
    </w:p>
    <w:p w14:paraId="0E955E84">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★2.供应商应仔细阅读磋商文件的所有内容，按照磋商文件的要求提交响应文件，并对所提供的全部资料的真实性承担法律责任。</w:t>
      </w:r>
    </w:p>
    <w:p w14:paraId="740D9EA0">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★3.供应商在采购活动中提供任何虚假材料,其响应文件无效，并报监管部门查处；成交后发现的,成交人须依照相关规定赔偿采购人，且民事赔偿并不免除违法供应商的行政与刑事责任。</w:t>
      </w:r>
    </w:p>
    <w:p w14:paraId="46C9DAFA">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4.如货物类招标情形提供相同品牌产品且通过资格审查、符合性审查的不同供应商参加同一合同项下投标的，按一家供应商计算。</w:t>
      </w:r>
    </w:p>
    <w:p w14:paraId="7007504F">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采用综合评分法进行评审的，评审后得分最高的同品牌供应商获得成交人推荐资格；评审得分相同的，由磋商小组按照磋商文件规定的方式确定一个供应商获得成交人的推荐资格，磋商文件未规定的采取随机抽取的方式确定，其他同品牌供应商不作为成交候选人。</w:t>
      </w:r>
    </w:p>
    <w:p w14:paraId="129B990F">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非单一产品采购项目，供应商使用相同制造产品（相同制造产品是指磋商文件中指定的“核心产品”）作为其项目的一部分，按一家供应商认定。</w:t>
      </w:r>
    </w:p>
    <w:p w14:paraId="385AD723">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（九）关于分公司投标</w:t>
      </w:r>
    </w:p>
    <w:p w14:paraId="79263F1B">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除银行、保险、石油石化、电力、电信、移动、联通等行业外，分公司投标的，需提供具有法人资格的总公司的营业执照及授权书，授权书须加盖总公司公章。总公司可就本项目或此类项目在一定范围或时间内出具授权书。已由总公司授权的，总公司取得的相关资质证书对分公司有效。</w:t>
      </w:r>
    </w:p>
    <w:p w14:paraId="01B605B1">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（十）关于知识产权</w:t>
      </w:r>
    </w:p>
    <w:p w14:paraId="0A4F8DAD">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供应商必须保证，采购人在中华人民共和国境内使用投标货物、资料、技术、服务或其任何一部分时，享有不受限制的无偿使用权，如有第三方向采购人提出侵犯其专利权、商标权或其它知识产权的主张，该责任应由供应商承担。</w:t>
      </w:r>
    </w:p>
    <w:p w14:paraId="428CD420">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投标报价应包含所有应向所有权人支付的专利权、商标权或其它知识产权的一切相关费用。</w:t>
      </w:r>
    </w:p>
    <w:p w14:paraId="273E8F02">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系统软件、通用软件必须是具有在中国境内的合法使用权或版权的正版软件，涉及到第三方提出侵权或知识产权的起诉及支付版税等费用由供应商承担所有责任及费用。</w:t>
      </w:r>
    </w:p>
    <w:p w14:paraId="2CBC6FBE">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（十一）质疑和投诉</w:t>
      </w:r>
    </w:p>
    <w:p w14:paraId="53E8B560">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认为磋商文件、采购过程、中标或者成交结果使自己的权益受到损害的，须在应知其利益受损之日起七个工作日内以书面形式向采购人、采购代理机构提出质疑。供应商应当在法定质疑期内一次性提出针对同一采购程序环节的质疑。</w:t>
      </w:r>
    </w:p>
    <w:p w14:paraId="1FED22B8">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提出质疑的供应商应当是参与所质疑项目采购活动的供应商。未依法获取磋商文件的，不得就磋商文件提出质疑；未提交响应文件的供应商，视为与采购结果没有利害关系，不得就采购响应截止时间后的采购过程、采购结果提出质疑。</w:t>
      </w:r>
    </w:p>
    <w:p w14:paraId="67F7E984">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3.供应商提出质疑应当提交质疑函和必要的证明材料，质疑函应当面以书面形式提出，质疑函格式和内容须符合财政部《质疑函范本》要求，供应商可到浙江政府采购网自行下载财政部《质疑函范本》。</w:t>
      </w:r>
    </w:p>
    <w:p w14:paraId="21B84DE2">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接收书面质疑函的方式：质疑人可通过送达、邮寄、传真的形式提交书面质疑函，通过邮寄方式提交的书面质疑函以被质疑人签收邮件之日为收到书面质疑文件之日，通过传真方式提交的书面质疑函以被质疑人收到书面质疑文件原件之日为收到书面质疑文件之日。采购人和采购代理机构接收质疑函的联系方式：见本磋商文件第一章有关联系方式。</w:t>
      </w:r>
    </w:p>
    <w:p w14:paraId="4544AE52">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5.供应商对采购人或采购代理机构的质疑答复不满意或者采购人或采购代理机构未在规定时间内作出答复的，可以在答复期满后十五个工作日内向同级采购监管部门投诉。</w:t>
      </w:r>
    </w:p>
    <w:p w14:paraId="098D7BF1">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  磋商文件</w:t>
      </w:r>
    </w:p>
    <w:p w14:paraId="56D45537">
      <w:pPr>
        <w:pStyle w:val="5"/>
        <w:keepNext w:val="0"/>
        <w:keepLines w:val="0"/>
        <w:pageBreakBefore w:val="0"/>
        <w:widowControl w:val="0"/>
        <w:numPr>
          <w:ilvl w:val="0"/>
          <w:numId w:val="8"/>
        </w:numPr>
        <w:shd w:val="clear" w:color="auto" w:fill="auto"/>
        <w:tabs>
          <w:tab w:val="left" w:pos="720"/>
        </w:tabs>
        <w:kinsoku/>
        <w:wordWrap/>
        <w:overflowPunct/>
        <w:topLinePunct w:val="0"/>
        <w:autoSpaceDE/>
        <w:autoSpaceDN/>
        <w:bidi w:val="0"/>
        <w:adjustRightInd/>
        <w:spacing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磋商文件的构成</w:t>
      </w:r>
    </w:p>
    <w:p w14:paraId="4DDEE25F">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本磋商文件由以下部分组成：</w:t>
      </w:r>
    </w:p>
    <w:p w14:paraId="230E8A59">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1.竞争性磋商公告</w:t>
      </w:r>
    </w:p>
    <w:p w14:paraId="233C8220">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2.供应商须知</w:t>
      </w:r>
    </w:p>
    <w:p w14:paraId="153B89B2">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3.项目需求</w:t>
      </w:r>
    </w:p>
    <w:p w14:paraId="5FCF22A3">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4.评审标准</w:t>
      </w:r>
    </w:p>
    <w:p w14:paraId="7D97E3EC">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5.合同条款及格式</w:t>
      </w:r>
    </w:p>
    <w:p w14:paraId="512B3DB7">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6.响应文件格式</w:t>
      </w:r>
    </w:p>
    <w:p w14:paraId="6B5D1088">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7.本项目磋商文件的澄清、答复、修改、补充的内容</w:t>
      </w:r>
    </w:p>
    <w:p w14:paraId="44249063">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（二）供应商的风险</w:t>
      </w:r>
    </w:p>
    <w:p w14:paraId="0019C786">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供应商没有按照磋商文件要求提供全部资料，或者供应商没有对磋商文件在各方面作出实质性响应是供应商的风险，并可能导致其响应文件被拒绝。</w:t>
      </w:r>
    </w:p>
    <w:p w14:paraId="17D137CF">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（三）磋商文件的澄清与修改 </w:t>
      </w:r>
    </w:p>
    <w:p w14:paraId="42C730F1">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shd w:val="clear" w:color="auto" w:fill="FFFFFF"/>
        </w:rPr>
        <w:t>提交首次响应文件截止之日前，采购人、采购代理机构可以对已发出的磋商文件进行必要的澄清或者修改，澄清或者修改的内容作为磋商文件的组成部分。澄清或者修改的内容可能影响响应文件编制的，采购人、采购代理机构应当在提交首次响应文件截止时间至少5日前，</w:t>
      </w:r>
      <w:r>
        <w:rPr>
          <w:rFonts w:hint="eastAsia" w:ascii="宋体" w:hAnsi="宋体" w:eastAsia="宋体" w:cs="宋体"/>
          <w:bCs/>
          <w:color w:val="auto"/>
          <w:sz w:val="21"/>
          <w:szCs w:val="21"/>
          <w:highlight w:val="none"/>
        </w:rPr>
        <w:t>在原公告发布媒体上发布澄清公告</w:t>
      </w:r>
      <w:r>
        <w:rPr>
          <w:rFonts w:hint="eastAsia" w:ascii="宋体" w:hAnsi="宋体" w:eastAsia="宋体" w:cs="宋体"/>
          <w:color w:val="auto"/>
          <w:sz w:val="21"/>
          <w:szCs w:val="21"/>
          <w:highlight w:val="none"/>
          <w:shd w:val="clear" w:color="auto" w:fill="FFFFFF"/>
        </w:rPr>
        <w:t>；不足5日的，采购人、采购代理机构应当顺延提交首次响应文件截止时间。</w:t>
      </w:r>
    </w:p>
    <w:p w14:paraId="494DD54C">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2.澄清公告为磋商文件的组成部分，一经在网站发布，视同已通知所有磋商文件的收受人，不再采用其它方式传达相关信息,若因未能及时了解到网站上发布的相关信息而导致的一切后果自行承担。</w:t>
      </w:r>
    </w:p>
    <w:p w14:paraId="3D4A4499">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3.磋商文件澄清、答复、修改、补充的内容为磋商文件的组成部分。当磋商文件与磋商文件的答复、澄清、修改、补充通知就同一内容的表述不一致时，以最后发出的澄清公告为准。</w:t>
      </w:r>
    </w:p>
    <w:p w14:paraId="7CAA70F3">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bCs/>
          <w:color w:val="auto"/>
          <w:kern w:val="2"/>
          <w:sz w:val="21"/>
          <w:szCs w:val="21"/>
          <w:highlight w:val="none"/>
        </w:rPr>
        <w:t>4.磋商文件的澄清、答复、修改或补充都应该通过本代理机构以法定形式发布，采购人非通过本机构，不得擅自澄清、答复、修改或补充磋商文件。</w:t>
      </w:r>
    </w:p>
    <w:p w14:paraId="654CD5FD">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  响应文件的编制</w:t>
      </w:r>
    </w:p>
    <w:p w14:paraId="0A40F27A">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（一）响应文件的组成</w:t>
      </w:r>
    </w:p>
    <w:p w14:paraId="51852565">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响应文件由资格文件、商务技术文件和报价文件三部分组成。</w:t>
      </w:r>
    </w:p>
    <w:p w14:paraId="49FA7F5A">
      <w:pPr>
        <w:pStyle w:val="5"/>
        <w:keepNext w:val="0"/>
        <w:keepLines w:val="0"/>
        <w:pageBreakBefore w:val="0"/>
        <w:widowControl w:val="0"/>
        <w:numPr>
          <w:ilvl w:val="0"/>
          <w:numId w:val="9"/>
        </w:numPr>
        <w:shd w:val="clear" w:color="auto" w:fill="auto"/>
        <w:tabs>
          <w:tab w:val="left" w:pos="720"/>
        </w:tabs>
        <w:kinsoku/>
        <w:wordWrap/>
        <w:overflowPunct/>
        <w:topLinePunct w:val="0"/>
        <w:autoSpaceDE/>
        <w:autoSpaceDN/>
        <w:bidi w:val="0"/>
        <w:adjustRightInd/>
        <w:spacing w:line="400" w:lineRule="exact"/>
        <w:ind w:left="425" w:leftChars="0" w:hanging="425" w:firstLineChars="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资格文件内容包括</w:t>
      </w:r>
    </w:p>
    <w:p w14:paraId="618AB9C7">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（1）供应商资格声明函（格式详见第六章 响应文件格式）；</w:t>
      </w:r>
    </w:p>
    <w:p w14:paraId="0E20986B">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有效的企业法人营业执照（或事业法人登记证）、其他组织（个体工商户）的营业执照或者民办非企业单位登记证书复印件；投标供应商如果有名称变更的，应提供由行政主管部门出具的变更证明文件。若以不具有独立承担民事责任能力的分支机构投标，须取得具有法人资格的总公司的授权书，并提供总公司营业执照副本复印件；</w:t>
      </w:r>
    </w:p>
    <w:p w14:paraId="68A8C330">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（3）供应商落实政府采购政策需满足的资格证明文件：详见“第一章  竞争性磋商公告 二、申请人的资格要求：</w:t>
      </w:r>
      <w:r>
        <w:rPr>
          <w:rFonts w:hint="eastAsia"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.落实政府采购政策需满足的资格要求”；</w:t>
      </w:r>
    </w:p>
    <w:p w14:paraId="554178C1">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w:t>
      </w:r>
      <w:r>
        <w:rPr>
          <w:rFonts w:hint="eastAsia"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）供应商特定资格条件的证明文件：详见“第一章  竞争性磋商公告 二、申请人的资格要求：3.本项目的特定资格要求”；</w:t>
      </w:r>
    </w:p>
    <w:p w14:paraId="37CFA905">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w:t>
      </w:r>
      <w:r>
        <w:rPr>
          <w:rFonts w:hint="eastAsia" w:hAns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rPr>
        <w:t>）磋商文件要求的其他资格条件证明材料（如有）；</w:t>
      </w:r>
    </w:p>
    <w:p w14:paraId="4F22D4EF">
      <w:pPr>
        <w:pStyle w:val="5"/>
        <w:keepNext w:val="0"/>
        <w:keepLines w:val="0"/>
        <w:pageBreakBefore w:val="0"/>
        <w:widowControl w:val="0"/>
        <w:numPr>
          <w:ilvl w:val="0"/>
          <w:numId w:val="9"/>
        </w:numPr>
        <w:shd w:val="clear" w:color="auto" w:fill="auto"/>
        <w:tabs>
          <w:tab w:val="left" w:pos="720"/>
        </w:tabs>
        <w:kinsoku/>
        <w:wordWrap/>
        <w:overflowPunct/>
        <w:topLinePunct w:val="0"/>
        <w:autoSpaceDE/>
        <w:autoSpaceDN/>
        <w:bidi w:val="0"/>
        <w:adjustRightInd/>
        <w:spacing w:line="400" w:lineRule="exact"/>
        <w:ind w:left="425" w:leftChars="0" w:hanging="425" w:firstLineChars="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商务技术文件内容包括</w:t>
      </w:r>
    </w:p>
    <w:p w14:paraId="752B8E9F">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（1）符合性自查表（格式详见第六章 响应文件格式）；</w:t>
      </w:r>
    </w:p>
    <w:p w14:paraId="78B228D6">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（2）投标函（格式详见第六章 响应文件格式）；</w:t>
      </w:r>
    </w:p>
    <w:p w14:paraId="0796D1B6">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（3）法定代表人身份证明及授权委托书（格式详见第六章 响应文件格式）；</w:t>
      </w:r>
    </w:p>
    <w:p w14:paraId="60B27D6A">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（4）技术条款响应（偏离）表（格式详见第六章 响应文件格式）；</w:t>
      </w:r>
    </w:p>
    <w:p w14:paraId="2EF23F03">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（5）商务条款响应（偏离）表（格式详见第六章 响应文件格式）；</w:t>
      </w:r>
    </w:p>
    <w:p w14:paraId="461D2929">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（6）技术部分：针对本项目第</w:t>
      </w:r>
      <w:r>
        <w:rPr>
          <w:rFonts w:hint="eastAsia" w:hAnsi="宋体" w:eastAsia="宋体" w:cs="宋体"/>
          <w:bCs/>
          <w:color w:val="auto"/>
          <w:sz w:val="21"/>
          <w:szCs w:val="21"/>
          <w:highlight w:val="none"/>
          <w:lang w:val="en-US" w:eastAsia="zh-CN"/>
        </w:rPr>
        <w:t>三</w:t>
      </w:r>
      <w:r>
        <w:rPr>
          <w:rFonts w:hint="eastAsia" w:ascii="宋体" w:hAnsi="宋体" w:eastAsia="宋体" w:cs="宋体"/>
          <w:bCs/>
          <w:color w:val="auto"/>
          <w:sz w:val="21"/>
          <w:szCs w:val="21"/>
          <w:highlight w:val="none"/>
        </w:rPr>
        <w:t>章项目需求和第</w:t>
      </w:r>
      <w:r>
        <w:rPr>
          <w:rFonts w:hint="eastAsia" w:hAnsi="宋体" w:eastAsia="宋体" w:cs="宋体"/>
          <w:bCs/>
          <w:color w:val="auto"/>
          <w:sz w:val="21"/>
          <w:szCs w:val="21"/>
          <w:highlight w:val="none"/>
          <w:lang w:val="en-US" w:eastAsia="zh-CN"/>
        </w:rPr>
        <w:t>四</w:t>
      </w:r>
      <w:r>
        <w:rPr>
          <w:rFonts w:hint="eastAsia" w:ascii="宋体" w:hAnsi="宋体" w:eastAsia="宋体" w:cs="宋体"/>
          <w:bCs/>
          <w:color w:val="auto"/>
          <w:sz w:val="21"/>
          <w:szCs w:val="21"/>
          <w:highlight w:val="none"/>
        </w:rPr>
        <w:t>章评审标准中的条款拟定完整方案，格式自拟；</w:t>
      </w:r>
    </w:p>
    <w:p w14:paraId="50058044">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（7）业绩一览表（格式详见第六章 响应文件格式）；</w:t>
      </w:r>
    </w:p>
    <w:p w14:paraId="4D2C4E1C">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（8）供应商认为有需要提供的其它有关证明资料。</w:t>
      </w:r>
    </w:p>
    <w:p w14:paraId="00357AED">
      <w:pPr>
        <w:pStyle w:val="5"/>
        <w:keepNext w:val="0"/>
        <w:keepLines w:val="0"/>
        <w:pageBreakBefore w:val="0"/>
        <w:widowControl w:val="0"/>
        <w:numPr>
          <w:ilvl w:val="0"/>
          <w:numId w:val="9"/>
        </w:numPr>
        <w:shd w:val="clear" w:color="auto" w:fill="auto"/>
        <w:tabs>
          <w:tab w:val="left" w:pos="720"/>
        </w:tabs>
        <w:kinsoku/>
        <w:wordWrap/>
        <w:overflowPunct/>
        <w:topLinePunct w:val="0"/>
        <w:autoSpaceDE/>
        <w:autoSpaceDN/>
        <w:bidi w:val="0"/>
        <w:adjustRightInd/>
        <w:spacing w:line="400" w:lineRule="exact"/>
        <w:ind w:left="425" w:leftChars="0" w:hanging="425" w:firstLineChars="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报价文件内容包括</w:t>
      </w:r>
    </w:p>
    <w:p w14:paraId="3B5CBF93">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（1）报价一览表（格式详见第六章 响应文件格式）；</w:t>
      </w:r>
    </w:p>
    <w:p w14:paraId="23B8F60C">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分项报价</w:t>
      </w:r>
      <w:r>
        <w:rPr>
          <w:rFonts w:hint="eastAsia" w:ascii="宋体" w:hAnsi="宋体" w:eastAsia="宋体" w:cs="宋体"/>
          <w:bCs/>
          <w:color w:val="auto"/>
          <w:sz w:val="21"/>
          <w:szCs w:val="21"/>
          <w:highlight w:val="none"/>
        </w:rPr>
        <w:t>表（格式详见第六章 响应文件格式）；</w:t>
      </w:r>
    </w:p>
    <w:p w14:paraId="668A9F42">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w:t>
      </w:r>
      <w:r>
        <w:rPr>
          <w:rFonts w:hint="eastAsia"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）供应商针对报价需要说明的其他文件和说明（格式详见第六章 响应文件格式）；</w:t>
      </w:r>
    </w:p>
    <w:p w14:paraId="78BA28BA">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（二）响应文件的语言及计量</w:t>
      </w:r>
    </w:p>
    <w:p w14:paraId="00947999">
      <w:pPr>
        <w:keepNext w:val="0"/>
        <w:keepLines w:val="0"/>
        <w:pageBreakBefore w:val="0"/>
        <w:widowControl w:val="0"/>
        <w:shd w:val="clear" w:color="auto" w:fill="auto"/>
        <w:kinsoku/>
        <w:wordWrap/>
        <w:overflowPunct/>
        <w:topLinePunct w:val="0"/>
        <w:autoSpaceDE/>
        <w:autoSpaceDN/>
        <w:bidi w:val="0"/>
        <w:adjustRightInd/>
        <w:spacing w:line="400" w:lineRule="exact"/>
        <w:ind w:firstLine="422" w:firstLineChars="200"/>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★1.响应文件以及供应商与采购单位就有关磋商事宜的所有来往函电，均应以中文汉语书写。除签名、盖章、专用名称等特殊情形外，以中文汉语以外的文字表述的响应文件视同未提供。</w:t>
      </w:r>
    </w:p>
    <w:p w14:paraId="4DEFDDFB">
      <w:pPr>
        <w:keepNext w:val="0"/>
        <w:keepLines w:val="0"/>
        <w:pageBreakBefore w:val="0"/>
        <w:widowControl w:val="0"/>
        <w:shd w:val="clear" w:color="auto" w:fill="auto"/>
        <w:kinsoku/>
        <w:wordWrap/>
        <w:overflowPunct/>
        <w:topLinePunct w:val="0"/>
        <w:autoSpaceDE/>
        <w:autoSpaceDN/>
        <w:bidi w:val="0"/>
        <w:adjustRightInd/>
        <w:spacing w:line="400" w:lineRule="exact"/>
        <w:ind w:firstLine="422" w:firstLineChars="200"/>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★2.报价计量单位：磋商文件已有明确规定的，使用磋商文件规定的计量单位；磋商文件没有规定的，应采用中华人民共和国法定计量单位（货币单位：人民币元），否则视同未响应。</w:t>
      </w:r>
    </w:p>
    <w:p w14:paraId="746ECE73">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（三）报价要求</w:t>
      </w:r>
    </w:p>
    <w:p w14:paraId="305A56DF">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1.报价应按磋商文件中相关附表格式填写。</w:t>
      </w:r>
    </w:p>
    <w:p w14:paraId="02A8905C">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★2.响应文件只允许有一个总报价，有选择的或有条件的报价将不予接受。</w:t>
      </w:r>
    </w:p>
    <w:p w14:paraId="5BE63128">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（四）响应文件的有效期</w:t>
      </w:r>
    </w:p>
    <w:p w14:paraId="387AAC0D">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★1.自递交首次响应文件截止日起</w:t>
      </w:r>
      <w:r>
        <w:rPr>
          <w:rFonts w:hint="eastAsia" w:ascii="宋体" w:hAnsi="宋体" w:eastAsia="宋体" w:cs="宋体"/>
          <w:color w:val="auto"/>
          <w:sz w:val="21"/>
          <w:szCs w:val="21"/>
          <w:highlight w:val="none"/>
          <w:u w:val="single"/>
        </w:rPr>
        <w:t xml:space="preserve"> 60 </w:t>
      </w:r>
      <w:r>
        <w:rPr>
          <w:rFonts w:hint="eastAsia" w:ascii="宋体" w:hAnsi="宋体" w:eastAsia="宋体" w:cs="宋体"/>
          <w:color w:val="auto"/>
          <w:sz w:val="21"/>
          <w:szCs w:val="21"/>
          <w:highlight w:val="none"/>
        </w:rPr>
        <w:t>天响应文件应保持有效。</w:t>
      </w:r>
    </w:p>
    <w:p w14:paraId="772130AD">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2.在特殊情况下，采购人可与供应商协商延长响应文件的有效期，这种要求和答复均以书面形式进行。</w:t>
      </w:r>
    </w:p>
    <w:p w14:paraId="56640C62">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3.供应商可拒绝接受延期要求，但不能修改响应文件。 </w:t>
      </w:r>
    </w:p>
    <w:p w14:paraId="2CB3278C">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4.成交人的响应文件自递交首次响应文件截止之日起至合同履行完毕止均应保持有效。</w:t>
      </w:r>
    </w:p>
    <w:p w14:paraId="58682DF6">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（五）响应文件的签署和份数</w:t>
      </w:r>
    </w:p>
    <w:p w14:paraId="74BFF5DD">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1.供应商应按本磋商文件规定的格式和顺序编制、装订响应文件，响应文件要求有目录并标注页码，响应文件内容不完整、编排混乱导致响应文件被误读、漏读或者查找不到相关内容的，是供应商的责任。</w:t>
      </w:r>
    </w:p>
    <w:p w14:paraId="01475A59">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2.响应文件的份数：</w:t>
      </w:r>
    </w:p>
    <w:p w14:paraId="324689F3">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本项目实行网上投标，供应商应准备以下响应文件：</w:t>
      </w:r>
    </w:p>
    <w:p w14:paraId="094BB6F1">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（1）上传到政府采购云平台的电子响应文件（含资格文件、商务技术文件、报价文件）1份。</w:t>
      </w:r>
    </w:p>
    <w:p w14:paraId="6ED54BF0">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（2）以U盘存储的电子备份响应文件（含资格文件、商务技术文件、报价文件）1份。</w:t>
      </w:r>
    </w:p>
    <w:p w14:paraId="7593CFE4">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3.电子响应文件：</w:t>
      </w:r>
    </w:p>
    <w:p w14:paraId="03EBF364">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3.1供应商应根据政采云平台及本磋商文件规定的格式和顺序编制电子响应文件并进行关联定位。</w:t>
      </w:r>
    </w:p>
    <w:p w14:paraId="4BEBAD4C">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（六）响应文件的包装、递交、修改和撤回</w:t>
      </w:r>
    </w:p>
    <w:p w14:paraId="215FAEF5">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w:t>
      </w:r>
      <w:r>
        <w:rPr>
          <w:rFonts w:hint="eastAsia" w:ascii="宋体" w:hAnsi="宋体" w:eastAsia="宋体" w:cs="宋体"/>
          <w:color w:val="auto"/>
          <w:sz w:val="21"/>
          <w:szCs w:val="21"/>
          <w:highlight w:val="none"/>
        </w:rPr>
        <w:t>以U盘存储的电子备份响应文件</w:t>
      </w:r>
      <w:r>
        <w:rPr>
          <w:rFonts w:hint="eastAsia" w:ascii="宋体" w:hAnsi="宋体" w:eastAsia="宋体" w:cs="宋体"/>
          <w:color w:val="auto"/>
          <w:kern w:val="2"/>
          <w:sz w:val="21"/>
          <w:szCs w:val="21"/>
          <w:highlight w:val="none"/>
        </w:rPr>
        <w:t>用封袋密封后递交。</w:t>
      </w:r>
    </w:p>
    <w:p w14:paraId="774507FE">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hAnsi="宋体" w:eastAsia="宋体" w:cs="宋体"/>
          <w:bCs/>
          <w:color w:val="auto"/>
          <w:kern w:val="2"/>
          <w:sz w:val="21"/>
          <w:szCs w:val="21"/>
          <w:highlight w:val="none"/>
          <w:lang w:val="en-US" w:eastAsia="zh-CN"/>
        </w:rPr>
        <w:t>2</w:t>
      </w:r>
      <w:r>
        <w:rPr>
          <w:rFonts w:hint="eastAsia" w:ascii="宋体" w:hAnsi="宋体" w:eastAsia="宋体" w:cs="宋体"/>
          <w:bCs/>
          <w:color w:val="auto"/>
          <w:kern w:val="2"/>
          <w:sz w:val="21"/>
          <w:szCs w:val="21"/>
          <w:highlight w:val="none"/>
        </w:rPr>
        <w:t>.</w:t>
      </w:r>
      <w:r>
        <w:rPr>
          <w:rFonts w:hint="eastAsia" w:hAnsi="宋体" w:eastAsia="宋体" w:cs="宋体"/>
          <w:bCs/>
          <w:color w:val="auto"/>
          <w:kern w:val="2"/>
          <w:sz w:val="21"/>
          <w:szCs w:val="21"/>
          <w:highlight w:val="none"/>
          <w:lang w:val="en-US" w:eastAsia="zh-CN"/>
        </w:rPr>
        <w:t>电子备份</w:t>
      </w:r>
      <w:r>
        <w:rPr>
          <w:rFonts w:hint="eastAsia" w:ascii="宋体" w:hAnsi="宋体" w:eastAsia="宋体" w:cs="宋体"/>
          <w:color w:val="auto"/>
          <w:kern w:val="2"/>
          <w:sz w:val="21"/>
          <w:szCs w:val="21"/>
          <w:highlight w:val="none"/>
        </w:rPr>
        <w:t>响应文件的包装封面上应注明供应商名称、供应商地址、响应文件名称、投标项目名称、项目编号、标项号，并加盖供应商公章。</w:t>
      </w:r>
    </w:p>
    <w:p w14:paraId="531CC1C7">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.未按规定密封或标记的响应文件将被拒绝，由此造成响应文件被误投或提前拆封的风险由供应商承担。</w:t>
      </w:r>
    </w:p>
    <w:p w14:paraId="18312EC1">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hAnsi="宋体" w:eastAsia="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.供应商在</w:t>
      </w:r>
      <w:r>
        <w:rPr>
          <w:rFonts w:hint="eastAsia" w:ascii="宋体" w:hAnsi="宋体" w:eastAsia="宋体" w:cs="宋体"/>
          <w:color w:val="auto"/>
          <w:sz w:val="21"/>
          <w:szCs w:val="21"/>
          <w:highlight w:val="none"/>
        </w:rPr>
        <w:t>递交首次响应文件截止时间</w:t>
      </w:r>
      <w:r>
        <w:rPr>
          <w:rFonts w:hint="eastAsia" w:ascii="宋体" w:hAnsi="宋体" w:eastAsia="宋体" w:cs="宋体"/>
          <w:color w:val="auto"/>
          <w:kern w:val="2"/>
          <w:sz w:val="21"/>
          <w:szCs w:val="21"/>
          <w:highlight w:val="none"/>
        </w:rPr>
        <w:t>之前，可以对已提交的</w:t>
      </w:r>
      <w:r>
        <w:rPr>
          <w:rFonts w:hint="eastAsia" w:ascii="宋体" w:hAnsi="宋体" w:eastAsia="宋体" w:cs="宋体"/>
          <w:color w:val="auto"/>
          <w:sz w:val="21"/>
          <w:szCs w:val="21"/>
          <w:highlight w:val="none"/>
        </w:rPr>
        <w:t>电子备份响应文件</w:t>
      </w:r>
      <w:r>
        <w:rPr>
          <w:rFonts w:hint="eastAsia" w:ascii="宋体" w:hAnsi="宋体" w:eastAsia="宋体" w:cs="宋体"/>
          <w:color w:val="auto"/>
          <w:kern w:val="2"/>
          <w:sz w:val="21"/>
          <w:szCs w:val="21"/>
          <w:highlight w:val="none"/>
        </w:rPr>
        <w:t>进行修改或撤回，并书面通知招标采购单位；在</w:t>
      </w:r>
      <w:r>
        <w:rPr>
          <w:rFonts w:hint="eastAsia" w:ascii="宋体" w:hAnsi="宋体" w:eastAsia="宋体" w:cs="宋体"/>
          <w:color w:val="auto"/>
          <w:sz w:val="21"/>
          <w:szCs w:val="21"/>
          <w:highlight w:val="none"/>
        </w:rPr>
        <w:t>递交首次响应文件截止时间</w:t>
      </w:r>
      <w:r>
        <w:rPr>
          <w:rFonts w:hint="eastAsia" w:ascii="宋体" w:hAnsi="宋体" w:eastAsia="宋体" w:cs="宋体"/>
          <w:color w:val="auto"/>
          <w:kern w:val="2"/>
          <w:sz w:val="21"/>
          <w:szCs w:val="21"/>
          <w:highlight w:val="none"/>
        </w:rPr>
        <w:t>后，供应商不得撤回、修改响应文件。修改后重新递交的电子备份响应文件应当按本磋商文件的要求签署、盖章和密封。</w:t>
      </w:r>
    </w:p>
    <w:p w14:paraId="114E310B">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jc w:val="left"/>
        <w:textAlignment w:val="auto"/>
        <w:rPr>
          <w:rFonts w:hint="eastAsia" w:ascii="宋体" w:hAnsi="宋体" w:eastAsia="宋体" w:cs="宋体"/>
          <w:bCs/>
          <w:color w:val="auto"/>
          <w:sz w:val="21"/>
          <w:szCs w:val="21"/>
          <w:highlight w:val="none"/>
        </w:rPr>
      </w:pPr>
      <w:r>
        <w:rPr>
          <w:rFonts w:hint="eastAsia" w:hAnsi="宋体" w:eastAsia="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供应商应当在首次递交响应文件截止时间前完成电子响应文件的传输递交，并可以补充、修改或者撤回电子响应文件。补充或者修改电子响应文件的，应当先行撤回原文件，补充、修改后重新传输递交。首次递交响应文件截止时间前未完成传输的，视为撤回响应文件。投标、响应截止时间后传输递交的投标、响应文件，将被拒收。</w:t>
      </w:r>
    </w:p>
    <w:p w14:paraId="26092423">
      <w:pPr>
        <w:keepNext w:val="0"/>
        <w:keepLines w:val="0"/>
        <w:pageBreakBefore w:val="0"/>
        <w:widowControl w:val="0"/>
        <w:shd w:val="clear" w:color="auto" w:fill="auto"/>
        <w:tabs>
          <w:tab w:val="left" w:pos="720"/>
        </w:tabs>
        <w:kinsoku/>
        <w:wordWrap/>
        <w:overflowPunct/>
        <w:topLinePunct w:val="0"/>
        <w:autoSpaceDE/>
        <w:autoSpaceDN/>
        <w:bidi w:val="0"/>
        <w:adjustRightInd/>
        <w:spacing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（七）响应文件的形式和效力</w:t>
      </w:r>
    </w:p>
    <w:p w14:paraId="53E45946">
      <w:pPr>
        <w:keepNext w:val="0"/>
        <w:keepLines w:val="0"/>
        <w:pageBreakBefore w:val="0"/>
        <w:widowControl w:val="0"/>
        <w:shd w:val="clear" w:color="auto" w:fill="auto"/>
        <w:kinsoku/>
        <w:wordWrap/>
        <w:overflowPunct/>
        <w:topLinePunct w:val="0"/>
        <w:autoSpaceDE/>
        <w:autoSpaceDN/>
        <w:bidi w:val="0"/>
        <w:adjustRightInd/>
        <w:snapToGrid w:val="0"/>
        <w:spacing w:line="400" w:lineRule="exact"/>
        <w:ind w:firstLine="42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响应文件分为：“电子响应文件”、“电子备份响应文件”、。</w:t>
      </w:r>
    </w:p>
    <w:p w14:paraId="5E578AE4">
      <w:pPr>
        <w:keepNext w:val="0"/>
        <w:keepLines w:val="0"/>
        <w:pageBreakBefore w:val="0"/>
        <w:widowControl w:val="0"/>
        <w:shd w:val="clear" w:color="auto" w:fill="auto"/>
        <w:kinsoku/>
        <w:wordWrap/>
        <w:overflowPunct/>
        <w:topLinePunct w:val="0"/>
        <w:autoSpaceDE/>
        <w:autoSpaceDN/>
        <w:bidi w:val="0"/>
        <w:adjustRightInd/>
        <w:snapToGrid w:val="0"/>
        <w:spacing w:line="400" w:lineRule="exact"/>
        <w:ind w:firstLine="42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“电子响应文件”是指通过“政采云电子交易客户端”完成响应文件编制后生成并加密的数据电文形式的响应文件（文件后缀为：jmbs）。</w:t>
      </w:r>
    </w:p>
    <w:p w14:paraId="36D74468">
      <w:pPr>
        <w:keepNext w:val="0"/>
        <w:keepLines w:val="0"/>
        <w:pageBreakBefore w:val="0"/>
        <w:widowControl w:val="0"/>
        <w:shd w:val="clear" w:color="auto" w:fill="auto"/>
        <w:kinsoku/>
        <w:wordWrap/>
        <w:overflowPunct/>
        <w:topLinePunct w:val="0"/>
        <w:autoSpaceDE/>
        <w:autoSpaceDN/>
        <w:bidi w:val="0"/>
        <w:adjustRightInd/>
        <w:snapToGrid w:val="0"/>
        <w:spacing w:line="400" w:lineRule="exact"/>
        <w:ind w:firstLine="42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“电子备份响应文件”是指与“电子响应文件”同时生成的数据电文形式的电子文件文件后缀为：bfbs（备份标书），其他方式编制的备份响应文件视为无效备份响应文件。</w:t>
      </w:r>
    </w:p>
    <w:p w14:paraId="0909896E">
      <w:pPr>
        <w:keepNext w:val="0"/>
        <w:keepLines w:val="0"/>
        <w:pageBreakBefore w:val="0"/>
        <w:widowControl w:val="0"/>
        <w:shd w:val="clear" w:color="auto" w:fill="auto"/>
        <w:kinsoku/>
        <w:wordWrap/>
        <w:overflowPunct/>
        <w:topLinePunct w:val="0"/>
        <w:autoSpaceDE/>
        <w:autoSpaceDN/>
        <w:bidi w:val="0"/>
        <w:adjustRightInd/>
        <w:snapToGrid w:val="0"/>
        <w:spacing w:line="400" w:lineRule="exact"/>
        <w:ind w:firstLine="420"/>
        <w:jc w:val="left"/>
        <w:textAlignment w:val="auto"/>
        <w:rPr>
          <w:rFonts w:hint="eastAsia" w:ascii="宋体" w:hAnsi="宋体" w:eastAsia="宋体" w:cs="宋体"/>
          <w:color w:val="auto"/>
          <w:sz w:val="21"/>
          <w:szCs w:val="21"/>
          <w:highlight w:val="none"/>
        </w:rPr>
      </w:pPr>
      <w:r>
        <w:rPr>
          <w:rFonts w:hint="eastAsia"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响应文件的效力：响应文件的启用，按先后顺位分别为“电子响应文件”、“电子备份响应文件”。</w:t>
      </w:r>
    </w:p>
    <w:p w14:paraId="155C5E4F">
      <w:pPr>
        <w:keepNext w:val="0"/>
        <w:keepLines w:val="0"/>
        <w:pageBreakBefore w:val="0"/>
        <w:widowControl w:val="0"/>
        <w:shd w:val="clear" w:color="auto" w:fill="auto"/>
        <w:kinsoku/>
        <w:wordWrap/>
        <w:overflowPunct/>
        <w:topLinePunct w:val="0"/>
        <w:autoSpaceDE/>
        <w:autoSpaceDN/>
        <w:bidi w:val="0"/>
        <w:adjustRightInd/>
        <w:snapToGrid w:val="0"/>
        <w:spacing w:line="400" w:lineRule="exact"/>
        <w:ind w:firstLine="42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电子备份响应文件”启用时，“电子响应文件”自动失效。“电子响应文件”在规定解密时间内无法解密时，供应商若在响应文件提交（上传）截止时间之前递交了“电子备份响应文件”的，由采购代理机构上传“电子备份响应文件”进行异常处理，并对“电子备份响应文件”进行解密，未在响应文件提交（上传）截止时间之前递交“电子备份响应文件”的视为放弃投标。其余供应商通过“政府采购云平台”上传递交的已按时解密的“电子响应文件”继续有效，其“电子备份响应文件”自动失效。</w:t>
      </w:r>
    </w:p>
    <w:p w14:paraId="2CF550D8">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（八）响应无效的情形</w:t>
      </w:r>
    </w:p>
    <w:p w14:paraId="4907CEFD">
      <w:pPr>
        <w:pStyle w:val="12"/>
        <w:keepNext w:val="0"/>
        <w:keepLines w:val="0"/>
        <w:pageBreakBefore w:val="0"/>
        <w:widowControl w:val="0"/>
        <w:shd w:val="clear" w:color="auto" w:fill="auto"/>
        <w:kinsoku/>
        <w:wordWrap/>
        <w:overflowPunct/>
        <w:topLinePunct w:val="0"/>
        <w:autoSpaceDE/>
        <w:autoSpaceDN/>
        <w:bidi w:val="0"/>
        <w:adjustRightInd/>
        <w:spacing w:after="0" w:line="400" w:lineRule="exact"/>
        <w:ind w:left="0"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质上没有响应磋商文件要求的响应文件将被视为无效响应，供应商不得通过修正或撤销不合要求的偏离或保留从而使其响应成为实质上响应的文件。但磋商小组可以要求供应商在限期内对响应文件中含义不明确、同类问题表述不一致或者有明显文字和计算错误的内容等作出必要的澄清、说明或者更正。供应商的澄清、说明或更正不得超出响应文件的范围或者改变响应文件的实质性内容。供应商的澄清、说明或更正应当由法定代表人或授权代表签字或者加盖公章。限期内不补正或经补正后仍不符合磋商文件要求的，应认定其响应无效。供应商澄清、说明或更正后，不影响磋商小组对其响应文件所作的评价和评分结果。</w:t>
      </w:r>
    </w:p>
    <w:p w14:paraId="0496122B">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★上传响应文件同一网卡地址、同一IP地址的为无效标。</w:t>
      </w:r>
    </w:p>
    <w:p w14:paraId="24E23C67">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1.在资格审查时，如发现下列情形之一的，响应文件将被视为无效：</w:t>
      </w:r>
    </w:p>
    <w:p w14:paraId="106F568D">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（1）资格证明文件不全的，或者不符合磋商文件标明的资格要求的；</w:t>
      </w:r>
    </w:p>
    <w:p w14:paraId="2641B320">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2.在符合性审查（商务技术文件）时，如发现下列情形之一的，响应文件将被视为无效：</w:t>
      </w:r>
    </w:p>
    <w:p w14:paraId="5DAE79DB">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（1）未提交投标函或投标函内容不符合磋商文件要求；</w:t>
      </w:r>
    </w:p>
    <w:p w14:paraId="1C765C7D">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（2）未按照磋商文件规定要求签署或盖章；</w:t>
      </w:r>
    </w:p>
    <w:p w14:paraId="7E7B61DB">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（3）响应文件规定部分无法定代表人签署本人姓名（或印盖本人姓名章），或签署人未提供有效的法定代表人授权委托书或授权委托书填写项目不齐全的； </w:t>
      </w:r>
    </w:p>
    <w:p w14:paraId="532A6B38">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）响应文件标明的响应或偏离与事实不符或虚假投标的；</w:t>
      </w:r>
    </w:p>
    <w:p w14:paraId="59CC9335">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）响应文件的实质性内容未使用中文表述、意思表述不明确、前后矛盾或者使用计量单位不符合磋商文件要求的（经磋商小组认定并允许其当场更正的笔误除外）；</w:t>
      </w:r>
    </w:p>
    <w:p w14:paraId="7B4A8A8D">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）带“★”的条款不能满足磋商文件要求、未实质性响应磋商文件要求或者响应文件有采购人不能接受的附加条件的；</w:t>
      </w:r>
    </w:p>
    <w:p w14:paraId="2CF222A7">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）投标技术方案不明确，存在一个或一个以上备选（替代）投标方案的；</w:t>
      </w:r>
    </w:p>
    <w:p w14:paraId="3827CF89">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）法律、法规和磋商文件规定的其他无效情形；</w:t>
      </w:r>
    </w:p>
    <w:p w14:paraId="1D6F3DD8">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）响应文件的有效期不满足磋商文件要求。</w:t>
      </w:r>
    </w:p>
    <w:p w14:paraId="34724718">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3.在符合性审查（报价文件）时，如发现下列情形之一的，响应文件将被视为无效：</w:t>
      </w:r>
    </w:p>
    <w:p w14:paraId="0CD769A3">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（1）未按照磋商文件规定要求签署或盖章；</w:t>
      </w:r>
    </w:p>
    <w:p w14:paraId="048A0447">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）未采用人民币报价或者未按照磋商文件标明的币种报价的；</w:t>
      </w:r>
    </w:p>
    <w:p w14:paraId="6903598E">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）报价超出最高限价，或者超出采购预算金额，采购人不能支付的；</w:t>
      </w:r>
    </w:p>
    <w:p w14:paraId="17169F29">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）投标报价具有选择性的；</w:t>
      </w:r>
    </w:p>
    <w:p w14:paraId="6A1DAA21">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）投标报价中出现重大缺项、漏项；</w:t>
      </w:r>
    </w:p>
    <w:p w14:paraId="1A205497">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）磋商小组认为供应商的报价明显低于其他通过符合性审查供应商的报价，有可能影响产品质量或者不能诚信履约的，且不能在评标现场合理时间内提供相关证明材料说明其报价的合理性的；</w:t>
      </w:r>
    </w:p>
    <w:p w14:paraId="7D579B54">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）响应文件（报价文件）内容与响应文件（商务技术文件）内容有重大差异的；</w:t>
      </w:r>
    </w:p>
    <w:p w14:paraId="7C076D95">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）法律、法规和磋商文件规定的其他无效情形；</w:t>
      </w:r>
    </w:p>
    <w:p w14:paraId="0213C8C0">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四、磋商程序</w:t>
      </w:r>
    </w:p>
    <w:p w14:paraId="44C5D0FE">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（一）磋商准备</w:t>
      </w:r>
    </w:p>
    <w:p w14:paraId="2C099A95">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采购代理机构将在规定的时间和地点进行磋商，供应商的法定代表人或授权代表可参加磋商会议。供应商的法定代表人或授权代表未参加磋商会议的，视同放弃磋商权利、认可磋商结果。</w:t>
      </w:r>
    </w:p>
    <w:p w14:paraId="5AF2C51F">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（二）磋商程序：</w:t>
      </w:r>
    </w:p>
    <w:p w14:paraId="221C5C79">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jc w:val="left"/>
        <w:textAlignment w:val="auto"/>
        <w:rPr>
          <w:rFonts w:hint="eastAsia" w:ascii="宋体" w:hAnsi="宋体" w:eastAsia="宋体" w:cs="宋体"/>
          <w:bCs/>
          <w:color w:val="auto"/>
          <w:kern w:val="2"/>
          <w:sz w:val="21"/>
          <w:szCs w:val="21"/>
          <w:highlight w:val="none"/>
          <w:lang w:bidi="ar"/>
        </w:rPr>
      </w:pPr>
      <w:r>
        <w:rPr>
          <w:rFonts w:hint="eastAsia" w:ascii="宋体" w:hAnsi="宋体" w:eastAsia="宋体" w:cs="宋体"/>
          <w:bCs/>
          <w:color w:val="auto"/>
          <w:kern w:val="2"/>
          <w:sz w:val="21"/>
          <w:szCs w:val="21"/>
          <w:highlight w:val="none"/>
          <w:lang w:bidi="ar"/>
        </w:rPr>
        <w:t>1、电子招投标开标程序：</w:t>
      </w:r>
    </w:p>
    <w:p w14:paraId="662EFA0F">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第一阶段：</w:t>
      </w:r>
    </w:p>
    <w:p w14:paraId="432294B1">
      <w:pPr>
        <w:keepNext w:val="0"/>
        <w:keepLines w:val="0"/>
        <w:pageBreakBefore w:val="0"/>
        <w:widowControl w:val="0"/>
        <w:numPr>
          <w:ilvl w:val="0"/>
          <w:numId w:val="10"/>
        </w:numPr>
        <w:shd w:val="clear" w:color="auto" w:fill="auto"/>
        <w:kinsoku/>
        <w:wordWrap/>
        <w:overflowPunct/>
        <w:topLinePunct w:val="0"/>
        <w:autoSpaceDE/>
        <w:autoSpaceDN/>
        <w:bidi w:val="0"/>
        <w:adjustRightInd/>
        <w:spacing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首次递交响应文件截止时间后，供应商登录政府采购云平台，用“项目采购-开标评标”功能对电子响应文件进行在线解密，在线解密电子响应文件时间为首次递交响应文件截止时间后30分钟内。</w:t>
      </w:r>
    </w:p>
    <w:p w14:paraId="43F74F7B">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第二阶段：</w:t>
      </w:r>
    </w:p>
    <w:p w14:paraId="0109D6E4">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bCs/>
          <w:color w:val="auto"/>
          <w:sz w:val="21"/>
          <w:szCs w:val="21"/>
          <w:highlight w:val="none"/>
        </w:rPr>
        <w:t>（</w:t>
      </w:r>
      <w:r>
        <w:rPr>
          <w:rFonts w:hint="eastAsia" w:ascii="宋体" w:hAnsi="宋体" w:eastAsia="宋体" w:cs="宋体"/>
          <w:color w:val="auto"/>
          <w:kern w:val="2"/>
          <w:sz w:val="21"/>
          <w:szCs w:val="21"/>
          <w:highlight w:val="none"/>
        </w:rPr>
        <w:t>1）采购人或采购代理机构查阅响应文件，不符合资格审查的供应商将被拒绝。</w:t>
      </w:r>
    </w:p>
    <w:p w14:paraId="3C563222">
      <w:pPr>
        <w:keepNext w:val="0"/>
        <w:keepLines w:val="0"/>
        <w:pageBreakBefore w:val="0"/>
        <w:widowControl w:val="0"/>
        <w:numPr>
          <w:ilvl w:val="0"/>
          <w:numId w:val="10"/>
        </w:numPr>
        <w:shd w:val="clear" w:color="auto" w:fill="auto"/>
        <w:kinsoku/>
        <w:wordWrap/>
        <w:overflowPunct/>
        <w:topLinePunct w:val="0"/>
        <w:autoSpaceDE/>
        <w:autoSpaceDN/>
        <w:bidi w:val="0"/>
        <w:adjustRightInd/>
        <w:spacing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如磋商小组对响应文件有疑义，将向供应商在线发送询标函，供应商应在规定的时间内对在线询标函做出询标澄清。逾期澄清或未澄清的供应商视同认可磋商结果。</w:t>
      </w:r>
    </w:p>
    <w:p w14:paraId="36FD04FD">
      <w:pPr>
        <w:keepNext w:val="0"/>
        <w:keepLines w:val="0"/>
        <w:pageBreakBefore w:val="0"/>
        <w:widowControl w:val="0"/>
        <w:numPr>
          <w:ilvl w:val="0"/>
          <w:numId w:val="10"/>
        </w:numPr>
        <w:shd w:val="clear" w:color="auto" w:fill="auto"/>
        <w:kinsoku/>
        <w:wordWrap/>
        <w:overflowPunct/>
        <w:topLinePunct w:val="0"/>
        <w:autoSpaceDE/>
        <w:autoSpaceDN/>
        <w:bidi w:val="0"/>
        <w:adjustRightInd/>
        <w:spacing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在磋商过程中，磋商小组可以根据磋商文件和磋商情况实质性变动采购需求中的技术、服务要求（即本磋商文件第</w:t>
      </w:r>
      <w:r>
        <w:rPr>
          <w:rFonts w:hint="eastAsia" w:hAnsi="宋体" w:eastAsia="宋体" w:cs="宋体"/>
          <w:color w:val="auto"/>
          <w:kern w:val="2"/>
          <w:sz w:val="21"/>
          <w:szCs w:val="21"/>
          <w:highlight w:val="none"/>
          <w:lang w:val="en-US" w:eastAsia="zh-CN"/>
        </w:rPr>
        <w:t>三</w:t>
      </w:r>
      <w:r>
        <w:rPr>
          <w:rFonts w:hint="eastAsia" w:ascii="宋体" w:hAnsi="宋体" w:eastAsia="宋体" w:cs="宋体"/>
          <w:color w:val="auto"/>
          <w:kern w:val="2"/>
          <w:sz w:val="21"/>
          <w:szCs w:val="21"/>
          <w:highlight w:val="none"/>
        </w:rPr>
        <w:t>章 项目需求）以及合同草案条款（即本磋商文件第</w:t>
      </w:r>
      <w:r>
        <w:rPr>
          <w:rFonts w:hint="eastAsia" w:hAnsi="宋体" w:eastAsia="宋体" w:cs="宋体"/>
          <w:color w:val="auto"/>
          <w:kern w:val="2"/>
          <w:sz w:val="21"/>
          <w:szCs w:val="21"/>
          <w:highlight w:val="none"/>
          <w:lang w:val="en-US" w:eastAsia="zh-CN"/>
        </w:rPr>
        <w:t>五</w:t>
      </w:r>
      <w:r>
        <w:rPr>
          <w:rFonts w:hint="eastAsia" w:ascii="宋体" w:hAnsi="宋体" w:eastAsia="宋体" w:cs="宋体"/>
          <w:color w:val="auto"/>
          <w:kern w:val="2"/>
          <w:sz w:val="21"/>
          <w:szCs w:val="21"/>
          <w:highlight w:val="none"/>
        </w:rPr>
        <w:t>章 合同条款及格式）；对磋商文件作出的实质性变动是磋商文件的有效组成部分，磋商小组以在线询标的形式同时通知所有参加磋商的供应商。供应商按照磋商文件的变动情况和磋商小组的要求在规定时间内提交响应文件（或补充文件），并由其法定代表人或授权代表签字或加盖公章。递交的响应文件（或补充文件）具有相应的法律效力；磋商结束后，磋商小组要求所有实质性响应的供应商在规定时间内在线提交最后报价。最后报价是供应商响应文件的有效组成部分。</w:t>
      </w:r>
    </w:p>
    <w:p w14:paraId="04B3B18C">
      <w:pPr>
        <w:keepNext w:val="0"/>
        <w:keepLines w:val="0"/>
        <w:pageBreakBefore w:val="0"/>
        <w:widowControl w:val="0"/>
        <w:numPr>
          <w:ilvl w:val="0"/>
          <w:numId w:val="10"/>
        </w:numPr>
        <w:shd w:val="clear" w:color="auto" w:fill="auto"/>
        <w:kinsoku/>
        <w:wordWrap/>
        <w:overflowPunct/>
        <w:topLinePunct w:val="0"/>
        <w:autoSpaceDE/>
        <w:autoSpaceDN/>
        <w:bidi w:val="0"/>
        <w:adjustRightInd/>
        <w:spacing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经磋商确定最终采购需求和提交最后报价的供应商后，由磋商小组采用综合评分法对提交最后报价的供应商的响应文件和最后报价进行综合评分（评分标准详见第五章 评审标准）；</w:t>
      </w:r>
    </w:p>
    <w:p w14:paraId="17970E2F">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（5）磋商小组根据综合评分情况，按照评审得分由高到低顺序推荐3名以上成交候选人，并编写评审报告。若评审得分相同，则最后报价低者排名在前；评审得分且最后报价相同的则由抽签决定。</w:t>
      </w:r>
    </w:p>
    <w:p w14:paraId="1927495E">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（6）在</w:t>
      </w:r>
      <w:r>
        <w:rPr>
          <w:rFonts w:hint="eastAsia" w:ascii="宋体" w:hAnsi="宋体" w:eastAsia="宋体" w:cs="宋体"/>
          <w:color w:val="auto"/>
          <w:sz w:val="21"/>
          <w:szCs w:val="21"/>
          <w:highlight w:val="none"/>
        </w:rPr>
        <w:t>政府采购云平台</w:t>
      </w:r>
      <w:r>
        <w:rPr>
          <w:rFonts w:hint="eastAsia" w:ascii="宋体" w:hAnsi="宋体" w:eastAsia="宋体" w:cs="宋体"/>
          <w:color w:val="auto"/>
          <w:kern w:val="2"/>
          <w:sz w:val="21"/>
          <w:szCs w:val="21"/>
          <w:highlight w:val="none"/>
        </w:rPr>
        <w:t>公布评审结果。</w:t>
      </w:r>
    </w:p>
    <w:p w14:paraId="39B1DC1E">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（7）磋商会议结束。</w:t>
      </w:r>
    </w:p>
    <w:p w14:paraId="686BD615">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（8）采购人从评审报告提出的成交候选人中，按照得分排序由高到低的原则确定1名成交人。采购代理机构在磋商公告发布的网站上公布成交结果。</w:t>
      </w:r>
    </w:p>
    <w:p w14:paraId="32A1FAD1">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hAnsi="宋体" w:eastAsia="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rPr>
        <w:t>、特别说明：</w:t>
      </w:r>
      <w:r>
        <w:rPr>
          <w:rFonts w:hint="eastAsia" w:ascii="宋体" w:hAnsi="宋体" w:eastAsia="宋体" w:cs="宋体"/>
          <w:color w:val="auto"/>
          <w:sz w:val="21"/>
          <w:szCs w:val="21"/>
          <w:highlight w:val="none"/>
        </w:rPr>
        <w:t>政府采购云平台</w:t>
      </w:r>
      <w:r>
        <w:rPr>
          <w:rFonts w:hint="eastAsia" w:ascii="宋体" w:hAnsi="宋体" w:eastAsia="宋体" w:cs="宋体"/>
          <w:color w:val="auto"/>
          <w:kern w:val="2"/>
          <w:sz w:val="21"/>
          <w:szCs w:val="21"/>
          <w:highlight w:val="none"/>
        </w:rPr>
        <w:t>如对电子化开标及评审程序有调整的，按调整后的程序操作。</w:t>
      </w:r>
    </w:p>
    <w:p w14:paraId="4E6F360A">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本项目原则上采用政采云</w:t>
      </w:r>
      <w:r>
        <w:rPr>
          <w:rFonts w:hint="eastAsia" w:ascii="宋体" w:hAnsi="宋体" w:eastAsia="宋体" w:cs="宋体"/>
          <w:bCs/>
          <w:color w:val="auto"/>
          <w:kern w:val="2"/>
          <w:sz w:val="21"/>
          <w:szCs w:val="21"/>
          <w:highlight w:val="none"/>
          <w:lang w:bidi="ar"/>
        </w:rPr>
        <w:t>电子招投标开标程序</w:t>
      </w:r>
      <w:r>
        <w:rPr>
          <w:rFonts w:hint="eastAsia" w:ascii="宋体" w:hAnsi="宋体" w:eastAsia="宋体" w:cs="宋体"/>
          <w:color w:val="auto"/>
          <w:kern w:val="2"/>
          <w:sz w:val="21"/>
          <w:szCs w:val="21"/>
          <w:highlight w:val="none"/>
        </w:rPr>
        <w:t>，但有以下情形之一的，按以下情况处理：</w:t>
      </w:r>
    </w:p>
    <w:p w14:paraId="207BE314">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（1）若供应商在规定时间内无法解密或解密失败，代理机构将开启解密失败供应商递交的</w:t>
      </w:r>
      <w:r>
        <w:rPr>
          <w:rFonts w:hint="eastAsia" w:ascii="宋体" w:hAnsi="宋体" w:eastAsia="宋体" w:cs="宋体"/>
          <w:color w:val="auto"/>
          <w:sz w:val="21"/>
          <w:szCs w:val="21"/>
          <w:highlight w:val="none"/>
        </w:rPr>
        <w:t>以U盘存储的电子备份响应文件</w:t>
      </w:r>
      <w:r>
        <w:rPr>
          <w:rFonts w:hint="eastAsia" w:ascii="宋体" w:hAnsi="宋体" w:eastAsia="宋体" w:cs="宋体"/>
          <w:color w:val="auto"/>
          <w:kern w:val="2"/>
          <w:sz w:val="21"/>
          <w:szCs w:val="21"/>
          <w:highlight w:val="none"/>
        </w:rPr>
        <w:t>，上传至政采云平台项目采购模块，电子响应文件自动失效。</w:t>
      </w:r>
    </w:p>
    <w:p w14:paraId="2AB67CE9">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hAnsi="宋体" w:eastAsia="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rPr>
        <w:t>）采购过程中出现以下情形，导致电子交易平台无法正常运行，或者无法保证电子交易的公平、公正和安全时，采购人（或代理机构）可中止电子交易活动：</w:t>
      </w:r>
    </w:p>
    <w:p w14:paraId="38089C1E">
      <w:pPr>
        <w:keepNext w:val="0"/>
        <w:keepLines w:val="0"/>
        <w:pageBreakBefore w:val="0"/>
        <w:widowControl w:val="0"/>
        <w:numPr>
          <w:ilvl w:val="0"/>
          <w:numId w:val="11"/>
        </w:numPr>
        <w:shd w:val="clear" w:color="auto" w:fill="auto"/>
        <w:kinsoku/>
        <w:wordWrap/>
        <w:overflowPunct/>
        <w:topLinePunct w:val="0"/>
        <w:autoSpaceDE/>
        <w:autoSpaceDN/>
        <w:bidi w:val="0"/>
        <w:adjustRightInd/>
        <w:spacing w:line="400" w:lineRule="exact"/>
        <w:ind w:left="425" w:leftChars="0" w:hanging="425" w:firstLineChars="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 xml:space="preserve">电子交易平台发生故障而无法登录访问的； </w:t>
      </w:r>
    </w:p>
    <w:p w14:paraId="288397C2">
      <w:pPr>
        <w:keepNext w:val="0"/>
        <w:keepLines w:val="0"/>
        <w:pageBreakBefore w:val="0"/>
        <w:widowControl w:val="0"/>
        <w:numPr>
          <w:ilvl w:val="0"/>
          <w:numId w:val="11"/>
        </w:numPr>
        <w:shd w:val="clear" w:color="auto" w:fill="auto"/>
        <w:kinsoku/>
        <w:wordWrap/>
        <w:overflowPunct/>
        <w:topLinePunct w:val="0"/>
        <w:autoSpaceDE/>
        <w:autoSpaceDN/>
        <w:bidi w:val="0"/>
        <w:adjustRightInd/>
        <w:spacing w:line="400" w:lineRule="exact"/>
        <w:ind w:left="425" w:leftChars="0" w:hanging="425" w:firstLineChars="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电子交易平台应用或数据库出现错误，不能进行正常操作的；</w:t>
      </w:r>
    </w:p>
    <w:p w14:paraId="12D5AD38">
      <w:pPr>
        <w:keepNext w:val="0"/>
        <w:keepLines w:val="0"/>
        <w:pageBreakBefore w:val="0"/>
        <w:widowControl w:val="0"/>
        <w:numPr>
          <w:ilvl w:val="0"/>
          <w:numId w:val="11"/>
        </w:numPr>
        <w:shd w:val="clear" w:color="auto" w:fill="auto"/>
        <w:kinsoku/>
        <w:wordWrap/>
        <w:overflowPunct/>
        <w:topLinePunct w:val="0"/>
        <w:autoSpaceDE/>
        <w:autoSpaceDN/>
        <w:bidi w:val="0"/>
        <w:adjustRightInd/>
        <w:spacing w:line="400" w:lineRule="exact"/>
        <w:ind w:left="425" w:leftChars="0" w:hanging="425" w:firstLineChars="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电子交易平台发现严重安全漏洞，有潜在泄密危险的；</w:t>
      </w:r>
    </w:p>
    <w:p w14:paraId="74F2D977">
      <w:pPr>
        <w:keepNext w:val="0"/>
        <w:keepLines w:val="0"/>
        <w:pageBreakBefore w:val="0"/>
        <w:widowControl w:val="0"/>
        <w:numPr>
          <w:ilvl w:val="0"/>
          <w:numId w:val="11"/>
        </w:numPr>
        <w:shd w:val="clear" w:color="auto" w:fill="auto"/>
        <w:kinsoku/>
        <w:wordWrap/>
        <w:overflowPunct/>
        <w:topLinePunct w:val="0"/>
        <w:autoSpaceDE/>
        <w:autoSpaceDN/>
        <w:bidi w:val="0"/>
        <w:adjustRightInd/>
        <w:spacing w:line="400" w:lineRule="exact"/>
        <w:ind w:left="425" w:leftChars="0" w:hanging="425" w:firstLineChars="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 xml:space="preserve">病毒发作导致不能进行正常操作的； </w:t>
      </w:r>
    </w:p>
    <w:p w14:paraId="3CEAE881">
      <w:pPr>
        <w:keepNext w:val="0"/>
        <w:keepLines w:val="0"/>
        <w:pageBreakBefore w:val="0"/>
        <w:widowControl w:val="0"/>
        <w:numPr>
          <w:ilvl w:val="0"/>
          <w:numId w:val="11"/>
        </w:numPr>
        <w:shd w:val="clear" w:color="auto" w:fill="auto"/>
        <w:kinsoku/>
        <w:wordWrap/>
        <w:overflowPunct/>
        <w:topLinePunct w:val="0"/>
        <w:autoSpaceDE/>
        <w:autoSpaceDN/>
        <w:bidi w:val="0"/>
        <w:adjustRightInd/>
        <w:spacing w:line="400" w:lineRule="exact"/>
        <w:ind w:left="425" w:leftChars="0" w:hanging="425" w:firstLineChars="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其他无法保证电子交易的公平、公正和安全的情况。</w:t>
      </w:r>
    </w:p>
    <w:p w14:paraId="0CBC3C74">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出现前款规定情形，不影响采购公平、公正性的，采购人（或代理机构）可以待上述情形消除后继续组织电子交易活动。</w:t>
      </w:r>
    </w:p>
    <w:p w14:paraId="77F713E3">
      <w:pPr>
        <w:keepNext w:val="0"/>
        <w:keepLines w:val="0"/>
        <w:pageBreakBefore w:val="0"/>
        <w:widowControl w:val="0"/>
        <w:numPr>
          <w:ilvl w:val="0"/>
          <w:numId w:val="10"/>
        </w:numPr>
        <w:shd w:val="clear" w:color="auto" w:fill="auto"/>
        <w:kinsoku/>
        <w:wordWrap/>
        <w:overflowPunct/>
        <w:topLinePunct w:val="0"/>
        <w:autoSpaceDE/>
        <w:autoSpaceDN/>
        <w:bidi w:val="0"/>
        <w:adjustRightInd/>
        <w:spacing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未开启的备份响应文件现场予以退还。</w:t>
      </w:r>
    </w:p>
    <w:p w14:paraId="099215A1">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pacing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五、评审</w:t>
      </w:r>
    </w:p>
    <w:p w14:paraId="7A74410F">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（一）组建磋商小组</w:t>
      </w:r>
    </w:p>
    <w:p w14:paraId="08E903CD">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磋商小组根据国家相关规定和有关的法规组成。</w:t>
      </w:r>
    </w:p>
    <w:p w14:paraId="798E75C4">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（二）评审的方式</w:t>
      </w:r>
    </w:p>
    <w:p w14:paraId="5871EB8F">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本项目采用不公开方式评审，评审的依据为磋商文件和响应文件。</w:t>
      </w:r>
    </w:p>
    <w:p w14:paraId="306EE3DD">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w:t>
      </w:r>
      <w:r>
        <w:rPr>
          <w:rFonts w:hint="eastAsia" w:ascii="宋体" w:hAnsi="宋体" w:eastAsia="宋体" w:cs="宋体"/>
          <w:b/>
          <w:bCs/>
          <w:color w:val="auto"/>
          <w:sz w:val="21"/>
          <w:szCs w:val="21"/>
          <w:highlight w:val="none"/>
        </w:rPr>
        <w:t>评审程序</w:t>
      </w:r>
    </w:p>
    <w:p w14:paraId="0C804493">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（1）采购人代表或代理机构工作人员对供应商的资格进行审查。</w:t>
      </w:r>
    </w:p>
    <w:p w14:paraId="201880D4">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磋商小组审查通过资格审查的供应商提供的响应文件的实质性内容是否符合磋商文件的实质性要求。磋商小组将根据供应商的响应文件进行审查、核对,如有疑问,将对供应商进行询问,供应商要向磋商小组澄清有关问题,并最终以规定形式进行答复。</w:t>
      </w:r>
    </w:p>
    <w:p w14:paraId="6C93DDA3">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供应商代表未到场或者拒绝澄清或者澄清的内容改变了响应文件的实质性内容的，磋商小组有权对该响应文件作出不利于供应商的评判。</w:t>
      </w:r>
    </w:p>
    <w:p w14:paraId="348AEF5F">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（3）各供应商的技术商务得分为所有磋商小组成员的有效评分的算术平均数，由指定专人进行计算复核。</w:t>
      </w:r>
    </w:p>
    <w:p w14:paraId="18C5AB16">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（4）代理机构工作人员协助磋商小组根据本项目的评分标准计算各供应商的报价得分。</w:t>
      </w:r>
    </w:p>
    <w:p w14:paraId="1C0417E9">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磋商小组完成评审后,评审成员对各部分得分汇总，计算出本项目最终得分，对明显畸高、畸低的评分（其主观总评分偏离所有评审成员主观总评分平均值30%以上的），磋商小组组长提醒相关评审人员进行复核或书面说明理由。磋商小组按评审原则推荐成交候选人同时起草评审报告。</w:t>
      </w:r>
    </w:p>
    <w:p w14:paraId="7D223102">
      <w:pPr>
        <w:keepNext w:val="0"/>
        <w:keepLines w:val="0"/>
        <w:pageBreakBefore w:val="0"/>
        <w:widowControl w:val="0"/>
        <w:shd w:val="clear" w:color="auto" w:fill="auto"/>
        <w:kinsoku/>
        <w:wordWrap/>
        <w:overflowPunct/>
        <w:topLinePunct w:val="0"/>
        <w:autoSpaceDE/>
        <w:autoSpaceDN/>
        <w:bidi w:val="0"/>
        <w:adjustRightInd/>
        <w:spacing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（四）澄清问题的形式</w:t>
      </w:r>
    </w:p>
    <w:p w14:paraId="230B40B8">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响应文件中含义不明确、同类问题表述不一致或者有明显文字和计算错误的内容，磋商小组可要求供应商作出必要的澄清、说明或者更正。供应商的澄清、说明或者更正应当由法定代表人或授权代表签字或盖章确认，并不得超出响应文件的范围或者改变响应文件的实质性内容。</w:t>
      </w:r>
    </w:p>
    <w:p w14:paraId="32418245">
      <w:pPr>
        <w:keepNext w:val="0"/>
        <w:keepLines w:val="0"/>
        <w:pageBreakBefore w:val="0"/>
        <w:widowControl w:val="0"/>
        <w:shd w:val="clear" w:color="auto" w:fill="auto"/>
        <w:kinsoku/>
        <w:wordWrap/>
        <w:overflowPunct/>
        <w:topLinePunct w:val="0"/>
        <w:autoSpaceDE/>
        <w:autoSpaceDN/>
        <w:bidi w:val="0"/>
        <w:adjustRightInd/>
        <w:spacing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（五）错误修正</w:t>
      </w:r>
    </w:p>
    <w:p w14:paraId="6956C023">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磋商文件如果出现计算或表达上的错误，修正错误的原则如下：</w:t>
      </w:r>
    </w:p>
    <w:p w14:paraId="2DBE4C1A">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1、磋商文件中报价一览表（报价表）内容与磋商文件中相应内容不一致的，以报价一览表（报价表）为准；</w:t>
      </w:r>
    </w:p>
    <w:p w14:paraId="4D4B455E">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2、大写金额和小写金额不一致的，以大写金额为准；</w:t>
      </w:r>
    </w:p>
    <w:p w14:paraId="730394AC">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3、单价金额小数点或者百分比有明显错位的，以报价一览表的总价为准，并修改单价；</w:t>
      </w:r>
    </w:p>
    <w:p w14:paraId="06E7D20F">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4、总价金额与按单价汇总金额不一致的，以单价金额计算结果为准。</w:t>
      </w:r>
    </w:p>
    <w:p w14:paraId="305204F3">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5、政采云平台填报的报价一览表中的价格与上传的报价文件中报价一览表（报价表）的报价不一致的，以上传的报价文件为准。</w:t>
      </w:r>
    </w:p>
    <w:p w14:paraId="3033F73A">
      <w:pPr>
        <w:pStyle w:val="14"/>
        <w:keepNext w:val="0"/>
        <w:keepLines w:val="0"/>
        <w:pageBreakBefore w:val="0"/>
        <w:widowControl w:val="0"/>
        <w:shd w:val="clear" w:color="auto" w:fill="auto"/>
        <w:tabs>
          <w:tab w:val="left" w:pos="630"/>
        </w:tabs>
        <w:kinsoku/>
        <w:wordWrap/>
        <w:overflowPunct/>
        <w:topLinePunct w:val="0"/>
        <w:autoSpaceDE/>
        <w:autoSpaceDN/>
        <w:bidi w:val="0"/>
        <w:adjustRightInd/>
        <w:spacing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同时出现两种以上不一致的，按照前款规定的顺序修正。修正后的报价按照磋商文件的规定经供应商确认后产生约束力，供应商不确认的，其投标无效。</w:t>
      </w:r>
    </w:p>
    <w:p w14:paraId="4DFD6BBF">
      <w:pPr>
        <w:pStyle w:val="14"/>
        <w:keepNext w:val="0"/>
        <w:keepLines w:val="0"/>
        <w:pageBreakBefore w:val="0"/>
        <w:widowControl w:val="0"/>
        <w:shd w:val="clear" w:color="auto" w:fill="auto"/>
        <w:tabs>
          <w:tab w:val="left" w:pos="630"/>
        </w:tabs>
        <w:kinsoku/>
        <w:wordWrap/>
        <w:overflowPunct/>
        <w:topLinePunct w:val="0"/>
        <w:autoSpaceDE/>
        <w:autoSpaceDN/>
        <w:bidi w:val="0"/>
        <w:adjustRightInd/>
        <w:spacing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（六）评审原则和评审办法</w:t>
      </w:r>
    </w:p>
    <w:p w14:paraId="6C3954DB">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评审原则。磋商小组必须公平、公正、客观，不带任何倾向性和启发性；不得向外界透露任何与评审有关的内容；任何单位和个人不得干扰、影响评审的正常进行；磋商小组及有关工作人员不得私下与供应商接触。</w:t>
      </w:r>
    </w:p>
    <w:p w14:paraId="35598027">
      <w:pPr>
        <w:pStyle w:val="14"/>
        <w:keepNext w:val="0"/>
        <w:keepLines w:val="0"/>
        <w:pageBreakBefore w:val="0"/>
        <w:widowControl w:val="0"/>
        <w:shd w:val="clear" w:color="auto" w:fill="auto"/>
        <w:tabs>
          <w:tab w:val="left" w:pos="630"/>
        </w:tabs>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2.评审办法。本项目评审办法是</w:t>
      </w:r>
      <w:r>
        <w:rPr>
          <w:rFonts w:hint="eastAsia" w:ascii="宋体" w:hAnsi="宋体" w:eastAsia="宋体" w:cs="宋体"/>
          <w:b/>
          <w:color w:val="auto"/>
          <w:sz w:val="21"/>
          <w:szCs w:val="21"/>
          <w:highlight w:val="none"/>
          <w:u w:val="single"/>
        </w:rPr>
        <w:t xml:space="preserve"> 综合评分法</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，具体评审内容及评分标准等详见《第五章：评审标准》。</w:t>
      </w:r>
    </w:p>
    <w:p w14:paraId="5942F9F6">
      <w:pPr>
        <w:pStyle w:val="14"/>
        <w:keepNext w:val="0"/>
        <w:keepLines w:val="0"/>
        <w:pageBreakBefore w:val="0"/>
        <w:widowControl w:val="0"/>
        <w:shd w:val="clear" w:color="auto" w:fill="auto"/>
        <w:tabs>
          <w:tab w:val="left" w:pos="630"/>
        </w:tabs>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3.若出现首次递交响应文件的供应商不足</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家的情况，本项目作废标处理。</w:t>
      </w:r>
    </w:p>
    <w:p w14:paraId="13AABAAC">
      <w:pPr>
        <w:pStyle w:val="14"/>
        <w:keepNext w:val="0"/>
        <w:keepLines w:val="0"/>
        <w:pageBreakBefore w:val="0"/>
        <w:widowControl w:val="0"/>
        <w:shd w:val="clear" w:color="auto" w:fill="auto"/>
        <w:tabs>
          <w:tab w:val="left" w:pos="630"/>
        </w:tabs>
        <w:kinsoku/>
        <w:wordWrap/>
        <w:overflowPunct/>
        <w:topLinePunct w:val="0"/>
        <w:autoSpaceDE/>
        <w:autoSpaceDN/>
        <w:bidi w:val="0"/>
        <w:adjustRightInd/>
        <w:spacing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（七）评审专家有下列情形之一的，受到邀请应主动提出回避，采购当事人也可以要求该评审专家回避：</w:t>
      </w:r>
    </w:p>
    <w:p w14:paraId="0E2A12BF">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1、参加采购活动前三年内，与供应商存在劳动关系，或者担任过供应商的董事、监事，或者是供应商的控股股东或实际控制人；</w:t>
      </w:r>
    </w:p>
    <w:p w14:paraId="759CB0A5">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2、与供应商的法定代表人或者负责人有夫妻、直系血亲、三代以内旁系血亲或者近姻亲关系；</w:t>
      </w:r>
    </w:p>
    <w:p w14:paraId="52DF7B2A">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3、与供应商有其他可能影响政府采购活动公平、公正进行的关系。</w:t>
      </w:r>
    </w:p>
    <w:p w14:paraId="74A4527A">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4、参与过采购项目进口产品论证。</w:t>
      </w:r>
    </w:p>
    <w:p w14:paraId="354ECC84">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5、通过随机抽到本单位的评审专家，</w:t>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"http://www.caigou2003.com/cgr/" \t "/home/czj/Documents\\x/_blank"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采购人</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t>已经指定了采购人代表，该评审专家应当回避，采购人自行选定相应专业领域评审专家情形除外。</w:t>
      </w:r>
    </w:p>
    <w:p w14:paraId="6EA26345">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6、法律、法规、规章规定应当回避以及其他可能影响公正评审的。</w:t>
      </w:r>
    </w:p>
    <w:p w14:paraId="009938E6">
      <w:pPr>
        <w:pStyle w:val="14"/>
        <w:keepNext w:val="0"/>
        <w:keepLines w:val="0"/>
        <w:pageBreakBefore w:val="0"/>
        <w:widowControl w:val="0"/>
        <w:shd w:val="clear" w:color="auto" w:fill="auto"/>
        <w:tabs>
          <w:tab w:val="left" w:pos="630"/>
        </w:tabs>
        <w:kinsoku/>
        <w:wordWrap/>
        <w:overflowPunct/>
        <w:topLinePunct w:val="0"/>
        <w:autoSpaceDE/>
        <w:autoSpaceDN/>
        <w:bidi w:val="0"/>
        <w:adjustRightInd/>
        <w:spacing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（八）磋商小组判断响应文件的有效性、合格性和响应情况，仅依据供应商所提交一切文件的真实表述，不受与本项目无直接关联的外部信息、传言而影响自身的专业判断。</w:t>
      </w:r>
    </w:p>
    <w:p w14:paraId="7B8B5A91">
      <w:pPr>
        <w:pStyle w:val="14"/>
        <w:keepNext w:val="0"/>
        <w:keepLines w:val="0"/>
        <w:pageBreakBefore w:val="0"/>
        <w:widowControl w:val="0"/>
        <w:shd w:val="clear" w:color="auto" w:fill="auto"/>
        <w:tabs>
          <w:tab w:val="left" w:pos="630"/>
        </w:tabs>
        <w:kinsoku/>
        <w:wordWrap/>
        <w:overflowPunct/>
        <w:topLinePunct w:val="0"/>
        <w:autoSpaceDE/>
        <w:autoSpaceDN/>
        <w:bidi w:val="0"/>
        <w:adjustRightInd/>
        <w:spacing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九）磋商小组成员依法独立评审，并对评审意见承担个人责任。磋商小组成员对需要共同认定的事项存在争议的，按照少数服从多数的原则做出结论。持不同意见的磋商小组应当在评审报告上签署不同意见并说明理由，否则视为同意。</w:t>
      </w:r>
    </w:p>
    <w:p w14:paraId="1FE6F6CD">
      <w:pPr>
        <w:pStyle w:val="14"/>
        <w:keepNext w:val="0"/>
        <w:keepLines w:val="0"/>
        <w:pageBreakBefore w:val="0"/>
        <w:widowControl w:val="0"/>
        <w:shd w:val="clear" w:color="auto" w:fill="auto"/>
        <w:tabs>
          <w:tab w:val="left" w:pos="630"/>
        </w:tabs>
        <w:kinsoku/>
        <w:wordWrap/>
        <w:overflowPunct/>
        <w:topLinePunct w:val="0"/>
        <w:autoSpaceDE/>
        <w:autoSpaceDN/>
        <w:bidi w:val="0"/>
        <w:adjustRightInd/>
        <w:spacing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（十）评标过程的监控</w:t>
      </w:r>
    </w:p>
    <w:p w14:paraId="2D8C7B8E">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1.本项目评标过程实行全程录音、录像监控，供应商在评标过程中所进行的试图影响评标结果的不公正活动，可能导致其投标被拒绝。</w:t>
      </w:r>
    </w:p>
    <w:p w14:paraId="14EC8F02">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2.成交通知书发出之前，所有涉及磋商小组名单以及对响应文件的澄清、评价、比较等情况，磋商小组成员、采购人和采购代理机构的有关人员均不得向供应商或其他无关人员透露。</w:t>
      </w:r>
    </w:p>
    <w:p w14:paraId="2A5B9F61">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六、确定成交人：</w:t>
      </w:r>
      <w:r>
        <w:rPr>
          <w:rFonts w:hint="eastAsia" w:ascii="宋体" w:hAnsi="宋体" w:eastAsia="宋体" w:cs="宋体"/>
          <w:b/>
          <w:bCs/>
          <w:color w:val="auto"/>
          <w:sz w:val="21"/>
          <w:szCs w:val="21"/>
          <w:highlight w:val="none"/>
        </w:rPr>
        <w:t>本项目由采购人确定成交人。</w:t>
      </w:r>
    </w:p>
    <w:p w14:paraId="438CF27F">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1.采购代理机构应当在评审结束后2个工作日内将评审报告送采购人确认。</w:t>
      </w:r>
    </w:p>
    <w:p w14:paraId="119A7224">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购人应当在收到评审报告后5个工作日内，从评审报告提出的成交候选人中，按照排序由高到低的原则确定成交人，也可以书面授权磋商小组直接确定成交人。采购人逾期未确定成交人且不提出异议的，视为确定评审报告提出的排序第一的供应商为成交人。</w:t>
      </w:r>
    </w:p>
    <w:p w14:paraId="469DF9B9">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3.采购人或者采购代理机构应当在成交人确定后2个工作日内，在省级以上财政部门指定的政府采购信息发布媒体上公告成交结果，同时向成交人发出成交通知书。</w:t>
      </w:r>
    </w:p>
    <w:p w14:paraId="44263097">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4.若成交人放弃成交，或因不可抗力提出不能履行合同，或不按磋商文件规定提交履约保证金，或其它原因被依法撤销成交资格，则采购人重新组织招标。  </w:t>
      </w:r>
    </w:p>
    <w:p w14:paraId="5534D779">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七、合同授予</w:t>
      </w:r>
    </w:p>
    <w:p w14:paraId="2259F8CD">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1.采购人与成交人应当在《成交通知书》发出之日起</w:t>
      </w:r>
      <w:r>
        <w:rPr>
          <w:rFonts w:hint="eastAsia" w:ascii="宋体" w:hAnsi="宋体" w:eastAsia="宋体" w:cs="宋体"/>
          <w:b/>
          <w:color w:val="auto"/>
          <w:sz w:val="21"/>
          <w:szCs w:val="21"/>
          <w:highlight w:val="none"/>
          <w:u w:val="single"/>
        </w:rPr>
        <w:t>30</w:t>
      </w:r>
      <w:r>
        <w:rPr>
          <w:rFonts w:hint="eastAsia" w:ascii="宋体" w:hAnsi="宋体" w:eastAsia="宋体" w:cs="宋体"/>
          <w:color w:val="auto"/>
          <w:sz w:val="21"/>
          <w:szCs w:val="21"/>
          <w:highlight w:val="none"/>
        </w:rPr>
        <w:t>日内签订合同。同时，采购代理机构对合同内容进行审查，如发现与采购结果和响应承诺内容不一致的，应予以纠正。</w:t>
      </w:r>
    </w:p>
    <w:p w14:paraId="6F5AFDD9">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2.成交人拖延、拒签合同的,将被取消成交资格。</w:t>
      </w:r>
    </w:p>
    <w:p w14:paraId="59BCF687">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3.成交人拒绝与采购人签订合同的，采购人可以按照评审报告推荐的成交候选人名单排序，确定下一候选人为成交人或重新组织招标。拒绝签订政府采购合同的成交人不得参加该项目重新开展的采购活动。</w:t>
      </w:r>
    </w:p>
    <w:p w14:paraId="7876C256">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成交人如不遵守磋商文件或响应文件各项条款的邀约与要约，或在接到成交通知书后借故拖延，拒签合同的，采购人将按《浙江省政府采购供应商注册及诚信管理暂行办法》的规定上报诚信状况。给采购人造成的损失的还应当予以赔偿。</w:t>
      </w:r>
    </w:p>
    <w:p w14:paraId="3C75D331">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2" w:firstLineChars="200"/>
        <w:rPr>
          <w:rFonts w:hint="eastAsia" w:ascii="宋体" w:hAnsi="宋体" w:eastAsia="宋体" w:cs="宋体"/>
          <w:b/>
          <w:color w:val="auto"/>
          <w:sz w:val="21"/>
          <w:szCs w:val="21"/>
          <w:highlight w:val="none"/>
        </w:rPr>
      </w:pPr>
      <w:bookmarkStart w:id="89" w:name="_Toc8588"/>
      <w:r>
        <w:rPr>
          <w:rFonts w:hint="eastAsia" w:ascii="宋体" w:hAnsi="宋体" w:eastAsia="宋体" w:cs="宋体"/>
          <w:b/>
          <w:color w:val="auto"/>
          <w:sz w:val="21"/>
          <w:szCs w:val="21"/>
          <w:highlight w:val="none"/>
        </w:rPr>
        <w:t>八、履约验收</w:t>
      </w:r>
      <w:bookmarkEnd w:id="89"/>
    </w:p>
    <w:p w14:paraId="1D1503F0">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采购人负责对成交人的履约行为进行验收。政府向社会公众提供的公共服务项目，验收时应当邀请服务对象参与并出具意见，验收结果应当向社会公告。</w:t>
      </w:r>
    </w:p>
    <w:p w14:paraId="2E6FA6E2">
      <w:pPr>
        <w:pStyle w:val="14"/>
        <w:keepNext w:val="0"/>
        <w:keepLines w:val="0"/>
        <w:pageBreakBefore w:val="0"/>
        <w:widowControl w:val="0"/>
        <w:shd w:val="clear" w:color="auto" w:fill="auto"/>
        <w:kinsoku/>
        <w:wordWrap/>
        <w:overflowPunct/>
        <w:topLinePunct w:val="0"/>
        <w:autoSpaceDE/>
        <w:autoSpaceDN/>
        <w:bidi w:val="0"/>
        <w:adjustRightInd/>
        <w:spacing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九、特别说明</w:t>
      </w:r>
    </w:p>
    <w:p w14:paraId="49540105">
      <w:pPr>
        <w:keepNext w:val="0"/>
        <w:keepLines w:val="0"/>
        <w:pageBreakBefore w:val="0"/>
        <w:widowControl w:val="0"/>
        <w:shd w:val="clear" w:color="auto" w:fill="auto"/>
        <w:kinsoku/>
        <w:wordWrap/>
        <w:overflowPunct/>
        <w:topLinePunct w:val="0"/>
        <w:autoSpaceDE/>
        <w:autoSpaceDN/>
        <w:bidi w:val="0"/>
        <w:adjustRightInd/>
        <w:snapToGrid w:val="0"/>
        <w:spacing w:line="400" w:lineRule="exact"/>
        <w:ind w:firstLine="420"/>
        <w:jc w:val="left"/>
        <w:textAlignment w:val="auto"/>
        <w:rPr>
          <w:rFonts w:hint="eastAsia" w:ascii="宋体" w:hAnsi="宋体" w:eastAsia="宋体" w:cs="宋体"/>
          <w:b/>
          <w:bCs/>
          <w:color w:val="auto"/>
          <w:kern w:val="2"/>
          <w:sz w:val="21"/>
          <w:szCs w:val="21"/>
          <w:highlight w:val="none"/>
          <w:lang w:val="zh-CN"/>
        </w:rPr>
      </w:pPr>
      <w:r>
        <w:rPr>
          <w:rFonts w:hint="eastAsia" w:ascii="宋体" w:hAnsi="宋体" w:eastAsia="宋体" w:cs="宋体"/>
          <w:b/>
          <w:bCs/>
          <w:color w:val="auto"/>
          <w:kern w:val="2"/>
          <w:sz w:val="21"/>
          <w:szCs w:val="21"/>
          <w:highlight w:val="none"/>
          <w:lang w:val="zh-CN"/>
        </w:rPr>
        <w:t>1</w:t>
      </w:r>
      <w:r>
        <w:rPr>
          <w:rFonts w:hint="eastAsia" w:ascii="宋体" w:hAnsi="宋体" w:eastAsia="宋体" w:cs="宋体"/>
          <w:b/>
          <w:bCs/>
          <w:color w:val="auto"/>
          <w:kern w:val="2"/>
          <w:sz w:val="21"/>
          <w:szCs w:val="21"/>
          <w:highlight w:val="none"/>
          <w:lang w:val="en-US" w:eastAsia="zh-CN"/>
        </w:rPr>
        <w:t>.</w:t>
      </w:r>
      <w:r>
        <w:rPr>
          <w:rFonts w:hint="eastAsia" w:ascii="宋体" w:hAnsi="宋体" w:eastAsia="宋体" w:cs="宋体"/>
          <w:b/>
          <w:bCs/>
          <w:color w:val="auto"/>
          <w:kern w:val="2"/>
          <w:sz w:val="21"/>
          <w:szCs w:val="21"/>
          <w:highlight w:val="none"/>
          <w:lang w:val="zh-CN"/>
        </w:rPr>
        <w:t>本项目</w:t>
      </w:r>
      <w:r>
        <w:rPr>
          <w:rFonts w:hint="eastAsia" w:hAnsi="宋体" w:eastAsia="宋体" w:cs="宋体"/>
          <w:b/>
          <w:bCs/>
          <w:color w:val="auto"/>
          <w:kern w:val="2"/>
          <w:sz w:val="21"/>
          <w:szCs w:val="21"/>
          <w:highlight w:val="none"/>
          <w:u w:val="single"/>
          <w:lang w:val="en-US" w:eastAsia="zh-CN"/>
        </w:rPr>
        <w:t>是</w:t>
      </w:r>
      <w:r>
        <w:rPr>
          <w:rFonts w:hint="eastAsia" w:ascii="宋体" w:hAnsi="宋体" w:eastAsia="宋体" w:cs="宋体"/>
          <w:b/>
          <w:bCs/>
          <w:color w:val="auto"/>
          <w:kern w:val="2"/>
          <w:sz w:val="21"/>
          <w:szCs w:val="21"/>
          <w:highlight w:val="none"/>
          <w:lang w:val="zh-CN"/>
        </w:rPr>
        <w:t>专门面向中小企业采购。</w:t>
      </w:r>
    </w:p>
    <w:p w14:paraId="17B3ABB9">
      <w:pPr>
        <w:keepNext w:val="0"/>
        <w:keepLines w:val="0"/>
        <w:pageBreakBefore w:val="0"/>
        <w:widowControl w:val="0"/>
        <w:shd w:val="clear" w:color="auto" w:fill="auto"/>
        <w:kinsoku/>
        <w:wordWrap/>
        <w:overflowPunct/>
        <w:topLinePunct w:val="0"/>
        <w:autoSpaceDE/>
        <w:autoSpaceDN/>
        <w:bidi w:val="0"/>
        <w:adjustRightInd/>
        <w:snapToGrid w:val="0"/>
        <w:spacing w:line="400" w:lineRule="exact"/>
        <w:ind w:firstLine="420"/>
        <w:jc w:val="left"/>
        <w:textAlignment w:val="auto"/>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2</w:t>
      </w:r>
      <w:r>
        <w:rPr>
          <w:rFonts w:hint="eastAsia" w:ascii="宋体" w:hAnsi="宋体" w:eastAsia="宋体" w:cs="宋体"/>
          <w:color w:val="auto"/>
          <w:kern w:val="2"/>
          <w:sz w:val="21"/>
          <w:szCs w:val="21"/>
          <w:highlight w:val="none"/>
          <w:lang w:val="en-US" w:eastAsia="zh-CN"/>
        </w:rPr>
        <w:t>.</w:t>
      </w:r>
      <w:r>
        <w:rPr>
          <w:rFonts w:hint="eastAsia" w:ascii="宋体" w:hAnsi="宋体" w:eastAsia="宋体" w:cs="宋体"/>
          <w:color w:val="auto"/>
          <w:kern w:val="2"/>
          <w:sz w:val="21"/>
          <w:szCs w:val="21"/>
          <w:highlight w:val="none"/>
          <w:lang w:val="zh-CN"/>
        </w:rPr>
        <w:t>本项目对应的中小企业划分标准所属行业：</w:t>
      </w:r>
      <w:r>
        <w:rPr>
          <w:rFonts w:hint="eastAsia" w:ascii="宋体" w:hAnsi="宋体" w:eastAsia="宋体" w:cs="宋体"/>
          <w:color w:val="auto"/>
          <w:kern w:val="2"/>
          <w:sz w:val="21"/>
          <w:szCs w:val="21"/>
          <w:highlight w:val="none"/>
          <w:u w:val="single"/>
        </w:rPr>
        <w:t xml:space="preserve"> 其他未列明行业 </w:t>
      </w:r>
      <w:r>
        <w:rPr>
          <w:rFonts w:hint="eastAsia" w:ascii="宋体" w:hAnsi="宋体" w:eastAsia="宋体" w:cs="宋体"/>
          <w:color w:val="auto"/>
          <w:kern w:val="2"/>
          <w:sz w:val="21"/>
          <w:szCs w:val="21"/>
          <w:highlight w:val="none"/>
          <w:lang w:val="zh-CN"/>
        </w:rPr>
        <w:t xml:space="preserve">。 </w:t>
      </w:r>
    </w:p>
    <w:p w14:paraId="17E2725E">
      <w:pPr>
        <w:keepNext w:val="0"/>
        <w:keepLines w:val="0"/>
        <w:pageBreakBefore w:val="0"/>
        <w:widowControl w:val="0"/>
        <w:shd w:val="clear" w:color="auto" w:fill="auto"/>
        <w:kinsoku/>
        <w:wordWrap/>
        <w:overflowPunct/>
        <w:topLinePunct w:val="0"/>
        <w:autoSpaceDE/>
        <w:autoSpaceDN/>
        <w:bidi w:val="0"/>
        <w:adjustRightInd/>
        <w:snapToGrid w:val="0"/>
        <w:spacing w:line="400" w:lineRule="exact"/>
        <w:ind w:firstLine="420"/>
        <w:jc w:val="left"/>
        <w:textAlignment w:val="auto"/>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3</w:t>
      </w:r>
      <w:r>
        <w:rPr>
          <w:rFonts w:hint="eastAsia" w:ascii="宋体" w:hAnsi="宋体" w:eastAsia="宋体" w:cs="宋体"/>
          <w:color w:val="auto"/>
          <w:kern w:val="2"/>
          <w:sz w:val="21"/>
          <w:szCs w:val="21"/>
          <w:highlight w:val="none"/>
          <w:lang w:val="en-US" w:eastAsia="zh-CN"/>
        </w:rPr>
        <w:t>.</w:t>
      </w:r>
      <w:r>
        <w:rPr>
          <w:rFonts w:hint="eastAsia" w:ascii="宋体" w:hAnsi="宋体" w:eastAsia="宋体" w:cs="宋体"/>
          <w:color w:val="auto"/>
          <w:kern w:val="2"/>
          <w:sz w:val="21"/>
          <w:szCs w:val="21"/>
          <w:highlight w:val="none"/>
          <w:lang w:val="zh-CN"/>
        </w:rPr>
        <w:t>小微企业是指中华人民共和国境内依法设立，依据国务院批准的中小企业划分标准确定的小型企业和微型企业，但与大企业的负责人为同一人，或者与大企业存在直接控股、管理关系的除外。</w:t>
      </w:r>
    </w:p>
    <w:p w14:paraId="4CCD4B94">
      <w:pPr>
        <w:keepNext w:val="0"/>
        <w:keepLines w:val="0"/>
        <w:pageBreakBefore w:val="0"/>
        <w:widowControl w:val="0"/>
        <w:shd w:val="clear" w:color="auto" w:fill="auto"/>
        <w:kinsoku/>
        <w:wordWrap/>
        <w:overflowPunct/>
        <w:topLinePunct w:val="0"/>
        <w:autoSpaceDE/>
        <w:autoSpaceDN/>
        <w:bidi w:val="0"/>
        <w:adjustRightInd/>
        <w:snapToGrid w:val="0"/>
        <w:spacing w:line="400" w:lineRule="exact"/>
        <w:ind w:firstLine="420"/>
        <w:jc w:val="left"/>
        <w:textAlignment w:val="auto"/>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符合中小企业划分标准的个体工商户，在政府采购活动中视同中小企业。</w:t>
      </w:r>
    </w:p>
    <w:p w14:paraId="365DD432">
      <w:pPr>
        <w:keepNext w:val="0"/>
        <w:keepLines w:val="0"/>
        <w:pageBreakBefore w:val="0"/>
        <w:widowControl w:val="0"/>
        <w:shd w:val="clear" w:color="auto" w:fill="auto"/>
        <w:kinsoku/>
        <w:wordWrap/>
        <w:overflowPunct/>
        <w:topLinePunct w:val="0"/>
        <w:autoSpaceDE/>
        <w:autoSpaceDN/>
        <w:bidi w:val="0"/>
        <w:adjustRightInd/>
        <w:snapToGrid w:val="0"/>
        <w:spacing w:line="400" w:lineRule="exact"/>
        <w:ind w:firstLine="420"/>
        <w:jc w:val="left"/>
        <w:textAlignment w:val="auto"/>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国务院批准的中小企业划分标准：具体见工信部联企业[2011]300号。</w:t>
      </w:r>
    </w:p>
    <w:p w14:paraId="561B0F33">
      <w:pPr>
        <w:keepNext w:val="0"/>
        <w:keepLines w:val="0"/>
        <w:pageBreakBefore w:val="0"/>
        <w:widowControl w:val="0"/>
        <w:shd w:val="clear" w:color="auto" w:fill="auto"/>
        <w:kinsoku/>
        <w:wordWrap/>
        <w:overflowPunct/>
        <w:topLinePunct w:val="0"/>
        <w:autoSpaceDE/>
        <w:autoSpaceDN/>
        <w:bidi w:val="0"/>
        <w:adjustRightInd/>
        <w:snapToGrid w:val="0"/>
        <w:spacing w:line="400" w:lineRule="exact"/>
        <w:ind w:firstLine="420"/>
        <w:jc w:val="left"/>
        <w:textAlignment w:val="auto"/>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4</w:t>
      </w:r>
      <w:r>
        <w:rPr>
          <w:rFonts w:hint="eastAsia" w:ascii="宋体" w:hAnsi="宋体" w:eastAsia="宋体" w:cs="宋体"/>
          <w:color w:val="auto"/>
          <w:kern w:val="2"/>
          <w:sz w:val="21"/>
          <w:szCs w:val="21"/>
          <w:highlight w:val="none"/>
          <w:lang w:val="en-US" w:eastAsia="zh-CN"/>
        </w:rPr>
        <w:t>.</w:t>
      </w:r>
      <w:r>
        <w:rPr>
          <w:rFonts w:hint="eastAsia" w:ascii="宋体" w:hAnsi="宋体" w:eastAsia="宋体" w:cs="宋体"/>
          <w:color w:val="auto"/>
          <w:kern w:val="2"/>
          <w:sz w:val="21"/>
          <w:szCs w:val="21"/>
          <w:highlight w:val="none"/>
          <w:lang w:val="zh-CN"/>
        </w:rPr>
        <w:t>在政府采购活动中，供应商提供的货物、工程或者服务符合下列情形的，符合本项目落实政府采购政策需满足的资格要求：</w:t>
      </w:r>
    </w:p>
    <w:p w14:paraId="39517613">
      <w:pPr>
        <w:keepNext w:val="0"/>
        <w:keepLines w:val="0"/>
        <w:pageBreakBefore w:val="0"/>
        <w:widowControl w:val="0"/>
        <w:shd w:val="clear" w:color="auto" w:fill="auto"/>
        <w:kinsoku/>
        <w:wordWrap/>
        <w:overflowPunct/>
        <w:topLinePunct w:val="0"/>
        <w:autoSpaceDE/>
        <w:autoSpaceDN/>
        <w:bidi w:val="0"/>
        <w:adjustRightInd/>
        <w:snapToGrid w:val="0"/>
        <w:spacing w:line="400" w:lineRule="exact"/>
        <w:ind w:firstLine="420"/>
        <w:jc w:val="left"/>
        <w:textAlignment w:val="auto"/>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（1）在货物采购项目中，货物由中小企业制造，即货物由中小企业生产且使用该中小企业商号或者注册商标；</w:t>
      </w:r>
    </w:p>
    <w:p w14:paraId="0E71E6CB">
      <w:pPr>
        <w:keepNext w:val="0"/>
        <w:keepLines w:val="0"/>
        <w:pageBreakBefore w:val="0"/>
        <w:widowControl w:val="0"/>
        <w:shd w:val="clear" w:color="auto" w:fill="auto"/>
        <w:kinsoku/>
        <w:wordWrap/>
        <w:overflowPunct/>
        <w:topLinePunct w:val="0"/>
        <w:autoSpaceDE/>
        <w:autoSpaceDN/>
        <w:bidi w:val="0"/>
        <w:adjustRightInd/>
        <w:snapToGrid w:val="0"/>
        <w:spacing w:line="400" w:lineRule="exact"/>
        <w:ind w:firstLine="420"/>
        <w:jc w:val="left"/>
        <w:textAlignment w:val="auto"/>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（2）在工程采购项目中，工程由中小企业承建，即工程施工单位为中小企业；</w:t>
      </w:r>
    </w:p>
    <w:p w14:paraId="59CD1E5D">
      <w:pPr>
        <w:keepNext w:val="0"/>
        <w:keepLines w:val="0"/>
        <w:pageBreakBefore w:val="0"/>
        <w:widowControl w:val="0"/>
        <w:shd w:val="clear" w:color="auto" w:fill="auto"/>
        <w:kinsoku/>
        <w:wordWrap/>
        <w:overflowPunct/>
        <w:topLinePunct w:val="0"/>
        <w:autoSpaceDE/>
        <w:autoSpaceDN/>
        <w:bidi w:val="0"/>
        <w:adjustRightInd/>
        <w:snapToGrid w:val="0"/>
        <w:spacing w:line="400" w:lineRule="exact"/>
        <w:ind w:firstLine="420"/>
        <w:jc w:val="left"/>
        <w:textAlignment w:val="auto"/>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（3）在服务采购项目中，服务由中小企业承接，即提供服务的人员为中小企业依照《中华人民共和国劳动合同法》订立劳动合同的从业人员。</w:t>
      </w:r>
    </w:p>
    <w:p w14:paraId="4E98A2D7">
      <w:pPr>
        <w:keepNext w:val="0"/>
        <w:keepLines w:val="0"/>
        <w:pageBreakBefore w:val="0"/>
        <w:widowControl w:val="0"/>
        <w:shd w:val="clear" w:color="auto" w:fill="auto"/>
        <w:kinsoku/>
        <w:wordWrap/>
        <w:overflowPunct/>
        <w:topLinePunct w:val="0"/>
        <w:autoSpaceDE/>
        <w:autoSpaceDN/>
        <w:bidi w:val="0"/>
        <w:adjustRightInd/>
        <w:snapToGrid w:val="0"/>
        <w:spacing w:line="400" w:lineRule="exact"/>
        <w:ind w:firstLine="420"/>
        <w:jc w:val="left"/>
        <w:textAlignment w:val="auto"/>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以联合体形式参加政府采购活动，联合体各方均为中小企业的，联合体视同中小企业。</w:t>
      </w:r>
    </w:p>
    <w:p w14:paraId="60E57A58">
      <w:pPr>
        <w:keepNext w:val="0"/>
        <w:keepLines w:val="0"/>
        <w:pageBreakBefore w:val="0"/>
        <w:widowControl w:val="0"/>
        <w:shd w:val="clear" w:color="auto" w:fill="auto"/>
        <w:kinsoku/>
        <w:wordWrap/>
        <w:overflowPunct/>
        <w:topLinePunct w:val="0"/>
        <w:autoSpaceDE/>
        <w:autoSpaceDN/>
        <w:bidi w:val="0"/>
        <w:adjustRightInd/>
        <w:snapToGrid w:val="0"/>
        <w:spacing w:line="400" w:lineRule="exact"/>
        <w:ind w:firstLine="420"/>
        <w:jc w:val="left"/>
        <w:textAlignment w:val="auto"/>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lang w:val="zh-CN"/>
        </w:rPr>
        <w:t>小微企业应按照磋商文件格式要求提供《中小企业声明函》。</w:t>
      </w:r>
    </w:p>
    <w:p w14:paraId="23BD9AEC">
      <w:pPr>
        <w:keepNext w:val="0"/>
        <w:keepLines w:val="0"/>
        <w:pageBreakBefore w:val="0"/>
        <w:widowControl w:val="0"/>
        <w:shd w:val="clear" w:color="auto" w:fill="auto"/>
        <w:kinsoku/>
        <w:wordWrap/>
        <w:overflowPunct/>
        <w:topLinePunct w:val="0"/>
        <w:autoSpaceDE/>
        <w:autoSpaceDN/>
        <w:bidi w:val="0"/>
        <w:adjustRightInd/>
        <w:snapToGrid w:val="0"/>
        <w:spacing w:line="400" w:lineRule="exact"/>
        <w:ind w:firstLine="420"/>
        <w:jc w:val="left"/>
        <w:textAlignment w:val="auto"/>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lang w:val="zh-CN"/>
        </w:rPr>
        <w:t>根据《财政部司法部关于政府采购支持监狱企业发展有关问题的通知》（财库〔2014〕68号）规定，监狱企业视同小型、微型企业。监狱企业参加政府采购活动时，应当提供由省级以上监狱管理局、戒毒管理局（含新疆生产建设兵团）出具的属于监狱企业的证明文件。</w:t>
      </w:r>
    </w:p>
    <w:p w14:paraId="42828D9E">
      <w:pPr>
        <w:keepNext w:val="0"/>
        <w:keepLines w:val="0"/>
        <w:pageBreakBefore w:val="0"/>
        <w:widowControl w:val="0"/>
        <w:shd w:val="clear" w:color="auto" w:fill="auto"/>
        <w:kinsoku/>
        <w:wordWrap/>
        <w:overflowPunct/>
        <w:topLinePunct w:val="0"/>
        <w:autoSpaceDE/>
        <w:autoSpaceDN/>
        <w:bidi w:val="0"/>
        <w:adjustRightInd/>
        <w:snapToGrid w:val="0"/>
        <w:spacing w:line="400" w:lineRule="exact"/>
        <w:ind w:firstLine="420"/>
        <w:jc w:val="left"/>
        <w:textAlignment w:val="auto"/>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en-US" w:eastAsia="zh-CN"/>
        </w:rPr>
        <w:t>7.</w:t>
      </w:r>
      <w:r>
        <w:rPr>
          <w:rFonts w:hint="eastAsia" w:ascii="宋体" w:hAnsi="宋体" w:eastAsia="宋体" w:cs="宋体"/>
          <w:color w:val="auto"/>
          <w:kern w:val="2"/>
          <w:sz w:val="21"/>
          <w:szCs w:val="21"/>
          <w:highlight w:val="none"/>
          <w:lang w:val="zh-CN"/>
        </w:rPr>
        <w:t>根据《关于促进残疾人就业政府采购政策的通知》（财库[2017]141号）规定，在政府采购活动中，残疾人福利性单位视同小型、微型企业。残疾人福利性单位参加政府采购活动时，提供《残疾人福利性单位声明函》。</w:t>
      </w:r>
    </w:p>
    <w:p w14:paraId="7ACF6C6F">
      <w:pPr>
        <w:keepNext w:val="0"/>
        <w:keepLines w:val="0"/>
        <w:pageBreakBefore w:val="0"/>
        <w:widowControl w:val="0"/>
        <w:shd w:val="clear" w:color="auto" w:fill="auto"/>
        <w:kinsoku/>
        <w:wordWrap/>
        <w:overflowPunct/>
        <w:topLinePunct w:val="0"/>
        <w:autoSpaceDE/>
        <w:autoSpaceDN/>
        <w:bidi w:val="0"/>
        <w:adjustRightInd/>
        <w:snapToGrid w:val="0"/>
        <w:spacing w:line="400" w:lineRule="exact"/>
        <w:ind w:firstLine="420"/>
        <w:jc w:val="left"/>
        <w:textAlignment w:val="auto"/>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en-US" w:eastAsia="zh-CN"/>
        </w:rPr>
        <w:t>8.</w:t>
      </w:r>
      <w:r>
        <w:rPr>
          <w:rFonts w:hint="eastAsia" w:ascii="宋体" w:hAnsi="宋体" w:eastAsia="宋体" w:cs="宋体"/>
          <w:color w:val="auto"/>
          <w:kern w:val="2"/>
          <w:sz w:val="21"/>
          <w:szCs w:val="21"/>
          <w:highlight w:val="none"/>
          <w:lang w:val="zh-CN"/>
        </w:rPr>
        <w:t>按规定享受扶持政策获得政府采购合同的，小微企业不得将合同分包给大中型企业，中型企业不得将合同分包给大型企业。</w:t>
      </w:r>
    </w:p>
    <w:p w14:paraId="632BA629">
      <w:pPr>
        <w:keepNext w:val="0"/>
        <w:keepLines w:val="0"/>
        <w:pageBreakBefore w:val="0"/>
        <w:widowControl w:val="0"/>
        <w:shd w:val="clear" w:color="auto" w:fill="auto"/>
        <w:kinsoku/>
        <w:wordWrap/>
        <w:overflowPunct/>
        <w:topLinePunct w:val="0"/>
        <w:autoSpaceDE/>
        <w:autoSpaceDN/>
        <w:bidi w:val="0"/>
        <w:adjustRightInd/>
        <w:snapToGrid w:val="0"/>
        <w:spacing w:line="400" w:lineRule="exact"/>
        <w:ind w:firstLine="420"/>
        <w:jc w:val="left"/>
        <w:textAlignment w:val="auto"/>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en-US" w:eastAsia="zh-CN"/>
        </w:rPr>
        <w:t>9.</w:t>
      </w:r>
      <w:r>
        <w:rPr>
          <w:rFonts w:hint="eastAsia" w:ascii="宋体" w:hAnsi="宋体" w:eastAsia="宋体" w:cs="宋体"/>
          <w:color w:val="auto"/>
          <w:kern w:val="2"/>
          <w:sz w:val="21"/>
          <w:szCs w:val="21"/>
          <w:highlight w:val="none"/>
          <w:lang w:val="zh-CN"/>
        </w:rPr>
        <w:t>供应商按照《政府采购促进中小企业发展管理办法》（财库﹝2020﹞46号）规定提供声明函内容不实的，属于提供虚假材料谋取中标、成交，依照《中华人民共和国政府采购法》等国家有关规定追究相应责任。</w:t>
      </w:r>
    </w:p>
    <w:p w14:paraId="12FFC5E7">
      <w:pPr>
        <w:keepNext w:val="0"/>
        <w:keepLines w:val="0"/>
        <w:pageBreakBefore w:val="0"/>
        <w:widowControl w:val="0"/>
        <w:shd w:val="clear" w:color="auto" w:fill="auto"/>
        <w:kinsoku/>
        <w:wordWrap/>
        <w:overflowPunct/>
        <w:topLinePunct w:val="0"/>
        <w:autoSpaceDE/>
        <w:autoSpaceDN/>
        <w:bidi w:val="0"/>
        <w:adjustRightInd/>
        <w:spacing w:line="400" w:lineRule="exact"/>
        <w:ind w:firstLine="420" w:firstLineChars="200"/>
        <w:rPr>
          <w:rFonts w:hint="eastAsia" w:ascii="宋体" w:hAnsi="宋体" w:eastAsia="宋体" w:cs="宋体"/>
          <w:color w:val="auto"/>
          <w:sz w:val="21"/>
          <w:szCs w:val="21"/>
          <w:highlight w:val="none"/>
        </w:rPr>
      </w:pPr>
    </w:p>
    <w:p w14:paraId="3BAEE528">
      <w:pPr>
        <w:pStyle w:val="2"/>
        <w:bidi w:val="0"/>
        <w:spacing w:line="360" w:lineRule="auto"/>
        <w:jc w:val="center"/>
        <w:rPr>
          <w:rFonts w:hint="eastAsia" w:ascii="宋体" w:hAnsi="宋体" w:eastAsia="宋体" w:cs="宋体"/>
          <w:color w:val="auto"/>
          <w:sz w:val="32"/>
          <w:szCs w:val="32"/>
          <w:highlight w:val="none"/>
        </w:rPr>
        <w:sectPr>
          <w:headerReference r:id="rId8" w:type="default"/>
          <w:footerReference r:id="rId9" w:type="default"/>
          <w:pgSz w:w="11906" w:h="16838"/>
          <w:pgMar w:top="1474" w:right="1474" w:bottom="1247" w:left="1474" w:header="851" w:footer="850" w:gutter="0"/>
          <w:pgBorders>
            <w:top w:val="none" w:sz="0" w:space="0"/>
            <w:left w:val="none" w:sz="0" w:space="0"/>
            <w:bottom w:val="none" w:sz="0" w:space="0"/>
            <w:right w:val="none" w:sz="0" w:space="0"/>
          </w:pgBorders>
          <w:pgNumType w:fmt="decimal"/>
          <w:cols w:space="720" w:num="1"/>
          <w:docGrid w:linePitch="312" w:charSpace="0"/>
        </w:sectPr>
      </w:pPr>
    </w:p>
    <w:p w14:paraId="43D0B1A1">
      <w:pPr>
        <w:pStyle w:val="2"/>
        <w:bidi w:val="0"/>
        <w:spacing w:line="360" w:lineRule="auto"/>
        <w:jc w:val="center"/>
        <w:rPr>
          <w:rFonts w:hint="eastAsia" w:ascii="宋体" w:hAnsi="宋体" w:eastAsia="宋体" w:cs="宋体"/>
          <w:color w:val="auto"/>
          <w:sz w:val="32"/>
          <w:szCs w:val="32"/>
          <w:highlight w:val="none"/>
        </w:rPr>
      </w:pPr>
      <w:bookmarkStart w:id="90" w:name="_Toc17916"/>
      <w:r>
        <w:rPr>
          <w:rFonts w:hint="eastAsia" w:ascii="宋体" w:hAnsi="宋体" w:eastAsia="宋体" w:cs="宋体"/>
          <w:color w:val="auto"/>
          <w:sz w:val="32"/>
          <w:szCs w:val="32"/>
          <w:highlight w:val="none"/>
        </w:rPr>
        <w:t>第</w:t>
      </w:r>
      <w:r>
        <w:rPr>
          <w:rFonts w:hint="eastAsia" w:ascii="宋体" w:hAnsi="宋体" w:eastAsia="宋体" w:cs="宋体"/>
          <w:color w:val="auto"/>
          <w:sz w:val="32"/>
          <w:szCs w:val="32"/>
          <w:highlight w:val="none"/>
          <w:lang w:val="en-US" w:eastAsia="zh-CN"/>
        </w:rPr>
        <w:t>三</w:t>
      </w:r>
      <w:r>
        <w:rPr>
          <w:rFonts w:hint="eastAsia" w:ascii="宋体" w:hAnsi="宋体" w:eastAsia="宋体" w:cs="宋体"/>
          <w:color w:val="auto"/>
          <w:sz w:val="32"/>
          <w:szCs w:val="32"/>
          <w:highlight w:val="none"/>
        </w:rPr>
        <w:t>章 项目需求</w:t>
      </w:r>
      <w:bookmarkEnd w:id="90"/>
      <w:bookmarkStart w:id="91" w:name="_Toc348790040"/>
      <w:bookmarkStart w:id="92" w:name="_Toc303512745"/>
    </w:p>
    <w:bookmarkEnd w:id="91"/>
    <w:bookmarkEnd w:id="92"/>
    <w:p w14:paraId="46CA8D7D">
      <w:pPr>
        <w:keepNext w:val="0"/>
        <w:keepLines w:val="0"/>
        <w:pageBreakBefore w:val="0"/>
        <w:widowControl/>
        <w:suppressLineNumbers w:val="0"/>
        <w:kinsoku/>
        <w:wordWrap/>
        <w:overflowPunct/>
        <w:topLinePunct w:val="0"/>
        <w:autoSpaceDE/>
        <w:autoSpaceDN/>
        <w:bidi w:val="0"/>
        <w:adjustRightInd w:val="0"/>
        <w:snapToGrid/>
        <w:spacing w:line="360" w:lineRule="auto"/>
        <w:jc w:val="left"/>
        <w:textAlignment w:val="baseline"/>
        <w:rPr>
          <w:rFonts w:hint="default"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一、</w:t>
      </w:r>
      <w:r>
        <w:rPr>
          <w:rFonts w:hint="eastAsia" w:hAnsi="宋体" w:eastAsia="宋体" w:cs="宋体"/>
          <w:b/>
          <w:bCs/>
          <w:color w:val="auto"/>
          <w:kern w:val="0"/>
          <w:sz w:val="21"/>
          <w:szCs w:val="21"/>
          <w:highlight w:val="none"/>
          <w:lang w:val="en-US" w:eastAsia="zh-CN" w:bidi="ar"/>
        </w:rPr>
        <w:t>项目概况</w:t>
      </w:r>
      <w:r>
        <w:rPr>
          <w:rFonts w:hint="default" w:ascii="宋体" w:hAnsi="宋体" w:eastAsia="宋体" w:cs="宋体"/>
          <w:b/>
          <w:bCs/>
          <w:color w:val="auto"/>
          <w:kern w:val="0"/>
          <w:sz w:val="21"/>
          <w:szCs w:val="21"/>
          <w:highlight w:val="none"/>
          <w:lang w:val="en-US" w:eastAsia="zh-CN" w:bidi="ar"/>
        </w:rPr>
        <w:tab/>
      </w:r>
    </w:p>
    <w:p w14:paraId="30BFA765">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1、工程布局与范围</w:t>
      </w:r>
    </w:p>
    <w:p w14:paraId="43859AF1">
      <w:pPr>
        <w:bidi w:val="0"/>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林相优化作业区小班位于海曙区章水镇第00146、00148、00157、00158、00160、00187、00189、00208、00240、00250号落界小班。面积合计为135亩，根据林相优化作业区实际情况，将作业区分为10个作业小班。</w:t>
      </w:r>
    </w:p>
    <w:p w14:paraId="0B6CF3B6">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2、林分基本情况</w:t>
      </w:r>
    </w:p>
    <w:p w14:paraId="013FAAA8">
      <w:pPr>
        <w:bidi w:val="0"/>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作业区郁闭度在0.6-0.7之间，林种多为水源涵养林，优势树种为自然生长的阔叶树，其林相较为良好，但树种结构单一，色彩单调，景观效果欠佳，需要进一步补植珍贵彩色树种。</w:t>
      </w:r>
    </w:p>
    <w:p w14:paraId="07B322FC">
      <w:pPr>
        <w:keepNext w:val="0"/>
        <w:keepLines w:val="0"/>
        <w:pageBreakBefore w:val="0"/>
        <w:widowControl/>
        <w:suppressLineNumbers w:val="0"/>
        <w:kinsoku/>
        <w:wordWrap/>
        <w:overflowPunct/>
        <w:topLinePunct w:val="0"/>
        <w:autoSpaceDE/>
        <w:autoSpaceDN/>
        <w:bidi w:val="0"/>
        <w:adjustRightInd w:val="0"/>
        <w:snapToGrid/>
        <w:spacing w:line="360" w:lineRule="auto"/>
        <w:jc w:val="left"/>
        <w:textAlignment w:val="baseline"/>
        <w:rPr>
          <w:rFonts w:hint="eastAsia" w:ascii="宋体" w:hAnsi="宋体" w:eastAsia="宋体" w:cs="宋体"/>
          <w:b/>
          <w:bCs/>
          <w:color w:val="auto"/>
          <w:kern w:val="0"/>
          <w:sz w:val="21"/>
          <w:szCs w:val="21"/>
          <w:highlight w:val="none"/>
          <w:lang w:val="en-US" w:eastAsia="zh-CN" w:bidi="ar"/>
        </w:rPr>
      </w:pPr>
      <w:bookmarkStart w:id="93" w:name="_Toc195198821"/>
      <w:r>
        <w:rPr>
          <w:rFonts w:hint="eastAsia" w:ascii="宋体" w:hAnsi="宋体" w:eastAsia="宋体" w:cs="宋体"/>
          <w:b/>
          <w:bCs/>
          <w:color w:val="auto"/>
          <w:kern w:val="0"/>
          <w:sz w:val="21"/>
          <w:szCs w:val="21"/>
          <w:highlight w:val="none"/>
          <w:lang w:val="en-US" w:eastAsia="zh-CN" w:bidi="ar"/>
        </w:rPr>
        <w:t>二、</w:t>
      </w:r>
      <w:bookmarkEnd w:id="93"/>
      <w:r>
        <w:rPr>
          <w:rFonts w:hint="eastAsia" w:ascii="宋体" w:hAnsi="宋体" w:eastAsia="宋体" w:cs="宋体"/>
          <w:b/>
          <w:bCs/>
          <w:color w:val="auto"/>
          <w:kern w:val="0"/>
          <w:sz w:val="21"/>
          <w:szCs w:val="21"/>
          <w:highlight w:val="none"/>
          <w:lang w:val="en-US" w:eastAsia="zh-CN" w:bidi="ar"/>
        </w:rPr>
        <w:t>林相优化设计</w:t>
      </w:r>
    </w:p>
    <w:p w14:paraId="61CB8FD5">
      <w:pPr>
        <w:pStyle w:val="4"/>
        <w:spacing w:before="0" w:after="0" w:line="360" w:lineRule="auto"/>
        <w:rPr>
          <w:rFonts w:hint="eastAsia" w:ascii="宋体" w:hAnsi="宋体" w:eastAsia="宋体" w:cs="宋体"/>
          <w:b w:val="0"/>
          <w:sz w:val="21"/>
          <w:szCs w:val="21"/>
          <w:lang w:val="en-US" w:eastAsia="zh-CN" w:bidi="ar-SA"/>
        </w:rPr>
      </w:pPr>
      <w:r>
        <w:rPr>
          <w:rFonts w:hint="eastAsia" w:ascii="宋体" w:hAnsi="宋体" w:eastAsia="宋体" w:cs="宋体"/>
          <w:b w:val="0"/>
          <w:sz w:val="21"/>
          <w:szCs w:val="21"/>
          <w:lang w:val="en-US" w:eastAsia="zh-CN" w:bidi="ar-SA"/>
        </w:rPr>
        <w:t>1、林相优化改造进度安排</w:t>
      </w:r>
    </w:p>
    <w:p w14:paraId="48BC5C12">
      <w:pPr>
        <w:bidi w:val="0"/>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本次改造周期为4年，计划本轮改造最终完成针阔混交、常绿与阔叶混交的优化改造，合理安排工程进度。</w:t>
      </w:r>
    </w:p>
    <w:p w14:paraId="5B364A11">
      <w:pPr>
        <w:bidi w:val="0"/>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r>
        <w:rPr>
          <w:rFonts w:hint="eastAsia" w:cs="宋体"/>
          <w:sz w:val="21"/>
          <w:szCs w:val="21"/>
          <w:lang w:val="en-US" w:eastAsia="zh-CN"/>
        </w:rPr>
        <w:t>1</w:t>
      </w:r>
      <w:r>
        <w:rPr>
          <w:rFonts w:hint="eastAsia" w:ascii="宋体" w:hAnsi="宋体" w:eastAsia="宋体" w:cs="宋体"/>
          <w:sz w:val="21"/>
          <w:szCs w:val="21"/>
          <w:lang w:val="en-US" w:eastAsia="zh-CN"/>
        </w:rPr>
        <w:t>）9月初设计单位与施工单位进行技术交底，施工单位进场。</w:t>
      </w:r>
    </w:p>
    <w:p w14:paraId="4CC4428B">
      <w:pPr>
        <w:bidi w:val="0"/>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r>
        <w:rPr>
          <w:rFonts w:hint="eastAsia" w:cs="宋体"/>
          <w:sz w:val="21"/>
          <w:szCs w:val="21"/>
          <w:lang w:val="en-US" w:eastAsia="zh-CN"/>
        </w:rPr>
        <w:t>2</w:t>
      </w:r>
      <w:r>
        <w:rPr>
          <w:rFonts w:hint="eastAsia" w:ascii="宋体" w:hAnsi="宋体" w:eastAsia="宋体" w:cs="宋体"/>
          <w:sz w:val="21"/>
          <w:szCs w:val="21"/>
          <w:lang w:val="en-US" w:eastAsia="zh-CN"/>
        </w:rPr>
        <w:t>）施工阶段：9-11月，完成林地清理、造林补植等工作。</w:t>
      </w:r>
    </w:p>
    <w:p w14:paraId="2039BC91">
      <w:pPr>
        <w:bidi w:val="0"/>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r>
        <w:rPr>
          <w:rFonts w:hint="eastAsia" w:cs="宋体"/>
          <w:sz w:val="21"/>
          <w:szCs w:val="21"/>
          <w:lang w:val="en-US" w:eastAsia="zh-CN"/>
        </w:rPr>
        <w:t>3</w:t>
      </w:r>
      <w:r>
        <w:rPr>
          <w:rFonts w:hint="eastAsia" w:ascii="宋体" w:hAnsi="宋体" w:eastAsia="宋体" w:cs="宋体"/>
          <w:sz w:val="21"/>
          <w:szCs w:val="21"/>
          <w:lang w:val="en-US" w:eastAsia="zh-CN"/>
        </w:rPr>
        <w:t>）组织验收：12月，组织开展检查验收工作，及时整改。</w:t>
      </w:r>
    </w:p>
    <w:p w14:paraId="6203D9FF">
      <w:pPr>
        <w:bidi w:val="0"/>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w:t>
      </w:r>
      <w:r>
        <w:rPr>
          <w:rFonts w:hint="eastAsia" w:cs="宋体"/>
          <w:sz w:val="21"/>
          <w:szCs w:val="21"/>
          <w:lang w:val="en-US" w:eastAsia="zh-CN"/>
        </w:rPr>
        <w:t>4</w:t>
      </w:r>
      <w:r>
        <w:rPr>
          <w:rFonts w:hint="eastAsia" w:ascii="宋体" w:hAnsi="宋体" w:eastAsia="宋体" w:cs="宋体"/>
          <w:sz w:val="21"/>
          <w:szCs w:val="21"/>
          <w:lang w:val="en-US" w:eastAsia="zh-CN"/>
        </w:rPr>
        <w:t>）幼林管护：2026-2028年，保障林木存活率及早期生长势。</w:t>
      </w:r>
    </w:p>
    <w:tbl>
      <w:tblPr>
        <w:tblStyle w:val="2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6"/>
        <w:gridCol w:w="1692"/>
        <w:gridCol w:w="1791"/>
        <w:gridCol w:w="1362"/>
        <w:gridCol w:w="1314"/>
        <w:gridCol w:w="1257"/>
      </w:tblGrid>
      <w:tr w14:paraId="7A369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06" w:type="dxa"/>
            <w:vAlign w:val="center"/>
          </w:tcPr>
          <w:p w14:paraId="48CEE4E0">
            <w:pPr>
              <w:bidi w:val="0"/>
              <w:jc w:val="center"/>
              <w:rPr>
                <w:rFonts w:hint="eastAsia" w:ascii="宋体" w:hAnsi="宋体" w:eastAsia="宋体" w:cs="宋体"/>
                <w:kern w:val="0"/>
                <w:sz w:val="21"/>
                <w:szCs w:val="21"/>
              </w:rPr>
            </w:pPr>
            <w:r>
              <w:rPr>
                <w:rFonts w:hint="eastAsia" w:ascii="宋体" w:hAnsi="宋体" w:eastAsia="宋体" w:cs="宋体"/>
                <w:kern w:val="0"/>
                <w:sz w:val="21"/>
                <w:szCs w:val="21"/>
              </w:rPr>
              <w:t>施工改造时间</w:t>
            </w:r>
          </w:p>
        </w:tc>
        <w:tc>
          <w:tcPr>
            <w:tcW w:w="1692" w:type="dxa"/>
            <w:vAlign w:val="center"/>
          </w:tcPr>
          <w:p w14:paraId="442F4C07">
            <w:pPr>
              <w:bidi w:val="0"/>
              <w:jc w:val="center"/>
              <w:rPr>
                <w:rFonts w:hint="eastAsia" w:ascii="宋体" w:hAnsi="宋体" w:eastAsia="宋体" w:cs="宋体"/>
                <w:kern w:val="0"/>
                <w:sz w:val="21"/>
                <w:szCs w:val="21"/>
              </w:rPr>
            </w:pPr>
            <w:r>
              <w:rPr>
                <w:rFonts w:hint="eastAsia" w:ascii="宋体" w:hAnsi="宋体" w:eastAsia="宋体" w:cs="宋体"/>
                <w:kern w:val="0"/>
                <w:sz w:val="21"/>
                <w:szCs w:val="21"/>
              </w:rPr>
              <w:t>2025.9</w:t>
            </w:r>
          </w:p>
        </w:tc>
        <w:tc>
          <w:tcPr>
            <w:tcW w:w="1791" w:type="dxa"/>
            <w:vAlign w:val="center"/>
          </w:tcPr>
          <w:p w14:paraId="65847C89">
            <w:pPr>
              <w:bidi w:val="0"/>
              <w:jc w:val="center"/>
              <w:rPr>
                <w:rFonts w:hint="eastAsia" w:ascii="宋体" w:hAnsi="宋体" w:eastAsia="宋体" w:cs="宋体"/>
                <w:kern w:val="0"/>
                <w:sz w:val="21"/>
                <w:szCs w:val="21"/>
              </w:rPr>
            </w:pPr>
            <w:r>
              <w:rPr>
                <w:rFonts w:hint="eastAsia" w:ascii="宋体" w:hAnsi="宋体" w:eastAsia="宋体" w:cs="宋体"/>
                <w:kern w:val="0"/>
                <w:sz w:val="21"/>
                <w:szCs w:val="21"/>
              </w:rPr>
              <w:t>2025.10-2025.11</w:t>
            </w:r>
          </w:p>
        </w:tc>
        <w:tc>
          <w:tcPr>
            <w:tcW w:w="1362" w:type="dxa"/>
            <w:vAlign w:val="center"/>
          </w:tcPr>
          <w:p w14:paraId="26AA855D">
            <w:pPr>
              <w:bidi w:val="0"/>
              <w:jc w:val="center"/>
              <w:rPr>
                <w:rFonts w:hint="eastAsia" w:ascii="宋体" w:hAnsi="宋体" w:eastAsia="宋体" w:cs="宋体"/>
                <w:kern w:val="0"/>
                <w:sz w:val="21"/>
                <w:szCs w:val="21"/>
              </w:rPr>
            </w:pPr>
            <w:r>
              <w:rPr>
                <w:rFonts w:hint="eastAsia" w:ascii="宋体" w:hAnsi="宋体" w:eastAsia="宋体" w:cs="宋体"/>
                <w:kern w:val="0"/>
                <w:sz w:val="21"/>
                <w:szCs w:val="21"/>
              </w:rPr>
              <w:t>2026年</w:t>
            </w:r>
          </w:p>
        </w:tc>
        <w:tc>
          <w:tcPr>
            <w:tcW w:w="1314" w:type="dxa"/>
            <w:vAlign w:val="center"/>
          </w:tcPr>
          <w:p w14:paraId="76CB0258">
            <w:pPr>
              <w:bidi w:val="0"/>
              <w:jc w:val="center"/>
              <w:rPr>
                <w:rFonts w:hint="eastAsia" w:ascii="宋体" w:hAnsi="宋体" w:eastAsia="宋体" w:cs="宋体"/>
                <w:kern w:val="0"/>
                <w:sz w:val="21"/>
                <w:szCs w:val="21"/>
              </w:rPr>
            </w:pPr>
            <w:r>
              <w:rPr>
                <w:rFonts w:hint="eastAsia" w:ascii="宋体" w:hAnsi="宋体" w:eastAsia="宋体" w:cs="宋体"/>
                <w:kern w:val="0"/>
                <w:sz w:val="21"/>
                <w:szCs w:val="21"/>
              </w:rPr>
              <w:t>2027年</w:t>
            </w:r>
          </w:p>
        </w:tc>
        <w:tc>
          <w:tcPr>
            <w:tcW w:w="1257" w:type="dxa"/>
            <w:vAlign w:val="center"/>
          </w:tcPr>
          <w:p w14:paraId="6525E7B2">
            <w:pPr>
              <w:bidi w:val="0"/>
              <w:jc w:val="center"/>
              <w:rPr>
                <w:rFonts w:hint="eastAsia" w:ascii="宋体" w:hAnsi="宋体" w:eastAsia="宋体" w:cs="宋体"/>
                <w:kern w:val="0"/>
                <w:sz w:val="21"/>
                <w:szCs w:val="21"/>
              </w:rPr>
            </w:pPr>
            <w:r>
              <w:rPr>
                <w:rFonts w:hint="eastAsia" w:ascii="宋体" w:hAnsi="宋体" w:eastAsia="宋体" w:cs="宋体"/>
                <w:kern w:val="0"/>
                <w:sz w:val="21"/>
                <w:szCs w:val="21"/>
              </w:rPr>
              <w:t>2028年</w:t>
            </w:r>
          </w:p>
        </w:tc>
      </w:tr>
      <w:tr w14:paraId="4F4F0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1106" w:type="dxa"/>
            <w:vAlign w:val="center"/>
          </w:tcPr>
          <w:p w14:paraId="1A41FEC6">
            <w:pPr>
              <w:bidi w:val="0"/>
              <w:jc w:val="center"/>
              <w:rPr>
                <w:rFonts w:hint="eastAsia" w:ascii="宋体" w:hAnsi="宋体" w:eastAsia="宋体" w:cs="宋体"/>
                <w:kern w:val="0"/>
                <w:sz w:val="21"/>
                <w:szCs w:val="21"/>
              </w:rPr>
            </w:pPr>
            <w:r>
              <w:rPr>
                <w:rFonts w:hint="eastAsia" w:ascii="宋体" w:hAnsi="宋体" w:eastAsia="宋体" w:cs="宋体"/>
                <w:kern w:val="0"/>
                <w:sz w:val="21"/>
                <w:szCs w:val="21"/>
              </w:rPr>
              <w:t>改造方式</w:t>
            </w:r>
          </w:p>
        </w:tc>
        <w:tc>
          <w:tcPr>
            <w:tcW w:w="1692" w:type="dxa"/>
            <w:vAlign w:val="center"/>
          </w:tcPr>
          <w:p w14:paraId="70D7ABB2">
            <w:pPr>
              <w:bidi w:val="0"/>
              <w:jc w:val="center"/>
              <w:rPr>
                <w:rFonts w:hint="eastAsia" w:ascii="宋体" w:hAnsi="宋体" w:eastAsia="宋体" w:cs="宋体"/>
                <w:kern w:val="0"/>
                <w:sz w:val="21"/>
                <w:szCs w:val="21"/>
              </w:rPr>
            </w:pPr>
            <w:r>
              <w:rPr>
                <w:rFonts w:hint="eastAsia" w:ascii="宋体" w:hAnsi="宋体" w:eastAsia="宋体" w:cs="宋体"/>
                <w:kern w:val="0"/>
                <w:sz w:val="21"/>
                <w:szCs w:val="21"/>
              </w:rPr>
              <w:t>林地清理</w:t>
            </w:r>
          </w:p>
        </w:tc>
        <w:tc>
          <w:tcPr>
            <w:tcW w:w="1791" w:type="dxa"/>
            <w:vAlign w:val="center"/>
          </w:tcPr>
          <w:p w14:paraId="1CE2CD98">
            <w:pPr>
              <w:bidi w:val="0"/>
              <w:jc w:val="center"/>
              <w:rPr>
                <w:rFonts w:hint="eastAsia" w:ascii="宋体" w:hAnsi="宋体" w:eastAsia="宋体" w:cs="宋体"/>
                <w:kern w:val="0"/>
                <w:sz w:val="21"/>
                <w:szCs w:val="21"/>
              </w:rPr>
            </w:pPr>
            <w:r>
              <w:rPr>
                <w:rFonts w:hint="eastAsia" w:ascii="宋体" w:hAnsi="宋体" w:eastAsia="宋体" w:cs="宋体"/>
                <w:kern w:val="0"/>
                <w:sz w:val="21"/>
                <w:szCs w:val="21"/>
              </w:rPr>
              <w:t>补植改造</w:t>
            </w:r>
          </w:p>
        </w:tc>
        <w:tc>
          <w:tcPr>
            <w:tcW w:w="1362" w:type="dxa"/>
            <w:vAlign w:val="center"/>
          </w:tcPr>
          <w:p w14:paraId="43F5F27F">
            <w:pPr>
              <w:bidi w:val="0"/>
              <w:jc w:val="center"/>
              <w:rPr>
                <w:rFonts w:hint="eastAsia" w:ascii="宋体" w:hAnsi="宋体" w:eastAsia="宋体" w:cs="宋体"/>
                <w:kern w:val="0"/>
                <w:sz w:val="21"/>
                <w:szCs w:val="21"/>
              </w:rPr>
            </w:pPr>
            <w:r>
              <w:rPr>
                <w:rFonts w:hint="eastAsia" w:ascii="宋体" w:hAnsi="宋体" w:eastAsia="宋体" w:cs="宋体"/>
                <w:kern w:val="0"/>
                <w:sz w:val="21"/>
                <w:szCs w:val="21"/>
              </w:rPr>
              <w:t>幼林抚育管护</w:t>
            </w:r>
          </w:p>
        </w:tc>
        <w:tc>
          <w:tcPr>
            <w:tcW w:w="1314" w:type="dxa"/>
            <w:vAlign w:val="center"/>
          </w:tcPr>
          <w:p w14:paraId="4D64C768">
            <w:pPr>
              <w:bidi w:val="0"/>
              <w:jc w:val="center"/>
              <w:rPr>
                <w:rFonts w:hint="eastAsia" w:ascii="宋体" w:hAnsi="宋体" w:eastAsia="宋体" w:cs="宋体"/>
                <w:kern w:val="0"/>
                <w:sz w:val="21"/>
                <w:szCs w:val="21"/>
              </w:rPr>
            </w:pPr>
            <w:r>
              <w:rPr>
                <w:rFonts w:hint="eastAsia" w:ascii="宋体" w:hAnsi="宋体" w:eastAsia="宋体" w:cs="宋体"/>
                <w:kern w:val="0"/>
                <w:sz w:val="21"/>
                <w:szCs w:val="21"/>
              </w:rPr>
              <w:t>幼林抚育管护</w:t>
            </w:r>
          </w:p>
        </w:tc>
        <w:tc>
          <w:tcPr>
            <w:tcW w:w="1257" w:type="dxa"/>
            <w:vAlign w:val="center"/>
          </w:tcPr>
          <w:p w14:paraId="2E42AF62">
            <w:pPr>
              <w:bidi w:val="0"/>
              <w:jc w:val="center"/>
              <w:rPr>
                <w:rFonts w:hint="eastAsia" w:ascii="宋体" w:hAnsi="宋体" w:eastAsia="宋体" w:cs="宋体"/>
                <w:kern w:val="0"/>
                <w:sz w:val="21"/>
                <w:szCs w:val="21"/>
              </w:rPr>
            </w:pPr>
            <w:r>
              <w:rPr>
                <w:rFonts w:hint="eastAsia" w:ascii="宋体" w:hAnsi="宋体" w:eastAsia="宋体" w:cs="宋体"/>
                <w:kern w:val="0"/>
                <w:sz w:val="21"/>
                <w:szCs w:val="21"/>
              </w:rPr>
              <w:t>幼林抚育管护</w:t>
            </w:r>
          </w:p>
        </w:tc>
      </w:tr>
      <w:tr w14:paraId="2F538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1106" w:type="dxa"/>
            <w:vAlign w:val="center"/>
          </w:tcPr>
          <w:p w14:paraId="265F6B1E">
            <w:pPr>
              <w:bidi w:val="0"/>
              <w:jc w:val="center"/>
              <w:rPr>
                <w:rFonts w:hint="eastAsia" w:ascii="宋体" w:hAnsi="宋体" w:eastAsia="宋体" w:cs="宋体"/>
                <w:kern w:val="0"/>
                <w:sz w:val="21"/>
                <w:szCs w:val="21"/>
              </w:rPr>
            </w:pPr>
            <w:r>
              <w:rPr>
                <w:rFonts w:hint="eastAsia" w:ascii="宋体" w:hAnsi="宋体" w:eastAsia="宋体" w:cs="宋体"/>
                <w:kern w:val="0"/>
                <w:sz w:val="21"/>
                <w:szCs w:val="21"/>
              </w:rPr>
              <w:t>改造目标</w:t>
            </w:r>
          </w:p>
        </w:tc>
        <w:tc>
          <w:tcPr>
            <w:tcW w:w="1692" w:type="dxa"/>
            <w:vAlign w:val="center"/>
          </w:tcPr>
          <w:p w14:paraId="359D1A4B">
            <w:pPr>
              <w:bidi w:val="0"/>
              <w:jc w:val="center"/>
              <w:rPr>
                <w:rFonts w:hint="eastAsia" w:ascii="宋体" w:hAnsi="宋体" w:eastAsia="宋体" w:cs="宋体"/>
                <w:kern w:val="0"/>
                <w:sz w:val="21"/>
                <w:szCs w:val="21"/>
              </w:rPr>
            </w:pPr>
            <w:r>
              <w:rPr>
                <w:rFonts w:hint="eastAsia" w:ascii="宋体" w:hAnsi="宋体" w:eastAsia="宋体" w:cs="宋体"/>
                <w:kern w:val="0"/>
                <w:sz w:val="21"/>
                <w:szCs w:val="21"/>
              </w:rPr>
              <w:t>质量提升</w:t>
            </w:r>
          </w:p>
        </w:tc>
        <w:tc>
          <w:tcPr>
            <w:tcW w:w="1791" w:type="dxa"/>
            <w:vAlign w:val="center"/>
          </w:tcPr>
          <w:p w14:paraId="67067228">
            <w:pPr>
              <w:bidi w:val="0"/>
              <w:jc w:val="center"/>
              <w:rPr>
                <w:rFonts w:hint="eastAsia" w:ascii="宋体" w:hAnsi="宋体" w:eastAsia="宋体" w:cs="宋体"/>
                <w:kern w:val="0"/>
                <w:sz w:val="21"/>
                <w:szCs w:val="21"/>
              </w:rPr>
            </w:pPr>
            <w:r>
              <w:rPr>
                <w:rFonts w:hint="eastAsia" w:ascii="宋体" w:hAnsi="宋体" w:eastAsia="宋体" w:cs="宋体"/>
                <w:kern w:val="0"/>
                <w:sz w:val="21"/>
                <w:szCs w:val="21"/>
              </w:rPr>
              <w:t>功能恢复</w:t>
            </w:r>
          </w:p>
        </w:tc>
        <w:tc>
          <w:tcPr>
            <w:tcW w:w="1362" w:type="dxa"/>
            <w:vAlign w:val="center"/>
          </w:tcPr>
          <w:p w14:paraId="7D564A3C">
            <w:pPr>
              <w:bidi w:val="0"/>
              <w:jc w:val="center"/>
              <w:rPr>
                <w:rFonts w:hint="eastAsia" w:ascii="宋体" w:hAnsi="宋体" w:eastAsia="宋体" w:cs="宋体"/>
                <w:kern w:val="0"/>
                <w:sz w:val="21"/>
                <w:szCs w:val="21"/>
              </w:rPr>
            </w:pPr>
            <w:r>
              <w:rPr>
                <w:rFonts w:hint="eastAsia" w:ascii="宋体" w:hAnsi="宋体" w:eastAsia="宋体" w:cs="宋体"/>
                <w:kern w:val="0"/>
                <w:sz w:val="21"/>
                <w:szCs w:val="21"/>
              </w:rPr>
              <w:t>质量提升</w:t>
            </w:r>
          </w:p>
        </w:tc>
        <w:tc>
          <w:tcPr>
            <w:tcW w:w="1314" w:type="dxa"/>
            <w:vAlign w:val="center"/>
          </w:tcPr>
          <w:p w14:paraId="726ADA9A">
            <w:pPr>
              <w:bidi w:val="0"/>
              <w:jc w:val="center"/>
              <w:rPr>
                <w:rFonts w:hint="eastAsia" w:ascii="宋体" w:hAnsi="宋体" w:eastAsia="宋体" w:cs="宋体"/>
                <w:kern w:val="0"/>
                <w:sz w:val="21"/>
                <w:szCs w:val="21"/>
              </w:rPr>
            </w:pPr>
            <w:r>
              <w:rPr>
                <w:rFonts w:hint="eastAsia" w:ascii="宋体" w:hAnsi="宋体" w:eastAsia="宋体" w:cs="宋体"/>
                <w:kern w:val="0"/>
                <w:sz w:val="21"/>
                <w:szCs w:val="21"/>
              </w:rPr>
              <w:t>质量提升</w:t>
            </w:r>
          </w:p>
        </w:tc>
        <w:tc>
          <w:tcPr>
            <w:tcW w:w="1257" w:type="dxa"/>
            <w:vAlign w:val="center"/>
          </w:tcPr>
          <w:p w14:paraId="08513B10">
            <w:pPr>
              <w:bidi w:val="0"/>
              <w:jc w:val="center"/>
              <w:rPr>
                <w:rFonts w:hint="eastAsia" w:ascii="宋体" w:hAnsi="宋体" w:eastAsia="宋体" w:cs="宋体"/>
                <w:kern w:val="0"/>
                <w:sz w:val="21"/>
                <w:szCs w:val="21"/>
              </w:rPr>
            </w:pPr>
            <w:r>
              <w:rPr>
                <w:rFonts w:hint="eastAsia" w:ascii="宋体" w:hAnsi="宋体" w:eastAsia="宋体" w:cs="宋体"/>
                <w:kern w:val="0"/>
                <w:sz w:val="21"/>
                <w:szCs w:val="21"/>
              </w:rPr>
              <w:t>质量提升</w:t>
            </w:r>
          </w:p>
        </w:tc>
      </w:tr>
      <w:tr w14:paraId="6EE8C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1106" w:type="dxa"/>
            <w:vAlign w:val="center"/>
          </w:tcPr>
          <w:p w14:paraId="321656C3">
            <w:pPr>
              <w:bidi w:val="0"/>
              <w:jc w:val="center"/>
              <w:rPr>
                <w:rFonts w:hint="eastAsia" w:ascii="宋体" w:hAnsi="宋体" w:eastAsia="宋体" w:cs="宋体"/>
                <w:kern w:val="0"/>
                <w:sz w:val="21"/>
                <w:szCs w:val="21"/>
              </w:rPr>
            </w:pPr>
            <w:r>
              <w:rPr>
                <w:rFonts w:hint="eastAsia" w:ascii="宋体" w:hAnsi="宋体" w:eastAsia="宋体" w:cs="宋体"/>
                <w:kern w:val="0"/>
                <w:sz w:val="21"/>
                <w:szCs w:val="21"/>
              </w:rPr>
              <w:t>主要指标</w:t>
            </w:r>
          </w:p>
        </w:tc>
        <w:tc>
          <w:tcPr>
            <w:tcW w:w="1692" w:type="dxa"/>
            <w:vAlign w:val="center"/>
          </w:tcPr>
          <w:p w14:paraId="1E0B563A">
            <w:pPr>
              <w:bidi w:val="0"/>
              <w:jc w:val="center"/>
              <w:rPr>
                <w:rFonts w:hint="eastAsia" w:ascii="宋体" w:hAnsi="宋体" w:eastAsia="宋体" w:cs="宋体"/>
                <w:kern w:val="0"/>
                <w:sz w:val="21"/>
                <w:szCs w:val="21"/>
              </w:rPr>
            </w:pPr>
            <w:r>
              <w:rPr>
                <w:rFonts w:hint="eastAsia" w:ascii="宋体" w:hAnsi="宋体" w:eastAsia="宋体" w:cs="宋体"/>
                <w:kern w:val="0"/>
                <w:sz w:val="21"/>
                <w:szCs w:val="21"/>
              </w:rPr>
              <w:t>林分卫生条件改善，调整空间结构</w:t>
            </w:r>
          </w:p>
        </w:tc>
        <w:tc>
          <w:tcPr>
            <w:tcW w:w="1791" w:type="dxa"/>
            <w:vAlign w:val="center"/>
          </w:tcPr>
          <w:p w14:paraId="497E00A5">
            <w:pPr>
              <w:bidi w:val="0"/>
              <w:jc w:val="center"/>
              <w:rPr>
                <w:rFonts w:hint="eastAsia" w:ascii="宋体" w:hAnsi="宋体" w:eastAsia="宋体" w:cs="宋体"/>
                <w:kern w:val="0"/>
                <w:sz w:val="21"/>
                <w:szCs w:val="21"/>
              </w:rPr>
            </w:pPr>
            <w:r>
              <w:rPr>
                <w:rFonts w:hint="eastAsia" w:ascii="宋体" w:hAnsi="宋体" w:eastAsia="宋体" w:cs="宋体"/>
                <w:kern w:val="0"/>
                <w:sz w:val="21"/>
                <w:szCs w:val="21"/>
              </w:rPr>
              <w:t>形成复层</w:t>
            </w:r>
          </w:p>
          <w:p w14:paraId="33F7AB50">
            <w:pPr>
              <w:bidi w:val="0"/>
              <w:jc w:val="center"/>
              <w:rPr>
                <w:rFonts w:hint="eastAsia" w:ascii="宋体" w:hAnsi="宋体" w:eastAsia="宋体" w:cs="宋体"/>
                <w:kern w:val="0"/>
                <w:sz w:val="21"/>
                <w:szCs w:val="21"/>
              </w:rPr>
            </w:pPr>
            <w:r>
              <w:rPr>
                <w:rFonts w:hint="eastAsia" w:ascii="宋体" w:hAnsi="宋体" w:eastAsia="宋体" w:cs="宋体"/>
                <w:kern w:val="0"/>
                <w:sz w:val="21"/>
                <w:szCs w:val="21"/>
              </w:rPr>
              <w:t>针阔混交林</w:t>
            </w:r>
          </w:p>
        </w:tc>
        <w:tc>
          <w:tcPr>
            <w:tcW w:w="1362" w:type="dxa"/>
            <w:vAlign w:val="center"/>
          </w:tcPr>
          <w:p w14:paraId="3F73F767">
            <w:pPr>
              <w:bidi w:val="0"/>
              <w:jc w:val="center"/>
              <w:rPr>
                <w:rFonts w:hint="eastAsia" w:ascii="宋体" w:hAnsi="宋体" w:eastAsia="宋体" w:cs="宋体"/>
                <w:kern w:val="0"/>
                <w:sz w:val="21"/>
                <w:szCs w:val="21"/>
              </w:rPr>
            </w:pPr>
            <w:r>
              <w:rPr>
                <w:rFonts w:hint="eastAsia" w:ascii="宋体" w:hAnsi="宋体" w:eastAsia="宋体" w:cs="宋体"/>
                <w:kern w:val="0"/>
                <w:sz w:val="21"/>
                <w:szCs w:val="21"/>
              </w:rPr>
              <w:t>幼林生长量增加</w:t>
            </w:r>
          </w:p>
        </w:tc>
        <w:tc>
          <w:tcPr>
            <w:tcW w:w="1314" w:type="dxa"/>
            <w:vAlign w:val="center"/>
          </w:tcPr>
          <w:p w14:paraId="5EE6EE00">
            <w:pPr>
              <w:bidi w:val="0"/>
              <w:jc w:val="center"/>
              <w:rPr>
                <w:rFonts w:hint="eastAsia" w:ascii="宋体" w:hAnsi="宋体" w:eastAsia="宋体" w:cs="宋体"/>
                <w:kern w:val="0"/>
                <w:sz w:val="21"/>
                <w:szCs w:val="21"/>
              </w:rPr>
            </w:pPr>
            <w:r>
              <w:rPr>
                <w:rFonts w:hint="eastAsia" w:ascii="宋体" w:hAnsi="宋体" w:eastAsia="宋体" w:cs="宋体"/>
                <w:kern w:val="0"/>
                <w:sz w:val="21"/>
                <w:szCs w:val="21"/>
              </w:rPr>
              <w:t>幼林生长量增加</w:t>
            </w:r>
          </w:p>
        </w:tc>
        <w:tc>
          <w:tcPr>
            <w:tcW w:w="1257" w:type="dxa"/>
            <w:vAlign w:val="center"/>
          </w:tcPr>
          <w:p w14:paraId="5C45700F">
            <w:pPr>
              <w:bidi w:val="0"/>
              <w:jc w:val="center"/>
              <w:rPr>
                <w:rFonts w:hint="eastAsia" w:ascii="宋体" w:hAnsi="宋体" w:eastAsia="宋体" w:cs="宋体"/>
                <w:kern w:val="0"/>
                <w:sz w:val="21"/>
                <w:szCs w:val="21"/>
              </w:rPr>
            </w:pPr>
            <w:r>
              <w:rPr>
                <w:rFonts w:hint="eastAsia" w:ascii="宋体" w:hAnsi="宋体" w:eastAsia="宋体" w:cs="宋体"/>
                <w:kern w:val="0"/>
                <w:sz w:val="21"/>
                <w:szCs w:val="21"/>
              </w:rPr>
              <w:t>幼林生长量增加</w:t>
            </w:r>
          </w:p>
        </w:tc>
      </w:tr>
    </w:tbl>
    <w:p w14:paraId="7E51D91D">
      <w:pPr>
        <w:bidi w:val="0"/>
        <w:rPr>
          <w:rFonts w:hint="eastAsia" w:ascii="宋体" w:hAnsi="宋体" w:eastAsia="宋体" w:cs="宋体"/>
          <w:sz w:val="21"/>
          <w:szCs w:val="21"/>
          <w:lang w:val="en-US" w:eastAsia="zh-CN"/>
        </w:rPr>
      </w:pPr>
      <w:bookmarkStart w:id="94" w:name="_Toc195198822"/>
      <w:r>
        <w:rPr>
          <w:rFonts w:hint="eastAsia" w:ascii="宋体" w:hAnsi="宋体" w:eastAsia="宋体" w:cs="宋体"/>
          <w:sz w:val="21"/>
          <w:szCs w:val="21"/>
          <w:lang w:val="en-US" w:eastAsia="zh-CN"/>
        </w:rPr>
        <w:t>2、林相优化改造树种设计</w:t>
      </w:r>
      <w:bookmarkEnd w:id="94"/>
    </w:p>
    <w:p w14:paraId="4AF2DD76">
      <w:pPr>
        <w:bidi w:val="0"/>
        <w:ind w:firstLine="420" w:firstLineChars="200"/>
        <w:rPr>
          <w:rFonts w:hint="eastAsia" w:ascii="宋体" w:hAnsi="宋体" w:eastAsia="宋体" w:cs="宋体"/>
          <w:sz w:val="21"/>
          <w:szCs w:val="21"/>
        </w:rPr>
      </w:pPr>
      <w:r>
        <w:rPr>
          <w:rFonts w:hint="eastAsia" w:ascii="宋体" w:hAnsi="宋体" w:eastAsia="宋体" w:cs="宋体"/>
          <w:sz w:val="21"/>
          <w:szCs w:val="21"/>
        </w:rPr>
        <w:t>根据《</w:t>
      </w:r>
      <w:bookmarkStart w:id="95" w:name="OLE_LINK3"/>
      <w:bookmarkStart w:id="96" w:name="OLE_LINK4"/>
      <w:r>
        <w:rPr>
          <w:rFonts w:hint="eastAsia" w:ascii="宋体" w:hAnsi="宋体" w:eastAsia="宋体" w:cs="宋体"/>
          <w:sz w:val="21"/>
          <w:szCs w:val="21"/>
        </w:rPr>
        <w:t>浙江省珍贵树种资源发展纲要（2008~2020）</w:t>
      </w:r>
      <w:bookmarkEnd w:id="95"/>
      <w:bookmarkEnd w:id="96"/>
      <w:r>
        <w:rPr>
          <w:rFonts w:hint="eastAsia" w:ascii="宋体" w:hAnsi="宋体" w:eastAsia="宋体" w:cs="宋体"/>
          <w:sz w:val="21"/>
          <w:szCs w:val="21"/>
        </w:rPr>
        <w:t>》与</w:t>
      </w:r>
      <w:bookmarkStart w:id="97" w:name="OLE_LINK17"/>
      <w:bookmarkStart w:id="98" w:name="OLE_LINK16"/>
      <w:bookmarkStart w:id="99" w:name="OLE_LINK15"/>
      <w:r>
        <w:rPr>
          <w:rFonts w:hint="eastAsia" w:ascii="宋体" w:hAnsi="宋体" w:eastAsia="宋体" w:cs="宋体"/>
          <w:sz w:val="21"/>
          <w:szCs w:val="21"/>
        </w:rPr>
        <w:t>《</w:t>
      </w:r>
      <w:bookmarkStart w:id="100" w:name="OLE_LINK12"/>
      <w:r>
        <w:rPr>
          <w:rFonts w:hint="eastAsia" w:ascii="宋体" w:hAnsi="宋体" w:eastAsia="宋体" w:cs="宋体"/>
          <w:sz w:val="21"/>
          <w:szCs w:val="21"/>
        </w:rPr>
        <w:t>森林宁波建设重点工程管理办法（2016~2018）</w:t>
      </w:r>
      <w:bookmarkEnd w:id="100"/>
      <w:r>
        <w:rPr>
          <w:rFonts w:hint="eastAsia" w:ascii="宋体" w:hAnsi="宋体" w:eastAsia="宋体" w:cs="宋体"/>
          <w:sz w:val="21"/>
          <w:szCs w:val="21"/>
        </w:rPr>
        <w:t>》（甬林造〔2016〕16号）</w:t>
      </w:r>
      <w:bookmarkEnd w:id="97"/>
      <w:bookmarkEnd w:id="98"/>
      <w:bookmarkEnd w:id="99"/>
      <w:r>
        <w:rPr>
          <w:rFonts w:hint="eastAsia" w:ascii="宋体" w:hAnsi="宋体" w:eastAsia="宋体" w:cs="宋体"/>
          <w:sz w:val="21"/>
          <w:szCs w:val="21"/>
        </w:rPr>
        <w:t>，适宜在宁波地区种植的树种有乌桕、红豆杉、银杏、桢楠、赤皮青冈、水杉、池杉、江南油杉、柏木、浙江樟、连香树、红楠、金钱松、浙江楠、檫树等。同时，听取章水镇林业主管部门建议，选取树种如下：</w:t>
      </w:r>
    </w:p>
    <w:p w14:paraId="6226D9CC">
      <w:pPr>
        <w:bidi w:val="0"/>
        <w:ind w:firstLine="420" w:firstLineChars="200"/>
        <w:rPr>
          <w:rFonts w:hint="eastAsia" w:ascii="宋体" w:hAnsi="宋体" w:eastAsia="宋体" w:cs="宋体"/>
          <w:sz w:val="21"/>
          <w:szCs w:val="21"/>
        </w:rPr>
      </w:pPr>
      <w:r>
        <w:rPr>
          <w:rFonts w:hint="eastAsia" w:ascii="宋体" w:hAnsi="宋体" w:eastAsia="宋体" w:cs="宋体"/>
          <w:sz w:val="21"/>
          <w:szCs w:val="21"/>
        </w:rPr>
        <w:t>浙江楠：浙江楠树体高大通直，端庄美观，枝叶繁茂多姿宜作庭荫树、行道树或风景树，具有较高的观赏价值。材质坚硬，木质细腻，可作建筑、家具、精密模具和雕刻等用材，其树体壮丽、四季常青，是优良的园林绿化树种，也可用于园林和荒山绿化。</w:t>
      </w:r>
    </w:p>
    <w:p w14:paraId="077E5076">
      <w:pPr>
        <w:bidi w:val="0"/>
        <w:ind w:firstLine="420" w:firstLineChars="200"/>
        <w:rPr>
          <w:rFonts w:hint="eastAsia" w:ascii="宋体" w:hAnsi="宋体" w:eastAsia="宋体" w:cs="宋体"/>
          <w:sz w:val="21"/>
          <w:szCs w:val="21"/>
        </w:rPr>
      </w:pPr>
      <w:r>
        <w:rPr>
          <w:rFonts w:hint="eastAsia" w:ascii="宋体" w:hAnsi="宋体" w:eastAsia="宋体" w:cs="宋体"/>
          <w:sz w:val="21"/>
          <w:szCs w:val="21"/>
        </w:rPr>
        <w:t>桢楠：珍贵彩色森林树种。其树干通直，树冠整齐，枝叶繁茂，适作山地丘陵混交造林、林下补植树种；冠形端正，树姿优美，叶大荫浓，是优良的园林绿化树种；油料和芳香植物。材质坚硬，结构细致，具光泽和香气，是建筑、家具、细木工的优质用材。</w:t>
      </w:r>
    </w:p>
    <w:p w14:paraId="61B99085">
      <w:pPr>
        <w:bidi w:val="0"/>
        <w:ind w:firstLine="420" w:firstLineChars="200"/>
        <w:rPr>
          <w:rFonts w:hint="eastAsia" w:ascii="宋体" w:hAnsi="宋体" w:eastAsia="宋体" w:cs="宋体"/>
          <w:sz w:val="21"/>
          <w:szCs w:val="21"/>
        </w:rPr>
      </w:pPr>
      <w:r>
        <w:rPr>
          <w:rFonts w:hint="eastAsia" w:ascii="宋体" w:hAnsi="宋体" w:eastAsia="宋体" w:cs="宋体"/>
          <w:sz w:val="21"/>
          <w:szCs w:val="21"/>
        </w:rPr>
        <w:t>金钱松：珍贵彩色森林树种。其树姿优美，叶在短枝上簇生，辐射平展成圆盘状，似铜钱，深秋叶色金黄，极具观赏性。木材纹理通直，硬度适中，材质稍粗，性较脆。可作建筑、板材、家具、器具及木纤维工业原料等；树皮可提栲胶，也可作造纸胶料；种子可榨油。</w:t>
      </w:r>
    </w:p>
    <w:p w14:paraId="13E1812F">
      <w:pPr>
        <w:bidi w:val="0"/>
        <w:ind w:firstLine="420" w:firstLineChars="200"/>
        <w:rPr>
          <w:rFonts w:hint="eastAsia" w:ascii="宋体" w:hAnsi="宋体" w:eastAsia="宋体" w:cs="宋体"/>
          <w:sz w:val="21"/>
          <w:szCs w:val="21"/>
        </w:rPr>
      </w:pPr>
      <w:r>
        <w:rPr>
          <w:rFonts w:hint="eastAsia" w:ascii="宋体" w:hAnsi="宋体" w:eastAsia="宋体" w:cs="宋体"/>
          <w:sz w:val="21"/>
          <w:szCs w:val="21"/>
        </w:rPr>
        <w:t>檫树：檫木树形高大挺直，干形圆满，高度可达35米，胸径2.5米；树皮幼时黄绿色、平滑，老时变灰褐色，呈不规则纵裂；早春开花，花期2-3月；果实6-8月成熟，呈近球形或卵形，表面附着白蜡粉，着生于浅杯状的红色果托上。檫木自然分布于长江以南地区，喜温暖湿润的气候，适合种植在土层深厚且排水良好的酸性红壤或黄壤中，造林一般选择海拔1000米以下的向阳坡。</w:t>
      </w:r>
    </w:p>
    <w:p w14:paraId="728DF4BD">
      <w:pPr>
        <w:bidi w:val="0"/>
        <w:ind w:firstLine="420" w:firstLineChars="200"/>
        <w:rPr>
          <w:rFonts w:hint="eastAsia" w:ascii="宋体" w:hAnsi="宋体" w:eastAsia="宋体" w:cs="宋体"/>
          <w:sz w:val="21"/>
          <w:szCs w:val="21"/>
        </w:rPr>
      </w:pPr>
      <w:r>
        <w:rPr>
          <w:rFonts w:hint="eastAsia" w:ascii="宋体" w:hAnsi="宋体" w:eastAsia="宋体" w:cs="宋体"/>
          <w:sz w:val="21"/>
          <w:szCs w:val="21"/>
        </w:rPr>
        <w:t>海曙区章水镇2024年度结余资金林相优化改造工程所选树种苗木数量共计6075株，其中浙江楠（桢楠）2502株，金钱松2493株，檫树1080株。</w:t>
      </w:r>
    </w:p>
    <w:p w14:paraId="6AB3BCA4">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3、林相优化改造设计结果</w:t>
      </w:r>
    </w:p>
    <w:p w14:paraId="516011EC">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（1）规划思路</w:t>
      </w:r>
    </w:p>
    <w:p w14:paraId="49A3CE1C">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规划继续清理作业小班内的杂草、灌木和藤蔓，以及作业小班内无培育前途的有害树和过密的辅助树（树高在4米以下，胸径在4厘米以下），通过人工促进更新、补植改造等森林经营措施，因地制宜，积极培育发展珍贵树种、生态树种，落叶树种，增加枯落物，提高水源涵养，改善林内环境，设计补植浙江楠（桢楠）、金钱松和檫树，逐步形成珍贵彩色健康的森林景观。</w:t>
      </w:r>
    </w:p>
    <w:p w14:paraId="1B6067E1">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（2）优化方式及设计种树</w:t>
      </w:r>
    </w:p>
    <w:p w14:paraId="2D9D74B8">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通过实施人工促进天然更新与补植改造等森林经营措施，以优化森林结构、提升生态功能为核心目标，因地制宜地开展珍贵树种培育工程。设计补植浙江楠（桢楠）、金钱松和檫树，通过调整林分密度、改善光照条件，逐步构建复层异龄混交林体系，使森林群落形成季相分明、层次丰富的垂直景观结构。</w:t>
      </w:r>
    </w:p>
    <w:p w14:paraId="1567ED13">
      <w:pPr>
        <w:spacing w:line="360" w:lineRule="auto"/>
        <w:ind w:firstLine="404" w:firstLineChars="200"/>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详见宁波市海曙区章水镇2024年度结余资金林相优化改造工程作业设计表。</w:t>
      </w:r>
    </w:p>
    <w:p w14:paraId="2FF5824D">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（3）补植要求</w:t>
      </w:r>
    </w:p>
    <w:p w14:paraId="6D2B96CA">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林相优化作业区，苗木栽植平均密度约为3×5米，补植45株/亩。控制区域最低密度为4×4米，40株/亩。</w:t>
      </w:r>
    </w:p>
    <w:p w14:paraId="7BF3A516">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采用垂直于等高线方向的行内混交方式种植。设计种植时间安排在当年9-11月进行。</w:t>
      </w:r>
      <w:r>
        <w:rPr>
          <w:rFonts w:hint="eastAsia" w:ascii="宋体" w:hAnsi="宋体" w:eastAsia="宋体" w:cs="宋体"/>
          <w:sz w:val="21"/>
          <w:szCs w:val="21"/>
        </w:rPr>
        <w:br w:type="page"/>
      </w:r>
    </w:p>
    <w:p w14:paraId="100B8272">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（4）苗木规格及需求量。</w:t>
      </w:r>
    </w:p>
    <w:tbl>
      <w:tblPr>
        <w:tblStyle w:val="23"/>
        <w:tblW w:w="456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265"/>
        <w:gridCol w:w="3058"/>
        <w:gridCol w:w="3057"/>
      </w:tblGrid>
      <w:tr w14:paraId="234B8CE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78" w:hRule="atLeast"/>
          <w:jc w:val="center"/>
        </w:trPr>
        <w:tc>
          <w:tcPr>
            <w:tcW w:w="1351" w:type="pct"/>
            <w:shd w:val="clear" w:color="auto" w:fill="auto"/>
            <w:noWrap/>
            <w:vAlign w:val="center"/>
          </w:tcPr>
          <w:p w14:paraId="3F93EEA4">
            <w:pPr>
              <w:keepNext w:val="0"/>
              <w:keepLines w:val="0"/>
              <w:pageBreakBefore w:val="0"/>
              <w:widowControl w:val="0"/>
              <w:kinsoku/>
              <w:wordWrap/>
              <w:overflowPunct/>
              <w:topLinePunct w:val="0"/>
              <w:autoSpaceDE/>
              <w:autoSpaceDN/>
              <w:bidi w:val="0"/>
              <w:adjustRightInd w:val="0"/>
              <w:snapToGrid/>
              <w:spacing w:line="440" w:lineRule="exact"/>
              <w:jc w:val="center"/>
              <w:textAlignment w:val="baseline"/>
              <w:rPr>
                <w:rFonts w:hint="eastAsia" w:ascii="宋体" w:hAnsi="宋体" w:eastAsia="宋体" w:cs="宋体"/>
                <w:sz w:val="21"/>
                <w:szCs w:val="21"/>
              </w:rPr>
            </w:pPr>
            <w:r>
              <w:rPr>
                <w:rFonts w:hint="eastAsia" w:ascii="宋体" w:hAnsi="宋体" w:eastAsia="宋体" w:cs="宋体"/>
                <w:sz w:val="21"/>
                <w:szCs w:val="21"/>
              </w:rPr>
              <w:t>品种</w:t>
            </w:r>
          </w:p>
        </w:tc>
        <w:tc>
          <w:tcPr>
            <w:tcW w:w="1824" w:type="pct"/>
            <w:shd w:val="clear" w:color="auto" w:fill="auto"/>
            <w:noWrap/>
            <w:vAlign w:val="center"/>
          </w:tcPr>
          <w:p w14:paraId="7DECA5BE">
            <w:pPr>
              <w:keepNext w:val="0"/>
              <w:keepLines w:val="0"/>
              <w:pageBreakBefore w:val="0"/>
              <w:widowControl w:val="0"/>
              <w:kinsoku/>
              <w:wordWrap/>
              <w:overflowPunct/>
              <w:topLinePunct w:val="0"/>
              <w:autoSpaceDE/>
              <w:autoSpaceDN/>
              <w:bidi w:val="0"/>
              <w:adjustRightInd w:val="0"/>
              <w:snapToGrid/>
              <w:spacing w:line="440" w:lineRule="exact"/>
              <w:jc w:val="center"/>
              <w:textAlignment w:val="baseline"/>
              <w:rPr>
                <w:rFonts w:hint="eastAsia" w:ascii="宋体" w:hAnsi="宋体" w:eastAsia="宋体" w:cs="宋体"/>
                <w:sz w:val="21"/>
                <w:szCs w:val="21"/>
              </w:rPr>
            </w:pPr>
            <w:r>
              <w:rPr>
                <w:rFonts w:hint="eastAsia" w:ascii="宋体" w:hAnsi="宋体" w:eastAsia="宋体" w:cs="宋体"/>
                <w:sz w:val="21"/>
                <w:szCs w:val="21"/>
              </w:rPr>
              <w:t>苗木数量（株）</w:t>
            </w:r>
          </w:p>
        </w:tc>
        <w:tc>
          <w:tcPr>
            <w:tcW w:w="1823" w:type="pct"/>
            <w:shd w:val="clear" w:color="auto" w:fill="auto"/>
            <w:noWrap/>
            <w:vAlign w:val="center"/>
          </w:tcPr>
          <w:p w14:paraId="63F17DB9">
            <w:pPr>
              <w:keepNext w:val="0"/>
              <w:keepLines w:val="0"/>
              <w:pageBreakBefore w:val="0"/>
              <w:widowControl w:val="0"/>
              <w:kinsoku/>
              <w:wordWrap/>
              <w:overflowPunct/>
              <w:topLinePunct w:val="0"/>
              <w:autoSpaceDE/>
              <w:autoSpaceDN/>
              <w:bidi w:val="0"/>
              <w:adjustRightInd w:val="0"/>
              <w:snapToGrid/>
              <w:spacing w:line="440" w:lineRule="exact"/>
              <w:jc w:val="center"/>
              <w:textAlignment w:val="baseline"/>
              <w:rPr>
                <w:rFonts w:hint="eastAsia" w:ascii="宋体" w:hAnsi="宋体" w:eastAsia="宋体" w:cs="宋体"/>
                <w:sz w:val="21"/>
                <w:szCs w:val="21"/>
              </w:rPr>
            </w:pPr>
            <w:r>
              <w:rPr>
                <w:rFonts w:hint="eastAsia" w:ascii="宋体" w:hAnsi="宋体" w:eastAsia="宋体" w:cs="宋体"/>
                <w:sz w:val="21"/>
                <w:szCs w:val="21"/>
              </w:rPr>
              <w:t>规格</w:t>
            </w:r>
          </w:p>
        </w:tc>
      </w:tr>
      <w:tr w14:paraId="25B35B9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29" w:hRule="atLeast"/>
          <w:jc w:val="center"/>
        </w:trPr>
        <w:tc>
          <w:tcPr>
            <w:tcW w:w="1351" w:type="pct"/>
            <w:shd w:val="clear" w:color="auto" w:fill="auto"/>
            <w:vAlign w:val="center"/>
          </w:tcPr>
          <w:p w14:paraId="4642336D">
            <w:pPr>
              <w:keepNext w:val="0"/>
              <w:keepLines w:val="0"/>
              <w:pageBreakBefore w:val="0"/>
              <w:widowControl w:val="0"/>
              <w:kinsoku/>
              <w:wordWrap/>
              <w:overflowPunct/>
              <w:topLinePunct w:val="0"/>
              <w:autoSpaceDE/>
              <w:autoSpaceDN/>
              <w:bidi w:val="0"/>
              <w:adjustRightInd w:val="0"/>
              <w:snapToGrid/>
              <w:spacing w:line="440" w:lineRule="exact"/>
              <w:jc w:val="center"/>
              <w:textAlignment w:val="baseline"/>
              <w:rPr>
                <w:rFonts w:hint="eastAsia" w:ascii="宋体" w:hAnsi="宋体" w:eastAsia="宋体" w:cs="宋体"/>
                <w:sz w:val="21"/>
                <w:szCs w:val="21"/>
              </w:rPr>
            </w:pPr>
            <w:r>
              <w:rPr>
                <w:rFonts w:hint="eastAsia" w:ascii="宋体" w:hAnsi="宋体" w:eastAsia="宋体" w:cs="宋体"/>
                <w:sz w:val="21"/>
                <w:szCs w:val="21"/>
              </w:rPr>
              <w:t>浙江楠（桢楠）</w:t>
            </w:r>
          </w:p>
        </w:tc>
        <w:tc>
          <w:tcPr>
            <w:tcW w:w="1824" w:type="pct"/>
            <w:shd w:val="clear" w:color="auto" w:fill="auto"/>
            <w:vAlign w:val="center"/>
          </w:tcPr>
          <w:p w14:paraId="6A5B2E85">
            <w:pPr>
              <w:keepNext w:val="0"/>
              <w:keepLines w:val="0"/>
              <w:pageBreakBefore w:val="0"/>
              <w:widowControl w:val="0"/>
              <w:kinsoku/>
              <w:wordWrap/>
              <w:overflowPunct/>
              <w:topLinePunct w:val="0"/>
              <w:autoSpaceDE/>
              <w:autoSpaceDN/>
              <w:bidi w:val="0"/>
              <w:adjustRightInd w:val="0"/>
              <w:snapToGrid/>
              <w:spacing w:line="440" w:lineRule="exact"/>
              <w:jc w:val="center"/>
              <w:textAlignment w:val="baseline"/>
              <w:rPr>
                <w:rFonts w:hint="eastAsia" w:ascii="宋体" w:hAnsi="宋体" w:eastAsia="宋体" w:cs="宋体"/>
                <w:sz w:val="21"/>
                <w:szCs w:val="21"/>
              </w:rPr>
            </w:pPr>
            <w:r>
              <w:rPr>
                <w:rFonts w:hint="eastAsia" w:ascii="宋体" w:hAnsi="宋体" w:eastAsia="宋体" w:cs="宋体"/>
                <w:sz w:val="21"/>
                <w:szCs w:val="21"/>
              </w:rPr>
              <w:t>2502</w:t>
            </w:r>
          </w:p>
        </w:tc>
        <w:tc>
          <w:tcPr>
            <w:tcW w:w="1823" w:type="pct"/>
            <w:shd w:val="clear" w:color="auto" w:fill="auto"/>
            <w:vAlign w:val="center"/>
          </w:tcPr>
          <w:p w14:paraId="4708540D">
            <w:pPr>
              <w:keepNext w:val="0"/>
              <w:keepLines w:val="0"/>
              <w:pageBreakBefore w:val="0"/>
              <w:widowControl w:val="0"/>
              <w:kinsoku/>
              <w:wordWrap/>
              <w:overflowPunct/>
              <w:topLinePunct w:val="0"/>
              <w:autoSpaceDE/>
              <w:autoSpaceDN/>
              <w:bidi w:val="0"/>
              <w:adjustRightInd w:val="0"/>
              <w:snapToGrid/>
              <w:spacing w:line="440" w:lineRule="exact"/>
              <w:jc w:val="center"/>
              <w:textAlignment w:val="baseline"/>
              <w:rPr>
                <w:rFonts w:hint="eastAsia" w:ascii="宋体" w:hAnsi="宋体" w:eastAsia="宋体" w:cs="宋体"/>
                <w:sz w:val="21"/>
                <w:szCs w:val="21"/>
              </w:rPr>
            </w:pPr>
            <w:r>
              <w:rPr>
                <w:rFonts w:hint="eastAsia" w:ascii="宋体" w:hAnsi="宋体" w:eastAsia="宋体" w:cs="宋体"/>
                <w:sz w:val="21"/>
                <w:szCs w:val="21"/>
              </w:rPr>
              <w:t>全冠容器苗，地径≥0.7厘米，苗高≥80厘米</w:t>
            </w:r>
          </w:p>
        </w:tc>
      </w:tr>
      <w:tr w14:paraId="318991C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41" w:hRule="atLeast"/>
          <w:jc w:val="center"/>
        </w:trPr>
        <w:tc>
          <w:tcPr>
            <w:tcW w:w="1351" w:type="pct"/>
            <w:shd w:val="clear" w:color="auto" w:fill="auto"/>
            <w:vAlign w:val="center"/>
          </w:tcPr>
          <w:p w14:paraId="7A7FB2AA">
            <w:pPr>
              <w:keepNext w:val="0"/>
              <w:keepLines w:val="0"/>
              <w:pageBreakBefore w:val="0"/>
              <w:widowControl w:val="0"/>
              <w:kinsoku/>
              <w:wordWrap/>
              <w:overflowPunct/>
              <w:topLinePunct w:val="0"/>
              <w:autoSpaceDE/>
              <w:autoSpaceDN/>
              <w:bidi w:val="0"/>
              <w:adjustRightInd w:val="0"/>
              <w:snapToGrid/>
              <w:spacing w:line="440" w:lineRule="exact"/>
              <w:jc w:val="center"/>
              <w:textAlignment w:val="baseline"/>
              <w:rPr>
                <w:rFonts w:hint="eastAsia" w:ascii="宋体" w:hAnsi="宋体" w:eastAsia="宋体" w:cs="宋体"/>
                <w:sz w:val="21"/>
                <w:szCs w:val="21"/>
              </w:rPr>
            </w:pPr>
            <w:r>
              <w:rPr>
                <w:rFonts w:hint="eastAsia" w:ascii="宋体" w:hAnsi="宋体" w:eastAsia="宋体" w:cs="宋体"/>
                <w:sz w:val="21"/>
                <w:szCs w:val="21"/>
              </w:rPr>
              <w:t>金钱松</w:t>
            </w:r>
          </w:p>
        </w:tc>
        <w:tc>
          <w:tcPr>
            <w:tcW w:w="1824" w:type="pct"/>
            <w:shd w:val="clear" w:color="auto" w:fill="auto"/>
            <w:vAlign w:val="center"/>
          </w:tcPr>
          <w:p w14:paraId="6960A482">
            <w:pPr>
              <w:keepNext w:val="0"/>
              <w:keepLines w:val="0"/>
              <w:pageBreakBefore w:val="0"/>
              <w:widowControl w:val="0"/>
              <w:kinsoku/>
              <w:wordWrap/>
              <w:overflowPunct/>
              <w:topLinePunct w:val="0"/>
              <w:autoSpaceDE/>
              <w:autoSpaceDN/>
              <w:bidi w:val="0"/>
              <w:adjustRightInd w:val="0"/>
              <w:snapToGrid/>
              <w:spacing w:line="440" w:lineRule="exact"/>
              <w:jc w:val="center"/>
              <w:textAlignment w:val="baseline"/>
              <w:rPr>
                <w:rFonts w:hint="eastAsia" w:ascii="宋体" w:hAnsi="宋体" w:eastAsia="宋体" w:cs="宋体"/>
                <w:sz w:val="21"/>
                <w:szCs w:val="21"/>
              </w:rPr>
            </w:pPr>
            <w:r>
              <w:rPr>
                <w:rFonts w:hint="eastAsia" w:ascii="宋体" w:hAnsi="宋体" w:eastAsia="宋体" w:cs="宋体"/>
                <w:sz w:val="21"/>
                <w:szCs w:val="21"/>
              </w:rPr>
              <w:t>2493</w:t>
            </w:r>
          </w:p>
        </w:tc>
        <w:tc>
          <w:tcPr>
            <w:tcW w:w="1823" w:type="pct"/>
            <w:shd w:val="clear" w:color="auto" w:fill="auto"/>
            <w:vAlign w:val="center"/>
          </w:tcPr>
          <w:p w14:paraId="12DFFE03">
            <w:pPr>
              <w:keepNext w:val="0"/>
              <w:keepLines w:val="0"/>
              <w:pageBreakBefore w:val="0"/>
              <w:widowControl w:val="0"/>
              <w:kinsoku/>
              <w:wordWrap/>
              <w:overflowPunct/>
              <w:topLinePunct w:val="0"/>
              <w:autoSpaceDE/>
              <w:autoSpaceDN/>
              <w:bidi w:val="0"/>
              <w:adjustRightInd w:val="0"/>
              <w:snapToGrid/>
              <w:spacing w:line="440" w:lineRule="exact"/>
              <w:jc w:val="center"/>
              <w:textAlignment w:val="baseline"/>
              <w:rPr>
                <w:rFonts w:hint="eastAsia" w:ascii="宋体" w:hAnsi="宋体" w:eastAsia="宋体" w:cs="宋体"/>
                <w:sz w:val="21"/>
                <w:szCs w:val="21"/>
              </w:rPr>
            </w:pPr>
            <w:r>
              <w:rPr>
                <w:rFonts w:hint="eastAsia" w:ascii="宋体" w:hAnsi="宋体" w:eastAsia="宋体" w:cs="宋体"/>
                <w:sz w:val="21"/>
                <w:szCs w:val="21"/>
              </w:rPr>
              <w:t>全冠容器苗，地径≥0.7厘米，苗高≥70厘米</w:t>
            </w:r>
          </w:p>
        </w:tc>
      </w:tr>
      <w:tr w14:paraId="6748FE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39" w:hRule="atLeast"/>
          <w:jc w:val="center"/>
        </w:trPr>
        <w:tc>
          <w:tcPr>
            <w:tcW w:w="1351" w:type="pct"/>
            <w:shd w:val="clear" w:color="auto" w:fill="auto"/>
            <w:vAlign w:val="center"/>
          </w:tcPr>
          <w:p w14:paraId="13C4DBC5">
            <w:pPr>
              <w:keepNext w:val="0"/>
              <w:keepLines w:val="0"/>
              <w:pageBreakBefore w:val="0"/>
              <w:widowControl w:val="0"/>
              <w:kinsoku/>
              <w:wordWrap/>
              <w:overflowPunct/>
              <w:topLinePunct w:val="0"/>
              <w:autoSpaceDE/>
              <w:autoSpaceDN/>
              <w:bidi w:val="0"/>
              <w:adjustRightInd w:val="0"/>
              <w:snapToGrid/>
              <w:spacing w:line="440" w:lineRule="exact"/>
              <w:jc w:val="center"/>
              <w:textAlignment w:val="baseline"/>
              <w:rPr>
                <w:rFonts w:hint="eastAsia" w:ascii="宋体" w:hAnsi="宋体" w:eastAsia="宋体" w:cs="宋体"/>
                <w:sz w:val="21"/>
                <w:szCs w:val="21"/>
              </w:rPr>
            </w:pPr>
            <w:r>
              <w:rPr>
                <w:rFonts w:hint="eastAsia" w:ascii="宋体" w:hAnsi="宋体" w:eastAsia="宋体" w:cs="宋体"/>
                <w:sz w:val="21"/>
                <w:szCs w:val="21"/>
              </w:rPr>
              <w:t>檫  树</w:t>
            </w:r>
          </w:p>
        </w:tc>
        <w:tc>
          <w:tcPr>
            <w:tcW w:w="1824" w:type="pct"/>
            <w:shd w:val="clear" w:color="auto" w:fill="auto"/>
            <w:vAlign w:val="center"/>
          </w:tcPr>
          <w:p w14:paraId="66AF7357">
            <w:pPr>
              <w:keepNext w:val="0"/>
              <w:keepLines w:val="0"/>
              <w:pageBreakBefore w:val="0"/>
              <w:widowControl w:val="0"/>
              <w:kinsoku/>
              <w:wordWrap/>
              <w:overflowPunct/>
              <w:topLinePunct w:val="0"/>
              <w:autoSpaceDE/>
              <w:autoSpaceDN/>
              <w:bidi w:val="0"/>
              <w:adjustRightInd w:val="0"/>
              <w:snapToGrid/>
              <w:spacing w:line="440" w:lineRule="exact"/>
              <w:jc w:val="center"/>
              <w:textAlignment w:val="baseline"/>
              <w:rPr>
                <w:rFonts w:hint="eastAsia" w:ascii="宋体" w:hAnsi="宋体" w:eastAsia="宋体" w:cs="宋体"/>
                <w:sz w:val="21"/>
                <w:szCs w:val="21"/>
              </w:rPr>
            </w:pPr>
            <w:r>
              <w:rPr>
                <w:rFonts w:hint="eastAsia" w:ascii="宋体" w:hAnsi="宋体" w:eastAsia="宋体" w:cs="宋体"/>
                <w:sz w:val="21"/>
                <w:szCs w:val="21"/>
              </w:rPr>
              <w:t>1080</w:t>
            </w:r>
          </w:p>
        </w:tc>
        <w:tc>
          <w:tcPr>
            <w:tcW w:w="1823" w:type="pct"/>
            <w:shd w:val="clear" w:color="auto" w:fill="auto"/>
            <w:vAlign w:val="center"/>
          </w:tcPr>
          <w:p w14:paraId="0DD803D7">
            <w:pPr>
              <w:keepNext w:val="0"/>
              <w:keepLines w:val="0"/>
              <w:pageBreakBefore w:val="0"/>
              <w:widowControl w:val="0"/>
              <w:kinsoku/>
              <w:wordWrap/>
              <w:overflowPunct/>
              <w:topLinePunct w:val="0"/>
              <w:autoSpaceDE/>
              <w:autoSpaceDN/>
              <w:bidi w:val="0"/>
              <w:adjustRightInd w:val="0"/>
              <w:snapToGrid/>
              <w:spacing w:line="440" w:lineRule="exact"/>
              <w:jc w:val="center"/>
              <w:textAlignment w:val="baseline"/>
              <w:rPr>
                <w:rFonts w:hint="eastAsia" w:ascii="宋体" w:hAnsi="宋体" w:eastAsia="宋体" w:cs="宋体"/>
                <w:sz w:val="21"/>
                <w:szCs w:val="21"/>
              </w:rPr>
            </w:pPr>
            <w:r>
              <w:rPr>
                <w:rFonts w:hint="eastAsia" w:ascii="宋体" w:hAnsi="宋体" w:eastAsia="宋体" w:cs="宋体"/>
                <w:sz w:val="21"/>
                <w:szCs w:val="21"/>
              </w:rPr>
              <w:t>全冠容器苗，地径≥0.7厘米，苗高≥80厘米</w:t>
            </w:r>
          </w:p>
        </w:tc>
      </w:tr>
      <w:tr w14:paraId="6F0B9CF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37" w:hRule="atLeast"/>
          <w:jc w:val="center"/>
        </w:trPr>
        <w:tc>
          <w:tcPr>
            <w:tcW w:w="1351" w:type="pct"/>
            <w:shd w:val="clear" w:color="auto" w:fill="auto"/>
            <w:vAlign w:val="center"/>
          </w:tcPr>
          <w:p w14:paraId="211AC704">
            <w:pPr>
              <w:keepNext w:val="0"/>
              <w:keepLines w:val="0"/>
              <w:pageBreakBefore w:val="0"/>
              <w:widowControl w:val="0"/>
              <w:kinsoku/>
              <w:wordWrap/>
              <w:overflowPunct/>
              <w:topLinePunct w:val="0"/>
              <w:autoSpaceDE/>
              <w:autoSpaceDN/>
              <w:bidi w:val="0"/>
              <w:adjustRightInd w:val="0"/>
              <w:snapToGrid/>
              <w:spacing w:line="440" w:lineRule="exact"/>
              <w:jc w:val="center"/>
              <w:textAlignment w:val="baseline"/>
              <w:rPr>
                <w:rFonts w:hint="eastAsia" w:ascii="宋体" w:hAnsi="宋体" w:eastAsia="宋体" w:cs="宋体"/>
                <w:sz w:val="21"/>
                <w:szCs w:val="21"/>
              </w:rPr>
            </w:pPr>
            <w:r>
              <w:rPr>
                <w:rFonts w:hint="eastAsia" w:ascii="宋体" w:hAnsi="宋体" w:eastAsia="宋体" w:cs="宋体"/>
                <w:sz w:val="21"/>
                <w:szCs w:val="21"/>
              </w:rPr>
              <w:t>合  计</w:t>
            </w:r>
          </w:p>
        </w:tc>
        <w:tc>
          <w:tcPr>
            <w:tcW w:w="1824" w:type="pct"/>
            <w:shd w:val="clear" w:color="auto" w:fill="auto"/>
            <w:vAlign w:val="center"/>
          </w:tcPr>
          <w:p w14:paraId="6DA0704D">
            <w:pPr>
              <w:keepNext w:val="0"/>
              <w:keepLines w:val="0"/>
              <w:pageBreakBefore w:val="0"/>
              <w:widowControl w:val="0"/>
              <w:kinsoku/>
              <w:wordWrap/>
              <w:overflowPunct/>
              <w:topLinePunct w:val="0"/>
              <w:autoSpaceDE/>
              <w:autoSpaceDN/>
              <w:bidi w:val="0"/>
              <w:adjustRightInd w:val="0"/>
              <w:snapToGrid/>
              <w:spacing w:line="440" w:lineRule="exact"/>
              <w:jc w:val="center"/>
              <w:textAlignment w:val="baseline"/>
              <w:rPr>
                <w:rFonts w:hint="eastAsia" w:ascii="宋体" w:hAnsi="宋体" w:eastAsia="宋体" w:cs="宋体"/>
                <w:sz w:val="21"/>
                <w:szCs w:val="21"/>
              </w:rPr>
            </w:pPr>
            <w:r>
              <w:rPr>
                <w:rFonts w:hint="eastAsia" w:ascii="宋体" w:hAnsi="宋体" w:eastAsia="宋体" w:cs="宋体"/>
                <w:sz w:val="21"/>
                <w:szCs w:val="21"/>
              </w:rPr>
              <w:t>6075</w:t>
            </w:r>
          </w:p>
        </w:tc>
        <w:tc>
          <w:tcPr>
            <w:tcW w:w="1823" w:type="pct"/>
            <w:shd w:val="clear" w:color="auto" w:fill="auto"/>
            <w:vAlign w:val="center"/>
          </w:tcPr>
          <w:p w14:paraId="49D42B71">
            <w:pPr>
              <w:keepNext w:val="0"/>
              <w:keepLines w:val="0"/>
              <w:pageBreakBefore w:val="0"/>
              <w:widowControl w:val="0"/>
              <w:kinsoku/>
              <w:wordWrap/>
              <w:overflowPunct/>
              <w:topLinePunct w:val="0"/>
              <w:autoSpaceDE/>
              <w:autoSpaceDN/>
              <w:bidi w:val="0"/>
              <w:adjustRightInd w:val="0"/>
              <w:snapToGrid/>
              <w:spacing w:line="440" w:lineRule="exact"/>
              <w:ind w:firstLine="420" w:firstLineChars="200"/>
              <w:jc w:val="center"/>
              <w:textAlignment w:val="baseline"/>
              <w:rPr>
                <w:rFonts w:hint="eastAsia" w:ascii="宋体" w:hAnsi="宋体" w:eastAsia="宋体" w:cs="宋体"/>
                <w:sz w:val="21"/>
                <w:szCs w:val="21"/>
              </w:rPr>
            </w:pPr>
          </w:p>
        </w:tc>
      </w:tr>
    </w:tbl>
    <w:p w14:paraId="53508198">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林相优化作业区，采用人工植苗造林方式，需栽植2年生容器苗数量为6075株，其中浙江楠（桢楠）2502株，金钱松2493株,檫树1080株。具体苗木规格：浙江楠（桢楠），地径≥0.7厘米，苗高≥80厘米；金钱松，地径≥0.7厘米，苗高≥70厘米；檫树，地径≥0.7厘米，苗高≥80厘米。</w:t>
      </w:r>
    </w:p>
    <w:p w14:paraId="4B0A3EB3">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林相优化作业区各小班情况，详见宁波市海曙区章水镇2024年度结余资金林相优化改造工程作业设计一览表。</w:t>
      </w:r>
    </w:p>
    <w:p w14:paraId="6BEEBC0F">
      <w:pPr>
        <w:keepNext w:val="0"/>
        <w:keepLines w:val="0"/>
        <w:pageBreakBefore w:val="0"/>
        <w:widowControl/>
        <w:suppressLineNumbers w:val="0"/>
        <w:kinsoku/>
        <w:wordWrap/>
        <w:overflowPunct/>
        <w:topLinePunct w:val="0"/>
        <w:autoSpaceDE/>
        <w:autoSpaceDN/>
        <w:bidi w:val="0"/>
        <w:adjustRightInd w:val="0"/>
        <w:snapToGrid/>
        <w:spacing w:line="360" w:lineRule="auto"/>
        <w:jc w:val="left"/>
        <w:textAlignment w:val="baseline"/>
        <w:rPr>
          <w:rFonts w:hint="eastAsia" w:ascii="宋体" w:hAnsi="宋体" w:eastAsia="宋体" w:cs="宋体"/>
          <w:b/>
          <w:bCs/>
          <w:color w:val="auto"/>
          <w:kern w:val="0"/>
          <w:sz w:val="21"/>
          <w:szCs w:val="21"/>
          <w:highlight w:val="none"/>
          <w:lang w:val="en-US" w:eastAsia="zh-CN" w:bidi="ar"/>
        </w:rPr>
      </w:pPr>
      <w:r>
        <w:rPr>
          <w:rFonts w:hint="eastAsia" w:hAnsi="宋体" w:eastAsia="宋体" w:cs="宋体"/>
          <w:b/>
          <w:bCs/>
          <w:color w:val="auto"/>
          <w:kern w:val="0"/>
          <w:sz w:val="21"/>
          <w:szCs w:val="21"/>
          <w:highlight w:val="none"/>
          <w:lang w:val="en-US" w:eastAsia="zh-CN" w:bidi="ar"/>
        </w:rPr>
        <w:t>三</w:t>
      </w:r>
      <w:r>
        <w:rPr>
          <w:rFonts w:hint="eastAsia" w:ascii="宋体" w:hAnsi="宋体" w:eastAsia="宋体" w:cs="宋体"/>
          <w:b/>
          <w:bCs/>
          <w:color w:val="auto"/>
          <w:kern w:val="0"/>
          <w:sz w:val="21"/>
          <w:szCs w:val="21"/>
          <w:highlight w:val="none"/>
          <w:lang w:val="en-US" w:eastAsia="zh-CN" w:bidi="ar"/>
        </w:rPr>
        <w:t>、技术规范</w:t>
      </w:r>
      <w:r>
        <w:rPr>
          <w:rFonts w:hint="eastAsia" w:hAnsi="宋体" w:eastAsia="宋体" w:cs="宋体"/>
          <w:b/>
          <w:bCs/>
          <w:color w:val="auto"/>
          <w:kern w:val="0"/>
          <w:sz w:val="21"/>
          <w:szCs w:val="21"/>
          <w:highlight w:val="none"/>
          <w:lang w:val="en-US" w:eastAsia="zh-CN" w:bidi="ar"/>
        </w:rPr>
        <w:t>及标准</w:t>
      </w:r>
      <w:r>
        <w:rPr>
          <w:rFonts w:hint="eastAsia" w:ascii="宋体" w:hAnsi="宋体" w:eastAsia="宋体" w:cs="宋体"/>
          <w:b/>
          <w:bCs/>
          <w:color w:val="auto"/>
          <w:kern w:val="0"/>
          <w:sz w:val="21"/>
          <w:szCs w:val="21"/>
          <w:highlight w:val="none"/>
          <w:lang w:val="en-US" w:eastAsia="zh-CN" w:bidi="ar"/>
        </w:rPr>
        <w:t xml:space="preserve"> </w:t>
      </w:r>
    </w:p>
    <w:p w14:paraId="0E512D45">
      <w:pPr>
        <w:keepNext w:val="0"/>
        <w:keepLines w:val="0"/>
        <w:pageBreakBefore w:val="0"/>
        <w:widowControl/>
        <w:suppressLineNumbers w:val="0"/>
        <w:kinsoku/>
        <w:wordWrap/>
        <w:overflowPunct/>
        <w:topLinePunct w:val="0"/>
        <w:autoSpaceDE/>
        <w:autoSpaceDN/>
        <w:bidi w:val="0"/>
        <w:adjustRightInd w:val="0"/>
        <w:snapToGrid/>
        <w:spacing w:line="360" w:lineRule="auto"/>
        <w:ind w:firstLine="420" w:firstLineChars="200"/>
        <w:jc w:val="left"/>
        <w:textAlignment w:val="baseline"/>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包括但不仅限于以下技术规范及标准： </w:t>
      </w:r>
    </w:p>
    <w:p w14:paraId="46FAA532">
      <w:pPr>
        <w:spacing w:line="360" w:lineRule="auto"/>
        <w:ind w:firstLine="420" w:firstLineChars="200"/>
        <w:rPr>
          <w:rFonts w:hint="eastAsia" w:ascii="宋体" w:hAnsi="宋体" w:eastAsia="宋体" w:cs="宋体"/>
          <w:sz w:val="21"/>
          <w:szCs w:val="21"/>
        </w:rPr>
      </w:pPr>
      <w:bookmarkStart w:id="101" w:name="_Hlk161583274"/>
      <w:r>
        <w:rPr>
          <w:rFonts w:hint="eastAsia" w:ascii="宋体" w:hAnsi="宋体" w:eastAsia="宋体" w:cs="宋体"/>
          <w:sz w:val="21"/>
          <w:szCs w:val="21"/>
        </w:rPr>
        <w:t>1、《中华人民共和国森林法实施条例》（2019年12月28日修订）；</w:t>
      </w:r>
    </w:p>
    <w:p w14:paraId="18A04449">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2、《浙江省生态公益林建设技术规程》（DB33/T379.3~2014）；</w:t>
      </w:r>
    </w:p>
    <w:p w14:paraId="5768652E">
      <w:pPr>
        <w:spacing w:line="360" w:lineRule="auto"/>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3、《造林技术规程》（GB/T15776~2023）；</w:t>
      </w:r>
    </w:p>
    <w:p w14:paraId="5AFE8C8C">
      <w:pPr>
        <w:spacing w:line="360" w:lineRule="auto"/>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4、《浙江省公益林管理办法》（2009）；</w:t>
      </w:r>
    </w:p>
    <w:p w14:paraId="7262B3D8">
      <w:pPr>
        <w:spacing w:line="360" w:lineRule="auto"/>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5、《浙江省阔叶林发展工程建设技术规范（试行）》；</w:t>
      </w:r>
    </w:p>
    <w:p w14:paraId="4F9A4F44">
      <w:pPr>
        <w:spacing w:line="360" w:lineRule="auto"/>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6、《浙江省珍贵树种资源发展纲要（2008~2020）》；</w:t>
      </w:r>
    </w:p>
    <w:p w14:paraId="2598E79C">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7、《碳汇十大主推树种》；</w:t>
      </w:r>
    </w:p>
    <w:p w14:paraId="6DDFCFD2">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8、《宁波市主要栽培珍贵用材树种参考名录（2020年修订版）》；</w:t>
      </w:r>
    </w:p>
    <w:p w14:paraId="341F7882">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9、《浙江省阔叶林发展工程建设技术规程（试行）》；</w:t>
      </w:r>
    </w:p>
    <w:p w14:paraId="082ED17D">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10、《海曙区“十四五”期间年森林采伐限额编制成果》；</w:t>
      </w:r>
    </w:p>
    <w:p w14:paraId="20EB1A91">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11、《宁波市海曙区“十四五”林业发展规划》；</w:t>
      </w:r>
    </w:p>
    <w:p w14:paraId="1AA187F7">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12、《浙江省营造林工程预算定额（2019试行版）》；</w:t>
      </w:r>
    </w:p>
    <w:p w14:paraId="5CE4FE17">
      <w:pPr>
        <w:spacing w:line="360" w:lineRule="auto"/>
        <w:ind w:firstLine="420" w:firstLineChars="200"/>
        <w:rPr>
          <w:rFonts w:hint="eastAsia" w:ascii="宋体" w:hAnsi="宋体" w:eastAsia="宋体" w:cs="宋体"/>
          <w:sz w:val="21"/>
          <w:szCs w:val="21"/>
        </w:rPr>
      </w:pPr>
      <w:r>
        <w:rPr>
          <w:rFonts w:hint="eastAsia" w:ascii="宋体" w:hAnsi="宋体" w:eastAsia="宋体" w:cs="宋体"/>
          <w:color w:val="000000" w:themeColor="text1"/>
          <w:sz w:val="21"/>
          <w:szCs w:val="21"/>
          <w14:textFill>
            <w14:solidFill>
              <w14:schemeClr w14:val="tx1"/>
            </w14:solidFill>
          </w14:textFill>
        </w:rPr>
        <w:t>13、《宁波市海曙区总林长令》（2025年第1号）；</w:t>
      </w:r>
    </w:p>
    <w:p w14:paraId="192A03BE">
      <w:pPr>
        <w:spacing w:line="360" w:lineRule="auto"/>
        <w:ind w:firstLine="420" w:firstLineChars="200"/>
        <w:rPr>
          <w:rFonts w:hint="eastAsia" w:ascii="宋体" w:hAnsi="宋体" w:eastAsia="宋体" w:cs="宋体"/>
          <w:sz w:val="21"/>
          <w:szCs w:val="21"/>
          <w:lang w:eastAsia="zh-CN"/>
        </w:rPr>
      </w:pPr>
      <w:r>
        <w:rPr>
          <w:rFonts w:hint="eastAsia" w:ascii="宋体" w:hAnsi="宋体" w:eastAsia="宋体" w:cs="宋体"/>
          <w:sz w:val="21"/>
          <w:szCs w:val="21"/>
        </w:rPr>
        <w:t>14、其他与设计有关资料</w:t>
      </w:r>
      <w:r>
        <w:rPr>
          <w:rFonts w:hint="eastAsia" w:ascii="宋体" w:hAnsi="宋体" w:eastAsia="宋体" w:cs="宋体"/>
          <w:sz w:val="21"/>
          <w:szCs w:val="21"/>
          <w:lang w:eastAsia="zh-CN"/>
        </w:rPr>
        <w:t>。</w:t>
      </w:r>
    </w:p>
    <w:p w14:paraId="6FC17EF5">
      <w:pPr>
        <w:spacing w:line="360" w:lineRule="auto"/>
        <w:ind w:firstLine="420" w:firstLineChars="200"/>
        <w:rPr>
          <w:rFonts w:hint="eastAsia" w:ascii="宋体" w:hAnsi="宋体" w:eastAsia="宋体" w:cs="宋体"/>
          <w:sz w:val="21"/>
          <w:szCs w:val="21"/>
        </w:rPr>
      </w:pPr>
    </w:p>
    <w:bookmarkEnd w:id="101"/>
    <w:p w14:paraId="1CE70FB8">
      <w:pPr>
        <w:keepNext w:val="0"/>
        <w:keepLines w:val="0"/>
        <w:pageBreakBefore w:val="0"/>
        <w:widowControl/>
        <w:suppressLineNumbers w:val="0"/>
        <w:kinsoku/>
        <w:wordWrap/>
        <w:overflowPunct/>
        <w:topLinePunct w:val="0"/>
        <w:autoSpaceDE/>
        <w:autoSpaceDN/>
        <w:bidi w:val="0"/>
        <w:adjustRightInd w:val="0"/>
        <w:snapToGrid/>
        <w:spacing w:line="360" w:lineRule="auto"/>
        <w:jc w:val="left"/>
        <w:textAlignment w:val="baseline"/>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 xml:space="preserve">上述规范如有更新的则按最新规范和标准要求执行，除上述规范以外的遵循国家及地方、行业现行的其它相关规范和标准要求。 </w:t>
      </w:r>
    </w:p>
    <w:p w14:paraId="3A32D97A">
      <w:pPr>
        <w:keepNext w:val="0"/>
        <w:keepLines w:val="0"/>
        <w:pageBreakBefore w:val="0"/>
        <w:widowControl/>
        <w:suppressLineNumbers w:val="0"/>
        <w:kinsoku/>
        <w:wordWrap/>
        <w:overflowPunct/>
        <w:topLinePunct w:val="0"/>
        <w:autoSpaceDE/>
        <w:autoSpaceDN/>
        <w:bidi w:val="0"/>
        <w:adjustRightInd w:val="0"/>
        <w:snapToGrid/>
        <w:spacing w:line="360" w:lineRule="auto"/>
        <w:jc w:val="left"/>
        <w:textAlignment w:val="baseline"/>
        <w:rPr>
          <w:rFonts w:hint="eastAsia" w:ascii="宋体" w:hAnsi="宋体" w:eastAsia="宋体" w:cs="宋体"/>
          <w:b/>
          <w:bCs/>
          <w:color w:val="auto"/>
          <w:kern w:val="0"/>
          <w:sz w:val="21"/>
          <w:szCs w:val="21"/>
          <w:highlight w:val="none"/>
          <w:lang w:val="en-US" w:eastAsia="zh-CN" w:bidi="ar"/>
        </w:rPr>
      </w:pPr>
    </w:p>
    <w:p w14:paraId="2FACA3BE">
      <w:pPr>
        <w:keepNext w:val="0"/>
        <w:keepLines w:val="0"/>
        <w:pageBreakBefore w:val="0"/>
        <w:widowControl/>
        <w:numPr>
          <w:ilvl w:val="0"/>
          <w:numId w:val="12"/>
        </w:numPr>
        <w:suppressLineNumbers w:val="0"/>
        <w:kinsoku/>
        <w:wordWrap/>
        <w:overflowPunct/>
        <w:topLinePunct w:val="0"/>
        <w:autoSpaceDE/>
        <w:autoSpaceDN/>
        <w:bidi w:val="0"/>
        <w:adjustRightInd w:val="0"/>
        <w:snapToGrid/>
        <w:spacing w:line="360" w:lineRule="auto"/>
        <w:jc w:val="left"/>
        <w:textAlignment w:val="baseline"/>
        <w:rPr>
          <w:rFonts w:hint="default" w:ascii="宋体" w:hAnsi="宋体" w:eastAsia="宋体" w:cs="宋体"/>
          <w:b/>
          <w:bCs/>
          <w:color w:val="auto"/>
          <w:kern w:val="0"/>
          <w:sz w:val="21"/>
          <w:szCs w:val="21"/>
          <w:highlight w:val="none"/>
          <w:lang w:val="en-US" w:eastAsia="zh-CN" w:bidi="ar"/>
        </w:rPr>
      </w:pPr>
      <w:r>
        <w:rPr>
          <w:rFonts w:hint="default" w:ascii="宋体" w:hAnsi="宋体" w:eastAsia="宋体" w:cs="宋体"/>
          <w:b/>
          <w:bCs/>
          <w:color w:val="auto"/>
          <w:kern w:val="0"/>
          <w:sz w:val="21"/>
          <w:szCs w:val="21"/>
          <w:highlight w:val="none"/>
          <w:lang w:val="en-US" w:eastAsia="zh-CN" w:bidi="ar"/>
        </w:rPr>
        <w:t>造林技术措施</w:t>
      </w:r>
    </w:p>
    <w:p w14:paraId="1F2DAF7F">
      <w:pPr>
        <w:bidi w:val="0"/>
        <w:ind w:firstLine="420" w:firstLineChars="200"/>
        <w:rPr>
          <w:rFonts w:hint="eastAsia" w:ascii="宋体" w:hAnsi="宋体" w:eastAsia="宋体" w:cs="宋体"/>
          <w:sz w:val="21"/>
          <w:szCs w:val="21"/>
        </w:rPr>
      </w:pPr>
      <w:bookmarkStart w:id="102" w:name="_Toc195198815"/>
      <w:r>
        <w:rPr>
          <w:rFonts w:hint="eastAsia" w:ascii="宋体" w:hAnsi="宋体" w:eastAsia="宋体" w:cs="宋体"/>
          <w:sz w:val="21"/>
          <w:szCs w:val="21"/>
          <w:lang w:val="en-US" w:eastAsia="zh-CN"/>
        </w:rPr>
        <w:t>1、</w:t>
      </w:r>
      <w:r>
        <w:rPr>
          <w:rFonts w:hint="eastAsia" w:ascii="宋体" w:hAnsi="宋体" w:eastAsia="宋体" w:cs="宋体"/>
          <w:sz w:val="21"/>
          <w:szCs w:val="21"/>
        </w:rPr>
        <w:t>林地清理</w:t>
      </w:r>
      <w:bookmarkEnd w:id="102"/>
    </w:p>
    <w:p w14:paraId="36B268B0">
      <w:pPr>
        <w:bidi w:val="0"/>
        <w:ind w:firstLine="420" w:firstLineChars="200"/>
        <w:rPr>
          <w:rFonts w:hint="eastAsia" w:ascii="宋体" w:hAnsi="宋体" w:eastAsia="宋体" w:cs="宋体"/>
          <w:sz w:val="21"/>
          <w:szCs w:val="21"/>
        </w:rPr>
      </w:pPr>
      <w:r>
        <w:rPr>
          <w:rFonts w:hint="eastAsia" w:ascii="宋体" w:hAnsi="宋体" w:eastAsia="宋体" w:cs="宋体"/>
          <w:sz w:val="21"/>
          <w:szCs w:val="21"/>
        </w:rPr>
        <w:t>本作业区为林相优化补植造林，只需对作业区域实施林地清理。全林地劈、割劈除非目的乔木、杂灌、草本、藤本，留茬高度≤10厘米；将清理出的剩余物归集至种植带两侧。同时，尽量保留原有的各种乡土树种幼苗，如硬阔、樟木等乔木树种。</w:t>
      </w:r>
    </w:p>
    <w:p w14:paraId="756701B3">
      <w:pPr>
        <w:bidi w:val="0"/>
        <w:ind w:firstLine="420" w:firstLineChars="200"/>
        <w:rPr>
          <w:rFonts w:hint="eastAsia" w:ascii="宋体" w:hAnsi="宋体" w:eastAsia="宋体" w:cs="宋体"/>
          <w:sz w:val="21"/>
          <w:szCs w:val="21"/>
        </w:rPr>
      </w:pPr>
      <w:bookmarkStart w:id="103" w:name="_Toc195198816"/>
      <w:r>
        <w:rPr>
          <w:rFonts w:hint="eastAsia" w:ascii="宋体" w:hAnsi="宋体" w:eastAsia="宋体" w:cs="宋体"/>
          <w:sz w:val="21"/>
          <w:szCs w:val="21"/>
          <w:lang w:val="en-US" w:eastAsia="zh-CN"/>
        </w:rPr>
        <w:t>2、</w:t>
      </w:r>
      <w:r>
        <w:rPr>
          <w:rFonts w:hint="eastAsia" w:ascii="宋体" w:hAnsi="宋体" w:eastAsia="宋体" w:cs="宋体"/>
          <w:sz w:val="21"/>
          <w:szCs w:val="21"/>
        </w:rPr>
        <w:t>整地挖穴</w:t>
      </w:r>
      <w:bookmarkEnd w:id="103"/>
    </w:p>
    <w:p w14:paraId="0BB92119">
      <w:pPr>
        <w:bidi w:val="0"/>
        <w:rPr>
          <w:rFonts w:hint="eastAsia" w:ascii="宋体" w:hAnsi="宋体" w:eastAsia="宋体" w:cs="宋体"/>
          <w:sz w:val="21"/>
          <w:szCs w:val="21"/>
        </w:rPr>
      </w:pPr>
      <w:r>
        <w:rPr>
          <w:rFonts w:hint="eastAsia" w:ascii="宋体" w:hAnsi="宋体" w:eastAsia="宋体" w:cs="宋体"/>
          <w:sz w:val="21"/>
          <w:szCs w:val="21"/>
        </w:rPr>
        <w:t>根据作业区内实际情况，采用块状整地方式，应在林相优化改造工程前1个月完成开挖，种植穴行距沿等高线垂直方向排列，在列间按株距挖定植穴。整地规格为40×40厘米，种植穴规格为40×40×30厘米。挖穴时将表土置于植穴的两旁，将新土放于植穴的下坡处，让土壤有30天左右的风化时间；在栽植前每穴施放复合肥50克作基肥，清除穴两侧表土的石块、草根。</w:t>
      </w:r>
    </w:p>
    <w:p w14:paraId="5837734E">
      <w:pPr>
        <w:bidi w:val="0"/>
        <w:ind w:firstLine="420" w:firstLineChars="200"/>
        <w:rPr>
          <w:rFonts w:hint="eastAsia" w:ascii="宋体" w:hAnsi="宋体" w:eastAsia="宋体" w:cs="宋体"/>
          <w:sz w:val="21"/>
          <w:szCs w:val="21"/>
        </w:rPr>
      </w:pPr>
      <w:bookmarkStart w:id="104" w:name="_Toc195198817"/>
      <w:r>
        <w:rPr>
          <w:rFonts w:hint="eastAsia" w:ascii="宋体" w:hAnsi="宋体" w:eastAsia="宋体" w:cs="宋体"/>
          <w:sz w:val="21"/>
          <w:szCs w:val="21"/>
          <w:lang w:val="en-US" w:eastAsia="zh-CN"/>
        </w:rPr>
        <w:t>3、</w:t>
      </w:r>
      <w:r>
        <w:rPr>
          <w:rFonts w:hint="eastAsia" w:ascii="宋体" w:hAnsi="宋体" w:eastAsia="宋体" w:cs="宋体"/>
          <w:sz w:val="21"/>
          <w:szCs w:val="21"/>
        </w:rPr>
        <w:t>栽植方法</w:t>
      </w:r>
      <w:bookmarkEnd w:id="104"/>
    </w:p>
    <w:p w14:paraId="5EAC42EB">
      <w:pPr>
        <w:bidi w:val="0"/>
        <w:ind w:firstLine="420" w:firstLineChars="200"/>
        <w:rPr>
          <w:rFonts w:hint="eastAsia" w:ascii="宋体" w:hAnsi="宋体" w:eastAsia="宋体" w:cs="宋体"/>
          <w:sz w:val="21"/>
          <w:szCs w:val="21"/>
        </w:rPr>
      </w:pPr>
      <w:r>
        <w:rPr>
          <w:rFonts w:hint="eastAsia" w:ascii="宋体" w:hAnsi="宋体" w:eastAsia="宋体" w:cs="宋体"/>
          <w:sz w:val="21"/>
          <w:szCs w:val="21"/>
        </w:rPr>
        <w:t>栽植时先小心去掉苗木的包扎料或营养袋后，保持土球完好，轻放于种植穴中，扶正苗木适当深栽，保持苗正根舒。然后在苗木的四周回填表土，填土一半后提苗踩实，再填土，回满时用手把回填土压实，使苗木与原土紧密接触。继续回土至穴面，压实后再回松土呈馒头状，以减少水分蒸发，栽植完成后覆草抗旱。</w:t>
      </w:r>
    </w:p>
    <w:p w14:paraId="172965B0">
      <w:pPr>
        <w:bidi w:val="0"/>
        <w:ind w:firstLine="420" w:firstLineChars="200"/>
        <w:rPr>
          <w:rFonts w:hint="eastAsia" w:ascii="宋体" w:hAnsi="宋体" w:eastAsia="宋体" w:cs="宋体"/>
          <w:sz w:val="21"/>
          <w:szCs w:val="21"/>
        </w:rPr>
      </w:pPr>
      <w:bookmarkStart w:id="105" w:name="_Toc195198818"/>
      <w:r>
        <w:rPr>
          <w:rFonts w:hint="eastAsia" w:ascii="宋体" w:hAnsi="宋体" w:eastAsia="宋体" w:cs="宋体"/>
          <w:sz w:val="21"/>
          <w:szCs w:val="21"/>
          <w:lang w:val="en-US" w:eastAsia="zh-CN"/>
        </w:rPr>
        <w:t>4、</w:t>
      </w:r>
      <w:r>
        <w:rPr>
          <w:rFonts w:hint="eastAsia" w:ascii="宋体" w:hAnsi="宋体" w:eastAsia="宋体" w:cs="宋体"/>
          <w:sz w:val="21"/>
          <w:szCs w:val="21"/>
        </w:rPr>
        <w:t>抚育管理</w:t>
      </w:r>
      <w:bookmarkEnd w:id="105"/>
    </w:p>
    <w:p w14:paraId="2A2ECB88">
      <w:pPr>
        <w:bidi w:val="0"/>
        <w:ind w:firstLine="420" w:firstLineChars="200"/>
        <w:rPr>
          <w:rFonts w:hint="eastAsia" w:ascii="宋体" w:hAnsi="宋体" w:eastAsia="宋体" w:cs="宋体"/>
          <w:sz w:val="21"/>
          <w:szCs w:val="21"/>
        </w:rPr>
      </w:pPr>
      <w:r>
        <w:rPr>
          <w:rFonts w:hint="eastAsia" w:ascii="宋体" w:hAnsi="宋体" w:eastAsia="宋体" w:cs="宋体"/>
          <w:sz w:val="21"/>
          <w:szCs w:val="21"/>
        </w:rPr>
        <w:t>在栽植30-40天以后检查苗木存活率，发现病株、死株要及时进行补植。造林后应及时进行松土除草抚育。松土应该做到里浅外深，不伤害苗木根系，深度一般5厘米~10厘米。同时，清除的杂草可留在原地，用于覆盖地表，任其腐烂，增加土壤有机质。造林后抚育3年，第一年，第一次抚育在5~6月份，以松土埋青为主，结合扶苗、除蔓、除蘖、施肥。第二次抚育为9~10月份，割除幼林内杂草。同时，注意严防苗木露根、伤根、伤苗，保留天然目的树种。第二年、第三年幼林抚育可采用第一年的抚育措施。</w:t>
      </w:r>
    </w:p>
    <w:p w14:paraId="31D2BD2B">
      <w:pPr>
        <w:bidi w:val="0"/>
        <w:ind w:firstLine="420" w:firstLineChars="200"/>
        <w:rPr>
          <w:rFonts w:hint="eastAsia" w:ascii="宋体" w:hAnsi="宋体" w:eastAsia="宋体" w:cs="宋体"/>
          <w:sz w:val="21"/>
          <w:szCs w:val="21"/>
        </w:rPr>
      </w:pPr>
      <w:bookmarkStart w:id="106" w:name="_Toc195198819"/>
      <w:r>
        <w:rPr>
          <w:rFonts w:hint="eastAsia" w:ascii="宋体" w:hAnsi="宋体" w:eastAsia="宋体" w:cs="宋体"/>
          <w:sz w:val="21"/>
          <w:szCs w:val="21"/>
          <w:lang w:val="en-US" w:eastAsia="zh-CN"/>
        </w:rPr>
        <w:t>5、</w:t>
      </w:r>
      <w:r>
        <w:rPr>
          <w:rFonts w:hint="eastAsia" w:ascii="宋体" w:hAnsi="宋体" w:eastAsia="宋体" w:cs="宋体"/>
          <w:sz w:val="21"/>
          <w:szCs w:val="21"/>
        </w:rPr>
        <w:t>苗木保障</w:t>
      </w:r>
      <w:bookmarkEnd w:id="106"/>
    </w:p>
    <w:p w14:paraId="7CAFE565">
      <w:pPr>
        <w:bidi w:val="0"/>
        <w:ind w:firstLine="420" w:firstLineChars="200"/>
        <w:rPr>
          <w:rFonts w:hint="eastAsia" w:ascii="宋体" w:hAnsi="宋体" w:eastAsia="宋体" w:cs="宋体"/>
          <w:sz w:val="21"/>
          <w:szCs w:val="21"/>
        </w:rPr>
      </w:pPr>
      <w:r>
        <w:rPr>
          <w:rFonts w:hint="eastAsia" w:ascii="宋体" w:hAnsi="宋体" w:eastAsia="宋体" w:cs="宋体"/>
          <w:sz w:val="21"/>
          <w:szCs w:val="21"/>
        </w:rPr>
        <w:t>明确苗木的来源、形态、检疫要求、修剪方法。苗木来源。原则上需从本省或定点苗圃调运苗，推行订单育苗、定向培育，实生苗优先。如确实需要从外地调运苗木，苗源距离造林地不得超过300公里。</w:t>
      </w:r>
    </w:p>
    <w:p w14:paraId="03005E8A">
      <w:pPr>
        <w:bidi w:val="0"/>
        <w:ind w:firstLine="420" w:firstLineChars="200"/>
        <w:rPr>
          <w:rFonts w:hint="eastAsia" w:ascii="宋体" w:hAnsi="宋体" w:eastAsia="宋体" w:cs="宋体"/>
          <w:sz w:val="21"/>
          <w:szCs w:val="21"/>
        </w:rPr>
      </w:pPr>
      <w:r>
        <w:rPr>
          <w:rFonts w:hint="eastAsia" w:ascii="宋体" w:hAnsi="宋体" w:eastAsia="宋体" w:cs="宋体"/>
          <w:sz w:val="21"/>
          <w:szCs w:val="21"/>
        </w:rPr>
        <w:t>苗木形态。苗木应生长健壮、色泽正常、根系发达、无病虫害、无机械损伤、无冻害的容器苗。苗木应带冠栽植，禁止使用截干苗。苗木出圃前（或萌芽前）在保证枝条主体构架完整的基础上，剪除病虫枝、伤残枝、重叠枝等。栽植前剔除严重劈裂和病虫害感染的根系。为提高造林成活率，可短截部分侧枝，但严禁截除主干。容器苗宜采用可降解容器。栽植时应对生长出容器外的根系进行修剪，并进行脱袋处理。出圃前，应浇足水。</w:t>
      </w:r>
    </w:p>
    <w:p w14:paraId="2F42CF98">
      <w:pPr>
        <w:bidi w:val="0"/>
        <w:ind w:firstLine="420" w:firstLineChars="200"/>
        <w:rPr>
          <w:rFonts w:eastAsia="仿宋"/>
          <w:spacing w:val="-10"/>
          <w:szCs w:val="28"/>
        </w:rPr>
      </w:pPr>
      <w:r>
        <w:rPr>
          <w:rFonts w:hint="eastAsia" w:ascii="宋体" w:hAnsi="宋体" w:eastAsia="宋体" w:cs="宋体"/>
          <w:sz w:val="21"/>
          <w:szCs w:val="21"/>
        </w:rPr>
        <w:t>苗木检疫。本地苗木应具有“二证一签”，即生产经营许可证、产地检疫合格证和苗木标签；外埠苗木应具有生产经营许可证、植物检疫证书和苗木标签。苗木不得带有国家及本市植物检疫名录规定的植物检疫对象。</w:t>
      </w:r>
    </w:p>
    <w:p w14:paraId="56C8DE7A">
      <w:pPr>
        <w:keepNext w:val="0"/>
        <w:keepLines w:val="0"/>
        <w:pageBreakBefore w:val="0"/>
        <w:widowControl/>
        <w:numPr>
          <w:ilvl w:val="0"/>
          <w:numId w:val="12"/>
        </w:numPr>
        <w:suppressLineNumbers w:val="0"/>
        <w:kinsoku/>
        <w:wordWrap/>
        <w:overflowPunct/>
        <w:topLinePunct w:val="0"/>
        <w:autoSpaceDE/>
        <w:autoSpaceDN/>
        <w:bidi w:val="0"/>
        <w:adjustRightInd w:val="0"/>
        <w:snapToGrid/>
        <w:spacing w:line="360" w:lineRule="auto"/>
        <w:ind w:left="0" w:leftChars="0" w:firstLine="0" w:firstLineChars="0"/>
        <w:jc w:val="left"/>
        <w:textAlignment w:val="baseline"/>
        <w:rPr>
          <w:rFonts w:hint="eastAsia" w:hAnsi="宋体" w:eastAsia="宋体" w:cs="宋体"/>
          <w:b/>
          <w:bCs/>
          <w:color w:val="auto"/>
          <w:sz w:val="21"/>
          <w:szCs w:val="21"/>
          <w:lang w:val="en-US" w:eastAsia="zh-CN" w:bidi="ar-SA"/>
        </w:rPr>
      </w:pPr>
      <w:r>
        <w:rPr>
          <w:rFonts w:hint="eastAsia" w:hAnsi="宋体" w:eastAsia="宋体" w:cs="宋体"/>
          <w:b/>
          <w:bCs/>
          <w:color w:val="auto"/>
          <w:sz w:val="21"/>
          <w:szCs w:val="21"/>
          <w:lang w:val="en-US" w:eastAsia="zh-CN" w:bidi="ar-SA"/>
        </w:rPr>
        <w:t>生物多样性与保护措施</w:t>
      </w:r>
    </w:p>
    <w:p w14:paraId="5F1D6017">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360" w:lineRule="auto"/>
        <w:ind w:leftChars="0"/>
        <w:jc w:val="left"/>
        <w:textAlignment w:val="baseline"/>
        <w:rPr>
          <w:rFonts w:hint="eastAsia" w:hAnsi="宋体" w:eastAsia="宋体" w:cs="宋体"/>
          <w:b w:val="0"/>
          <w:bCs w:val="0"/>
          <w:color w:val="auto"/>
          <w:sz w:val="21"/>
          <w:szCs w:val="21"/>
          <w:lang w:val="en-US" w:eastAsia="zh-CN" w:bidi="ar-SA"/>
        </w:rPr>
      </w:pPr>
      <w:r>
        <w:rPr>
          <w:rFonts w:hint="eastAsia" w:hAnsi="宋体" w:eastAsia="宋体" w:cs="宋体"/>
          <w:b w:val="0"/>
          <w:bCs w:val="0"/>
          <w:color w:val="auto"/>
          <w:sz w:val="21"/>
          <w:szCs w:val="21"/>
          <w:lang w:val="en-US" w:eastAsia="zh-CN" w:bidi="ar-SA"/>
        </w:rPr>
        <w:t>1、小班保护措施</w:t>
      </w:r>
    </w:p>
    <w:p w14:paraId="60C6EFD1">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360" w:lineRule="auto"/>
        <w:ind w:leftChars="0" w:firstLine="420" w:firstLineChars="200"/>
        <w:jc w:val="left"/>
        <w:textAlignment w:val="baseline"/>
        <w:rPr>
          <w:rFonts w:hint="eastAsia" w:hAnsi="宋体" w:eastAsia="宋体" w:cs="宋体"/>
          <w:b w:val="0"/>
          <w:bCs w:val="0"/>
          <w:color w:val="auto"/>
          <w:sz w:val="21"/>
          <w:szCs w:val="21"/>
          <w:lang w:val="en-US" w:eastAsia="zh-CN" w:bidi="ar-SA"/>
        </w:rPr>
      </w:pPr>
      <w:r>
        <w:rPr>
          <w:rFonts w:hint="eastAsia" w:hAnsi="宋体" w:eastAsia="宋体" w:cs="宋体"/>
          <w:b w:val="0"/>
          <w:bCs w:val="0"/>
          <w:color w:val="auto"/>
          <w:sz w:val="21"/>
          <w:szCs w:val="21"/>
          <w:lang w:val="en-US" w:eastAsia="zh-CN" w:bidi="ar-SA"/>
        </w:rPr>
        <w:t>严格设计管理，对作业区域进行详细调查，未发现有国家级保护物种及各类珍稀珍贵动植物资源应当设立标识，并在施工卡片中详细说明。作业区范围内主要植被为常绿阔叶林、常绿落叶阔叶混交林；更新树种主要为天然生长的枫香、青冈、栎类等。</w:t>
      </w:r>
    </w:p>
    <w:p w14:paraId="6A3D5CC0">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360" w:lineRule="auto"/>
        <w:ind w:leftChars="0" w:firstLine="420" w:firstLineChars="200"/>
        <w:jc w:val="left"/>
        <w:textAlignment w:val="baseline"/>
        <w:rPr>
          <w:rFonts w:hint="eastAsia" w:hAnsi="宋体" w:eastAsia="宋体" w:cs="宋体"/>
          <w:b w:val="0"/>
          <w:bCs w:val="0"/>
          <w:color w:val="auto"/>
          <w:sz w:val="21"/>
          <w:szCs w:val="21"/>
          <w:lang w:val="en-US" w:eastAsia="zh-CN" w:bidi="ar-SA"/>
        </w:rPr>
      </w:pPr>
      <w:r>
        <w:rPr>
          <w:rFonts w:hint="eastAsia" w:hAnsi="宋体" w:eastAsia="宋体" w:cs="宋体"/>
          <w:b w:val="0"/>
          <w:bCs w:val="0"/>
          <w:color w:val="auto"/>
          <w:sz w:val="21"/>
          <w:szCs w:val="21"/>
          <w:lang w:val="en-US" w:eastAsia="zh-CN" w:bidi="ar-SA"/>
        </w:rPr>
        <w:t>严格施工作业，提高环境保护与森林火灾防护意识，减少施工过程中对林地土层的破坏；及时收集作业废弃物、生活垃圾等，减少对于作业区的环境破坏。</w:t>
      </w:r>
    </w:p>
    <w:p w14:paraId="5A5B32DD">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360" w:lineRule="auto"/>
        <w:ind w:leftChars="0" w:firstLine="420" w:firstLineChars="200"/>
        <w:jc w:val="left"/>
        <w:textAlignment w:val="baseline"/>
        <w:rPr>
          <w:rFonts w:hint="eastAsia" w:hAnsi="宋体" w:eastAsia="宋体" w:cs="宋体"/>
          <w:b w:val="0"/>
          <w:bCs w:val="0"/>
          <w:color w:val="auto"/>
          <w:sz w:val="21"/>
          <w:szCs w:val="21"/>
          <w:lang w:val="en-US" w:eastAsia="zh-CN" w:bidi="ar-SA"/>
        </w:rPr>
      </w:pPr>
      <w:r>
        <w:rPr>
          <w:rFonts w:hint="eastAsia" w:hAnsi="宋体" w:eastAsia="宋体" w:cs="宋体"/>
          <w:b w:val="0"/>
          <w:bCs w:val="0"/>
          <w:color w:val="auto"/>
          <w:sz w:val="21"/>
          <w:szCs w:val="21"/>
          <w:lang w:val="en-US" w:eastAsia="zh-CN" w:bidi="ar-SA"/>
        </w:rPr>
        <w:t>保护资源，明确采伐树种范围与方式，优先保护作业区内的优质树种；施工中减少对原生野生动植物的干扰，严禁破坏作业区内的野生动物栖息资源。</w:t>
      </w:r>
    </w:p>
    <w:p w14:paraId="74CB4760">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360" w:lineRule="auto"/>
        <w:ind w:leftChars="0" w:firstLine="420" w:firstLineChars="200"/>
        <w:jc w:val="left"/>
        <w:textAlignment w:val="baseline"/>
        <w:rPr>
          <w:rFonts w:hint="eastAsia" w:hAnsi="宋体" w:eastAsia="宋体" w:cs="宋体"/>
          <w:b w:val="0"/>
          <w:bCs w:val="0"/>
          <w:color w:val="auto"/>
          <w:sz w:val="21"/>
          <w:szCs w:val="21"/>
          <w:lang w:val="en-US" w:eastAsia="zh-CN" w:bidi="ar-SA"/>
        </w:rPr>
      </w:pPr>
      <w:r>
        <w:rPr>
          <w:rFonts w:hint="eastAsia" w:hAnsi="宋体" w:eastAsia="宋体" w:cs="宋体"/>
          <w:b w:val="0"/>
          <w:bCs w:val="0"/>
          <w:color w:val="auto"/>
          <w:sz w:val="21"/>
          <w:szCs w:val="21"/>
          <w:lang w:val="en-US" w:eastAsia="zh-CN" w:bidi="ar-SA"/>
        </w:rPr>
        <w:t>病原木处置，对于受灾害地块，病原木采伐后，应当及时下山处理，采伐剩余物下山处理，或集中堆集，火烧处理。</w:t>
      </w:r>
    </w:p>
    <w:p w14:paraId="59C23CC5">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360" w:lineRule="auto"/>
        <w:ind w:leftChars="0"/>
        <w:jc w:val="left"/>
        <w:textAlignment w:val="baseline"/>
        <w:rPr>
          <w:rFonts w:hint="eastAsia" w:ascii="宋体" w:hAnsi="宋体" w:eastAsia="宋体" w:cs="宋体"/>
          <w:b w:val="0"/>
          <w:bCs w:val="0"/>
          <w:color w:val="auto"/>
          <w:sz w:val="21"/>
          <w:szCs w:val="21"/>
          <w:lang w:val="en-US" w:eastAsia="zh-CN" w:bidi="ar-SA"/>
        </w:rPr>
      </w:pPr>
      <w:r>
        <w:rPr>
          <w:rFonts w:hint="eastAsia" w:ascii="宋体" w:hAnsi="宋体" w:eastAsia="宋体" w:cs="宋体"/>
          <w:b w:val="0"/>
          <w:bCs w:val="0"/>
          <w:color w:val="auto"/>
          <w:sz w:val="21"/>
          <w:szCs w:val="21"/>
          <w:lang w:val="en-US" w:eastAsia="zh-CN" w:bidi="ar-SA"/>
        </w:rPr>
        <w:t>2、后期保护措施</w:t>
      </w:r>
    </w:p>
    <w:p w14:paraId="0BA2299C">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360" w:lineRule="auto"/>
        <w:ind w:leftChars="0" w:firstLine="420" w:firstLineChars="200"/>
        <w:jc w:val="left"/>
        <w:textAlignment w:val="baseline"/>
        <w:rPr>
          <w:rFonts w:hint="eastAsia" w:ascii="宋体" w:hAnsi="宋体" w:eastAsia="宋体" w:cs="宋体"/>
          <w:b w:val="0"/>
          <w:bCs w:val="0"/>
          <w:color w:val="auto"/>
          <w:sz w:val="21"/>
          <w:szCs w:val="21"/>
          <w:lang w:val="en-US" w:eastAsia="zh-CN" w:bidi="ar-SA"/>
        </w:rPr>
      </w:pPr>
      <w:r>
        <w:rPr>
          <w:rFonts w:hint="eastAsia" w:ascii="宋体" w:hAnsi="宋体" w:eastAsia="宋体" w:cs="宋体"/>
          <w:b w:val="0"/>
          <w:bCs w:val="0"/>
          <w:color w:val="auto"/>
          <w:sz w:val="21"/>
          <w:szCs w:val="21"/>
          <w:lang w:val="en-US" w:eastAsia="zh-CN" w:bidi="ar-SA"/>
        </w:rPr>
        <w:t>积极宣传，通过电视、广播、宣传册、拉横幅等宣传方式，提高周边居民与游客的保护生物多样性意识，促进人与自然和谐发展。</w:t>
      </w:r>
    </w:p>
    <w:p w14:paraId="6723098E">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360" w:lineRule="auto"/>
        <w:ind w:leftChars="0" w:firstLine="420" w:firstLineChars="200"/>
        <w:jc w:val="left"/>
        <w:textAlignment w:val="baseline"/>
        <w:rPr>
          <w:rFonts w:hint="eastAsia" w:ascii="宋体" w:hAnsi="宋体" w:eastAsia="宋体" w:cs="宋体"/>
          <w:b w:val="0"/>
          <w:bCs w:val="0"/>
          <w:color w:val="auto"/>
          <w:sz w:val="21"/>
          <w:szCs w:val="21"/>
          <w:lang w:val="en-US" w:eastAsia="zh-CN" w:bidi="ar-SA"/>
        </w:rPr>
      </w:pPr>
      <w:r>
        <w:rPr>
          <w:rFonts w:hint="eastAsia" w:ascii="宋体" w:hAnsi="宋体" w:eastAsia="宋体" w:cs="宋体"/>
          <w:b w:val="0"/>
          <w:bCs w:val="0"/>
          <w:color w:val="auto"/>
          <w:sz w:val="21"/>
          <w:szCs w:val="21"/>
          <w:lang w:val="en-US" w:eastAsia="zh-CN" w:bidi="ar-SA"/>
        </w:rPr>
        <w:t>明确保护范围、责任主体，积极协调林业、乡镇、林地管理单位、林地权属单位等，明确林相优化改造范围，保护种质资源，并设立告示牌等落实林相优化改造工程后期养护保护范围、责任与主体。</w:t>
      </w:r>
    </w:p>
    <w:p w14:paraId="46327C27">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360" w:lineRule="auto"/>
        <w:ind w:leftChars="0" w:firstLine="420" w:firstLineChars="200"/>
        <w:jc w:val="left"/>
        <w:textAlignment w:val="baseline"/>
        <w:rPr>
          <w:rFonts w:hint="eastAsia" w:ascii="宋体" w:hAnsi="宋体" w:eastAsia="宋体" w:cs="宋体"/>
          <w:b w:val="0"/>
          <w:bCs w:val="0"/>
          <w:color w:val="auto"/>
          <w:sz w:val="21"/>
          <w:szCs w:val="21"/>
          <w:lang w:val="en-US" w:eastAsia="zh-CN" w:bidi="ar-SA"/>
        </w:rPr>
      </w:pPr>
      <w:r>
        <w:rPr>
          <w:rFonts w:hint="eastAsia" w:ascii="宋体" w:hAnsi="宋体" w:eastAsia="宋体" w:cs="宋体"/>
          <w:b w:val="0"/>
          <w:bCs w:val="0"/>
          <w:color w:val="auto"/>
          <w:sz w:val="21"/>
          <w:szCs w:val="21"/>
          <w:lang w:val="en-US" w:eastAsia="zh-CN" w:bidi="ar-SA"/>
        </w:rPr>
        <w:t>提高保护力度，加强护林员日常巡逻，并及时制止乱砍滥伐、滥挖乱占、滥捕乱猎、随意采挖放牧等破坏森林野生动植物资源的行为。加强森林病虫害与森林火灾防治工作。</w:t>
      </w:r>
    </w:p>
    <w:p w14:paraId="56E60B6E">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360" w:lineRule="auto"/>
        <w:ind w:leftChars="0" w:firstLine="420" w:firstLineChars="200"/>
        <w:jc w:val="left"/>
        <w:textAlignment w:val="baseline"/>
        <w:rPr>
          <w:rFonts w:hint="default" w:ascii="宋体" w:hAnsi="宋体" w:eastAsia="宋体" w:cs="宋体"/>
          <w:b w:val="0"/>
          <w:bCs w:val="0"/>
          <w:color w:val="auto"/>
          <w:sz w:val="21"/>
          <w:szCs w:val="21"/>
          <w:lang w:val="en-US" w:eastAsia="zh-CN" w:bidi="ar-SA"/>
        </w:rPr>
      </w:pPr>
      <w:r>
        <w:rPr>
          <w:rFonts w:hint="eastAsia" w:ascii="宋体" w:hAnsi="宋体" w:eastAsia="宋体" w:cs="宋体"/>
          <w:b w:val="0"/>
          <w:bCs w:val="0"/>
          <w:color w:val="auto"/>
          <w:sz w:val="21"/>
          <w:szCs w:val="21"/>
          <w:lang w:val="en-US" w:eastAsia="zh-CN" w:bidi="ar-SA"/>
        </w:rPr>
        <w:t>设立长效监测机制，结合年度林草湿资源监测调查等工作，对林分结构、林木生长、天然更新、立地情况、健康情况等进行监测，及时掌握改造质量与效果，进一步优化改造的方式、措施与技术要求。</w:t>
      </w:r>
    </w:p>
    <w:p w14:paraId="6A7D0CD4">
      <w:pPr>
        <w:keepNext w:val="0"/>
        <w:keepLines w:val="0"/>
        <w:pageBreakBefore w:val="0"/>
        <w:widowControl/>
        <w:suppressLineNumbers w:val="0"/>
        <w:kinsoku/>
        <w:wordWrap/>
        <w:overflowPunct/>
        <w:topLinePunct w:val="0"/>
        <w:autoSpaceDE/>
        <w:autoSpaceDN/>
        <w:bidi w:val="0"/>
        <w:adjustRightInd w:val="0"/>
        <w:snapToGrid/>
        <w:spacing w:line="360" w:lineRule="auto"/>
        <w:jc w:val="left"/>
        <w:textAlignment w:val="baseline"/>
        <w:rPr>
          <w:rFonts w:hint="eastAsia" w:ascii="宋体" w:hAnsi="宋体" w:eastAsia="宋体" w:cs="宋体"/>
          <w:color w:val="auto"/>
          <w:sz w:val="21"/>
          <w:szCs w:val="21"/>
          <w:highlight w:val="none"/>
        </w:rPr>
      </w:pPr>
      <w:r>
        <w:rPr>
          <w:rFonts w:hint="eastAsia" w:hAnsi="宋体" w:eastAsia="宋体" w:cs="宋体"/>
          <w:b/>
          <w:bCs/>
          <w:color w:val="auto"/>
          <w:kern w:val="0"/>
          <w:sz w:val="21"/>
          <w:szCs w:val="21"/>
          <w:highlight w:val="none"/>
          <w:lang w:val="en-US" w:eastAsia="zh-CN" w:bidi="ar"/>
        </w:rPr>
        <w:t>六、</w:t>
      </w:r>
      <w:r>
        <w:rPr>
          <w:rFonts w:hint="eastAsia" w:ascii="宋体" w:hAnsi="宋体" w:eastAsia="宋体" w:cs="宋体"/>
          <w:b/>
          <w:bCs/>
          <w:color w:val="auto"/>
          <w:kern w:val="0"/>
          <w:sz w:val="21"/>
          <w:szCs w:val="21"/>
          <w:highlight w:val="none"/>
          <w:lang w:val="en-US" w:eastAsia="zh-CN" w:bidi="ar"/>
        </w:rPr>
        <w:t xml:space="preserve">服务费支付方法 </w:t>
      </w:r>
    </w:p>
    <w:p w14:paraId="133385A3">
      <w:pPr>
        <w:keepNext w:val="0"/>
        <w:keepLines w:val="0"/>
        <w:pageBreakBefore w:val="0"/>
        <w:widowControl w:val="0"/>
        <w:kinsoku/>
        <w:wordWrap/>
        <w:overflowPunct/>
        <w:topLinePunct w:val="0"/>
        <w:autoSpaceDE/>
        <w:autoSpaceDN/>
        <w:bidi w:val="0"/>
        <w:adjustRightInd/>
        <w:snapToGrid/>
        <w:spacing w:before="47" w:line="360" w:lineRule="auto"/>
        <w:ind w:firstLine="420" w:firstLineChars="200"/>
        <w:jc w:val="left"/>
        <w:textAlignment w:val="auto"/>
        <w:rPr>
          <w:rFonts w:hint="eastAsia" w:hAnsi="宋体" w:eastAsia="宋体" w:cs="宋体"/>
          <w:color w:val="auto"/>
          <w:kern w:val="0"/>
          <w:sz w:val="21"/>
          <w:szCs w:val="21"/>
          <w:highlight w:val="none"/>
          <w:lang w:val="en-US" w:eastAsia="zh-CN" w:bidi="ar"/>
        </w:rPr>
      </w:pPr>
      <w:r>
        <w:rPr>
          <w:rFonts w:hint="eastAsia" w:hAnsi="宋体" w:eastAsia="宋体" w:cs="宋体"/>
          <w:color w:val="auto"/>
          <w:kern w:val="0"/>
          <w:sz w:val="21"/>
          <w:szCs w:val="21"/>
          <w:highlight w:val="none"/>
          <w:lang w:val="en-US" w:eastAsia="zh-CN" w:bidi="ar"/>
        </w:rPr>
        <w:t>1、合同签订后7个工作日内支付合同总价的40%；（中标人于合同签订前书面承诺放弃预付款或降低预付款支付比例的，可不适用本条款）；</w:t>
      </w:r>
    </w:p>
    <w:p w14:paraId="3FD977E7">
      <w:pPr>
        <w:keepNext w:val="0"/>
        <w:keepLines w:val="0"/>
        <w:pageBreakBefore w:val="0"/>
        <w:widowControl w:val="0"/>
        <w:kinsoku/>
        <w:wordWrap/>
        <w:overflowPunct/>
        <w:topLinePunct w:val="0"/>
        <w:autoSpaceDE/>
        <w:autoSpaceDN/>
        <w:bidi w:val="0"/>
        <w:adjustRightInd/>
        <w:snapToGrid/>
        <w:spacing w:before="47" w:line="360" w:lineRule="auto"/>
        <w:ind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hint="eastAsia" w:hAnsi="宋体" w:eastAsia="宋体" w:cs="宋体"/>
          <w:color w:val="auto"/>
          <w:kern w:val="0"/>
          <w:sz w:val="21"/>
          <w:szCs w:val="21"/>
          <w:highlight w:val="none"/>
          <w:lang w:val="en-US" w:eastAsia="zh-CN" w:bidi="ar"/>
        </w:rPr>
        <w:t>2、项目完成验收合格后支付至合同总价的100%。</w:t>
      </w:r>
    </w:p>
    <w:p w14:paraId="048FA3C6">
      <w:pPr>
        <w:keepNext w:val="0"/>
        <w:keepLines w:val="0"/>
        <w:pageBreakBefore w:val="0"/>
        <w:widowControl w:val="0"/>
        <w:kinsoku/>
        <w:wordWrap/>
        <w:overflowPunct/>
        <w:topLinePunct w:val="0"/>
        <w:autoSpaceDE/>
        <w:autoSpaceDN/>
        <w:bidi w:val="0"/>
        <w:adjustRightInd/>
        <w:snapToGrid/>
        <w:spacing w:before="47" w:line="360" w:lineRule="auto"/>
        <w:jc w:val="left"/>
        <w:textAlignment w:val="auto"/>
        <w:rPr>
          <w:rFonts w:hint="eastAsia" w:hAnsi="宋体" w:eastAsia="宋体" w:cs="宋体"/>
          <w:b/>
          <w:bCs/>
          <w:color w:val="auto"/>
          <w:sz w:val="21"/>
          <w:szCs w:val="21"/>
          <w:highlight w:val="none"/>
          <w:lang w:val="en-US" w:eastAsia="zh-CN"/>
        </w:rPr>
      </w:pPr>
      <w:r>
        <w:rPr>
          <w:rFonts w:hint="eastAsia" w:hAnsi="宋体" w:eastAsia="宋体" w:cs="宋体"/>
          <w:b/>
          <w:bCs/>
          <w:color w:val="auto"/>
          <w:sz w:val="21"/>
          <w:szCs w:val="21"/>
          <w:highlight w:val="none"/>
          <w:lang w:val="en-US" w:eastAsia="zh-CN"/>
        </w:rPr>
        <w:t>附表：</w:t>
      </w:r>
    </w:p>
    <w:p w14:paraId="569A3190">
      <w:pPr>
        <w:keepNext w:val="0"/>
        <w:keepLines w:val="0"/>
        <w:pageBreakBefore w:val="0"/>
        <w:widowControl w:val="0"/>
        <w:kinsoku/>
        <w:wordWrap/>
        <w:overflowPunct/>
        <w:topLinePunct w:val="0"/>
        <w:autoSpaceDE/>
        <w:autoSpaceDN/>
        <w:bidi w:val="0"/>
        <w:adjustRightInd/>
        <w:snapToGrid/>
        <w:spacing w:before="47" w:line="360" w:lineRule="auto"/>
        <w:jc w:val="left"/>
        <w:textAlignment w:val="auto"/>
        <w:rPr>
          <w:rStyle w:val="45"/>
          <w:rFonts w:hint="eastAsia" w:ascii="宋体" w:hAnsi="宋体" w:eastAsia="宋体" w:cs="宋体"/>
          <w:b w:val="0"/>
          <w:bCs w:val="0"/>
          <w:sz w:val="21"/>
          <w:szCs w:val="21"/>
          <w:lang w:val="en-US" w:eastAsia="zh-CN" w:bidi="ar"/>
        </w:rPr>
      </w:pPr>
      <w:r>
        <w:rPr>
          <w:rStyle w:val="45"/>
          <w:rFonts w:hint="eastAsia" w:ascii="宋体" w:hAnsi="宋体" w:eastAsia="宋体" w:cs="宋体"/>
          <w:b w:val="0"/>
          <w:bCs w:val="0"/>
          <w:sz w:val="21"/>
          <w:szCs w:val="21"/>
          <w:lang w:val="en-US" w:eastAsia="zh-CN" w:bidi="ar"/>
        </w:rPr>
        <w:t>1、宁波市海曙区章水镇</w:t>
      </w:r>
      <w:r>
        <w:rPr>
          <w:rFonts w:hint="eastAsia" w:ascii="宋体" w:hAnsi="宋体" w:eastAsia="宋体" w:cs="宋体"/>
          <w:b w:val="0"/>
          <w:bCs w:val="0"/>
          <w:i w:val="0"/>
          <w:iCs w:val="0"/>
          <w:color w:val="000000"/>
          <w:kern w:val="0"/>
          <w:sz w:val="21"/>
          <w:szCs w:val="21"/>
          <w:u w:val="none"/>
          <w:lang w:val="en-US" w:eastAsia="zh-CN" w:bidi="ar"/>
        </w:rPr>
        <w:t>2024</w:t>
      </w:r>
      <w:r>
        <w:rPr>
          <w:rStyle w:val="45"/>
          <w:rFonts w:hint="eastAsia" w:ascii="宋体" w:hAnsi="宋体" w:eastAsia="宋体" w:cs="宋体"/>
          <w:b w:val="0"/>
          <w:bCs w:val="0"/>
          <w:sz w:val="21"/>
          <w:szCs w:val="21"/>
          <w:lang w:val="en-US" w:eastAsia="zh-CN" w:bidi="ar"/>
        </w:rPr>
        <w:t>年度结余资金林相优化改造工程作业设计一览表</w:t>
      </w:r>
    </w:p>
    <w:p w14:paraId="6E934494">
      <w:pPr>
        <w:keepNext w:val="0"/>
        <w:keepLines w:val="0"/>
        <w:pageBreakBefore w:val="0"/>
        <w:widowControl w:val="0"/>
        <w:kinsoku/>
        <w:wordWrap/>
        <w:overflowPunct/>
        <w:topLinePunct w:val="0"/>
        <w:autoSpaceDE/>
        <w:autoSpaceDN/>
        <w:bidi w:val="0"/>
        <w:adjustRightInd/>
        <w:snapToGrid/>
        <w:spacing w:before="47" w:line="360" w:lineRule="auto"/>
        <w:jc w:val="left"/>
        <w:textAlignment w:val="auto"/>
        <w:rPr>
          <w:rStyle w:val="45"/>
          <w:rFonts w:hint="eastAsia" w:ascii="宋体" w:hAnsi="宋体" w:eastAsia="宋体" w:cs="宋体"/>
          <w:b w:val="0"/>
          <w:bCs w:val="0"/>
          <w:sz w:val="21"/>
          <w:szCs w:val="21"/>
          <w:lang w:val="en-US" w:eastAsia="zh-CN" w:bidi="ar"/>
        </w:rPr>
      </w:pPr>
      <w:r>
        <w:rPr>
          <w:rStyle w:val="45"/>
          <w:rFonts w:hint="eastAsia" w:ascii="宋体" w:hAnsi="宋体" w:eastAsia="宋体" w:cs="宋体"/>
          <w:b w:val="0"/>
          <w:bCs w:val="0"/>
          <w:sz w:val="21"/>
          <w:szCs w:val="21"/>
          <w:lang w:val="en-US" w:eastAsia="zh-CN" w:bidi="ar"/>
        </w:rPr>
        <w:t>2、宁波市海曙区章水镇2024年度结余资金林相优化改造工程作业设计表1-10</w:t>
      </w:r>
    </w:p>
    <w:p w14:paraId="68A62856">
      <w:pPr>
        <w:keepNext w:val="0"/>
        <w:keepLines w:val="0"/>
        <w:pageBreakBefore w:val="0"/>
        <w:widowControl w:val="0"/>
        <w:kinsoku/>
        <w:wordWrap/>
        <w:overflowPunct/>
        <w:topLinePunct w:val="0"/>
        <w:autoSpaceDE/>
        <w:autoSpaceDN/>
        <w:bidi w:val="0"/>
        <w:adjustRightInd/>
        <w:snapToGrid/>
        <w:spacing w:before="47" w:line="360" w:lineRule="auto"/>
        <w:jc w:val="left"/>
        <w:textAlignment w:val="auto"/>
        <w:rPr>
          <w:rStyle w:val="45"/>
          <w:rFonts w:hint="default" w:ascii="宋体" w:hAnsi="宋体" w:eastAsia="宋体" w:cs="宋体"/>
          <w:b w:val="0"/>
          <w:bCs w:val="0"/>
          <w:sz w:val="21"/>
          <w:szCs w:val="21"/>
          <w:lang w:val="en-US" w:eastAsia="zh-CN" w:bidi="ar"/>
        </w:rPr>
      </w:pPr>
      <w:r>
        <w:rPr>
          <w:rStyle w:val="45"/>
          <w:rFonts w:hint="eastAsia" w:ascii="宋体" w:hAnsi="宋体" w:eastAsia="宋体" w:cs="宋体"/>
          <w:b w:val="0"/>
          <w:bCs w:val="0"/>
          <w:sz w:val="21"/>
          <w:szCs w:val="21"/>
          <w:lang w:val="en-US" w:eastAsia="zh-CN" w:bidi="ar"/>
        </w:rPr>
        <w:t>3、</w:t>
      </w:r>
      <w:r>
        <w:rPr>
          <w:rStyle w:val="45"/>
          <w:rFonts w:hint="default" w:ascii="宋体" w:hAnsi="宋体" w:eastAsia="宋体" w:cs="宋体"/>
          <w:b w:val="0"/>
          <w:bCs w:val="0"/>
          <w:sz w:val="21"/>
          <w:szCs w:val="21"/>
          <w:lang w:val="en-US" w:eastAsia="zh-CN" w:bidi="ar"/>
        </w:rPr>
        <w:t>宁波市海曙区章水镇2024年度结余资金林相优化改造工程遥感影像图</w:t>
      </w:r>
    </w:p>
    <w:p w14:paraId="40C8CA80">
      <w:pPr>
        <w:keepNext w:val="0"/>
        <w:keepLines w:val="0"/>
        <w:pageBreakBefore w:val="0"/>
        <w:widowControl w:val="0"/>
        <w:kinsoku/>
        <w:wordWrap/>
        <w:overflowPunct/>
        <w:topLinePunct w:val="0"/>
        <w:autoSpaceDE/>
        <w:autoSpaceDN/>
        <w:bidi w:val="0"/>
        <w:adjustRightInd/>
        <w:snapToGrid/>
        <w:spacing w:before="47" w:line="360" w:lineRule="auto"/>
        <w:jc w:val="left"/>
        <w:textAlignment w:val="auto"/>
        <w:rPr>
          <w:rFonts w:hint="eastAsia" w:hAnsi="宋体" w:eastAsia="宋体" w:cs="宋体"/>
          <w:b/>
          <w:bCs/>
          <w:color w:val="auto"/>
          <w:sz w:val="21"/>
          <w:szCs w:val="21"/>
          <w:highlight w:val="none"/>
          <w:lang w:val="en-US" w:eastAsia="zh-CN"/>
        </w:rPr>
      </w:pPr>
      <w:r>
        <w:rPr>
          <w:rStyle w:val="45"/>
          <w:rFonts w:hint="eastAsia" w:ascii="宋体" w:hAnsi="宋体" w:eastAsia="宋体" w:cs="宋体"/>
          <w:b w:val="0"/>
          <w:bCs w:val="0"/>
          <w:sz w:val="21"/>
          <w:szCs w:val="21"/>
          <w:lang w:val="en-US" w:eastAsia="zh-CN" w:bidi="ar"/>
        </w:rPr>
        <w:t>4、</w:t>
      </w:r>
      <w:r>
        <w:rPr>
          <w:rStyle w:val="45"/>
          <w:rFonts w:hint="default" w:ascii="宋体" w:hAnsi="宋体" w:eastAsia="宋体" w:cs="宋体"/>
          <w:b w:val="0"/>
          <w:bCs w:val="0"/>
          <w:sz w:val="21"/>
          <w:szCs w:val="21"/>
          <w:lang w:val="en-US" w:eastAsia="zh-CN" w:bidi="ar"/>
        </w:rPr>
        <w:t>宁波市海曙区章水镇2024年度结余资金林相优化改造工程作业设计图</w:t>
      </w:r>
    </w:p>
    <w:p w14:paraId="316C7EC1">
      <w:pPr>
        <w:keepNext w:val="0"/>
        <w:keepLines w:val="0"/>
        <w:pageBreakBefore w:val="0"/>
        <w:widowControl w:val="0"/>
        <w:kinsoku/>
        <w:wordWrap/>
        <w:overflowPunct/>
        <w:topLinePunct w:val="0"/>
        <w:autoSpaceDE/>
        <w:autoSpaceDN/>
        <w:bidi w:val="0"/>
        <w:adjustRightInd/>
        <w:snapToGrid/>
        <w:spacing w:before="47" w:line="360" w:lineRule="auto"/>
        <w:jc w:val="left"/>
        <w:textAlignment w:val="auto"/>
        <w:rPr>
          <w:rFonts w:hint="eastAsia" w:hAnsi="宋体" w:eastAsia="宋体" w:cs="宋体"/>
          <w:b/>
          <w:bCs/>
          <w:color w:val="auto"/>
          <w:sz w:val="21"/>
          <w:szCs w:val="21"/>
          <w:highlight w:val="none"/>
          <w:lang w:val="en-US" w:eastAsia="zh-CN"/>
        </w:rPr>
        <w:sectPr>
          <w:footerReference r:id="rId10" w:type="default"/>
          <w:pgSz w:w="11906" w:h="16838"/>
          <w:pgMar w:top="1474" w:right="1474" w:bottom="1247" w:left="1474" w:header="851" w:footer="850" w:gutter="0"/>
          <w:pgBorders>
            <w:top w:val="none" w:sz="0" w:space="0"/>
            <w:left w:val="none" w:sz="0" w:space="0"/>
            <w:bottom w:val="none" w:sz="0" w:space="0"/>
            <w:right w:val="none" w:sz="0" w:space="0"/>
          </w:pgBorders>
          <w:pgNumType w:fmt="decimal"/>
          <w:cols w:space="720" w:num="1"/>
          <w:docGrid w:linePitch="312" w:charSpace="0"/>
        </w:sectPr>
      </w:pPr>
    </w:p>
    <w:p w14:paraId="3C0BA157">
      <w:pPr>
        <w:adjustRightInd/>
        <w:snapToGrid/>
        <w:spacing w:line="220" w:lineRule="atLeast"/>
        <w:rPr>
          <w:rFonts w:ascii="Times New Roman" w:hAnsi="Times New Roman" w:eastAsia="仿宋" w:cs="Times New Roman"/>
          <w:kern w:val="2"/>
          <w:sz w:val="28"/>
          <w:szCs w:val="28"/>
        </w:rPr>
      </w:pPr>
    </w:p>
    <w:p w14:paraId="7175F0B2">
      <w:pPr>
        <w:keepNext w:val="0"/>
        <w:keepLines w:val="0"/>
        <w:pageBreakBefore w:val="0"/>
        <w:widowControl w:val="0"/>
        <w:kinsoku/>
        <w:wordWrap/>
        <w:overflowPunct/>
        <w:topLinePunct w:val="0"/>
        <w:autoSpaceDE/>
        <w:autoSpaceDN/>
        <w:bidi w:val="0"/>
        <w:adjustRightInd/>
        <w:snapToGrid/>
        <w:spacing w:before="47" w:line="360" w:lineRule="auto"/>
        <w:jc w:val="left"/>
        <w:textAlignment w:val="auto"/>
        <w:rPr>
          <w:rFonts w:hint="eastAsia" w:hAnsi="宋体" w:eastAsia="宋体" w:cs="宋体"/>
          <w:b/>
          <w:bCs/>
          <w:color w:val="auto"/>
          <w:sz w:val="21"/>
          <w:szCs w:val="21"/>
          <w:highlight w:val="none"/>
          <w:lang w:val="en-US" w:eastAsia="zh-CN"/>
        </w:rPr>
        <w:sectPr>
          <w:headerReference r:id="rId11" w:type="default"/>
          <w:footerReference r:id="rId12" w:type="default"/>
          <w:pgSz w:w="11906" w:h="16838"/>
          <w:pgMar w:top="1474" w:right="1474" w:bottom="1247" w:left="1474" w:header="851" w:footer="850" w:gutter="0"/>
          <w:pgBorders>
            <w:top w:val="none" w:sz="0" w:space="0"/>
            <w:left w:val="none" w:sz="0" w:space="0"/>
            <w:bottom w:val="none" w:sz="0" w:space="0"/>
            <w:right w:val="none" w:sz="0" w:space="0"/>
          </w:pgBorders>
          <w:pgNumType w:fmt="decimal"/>
          <w:cols w:space="720" w:num="1"/>
          <w:docGrid w:linePitch="312" w:charSpace="0"/>
        </w:sectPr>
      </w:pPr>
      <w:r>
        <w:rPr>
          <w:rFonts w:hint="eastAsia" w:hAnsi="宋体" w:eastAsia="宋体" w:cs="宋体"/>
          <w:b/>
          <w:bCs/>
          <w:color w:val="auto"/>
          <w:sz w:val="21"/>
          <w:szCs w:val="21"/>
          <w:highlight w:val="none"/>
          <w:lang w:val="en-US" w:eastAsia="zh-CN"/>
        </w:rPr>
        <w:drawing>
          <wp:inline distT="0" distB="0" distL="114300" distR="114300">
            <wp:extent cx="5683250" cy="8038465"/>
            <wp:effectExtent l="0" t="0" r="12700" b="635"/>
            <wp:docPr id="50" name="图片 50" descr="PDF.作业设计书-海曙区章水镇2024年度结余资金林相优化改造工程_22-45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PDF.作业设计书-海曙区章水镇2024年度结余资金林相优化改造工程_22-45_00"/>
                    <pic:cNvPicPr>
                      <a:picLocks noChangeAspect="1"/>
                    </pic:cNvPicPr>
                  </pic:nvPicPr>
                  <pic:blipFill>
                    <a:blip r:embed="rId22"/>
                    <a:stretch>
                      <a:fillRect/>
                    </a:stretch>
                  </pic:blipFill>
                  <pic:spPr>
                    <a:xfrm>
                      <a:off x="0" y="0"/>
                      <a:ext cx="5683250" cy="8038465"/>
                    </a:xfrm>
                    <a:prstGeom prst="rect">
                      <a:avLst/>
                    </a:prstGeom>
                  </pic:spPr>
                </pic:pic>
              </a:graphicData>
            </a:graphic>
          </wp:inline>
        </w:drawing>
      </w:r>
      <w:r>
        <w:rPr>
          <w:rFonts w:hint="eastAsia" w:hAnsi="宋体" w:eastAsia="宋体" w:cs="宋体"/>
          <w:b/>
          <w:bCs/>
          <w:color w:val="auto"/>
          <w:sz w:val="21"/>
          <w:szCs w:val="21"/>
          <w:highlight w:val="none"/>
          <w:lang w:val="en-US" w:eastAsia="zh-CN"/>
        </w:rPr>
        <w:drawing>
          <wp:inline distT="0" distB="0" distL="114300" distR="114300">
            <wp:extent cx="5687060" cy="8041640"/>
            <wp:effectExtent l="0" t="0" r="8890" b="16510"/>
            <wp:docPr id="54" name="图片 54" descr="PDF.作业设计书-海曙区章水镇2024年度结余资金林相优化改造工程_22-45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PDF.作业设计书-海曙区章水镇2024年度结余资金林相优化改造工程_22-45_02"/>
                    <pic:cNvPicPr>
                      <a:picLocks noChangeAspect="1"/>
                    </pic:cNvPicPr>
                  </pic:nvPicPr>
                  <pic:blipFill>
                    <a:blip r:embed="rId23"/>
                    <a:stretch>
                      <a:fillRect/>
                    </a:stretch>
                  </pic:blipFill>
                  <pic:spPr>
                    <a:xfrm>
                      <a:off x="0" y="0"/>
                      <a:ext cx="5687060" cy="8041640"/>
                    </a:xfrm>
                    <a:prstGeom prst="rect">
                      <a:avLst/>
                    </a:prstGeom>
                  </pic:spPr>
                </pic:pic>
              </a:graphicData>
            </a:graphic>
          </wp:inline>
        </w:drawing>
      </w:r>
      <w:r>
        <w:rPr>
          <w:rFonts w:hint="eastAsia" w:hAnsi="宋体" w:eastAsia="宋体" w:cs="宋体"/>
          <w:b/>
          <w:bCs/>
          <w:color w:val="auto"/>
          <w:sz w:val="21"/>
          <w:szCs w:val="21"/>
          <w:highlight w:val="none"/>
          <w:lang w:val="en-US" w:eastAsia="zh-CN"/>
        </w:rPr>
        <w:drawing>
          <wp:inline distT="0" distB="0" distL="114300" distR="114300">
            <wp:extent cx="5687060" cy="8041640"/>
            <wp:effectExtent l="0" t="0" r="8890" b="16510"/>
            <wp:docPr id="53" name="图片 53" descr="PDF.作业设计书-海曙区章水镇2024年度结余资金林相优化改造工程_22-45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PDF.作业设计书-海曙区章水镇2024年度结余资金林相优化改造工程_22-45_03"/>
                    <pic:cNvPicPr>
                      <a:picLocks noChangeAspect="1"/>
                    </pic:cNvPicPr>
                  </pic:nvPicPr>
                  <pic:blipFill>
                    <a:blip r:embed="rId24"/>
                    <a:stretch>
                      <a:fillRect/>
                    </a:stretch>
                  </pic:blipFill>
                  <pic:spPr>
                    <a:xfrm>
                      <a:off x="0" y="0"/>
                      <a:ext cx="5687060" cy="8041640"/>
                    </a:xfrm>
                    <a:prstGeom prst="rect">
                      <a:avLst/>
                    </a:prstGeom>
                  </pic:spPr>
                </pic:pic>
              </a:graphicData>
            </a:graphic>
          </wp:inline>
        </w:drawing>
      </w:r>
      <w:r>
        <w:rPr>
          <w:rFonts w:hint="eastAsia" w:hAnsi="宋体" w:eastAsia="宋体" w:cs="宋体"/>
          <w:b/>
          <w:bCs/>
          <w:color w:val="auto"/>
          <w:sz w:val="21"/>
          <w:szCs w:val="21"/>
          <w:highlight w:val="none"/>
          <w:lang w:val="en-US" w:eastAsia="zh-CN"/>
        </w:rPr>
        <w:drawing>
          <wp:inline distT="0" distB="0" distL="114300" distR="114300">
            <wp:extent cx="5687060" cy="8041640"/>
            <wp:effectExtent l="0" t="0" r="8890" b="16510"/>
            <wp:docPr id="52" name="图片 52" descr="PDF.作业设计书-海曙区章水镇2024年度结余资金林相优化改造工程_22-45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PDF.作业设计书-海曙区章水镇2024年度结余资金林相优化改造工程_22-45_04"/>
                    <pic:cNvPicPr>
                      <a:picLocks noChangeAspect="1"/>
                    </pic:cNvPicPr>
                  </pic:nvPicPr>
                  <pic:blipFill>
                    <a:blip r:embed="rId25"/>
                    <a:stretch>
                      <a:fillRect/>
                    </a:stretch>
                  </pic:blipFill>
                  <pic:spPr>
                    <a:xfrm>
                      <a:off x="0" y="0"/>
                      <a:ext cx="5687060" cy="8041640"/>
                    </a:xfrm>
                    <a:prstGeom prst="rect">
                      <a:avLst/>
                    </a:prstGeom>
                  </pic:spPr>
                </pic:pic>
              </a:graphicData>
            </a:graphic>
          </wp:inline>
        </w:drawing>
      </w:r>
      <w:r>
        <w:rPr>
          <w:rFonts w:hint="eastAsia" w:hAnsi="宋体" w:eastAsia="宋体" w:cs="宋体"/>
          <w:b/>
          <w:bCs/>
          <w:color w:val="auto"/>
          <w:sz w:val="21"/>
          <w:szCs w:val="21"/>
          <w:highlight w:val="none"/>
          <w:lang w:val="en-US" w:eastAsia="zh-CN"/>
        </w:rPr>
        <w:drawing>
          <wp:inline distT="0" distB="0" distL="114300" distR="114300">
            <wp:extent cx="5687060" cy="8041640"/>
            <wp:effectExtent l="0" t="0" r="8890" b="16510"/>
            <wp:docPr id="51" name="图片 51" descr="PDF.作业设计书-海曙区章水镇2024年度结余资金林相优化改造工程_22-45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PDF.作业设计书-海曙区章水镇2024年度结余资金林相优化改造工程_22-45_05"/>
                    <pic:cNvPicPr>
                      <a:picLocks noChangeAspect="1"/>
                    </pic:cNvPicPr>
                  </pic:nvPicPr>
                  <pic:blipFill>
                    <a:blip r:embed="rId26"/>
                    <a:stretch>
                      <a:fillRect/>
                    </a:stretch>
                  </pic:blipFill>
                  <pic:spPr>
                    <a:xfrm>
                      <a:off x="0" y="0"/>
                      <a:ext cx="5687060" cy="8041640"/>
                    </a:xfrm>
                    <a:prstGeom prst="rect">
                      <a:avLst/>
                    </a:prstGeom>
                  </pic:spPr>
                </pic:pic>
              </a:graphicData>
            </a:graphic>
          </wp:inline>
        </w:drawing>
      </w:r>
      <w:r>
        <w:rPr>
          <w:rFonts w:hint="eastAsia" w:hAnsi="宋体" w:eastAsia="宋体" w:cs="宋体"/>
          <w:b/>
          <w:bCs/>
          <w:color w:val="auto"/>
          <w:sz w:val="21"/>
          <w:szCs w:val="21"/>
          <w:highlight w:val="none"/>
          <w:lang w:val="en-US" w:eastAsia="zh-CN"/>
        </w:rPr>
        <w:drawing>
          <wp:inline distT="0" distB="0" distL="114300" distR="114300">
            <wp:extent cx="5687060" cy="8041640"/>
            <wp:effectExtent l="0" t="0" r="8890" b="16510"/>
            <wp:docPr id="64" name="图片 64" descr="PDF.作业设计书-海曙区章水镇2024年度结余资金林相优化改造工程_22-45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PDF.作业设计书-海曙区章水镇2024年度结余资金林相优化改造工程_22-45_06"/>
                    <pic:cNvPicPr>
                      <a:picLocks noChangeAspect="1"/>
                    </pic:cNvPicPr>
                  </pic:nvPicPr>
                  <pic:blipFill>
                    <a:blip r:embed="rId27"/>
                    <a:stretch>
                      <a:fillRect/>
                    </a:stretch>
                  </pic:blipFill>
                  <pic:spPr>
                    <a:xfrm>
                      <a:off x="0" y="0"/>
                      <a:ext cx="5687060" cy="8041640"/>
                    </a:xfrm>
                    <a:prstGeom prst="rect">
                      <a:avLst/>
                    </a:prstGeom>
                  </pic:spPr>
                </pic:pic>
              </a:graphicData>
            </a:graphic>
          </wp:inline>
        </w:drawing>
      </w:r>
      <w:r>
        <w:rPr>
          <w:rFonts w:hint="eastAsia" w:hAnsi="宋体" w:eastAsia="宋体" w:cs="宋体"/>
          <w:b/>
          <w:bCs/>
          <w:color w:val="auto"/>
          <w:sz w:val="21"/>
          <w:szCs w:val="21"/>
          <w:highlight w:val="none"/>
          <w:lang w:val="en-US" w:eastAsia="zh-CN"/>
        </w:rPr>
        <w:drawing>
          <wp:inline distT="0" distB="0" distL="114300" distR="114300">
            <wp:extent cx="5687060" cy="8041640"/>
            <wp:effectExtent l="0" t="0" r="8890" b="16510"/>
            <wp:docPr id="63" name="图片 63" descr="PDF.作业设计书-海曙区章水镇2024年度结余资金林相优化改造工程_22-45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PDF.作业设计书-海曙区章水镇2024年度结余资金林相优化改造工程_22-45_07"/>
                    <pic:cNvPicPr>
                      <a:picLocks noChangeAspect="1"/>
                    </pic:cNvPicPr>
                  </pic:nvPicPr>
                  <pic:blipFill>
                    <a:blip r:embed="rId28"/>
                    <a:stretch>
                      <a:fillRect/>
                    </a:stretch>
                  </pic:blipFill>
                  <pic:spPr>
                    <a:xfrm>
                      <a:off x="0" y="0"/>
                      <a:ext cx="5687060" cy="8041640"/>
                    </a:xfrm>
                    <a:prstGeom prst="rect">
                      <a:avLst/>
                    </a:prstGeom>
                  </pic:spPr>
                </pic:pic>
              </a:graphicData>
            </a:graphic>
          </wp:inline>
        </w:drawing>
      </w:r>
      <w:r>
        <w:rPr>
          <w:rFonts w:hint="eastAsia" w:hAnsi="宋体" w:eastAsia="宋体" w:cs="宋体"/>
          <w:b/>
          <w:bCs/>
          <w:color w:val="auto"/>
          <w:sz w:val="21"/>
          <w:szCs w:val="21"/>
          <w:highlight w:val="none"/>
          <w:lang w:val="en-US" w:eastAsia="zh-CN"/>
        </w:rPr>
        <w:drawing>
          <wp:inline distT="0" distB="0" distL="114300" distR="114300">
            <wp:extent cx="5687060" cy="8041640"/>
            <wp:effectExtent l="0" t="0" r="8890" b="16510"/>
            <wp:docPr id="62" name="图片 62" descr="PDF.作业设计书-海曙区章水镇2024年度结余资金林相优化改造工程_22-45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PDF.作业设计书-海曙区章水镇2024年度结余资金林相优化改造工程_22-45_08"/>
                    <pic:cNvPicPr>
                      <a:picLocks noChangeAspect="1"/>
                    </pic:cNvPicPr>
                  </pic:nvPicPr>
                  <pic:blipFill>
                    <a:blip r:embed="rId29"/>
                    <a:stretch>
                      <a:fillRect/>
                    </a:stretch>
                  </pic:blipFill>
                  <pic:spPr>
                    <a:xfrm>
                      <a:off x="0" y="0"/>
                      <a:ext cx="5687060" cy="8041640"/>
                    </a:xfrm>
                    <a:prstGeom prst="rect">
                      <a:avLst/>
                    </a:prstGeom>
                  </pic:spPr>
                </pic:pic>
              </a:graphicData>
            </a:graphic>
          </wp:inline>
        </w:drawing>
      </w:r>
      <w:r>
        <w:rPr>
          <w:rFonts w:hint="eastAsia" w:hAnsi="宋体" w:eastAsia="宋体" w:cs="宋体"/>
          <w:b/>
          <w:bCs/>
          <w:color w:val="auto"/>
          <w:sz w:val="21"/>
          <w:szCs w:val="21"/>
          <w:highlight w:val="none"/>
          <w:lang w:val="en-US" w:eastAsia="zh-CN"/>
        </w:rPr>
        <w:drawing>
          <wp:inline distT="0" distB="0" distL="114300" distR="114300">
            <wp:extent cx="5687060" cy="8041640"/>
            <wp:effectExtent l="0" t="0" r="8890" b="16510"/>
            <wp:docPr id="61" name="图片 61" descr="PDF.作业设计书-海曙区章水镇2024年度结余资金林相优化改造工程_22-45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PDF.作业设计书-海曙区章水镇2024年度结余资金林相优化改造工程_22-45_09"/>
                    <pic:cNvPicPr>
                      <a:picLocks noChangeAspect="1"/>
                    </pic:cNvPicPr>
                  </pic:nvPicPr>
                  <pic:blipFill>
                    <a:blip r:embed="rId30"/>
                    <a:stretch>
                      <a:fillRect/>
                    </a:stretch>
                  </pic:blipFill>
                  <pic:spPr>
                    <a:xfrm>
                      <a:off x="0" y="0"/>
                      <a:ext cx="5687060" cy="8041640"/>
                    </a:xfrm>
                    <a:prstGeom prst="rect">
                      <a:avLst/>
                    </a:prstGeom>
                  </pic:spPr>
                </pic:pic>
              </a:graphicData>
            </a:graphic>
          </wp:inline>
        </w:drawing>
      </w:r>
      <w:r>
        <w:rPr>
          <w:rFonts w:hint="eastAsia" w:hAnsi="宋体" w:eastAsia="宋体" w:cs="宋体"/>
          <w:b/>
          <w:bCs/>
          <w:color w:val="auto"/>
          <w:sz w:val="21"/>
          <w:szCs w:val="21"/>
          <w:highlight w:val="none"/>
          <w:lang w:val="en-US" w:eastAsia="zh-CN"/>
        </w:rPr>
        <w:drawing>
          <wp:inline distT="0" distB="0" distL="114300" distR="114300">
            <wp:extent cx="5687060" cy="8041640"/>
            <wp:effectExtent l="0" t="0" r="8890" b="16510"/>
            <wp:docPr id="60" name="图片 60" descr="PDF.作业设计书-海曙区章水镇2024年度结余资金林相优化改造工程_22-45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PDF.作业设计书-海曙区章水镇2024年度结余资金林相优化改造工程_22-45_10"/>
                    <pic:cNvPicPr>
                      <a:picLocks noChangeAspect="1"/>
                    </pic:cNvPicPr>
                  </pic:nvPicPr>
                  <pic:blipFill>
                    <a:blip r:embed="rId31"/>
                    <a:stretch>
                      <a:fillRect/>
                    </a:stretch>
                  </pic:blipFill>
                  <pic:spPr>
                    <a:xfrm>
                      <a:off x="0" y="0"/>
                      <a:ext cx="5687060" cy="8041640"/>
                    </a:xfrm>
                    <a:prstGeom prst="rect">
                      <a:avLst/>
                    </a:prstGeom>
                  </pic:spPr>
                </pic:pic>
              </a:graphicData>
            </a:graphic>
          </wp:inline>
        </w:drawing>
      </w:r>
      <w:r>
        <w:rPr>
          <w:rFonts w:hint="eastAsia" w:hAnsi="宋体" w:eastAsia="宋体" w:cs="宋体"/>
          <w:b/>
          <w:bCs/>
          <w:color w:val="auto"/>
          <w:sz w:val="21"/>
          <w:szCs w:val="21"/>
          <w:highlight w:val="none"/>
          <w:lang w:val="en-US" w:eastAsia="zh-CN"/>
        </w:rPr>
        <w:drawing>
          <wp:inline distT="0" distB="0" distL="114300" distR="114300">
            <wp:extent cx="5687060" cy="8041640"/>
            <wp:effectExtent l="0" t="0" r="8890" b="16510"/>
            <wp:docPr id="59" name="图片 59" descr="PDF.作业设计书-海曙区章水镇2024年度结余资金林相优化改造工程_22-45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PDF.作业设计书-海曙区章水镇2024年度结余资金林相优化改造工程_22-45_11"/>
                    <pic:cNvPicPr>
                      <a:picLocks noChangeAspect="1"/>
                    </pic:cNvPicPr>
                  </pic:nvPicPr>
                  <pic:blipFill>
                    <a:blip r:embed="rId32"/>
                    <a:stretch>
                      <a:fillRect/>
                    </a:stretch>
                  </pic:blipFill>
                  <pic:spPr>
                    <a:xfrm>
                      <a:off x="0" y="0"/>
                      <a:ext cx="5687060" cy="8041640"/>
                    </a:xfrm>
                    <a:prstGeom prst="rect">
                      <a:avLst/>
                    </a:prstGeom>
                  </pic:spPr>
                </pic:pic>
              </a:graphicData>
            </a:graphic>
          </wp:inline>
        </w:drawing>
      </w:r>
      <w:r>
        <w:rPr>
          <w:rFonts w:hint="eastAsia" w:hAnsi="宋体" w:eastAsia="宋体" w:cs="宋体"/>
          <w:b/>
          <w:bCs/>
          <w:color w:val="auto"/>
          <w:sz w:val="21"/>
          <w:szCs w:val="21"/>
          <w:highlight w:val="none"/>
          <w:lang w:val="en-US" w:eastAsia="zh-CN"/>
        </w:rPr>
        <w:drawing>
          <wp:inline distT="0" distB="0" distL="114300" distR="114300">
            <wp:extent cx="5687060" cy="8041640"/>
            <wp:effectExtent l="0" t="0" r="8890" b="16510"/>
            <wp:docPr id="58" name="图片 58" descr="PDF.作业设计书-海曙区章水镇2024年度结余资金林相优化改造工程_22-45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PDF.作业设计书-海曙区章水镇2024年度结余资金林相优化改造工程_22-45_12"/>
                    <pic:cNvPicPr>
                      <a:picLocks noChangeAspect="1"/>
                    </pic:cNvPicPr>
                  </pic:nvPicPr>
                  <pic:blipFill>
                    <a:blip r:embed="rId33"/>
                    <a:stretch>
                      <a:fillRect/>
                    </a:stretch>
                  </pic:blipFill>
                  <pic:spPr>
                    <a:xfrm>
                      <a:off x="0" y="0"/>
                      <a:ext cx="5687060" cy="8041640"/>
                    </a:xfrm>
                    <a:prstGeom prst="rect">
                      <a:avLst/>
                    </a:prstGeom>
                  </pic:spPr>
                </pic:pic>
              </a:graphicData>
            </a:graphic>
          </wp:inline>
        </w:drawing>
      </w:r>
      <w:r>
        <w:rPr>
          <w:rFonts w:hint="eastAsia" w:hAnsi="宋体" w:eastAsia="宋体" w:cs="宋体"/>
          <w:b/>
          <w:bCs/>
          <w:color w:val="auto"/>
          <w:sz w:val="21"/>
          <w:szCs w:val="21"/>
          <w:highlight w:val="none"/>
          <w:lang w:val="en-US" w:eastAsia="zh-CN"/>
        </w:rPr>
        <w:drawing>
          <wp:inline distT="0" distB="0" distL="114300" distR="114300">
            <wp:extent cx="5687060" cy="8041640"/>
            <wp:effectExtent l="0" t="0" r="8890" b="16510"/>
            <wp:docPr id="57" name="图片 57" descr="PDF.作业设计书-海曙区章水镇2024年度结余资金林相优化改造工程_22-45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PDF.作业设计书-海曙区章水镇2024年度结余资金林相优化改造工程_22-45_13"/>
                    <pic:cNvPicPr>
                      <a:picLocks noChangeAspect="1"/>
                    </pic:cNvPicPr>
                  </pic:nvPicPr>
                  <pic:blipFill>
                    <a:blip r:embed="rId34"/>
                    <a:stretch>
                      <a:fillRect/>
                    </a:stretch>
                  </pic:blipFill>
                  <pic:spPr>
                    <a:xfrm>
                      <a:off x="0" y="0"/>
                      <a:ext cx="5687060" cy="8041640"/>
                    </a:xfrm>
                    <a:prstGeom prst="rect">
                      <a:avLst/>
                    </a:prstGeom>
                  </pic:spPr>
                </pic:pic>
              </a:graphicData>
            </a:graphic>
          </wp:inline>
        </w:drawing>
      </w:r>
      <w:r>
        <w:rPr>
          <w:rFonts w:hint="eastAsia" w:hAnsi="宋体" w:eastAsia="宋体" w:cs="宋体"/>
          <w:b/>
          <w:bCs/>
          <w:color w:val="auto"/>
          <w:sz w:val="21"/>
          <w:szCs w:val="21"/>
          <w:highlight w:val="none"/>
          <w:lang w:val="en-US" w:eastAsia="zh-CN"/>
        </w:rPr>
        <w:drawing>
          <wp:inline distT="0" distB="0" distL="114300" distR="114300">
            <wp:extent cx="5687060" cy="8041640"/>
            <wp:effectExtent l="0" t="0" r="8890" b="16510"/>
            <wp:docPr id="56" name="图片 56" descr="PDF.作业设计书-海曙区章水镇2024年度结余资金林相优化改造工程_22-45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PDF.作业设计书-海曙区章水镇2024年度结余资金林相优化改造工程_22-45_14"/>
                    <pic:cNvPicPr>
                      <a:picLocks noChangeAspect="1"/>
                    </pic:cNvPicPr>
                  </pic:nvPicPr>
                  <pic:blipFill>
                    <a:blip r:embed="rId35"/>
                    <a:stretch>
                      <a:fillRect/>
                    </a:stretch>
                  </pic:blipFill>
                  <pic:spPr>
                    <a:xfrm>
                      <a:off x="0" y="0"/>
                      <a:ext cx="5687060" cy="8041640"/>
                    </a:xfrm>
                    <a:prstGeom prst="rect">
                      <a:avLst/>
                    </a:prstGeom>
                  </pic:spPr>
                </pic:pic>
              </a:graphicData>
            </a:graphic>
          </wp:inline>
        </w:drawing>
      </w:r>
      <w:r>
        <w:rPr>
          <w:rFonts w:hint="eastAsia" w:hAnsi="宋体" w:eastAsia="宋体" w:cs="宋体"/>
          <w:b/>
          <w:bCs/>
          <w:color w:val="auto"/>
          <w:sz w:val="21"/>
          <w:szCs w:val="21"/>
          <w:highlight w:val="none"/>
          <w:lang w:val="en-US" w:eastAsia="zh-CN"/>
        </w:rPr>
        <w:drawing>
          <wp:inline distT="0" distB="0" distL="114300" distR="114300">
            <wp:extent cx="5687060" cy="8041640"/>
            <wp:effectExtent l="0" t="0" r="8890" b="16510"/>
            <wp:docPr id="55" name="图片 55" descr="PDF.作业设计书-海曙区章水镇2024年度结余资金林相优化改造工程_22-45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PDF.作业设计书-海曙区章水镇2024年度结余资金林相优化改造工程_22-45_15"/>
                    <pic:cNvPicPr>
                      <a:picLocks noChangeAspect="1"/>
                    </pic:cNvPicPr>
                  </pic:nvPicPr>
                  <pic:blipFill>
                    <a:blip r:embed="rId36"/>
                    <a:stretch>
                      <a:fillRect/>
                    </a:stretch>
                  </pic:blipFill>
                  <pic:spPr>
                    <a:xfrm>
                      <a:off x="0" y="0"/>
                      <a:ext cx="5687060" cy="8041640"/>
                    </a:xfrm>
                    <a:prstGeom prst="rect">
                      <a:avLst/>
                    </a:prstGeom>
                  </pic:spPr>
                </pic:pic>
              </a:graphicData>
            </a:graphic>
          </wp:inline>
        </w:drawing>
      </w:r>
      <w:r>
        <w:rPr>
          <w:rFonts w:hint="eastAsia" w:hAnsi="宋体" w:eastAsia="宋体" w:cs="宋体"/>
          <w:b/>
          <w:bCs/>
          <w:color w:val="auto"/>
          <w:sz w:val="21"/>
          <w:szCs w:val="21"/>
          <w:highlight w:val="none"/>
          <w:lang w:val="en-US" w:eastAsia="zh-CN"/>
        </w:rPr>
        <w:drawing>
          <wp:inline distT="0" distB="0" distL="114300" distR="114300">
            <wp:extent cx="5687060" cy="8041640"/>
            <wp:effectExtent l="0" t="0" r="8890" b="16510"/>
            <wp:docPr id="72" name="图片 72" descr="PDF.作业设计书-海曙区章水镇2024年度结余资金林相优化改造工程_22-45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PDF.作业设计书-海曙区章水镇2024年度结余资金林相优化改造工程_22-45_16"/>
                    <pic:cNvPicPr>
                      <a:picLocks noChangeAspect="1"/>
                    </pic:cNvPicPr>
                  </pic:nvPicPr>
                  <pic:blipFill>
                    <a:blip r:embed="rId37"/>
                    <a:stretch>
                      <a:fillRect/>
                    </a:stretch>
                  </pic:blipFill>
                  <pic:spPr>
                    <a:xfrm>
                      <a:off x="0" y="0"/>
                      <a:ext cx="5687060" cy="8041640"/>
                    </a:xfrm>
                    <a:prstGeom prst="rect">
                      <a:avLst/>
                    </a:prstGeom>
                  </pic:spPr>
                </pic:pic>
              </a:graphicData>
            </a:graphic>
          </wp:inline>
        </w:drawing>
      </w:r>
      <w:r>
        <w:rPr>
          <w:rFonts w:hint="eastAsia" w:hAnsi="宋体" w:eastAsia="宋体" w:cs="宋体"/>
          <w:b/>
          <w:bCs/>
          <w:color w:val="auto"/>
          <w:sz w:val="21"/>
          <w:szCs w:val="21"/>
          <w:highlight w:val="none"/>
          <w:lang w:val="en-US" w:eastAsia="zh-CN"/>
        </w:rPr>
        <w:drawing>
          <wp:inline distT="0" distB="0" distL="114300" distR="114300">
            <wp:extent cx="5687060" cy="8041640"/>
            <wp:effectExtent l="0" t="0" r="8890" b="16510"/>
            <wp:docPr id="71" name="图片 71" descr="PDF.作业设计书-海曙区章水镇2024年度结余资金林相优化改造工程_22-45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PDF.作业设计书-海曙区章水镇2024年度结余资金林相优化改造工程_22-45_17"/>
                    <pic:cNvPicPr>
                      <a:picLocks noChangeAspect="1"/>
                    </pic:cNvPicPr>
                  </pic:nvPicPr>
                  <pic:blipFill>
                    <a:blip r:embed="rId38"/>
                    <a:stretch>
                      <a:fillRect/>
                    </a:stretch>
                  </pic:blipFill>
                  <pic:spPr>
                    <a:xfrm>
                      <a:off x="0" y="0"/>
                      <a:ext cx="5687060" cy="8041640"/>
                    </a:xfrm>
                    <a:prstGeom prst="rect">
                      <a:avLst/>
                    </a:prstGeom>
                  </pic:spPr>
                </pic:pic>
              </a:graphicData>
            </a:graphic>
          </wp:inline>
        </w:drawing>
      </w:r>
      <w:r>
        <w:rPr>
          <w:rFonts w:hint="eastAsia" w:hAnsi="宋体" w:eastAsia="宋体" w:cs="宋体"/>
          <w:b/>
          <w:bCs/>
          <w:color w:val="auto"/>
          <w:sz w:val="21"/>
          <w:szCs w:val="21"/>
          <w:highlight w:val="none"/>
          <w:lang w:val="en-US" w:eastAsia="zh-CN"/>
        </w:rPr>
        <w:drawing>
          <wp:inline distT="0" distB="0" distL="114300" distR="114300">
            <wp:extent cx="5687060" cy="8041640"/>
            <wp:effectExtent l="0" t="0" r="8890" b="16510"/>
            <wp:docPr id="70" name="图片 70" descr="PDF.作业设计书-海曙区章水镇2024年度结余资金林相优化改造工程_22-45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PDF.作业设计书-海曙区章水镇2024年度结余资金林相优化改造工程_22-45_18"/>
                    <pic:cNvPicPr>
                      <a:picLocks noChangeAspect="1"/>
                    </pic:cNvPicPr>
                  </pic:nvPicPr>
                  <pic:blipFill>
                    <a:blip r:embed="rId39"/>
                    <a:stretch>
                      <a:fillRect/>
                    </a:stretch>
                  </pic:blipFill>
                  <pic:spPr>
                    <a:xfrm>
                      <a:off x="0" y="0"/>
                      <a:ext cx="5687060" cy="8041640"/>
                    </a:xfrm>
                    <a:prstGeom prst="rect">
                      <a:avLst/>
                    </a:prstGeom>
                  </pic:spPr>
                </pic:pic>
              </a:graphicData>
            </a:graphic>
          </wp:inline>
        </w:drawing>
      </w:r>
      <w:r>
        <w:rPr>
          <w:rFonts w:hint="eastAsia" w:hAnsi="宋体" w:eastAsia="宋体" w:cs="宋体"/>
          <w:b/>
          <w:bCs/>
          <w:color w:val="auto"/>
          <w:sz w:val="21"/>
          <w:szCs w:val="21"/>
          <w:highlight w:val="none"/>
          <w:lang w:val="en-US" w:eastAsia="zh-CN"/>
        </w:rPr>
        <w:drawing>
          <wp:inline distT="0" distB="0" distL="114300" distR="114300">
            <wp:extent cx="5687060" cy="8041640"/>
            <wp:effectExtent l="0" t="0" r="8890" b="16510"/>
            <wp:docPr id="69" name="图片 69" descr="PDF.作业设计书-海曙区章水镇2024年度结余资金林相优化改造工程_22-45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PDF.作业设计书-海曙区章水镇2024年度结余资金林相优化改造工程_22-45_19"/>
                    <pic:cNvPicPr>
                      <a:picLocks noChangeAspect="1"/>
                    </pic:cNvPicPr>
                  </pic:nvPicPr>
                  <pic:blipFill>
                    <a:blip r:embed="rId40"/>
                    <a:stretch>
                      <a:fillRect/>
                    </a:stretch>
                  </pic:blipFill>
                  <pic:spPr>
                    <a:xfrm>
                      <a:off x="0" y="0"/>
                      <a:ext cx="5687060" cy="8041640"/>
                    </a:xfrm>
                    <a:prstGeom prst="rect">
                      <a:avLst/>
                    </a:prstGeom>
                  </pic:spPr>
                </pic:pic>
              </a:graphicData>
            </a:graphic>
          </wp:inline>
        </w:drawing>
      </w:r>
      <w:r>
        <w:rPr>
          <w:rFonts w:hint="eastAsia" w:hAnsi="宋体" w:eastAsia="宋体" w:cs="宋体"/>
          <w:b/>
          <w:bCs/>
          <w:color w:val="auto"/>
          <w:sz w:val="21"/>
          <w:szCs w:val="21"/>
          <w:highlight w:val="none"/>
          <w:lang w:val="en-US" w:eastAsia="zh-CN"/>
        </w:rPr>
        <w:drawing>
          <wp:inline distT="0" distB="0" distL="114300" distR="114300">
            <wp:extent cx="5687060" cy="8041640"/>
            <wp:effectExtent l="0" t="0" r="8890" b="16510"/>
            <wp:docPr id="68" name="图片 68" descr="PDF.作业设计书-海曙区章水镇2024年度结余资金林相优化改造工程_22-45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PDF.作业设计书-海曙区章水镇2024年度结余资金林相优化改造工程_22-45_20"/>
                    <pic:cNvPicPr>
                      <a:picLocks noChangeAspect="1"/>
                    </pic:cNvPicPr>
                  </pic:nvPicPr>
                  <pic:blipFill>
                    <a:blip r:embed="rId41"/>
                    <a:stretch>
                      <a:fillRect/>
                    </a:stretch>
                  </pic:blipFill>
                  <pic:spPr>
                    <a:xfrm>
                      <a:off x="0" y="0"/>
                      <a:ext cx="5687060" cy="8041640"/>
                    </a:xfrm>
                    <a:prstGeom prst="rect">
                      <a:avLst/>
                    </a:prstGeom>
                  </pic:spPr>
                </pic:pic>
              </a:graphicData>
            </a:graphic>
          </wp:inline>
        </w:drawing>
      </w:r>
      <w:r>
        <w:rPr>
          <w:rFonts w:hint="eastAsia" w:hAnsi="宋体" w:eastAsia="宋体" w:cs="宋体"/>
          <w:b/>
          <w:bCs/>
          <w:color w:val="auto"/>
          <w:sz w:val="21"/>
          <w:szCs w:val="21"/>
          <w:highlight w:val="none"/>
          <w:lang w:val="en-US" w:eastAsia="zh-CN"/>
        </w:rPr>
        <w:drawing>
          <wp:inline distT="0" distB="0" distL="114300" distR="114300">
            <wp:extent cx="5687060" cy="8041640"/>
            <wp:effectExtent l="0" t="0" r="8890" b="16510"/>
            <wp:docPr id="67" name="图片 67" descr="PDF.作业设计书-海曙区章水镇2024年度结余资金林相优化改造工程_22-45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PDF.作业设计书-海曙区章水镇2024年度结余资金林相优化改造工程_22-45_21"/>
                    <pic:cNvPicPr>
                      <a:picLocks noChangeAspect="1"/>
                    </pic:cNvPicPr>
                  </pic:nvPicPr>
                  <pic:blipFill>
                    <a:blip r:embed="rId42"/>
                    <a:stretch>
                      <a:fillRect/>
                    </a:stretch>
                  </pic:blipFill>
                  <pic:spPr>
                    <a:xfrm>
                      <a:off x="0" y="0"/>
                      <a:ext cx="5687060" cy="8041640"/>
                    </a:xfrm>
                    <a:prstGeom prst="rect">
                      <a:avLst/>
                    </a:prstGeom>
                  </pic:spPr>
                </pic:pic>
              </a:graphicData>
            </a:graphic>
          </wp:inline>
        </w:drawing>
      </w:r>
      <w:r>
        <w:rPr>
          <w:rFonts w:hint="eastAsia" w:hAnsi="宋体" w:eastAsia="宋体" w:cs="宋体"/>
          <w:b/>
          <w:bCs/>
          <w:color w:val="auto"/>
          <w:sz w:val="21"/>
          <w:szCs w:val="21"/>
          <w:highlight w:val="none"/>
          <w:lang w:val="en-US" w:eastAsia="zh-CN"/>
        </w:rPr>
        <w:drawing>
          <wp:inline distT="0" distB="0" distL="114300" distR="114300">
            <wp:extent cx="5681980" cy="4020820"/>
            <wp:effectExtent l="0" t="0" r="13970" b="17780"/>
            <wp:docPr id="66" name="图片 66" descr="PDF.作业设计书-海曙区章水镇2024年度结余资金林相优化改造工程_22-45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PDF.作业设计书-海曙区章水镇2024年度结余资金林相优化改造工程_22-45_22"/>
                    <pic:cNvPicPr>
                      <a:picLocks noChangeAspect="1"/>
                    </pic:cNvPicPr>
                  </pic:nvPicPr>
                  <pic:blipFill>
                    <a:blip r:embed="rId43"/>
                    <a:stretch>
                      <a:fillRect/>
                    </a:stretch>
                  </pic:blipFill>
                  <pic:spPr>
                    <a:xfrm>
                      <a:off x="0" y="0"/>
                      <a:ext cx="5681980" cy="4020820"/>
                    </a:xfrm>
                    <a:prstGeom prst="rect">
                      <a:avLst/>
                    </a:prstGeom>
                  </pic:spPr>
                </pic:pic>
              </a:graphicData>
            </a:graphic>
          </wp:inline>
        </w:drawing>
      </w:r>
      <w:r>
        <w:rPr>
          <w:rFonts w:hint="eastAsia" w:hAnsi="宋体" w:eastAsia="宋体" w:cs="宋体"/>
          <w:b/>
          <w:bCs/>
          <w:color w:val="auto"/>
          <w:sz w:val="21"/>
          <w:szCs w:val="21"/>
          <w:highlight w:val="none"/>
          <w:lang w:val="en-US" w:eastAsia="zh-CN"/>
        </w:rPr>
        <w:drawing>
          <wp:inline distT="0" distB="0" distL="114300" distR="114300">
            <wp:extent cx="5681980" cy="4020820"/>
            <wp:effectExtent l="0" t="0" r="13970" b="17780"/>
            <wp:docPr id="65" name="图片 65" descr="PDF.作业设计书-海曙区章水镇2024年度结余资金林相优化改造工程_22-45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PDF.作业设计书-海曙区章水镇2024年度结余资金林相优化改造工程_22-45_23"/>
                    <pic:cNvPicPr>
                      <a:picLocks noChangeAspect="1"/>
                    </pic:cNvPicPr>
                  </pic:nvPicPr>
                  <pic:blipFill>
                    <a:blip r:embed="rId44"/>
                    <a:stretch>
                      <a:fillRect/>
                    </a:stretch>
                  </pic:blipFill>
                  <pic:spPr>
                    <a:xfrm>
                      <a:off x="0" y="0"/>
                      <a:ext cx="5681980" cy="4020820"/>
                    </a:xfrm>
                    <a:prstGeom prst="rect">
                      <a:avLst/>
                    </a:prstGeom>
                  </pic:spPr>
                </pic:pic>
              </a:graphicData>
            </a:graphic>
          </wp:inline>
        </w:drawing>
      </w:r>
    </w:p>
    <w:p w14:paraId="0C774D2A">
      <w:pPr>
        <w:pStyle w:val="2"/>
        <w:bidi w:val="0"/>
        <w:spacing w:line="360" w:lineRule="auto"/>
        <w:jc w:val="center"/>
        <w:rPr>
          <w:rFonts w:hint="eastAsia" w:ascii="宋体" w:hAnsi="宋体" w:eastAsia="宋体" w:cs="宋体"/>
          <w:color w:val="auto"/>
          <w:sz w:val="32"/>
          <w:szCs w:val="32"/>
          <w:highlight w:val="none"/>
        </w:rPr>
      </w:pPr>
      <w:bookmarkStart w:id="107" w:name="_Toc18061"/>
      <w:bookmarkStart w:id="108" w:name="_Toc19199"/>
      <w:bookmarkStart w:id="109" w:name="_Toc49090575"/>
      <w:bookmarkStart w:id="110" w:name="_Toc26554093"/>
      <w:bookmarkStart w:id="111" w:name="_Toc120614281"/>
      <w:r>
        <w:rPr>
          <w:rFonts w:hint="eastAsia" w:ascii="宋体" w:hAnsi="宋体" w:eastAsia="宋体" w:cs="宋体"/>
          <w:color w:val="auto"/>
          <w:sz w:val="32"/>
          <w:szCs w:val="32"/>
          <w:highlight w:val="none"/>
        </w:rPr>
        <w:t>第</w:t>
      </w:r>
      <w:r>
        <w:rPr>
          <w:rFonts w:hint="eastAsia" w:hAnsi="宋体" w:eastAsia="宋体" w:cs="宋体"/>
          <w:color w:val="auto"/>
          <w:sz w:val="32"/>
          <w:szCs w:val="32"/>
          <w:highlight w:val="none"/>
          <w:lang w:val="en-US" w:eastAsia="zh-CN"/>
        </w:rPr>
        <w:t>四</w:t>
      </w:r>
      <w:r>
        <w:rPr>
          <w:rFonts w:hint="eastAsia" w:ascii="宋体" w:hAnsi="宋体" w:eastAsia="宋体" w:cs="宋体"/>
          <w:color w:val="auto"/>
          <w:sz w:val="32"/>
          <w:szCs w:val="32"/>
          <w:highlight w:val="none"/>
        </w:rPr>
        <w:t>章 评审标准</w:t>
      </w:r>
      <w:bookmarkEnd w:id="107"/>
      <w:bookmarkEnd w:id="108"/>
    </w:p>
    <w:bookmarkEnd w:id="109"/>
    <w:bookmarkEnd w:id="110"/>
    <w:bookmarkEnd w:id="111"/>
    <w:p w14:paraId="0B515DC7">
      <w:pPr>
        <w:pStyle w:val="16"/>
        <w:keepNext w:val="0"/>
        <w:keepLines w:val="0"/>
        <w:pageBreakBefore w:val="0"/>
        <w:widowControl w:val="0"/>
        <w:shd w:val="clear" w:color="auto" w:fill="auto"/>
        <w:kinsoku/>
        <w:wordWrap/>
        <w:overflowPunct/>
        <w:topLinePunct w:val="0"/>
        <w:autoSpaceDE/>
        <w:autoSpaceDN/>
        <w:bidi w:val="0"/>
        <w:adjustRightInd/>
        <w:snapToGrid/>
        <w:spacing w:after="0" w:line="500" w:lineRule="exact"/>
        <w:ind w:left="0" w:leftChars="0" w:firstLine="420" w:firstLineChars="20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本办法严格遵照《中华人民共和国政府采购法》、《中华人民共和国政府采购法实施条例》、《政府采购竞争性磋商采购方式管理暂行办法》，结合项目所在地政府有关政府采购规定和项目的实际情况制定。</w:t>
      </w:r>
    </w:p>
    <w:p w14:paraId="49839D17">
      <w:pPr>
        <w:keepNext w:val="0"/>
        <w:keepLines w:val="0"/>
        <w:pageBreakBefore w:val="0"/>
        <w:widowControl w:val="0"/>
        <w:shd w:val="clear" w:color="auto" w:fill="auto"/>
        <w:kinsoku/>
        <w:wordWrap/>
        <w:overflowPunct/>
        <w:topLinePunct w:val="0"/>
        <w:autoSpaceDE/>
        <w:autoSpaceDN/>
        <w:bidi w:val="0"/>
        <w:adjustRightInd/>
        <w:snapToGrid/>
        <w:spacing w:line="500" w:lineRule="exact"/>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一.总则</w:t>
      </w:r>
    </w:p>
    <w:p w14:paraId="10DDBB93">
      <w:pPr>
        <w:keepNext w:val="0"/>
        <w:keepLines w:val="0"/>
        <w:pageBreakBefore w:val="0"/>
        <w:widowControl w:val="0"/>
        <w:shd w:val="clear" w:color="auto" w:fill="auto"/>
        <w:kinsoku/>
        <w:wordWrap/>
        <w:overflowPunct/>
        <w:topLinePunct w:val="0"/>
        <w:autoSpaceDE/>
        <w:autoSpaceDN/>
        <w:bidi w:val="0"/>
        <w:adjustRightInd/>
        <w:snapToGrid/>
        <w:spacing w:line="500" w:lineRule="exact"/>
        <w:ind w:firstLine="420" w:firstLineChars="20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本次磋商遵循公平、公正、科学、择优的原则依法进行，磋商活动及当事人接受依法实施的监督。本次磋商采用综合评分法。</w:t>
      </w:r>
    </w:p>
    <w:p w14:paraId="0F098487">
      <w:pPr>
        <w:keepNext w:val="0"/>
        <w:keepLines w:val="0"/>
        <w:pageBreakBefore w:val="0"/>
        <w:widowControl w:val="0"/>
        <w:shd w:val="clear" w:color="auto" w:fill="auto"/>
        <w:kinsoku/>
        <w:wordWrap/>
        <w:overflowPunct/>
        <w:topLinePunct w:val="0"/>
        <w:autoSpaceDE/>
        <w:autoSpaceDN/>
        <w:bidi w:val="0"/>
        <w:adjustRightInd/>
        <w:snapToGrid/>
        <w:spacing w:line="500" w:lineRule="exact"/>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二.磋商程序</w:t>
      </w:r>
    </w:p>
    <w:p w14:paraId="3B0A53DF">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napToGrid/>
        <w:spacing w:line="500" w:lineRule="exact"/>
        <w:ind w:firstLine="420"/>
        <w:textAlignment w:val="baseline"/>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详见第二章供应商须知 四、磋商程序</w:t>
      </w:r>
    </w:p>
    <w:p w14:paraId="167212F9">
      <w:pPr>
        <w:keepNext w:val="0"/>
        <w:keepLines w:val="0"/>
        <w:pageBreakBefore w:val="0"/>
        <w:widowControl w:val="0"/>
        <w:shd w:val="clear" w:color="auto" w:fill="auto"/>
        <w:kinsoku/>
        <w:wordWrap/>
        <w:overflowPunct/>
        <w:topLinePunct w:val="0"/>
        <w:autoSpaceDE/>
        <w:autoSpaceDN/>
        <w:bidi w:val="0"/>
        <w:adjustRightInd/>
        <w:snapToGrid/>
        <w:spacing w:line="500" w:lineRule="exact"/>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三．评审程序</w:t>
      </w:r>
    </w:p>
    <w:p w14:paraId="13D8148F">
      <w:pPr>
        <w:pStyle w:val="5"/>
        <w:keepNext w:val="0"/>
        <w:keepLines w:val="0"/>
        <w:pageBreakBefore w:val="0"/>
        <w:widowControl w:val="0"/>
        <w:numPr>
          <w:ilvl w:val="0"/>
          <w:numId w:val="0"/>
        </w:numPr>
        <w:shd w:val="clear" w:color="auto" w:fill="auto"/>
        <w:tabs>
          <w:tab w:val="left" w:pos="720"/>
        </w:tabs>
        <w:kinsoku/>
        <w:wordWrap/>
        <w:overflowPunct/>
        <w:topLinePunct w:val="0"/>
        <w:autoSpaceDE/>
        <w:autoSpaceDN/>
        <w:bidi w:val="0"/>
        <w:adjustRightInd/>
        <w:snapToGrid/>
        <w:spacing w:line="500" w:lineRule="exact"/>
        <w:textAlignment w:val="baseline"/>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 xml:space="preserve">    详见第二章供应商须知 五、评审</w:t>
      </w:r>
    </w:p>
    <w:p w14:paraId="2851CB46">
      <w:pPr>
        <w:keepNext w:val="0"/>
        <w:keepLines w:val="0"/>
        <w:pageBreakBefore w:val="0"/>
        <w:widowControl w:val="0"/>
        <w:numPr>
          <w:ilvl w:val="0"/>
          <w:numId w:val="13"/>
        </w:numPr>
        <w:shd w:val="clear" w:color="auto" w:fill="auto"/>
        <w:kinsoku/>
        <w:wordWrap/>
        <w:overflowPunct/>
        <w:topLinePunct w:val="0"/>
        <w:autoSpaceDE/>
        <w:autoSpaceDN/>
        <w:bidi w:val="0"/>
        <w:snapToGrid/>
        <w:spacing w:line="500" w:lineRule="exact"/>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评分标准</w:t>
      </w:r>
    </w:p>
    <w:tbl>
      <w:tblPr>
        <w:tblStyle w:val="23"/>
        <w:tblW w:w="96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1231"/>
        <w:gridCol w:w="638"/>
        <w:gridCol w:w="7288"/>
      </w:tblGrid>
      <w:tr w14:paraId="5696B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767" w:type="dxa"/>
            <w:gridSpan w:val="2"/>
            <w:noWrap w:val="0"/>
            <w:vAlign w:val="center"/>
          </w:tcPr>
          <w:p w14:paraId="257E80E4">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评审项目</w:t>
            </w:r>
          </w:p>
        </w:tc>
        <w:tc>
          <w:tcPr>
            <w:tcW w:w="638" w:type="dxa"/>
            <w:noWrap w:val="0"/>
            <w:vAlign w:val="center"/>
          </w:tcPr>
          <w:p w14:paraId="0E636F6F">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分值</w:t>
            </w:r>
          </w:p>
        </w:tc>
        <w:tc>
          <w:tcPr>
            <w:tcW w:w="7288" w:type="dxa"/>
            <w:noWrap w:val="0"/>
            <w:vAlign w:val="center"/>
          </w:tcPr>
          <w:p w14:paraId="43907717">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评分细则</w:t>
            </w:r>
          </w:p>
        </w:tc>
      </w:tr>
      <w:tr w14:paraId="43385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536" w:type="dxa"/>
            <w:vMerge w:val="restart"/>
            <w:noWrap w:val="0"/>
            <w:vAlign w:val="center"/>
          </w:tcPr>
          <w:p w14:paraId="66288B24">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商务技术90</w:t>
            </w:r>
            <w:r>
              <w:rPr>
                <w:rFonts w:hint="eastAsia" w:ascii="宋体" w:hAnsi="宋体" w:eastAsia="宋体" w:cs="宋体"/>
                <w:color w:val="auto"/>
                <w:sz w:val="21"/>
                <w:szCs w:val="21"/>
                <w:highlight w:val="none"/>
              </w:rPr>
              <w:t>分</w:t>
            </w:r>
          </w:p>
        </w:tc>
        <w:tc>
          <w:tcPr>
            <w:tcW w:w="1231" w:type="dxa"/>
            <w:noWrap w:val="0"/>
            <w:vAlign w:val="center"/>
          </w:tcPr>
          <w:p w14:paraId="5237C171">
            <w:pPr>
              <w:keepNext w:val="0"/>
              <w:keepLines w:val="0"/>
              <w:pageBreakBefore w:val="0"/>
              <w:tabs>
                <w:tab w:val="left" w:pos="5940"/>
              </w:tabs>
              <w:kinsoku/>
              <w:wordWrap/>
              <w:overflowPunct/>
              <w:topLinePunct w:val="0"/>
              <w:autoSpaceDE/>
              <w:autoSpaceDN/>
              <w:bidi w:val="0"/>
              <w:adjustRightInd w:val="0"/>
              <w:spacing w:line="400" w:lineRule="exact"/>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项目了解</w:t>
            </w:r>
          </w:p>
        </w:tc>
        <w:tc>
          <w:tcPr>
            <w:tcW w:w="638" w:type="dxa"/>
            <w:noWrap w:val="0"/>
            <w:vAlign w:val="center"/>
          </w:tcPr>
          <w:p w14:paraId="67AC2582">
            <w:pPr>
              <w:keepNext w:val="0"/>
              <w:keepLines w:val="0"/>
              <w:pageBreakBefore w:val="0"/>
              <w:widowControl/>
              <w:kinsoku/>
              <w:wordWrap/>
              <w:overflowPunct/>
              <w:topLinePunct w:val="0"/>
              <w:autoSpaceDE/>
              <w:autoSpaceDN/>
              <w:bidi w:val="0"/>
              <w:adjustRightInd w:val="0"/>
              <w:spacing w:line="400" w:lineRule="exact"/>
              <w:contextualSpacing/>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6</w:t>
            </w:r>
          </w:p>
        </w:tc>
        <w:tc>
          <w:tcPr>
            <w:tcW w:w="7288" w:type="dxa"/>
            <w:noWrap w:val="0"/>
            <w:vAlign w:val="center"/>
          </w:tcPr>
          <w:p w14:paraId="7C1BF916">
            <w:pPr>
              <w:keepNext w:val="0"/>
              <w:keepLines w:val="0"/>
              <w:pageBreakBefore w:val="0"/>
              <w:widowControl/>
              <w:kinsoku/>
              <w:wordWrap/>
              <w:overflowPunct/>
              <w:topLinePunct w:val="0"/>
              <w:autoSpaceDE/>
              <w:autoSpaceDN/>
              <w:bidi w:val="0"/>
              <w:adjustRightInd w:val="0"/>
              <w:spacing w:line="400" w:lineRule="exact"/>
              <w:contextualSpacing/>
              <w:jc w:val="left"/>
              <w:rPr>
                <w:rFonts w:ascii="宋体" w:hAnsi="宋体" w:cs="宋体"/>
                <w:szCs w:val="21"/>
              </w:rPr>
            </w:pPr>
            <w:r>
              <w:rPr>
                <w:rFonts w:hint="eastAsia" w:ascii="宋体" w:hAnsi="宋体" w:cs="宋体"/>
                <w:szCs w:val="21"/>
              </w:rPr>
              <w:t>根据</w:t>
            </w:r>
            <w:r>
              <w:rPr>
                <w:rFonts w:hint="eastAsia" w:cs="宋体"/>
                <w:szCs w:val="21"/>
                <w:lang w:eastAsia="zh-CN"/>
              </w:rPr>
              <w:t>供应商</w:t>
            </w:r>
            <w:r>
              <w:rPr>
                <w:rFonts w:hint="eastAsia" w:ascii="宋体" w:hAnsi="宋体" w:cs="宋体"/>
                <w:szCs w:val="21"/>
              </w:rPr>
              <w:t>提供对本项目的了解和分析等进行评审。</w:t>
            </w:r>
          </w:p>
          <w:p w14:paraId="4D1C4390">
            <w:pPr>
              <w:keepNext w:val="0"/>
              <w:keepLines w:val="0"/>
              <w:pageBreakBefore w:val="0"/>
              <w:widowControl/>
              <w:kinsoku/>
              <w:wordWrap/>
              <w:overflowPunct/>
              <w:topLinePunct w:val="0"/>
              <w:autoSpaceDE/>
              <w:autoSpaceDN/>
              <w:bidi w:val="0"/>
              <w:adjustRightInd w:val="0"/>
              <w:spacing w:line="400" w:lineRule="exact"/>
              <w:contextualSpacing/>
              <w:jc w:val="left"/>
              <w:rPr>
                <w:rFonts w:ascii="宋体" w:hAnsi="宋体" w:cs="宋体"/>
                <w:szCs w:val="21"/>
              </w:rPr>
            </w:pPr>
            <w:r>
              <w:rPr>
                <w:rFonts w:hint="eastAsia" w:ascii="宋体" w:hAnsi="宋体" w:cs="宋体"/>
                <w:szCs w:val="21"/>
              </w:rPr>
              <w:t>对本项目背景情况了解透彻、分析内容全面、清晰、到位的得</w:t>
            </w:r>
            <w:r>
              <w:rPr>
                <w:rFonts w:ascii="宋体" w:hAnsi="宋体" w:cs="宋体"/>
                <w:szCs w:val="21"/>
              </w:rPr>
              <w:t>6</w:t>
            </w:r>
            <w:r>
              <w:rPr>
                <w:rFonts w:hint="eastAsia" w:ascii="宋体" w:hAnsi="宋体" w:cs="宋体"/>
                <w:szCs w:val="21"/>
              </w:rPr>
              <w:t>分；</w:t>
            </w:r>
          </w:p>
          <w:p w14:paraId="31AC6ED1">
            <w:pPr>
              <w:keepNext w:val="0"/>
              <w:keepLines w:val="0"/>
              <w:pageBreakBefore w:val="0"/>
              <w:widowControl/>
              <w:kinsoku/>
              <w:wordWrap/>
              <w:overflowPunct/>
              <w:topLinePunct w:val="0"/>
              <w:autoSpaceDE/>
              <w:autoSpaceDN/>
              <w:bidi w:val="0"/>
              <w:adjustRightInd w:val="0"/>
              <w:spacing w:line="400" w:lineRule="exact"/>
              <w:contextualSpacing/>
              <w:jc w:val="left"/>
              <w:rPr>
                <w:rFonts w:hint="eastAsia" w:ascii="宋体" w:hAnsi="宋体" w:cs="宋体"/>
                <w:szCs w:val="21"/>
              </w:rPr>
            </w:pPr>
            <w:r>
              <w:rPr>
                <w:rFonts w:hint="eastAsia" w:ascii="宋体" w:hAnsi="宋体" w:cs="宋体"/>
                <w:szCs w:val="21"/>
              </w:rPr>
              <w:t>对本项目背景情况了解较透彻、分析内容较全面、较清晰</w:t>
            </w:r>
            <w:r>
              <w:rPr>
                <w:rFonts w:hint="eastAsia" w:cs="宋体"/>
                <w:szCs w:val="21"/>
                <w:lang w:val="en-US" w:eastAsia="zh-CN"/>
              </w:rPr>
              <w:t>到位</w:t>
            </w:r>
            <w:r>
              <w:rPr>
                <w:rFonts w:hint="eastAsia" w:ascii="宋体" w:hAnsi="宋体" w:cs="宋体"/>
                <w:szCs w:val="21"/>
              </w:rPr>
              <w:t>的得</w:t>
            </w:r>
            <w:r>
              <w:rPr>
                <w:rFonts w:hint="eastAsia" w:cs="宋体"/>
                <w:szCs w:val="21"/>
                <w:lang w:val="en-US" w:eastAsia="zh-CN"/>
              </w:rPr>
              <w:t>5</w:t>
            </w:r>
            <w:r>
              <w:rPr>
                <w:rFonts w:hint="eastAsia" w:ascii="宋体" w:hAnsi="宋体" w:cs="宋体"/>
                <w:szCs w:val="21"/>
              </w:rPr>
              <w:t>分；</w:t>
            </w:r>
          </w:p>
          <w:p w14:paraId="7E740711">
            <w:pPr>
              <w:keepNext w:val="0"/>
              <w:keepLines w:val="0"/>
              <w:pageBreakBefore w:val="0"/>
              <w:widowControl/>
              <w:kinsoku/>
              <w:wordWrap/>
              <w:overflowPunct/>
              <w:topLinePunct w:val="0"/>
              <w:autoSpaceDE/>
              <w:autoSpaceDN/>
              <w:bidi w:val="0"/>
              <w:adjustRightInd w:val="0"/>
              <w:spacing w:line="400" w:lineRule="exact"/>
              <w:contextualSpacing/>
              <w:jc w:val="left"/>
              <w:rPr>
                <w:rFonts w:hint="default" w:ascii="宋体" w:hAnsi="宋体" w:eastAsia="宋体" w:cs="宋体"/>
                <w:szCs w:val="21"/>
                <w:lang w:val="en-US" w:eastAsia="zh-CN"/>
              </w:rPr>
            </w:pPr>
            <w:r>
              <w:rPr>
                <w:rFonts w:hint="eastAsia" w:ascii="宋体" w:hAnsi="宋体" w:cs="宋体"/>
                <w:szCs w:val="21"/>
              </w:rPr>
              <w:t>对本项目背景情况</w:t>
            </w:r>
            <w:r>
              <w:rPr>
                <w:rFonts w:hint="eastAsia" w:cs="宋体"/>
                <w:szCs w:val="21"/>
                <w:lang w:val="en-US" w:eastAsia="zh-CN"/>
              </w:rPr>
              <w:t>有所了解，提供的分析内容与项目实际有所偏离的得3分；</w:t>
            </w:r>
          </w:p>
          <w:p w14:paraId="5E24BE58">
            <w:pPr>
              <w:keepNext w:val="0"/>
              <w:keepLines w:val="0"/>
              <w:pageBreakBefore w:val="0"/>
              <w:widowControl/>
              <w:kinsoku/>
              <w:wordWrap/>
              <w:overflowPunct/>
              <w:topLinePunct w:val="0"/>
              <w:autoSpaceDE/>
              <w:autoSpaceDN/>
              <w:bidi w:val="0"/>
              <w:adjustRightInd w:val="0"/>
              <w:spacing w:line="400" w:lineRule="exact"/>
              <w:contextualSpacing/>
              <w:jc w:val="left"/>
              <w:rPr>
                <w:rFonts w:ascii="宋体" w:hAnsi="宋体" w:cs="宋体"/>
                <w:szCs w:val="21"/>
              </w:rPr>
            </w:pPr>
            <w:r>
              <w:rPr>
                <w:rFonts w:hint="eastAsia" w:ascii="宋体" w:hAnsi="宋体" w:cs="宋体"/>
                <w:szCs w:val="21"/>
              </w:rPr>
              <w:t>对本项目背景情况了解不清、分析内容缺失、片面的得</w:t>
            </w:r>
            <w:r>
              <w:rPr>
                <w:rFonts w:hint="eastAsia" w:cs="宋体"/>
                <w:szCs w:val="21"/>
                <w:lang w:val="en-US" w:eastAsia="zh-CN"/>
              </w:rPr>
              <w:t>1</w:t>
            </w:r>
            <w:r>
              <w:rPr>
                <w:rFonts w:hint="eastAsia" w:ascii="宋体" w:hAnsi="宋体" w:cs="宋体"/>
                <w:szCs w:val="21"/>
              </w:rPr>
              <w:t>分；</w:t>
            </w:r>
          </w:p>
          <w:p w14:paraId="01D2B777">
            <w:pPr>
              <w:keepNext w:val="0"/>
              <w:keepLines w:val="0"/>
              <w:pageBreakBefore w:val="0"/>
              <w:widowControl/>
              <w:kinsoku/>
              <w:wordWrap/>
              <w:overflowPunct/>
              <w:topLinePunct w:val="0"/>
              <w:autoSpaceDE/>
              <w:autoSpaceDN/>
              <w:bidi w:val="0"/>
              <w:adjustRightInd w:val="0"/>
              <w:spacing w:line="400" w:lineRule="exact"/>
              <w:contextualSpacing/>
              <w:jc w:val="left"/>
              <w:rPr>
                <w:rFonts w:hint="eastAsia" w:ascii="宋体" w:hAnsi="宋体" w:eastAsia="宋体" w:cs="宋体"/>
                <w:color w:val="auto"/>
                <w:sz w:val="21"/>
                <w:szCs w:val="21"/>
                <w:highlight w:val="none"/>
              </w:rPr>
            </w:pPr>
            <w:r>
              <w:rPr>
                <w:rFonts w:hint="eastAsia" w:ascii="宋体" w:hAnsi="宋体" w:cs="宋体"/>
                <w:szCs w:val="21"/>
              </w:rPr>
              <w:t>未提供的不得分。</w:t>
            </w:r>
          </w:p>
        </w:tc>
      </w:tr>
      <w:tr w14:paraId="41D02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6" w:type="dxa"/>
            <w:vMerge w:val="continue"/>
            <w:noWrap w:val="0"/>
            <w:vAlign w:val="center"/>
          </w:tcPr>
          <w:p w14:paraId="69752497">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color w:val="auto"/>
                <w:sz w:val="21"/>
                <w:szCs w:val="21"/>
                <w:highlight w:val="none"/>
              </w:rPr>
            </w:pPr>
          </w:p>
        </w:tc>
        <w:tc>
          <w:tcPr>
            <w:tcW w:w="1231" w:type="dxa"/>
            <w:noWrap w:val="0"/>
            <w:vAlign w:val="center"/>
          </w:tcPr>
          <w:p w14:paraId="5905CCDB">
            <w:pPr>
              <w:keepNext w:val="0"/>
              <w:keepLines w:val="0"/>
              <w:pageBreakBefore w:val="0"/>
              <w:tabs>
                <w:tab w:val="left" w:pos="5940"/>
              </w:tabs>
              <w:kinsoku/>
              <w:wordWrap/>
              <w:overflowPunct/>
              <w:topLinePunct w:val="0"/>
              <w:autoSpaceDE/>
              <w:autoSpaceDN/>
              <w:bidi w:val="0"/>
              <w:adjustRightInd w:val="0"/>
              <w:spacing w:line="400" w:lineRule="exact"/>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技术响应</w:t>
            </w:r>
          </w:p>
        </w:tc>
        <w:tc>
          <w:tcPr>
            <w:tcW w:w="638" w:type="dxa"/>
            <w:noWrap w:val="0"/>
            <w:vAlign w:val="center"/>
          </w:tcPr>
          <w:p w14:paraId="09BDC45A">
            <w:pPr>
              <w:keepNext w:val="0"/>
              <w:keepLines w:val="0"/>
              <w:pageBreakBefore w:val="0"/>
              <w:widowControl/>
              <w:kinsoku/>
              <w:wordWrap/>
              <w:overflowPunct/>
              <w:topLinePunct w:val="0"/>
              <w:autoSpaceDE/>
              <w:autoSpaceDN/>
              <w:bidi w:val="0"/>
              <w:adjustRightInd w:val="0"/>
              <w:spacing w:line="400" w:lineRule="exact"/>
              <w:contextualSpacing/>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w:t>
            </w:r>
          </w:p>
        </w:tc>
        <w:tc>
          <w:tcPr>
            <w:tcW w:w="7288" w:type="dxa"/>
            <w:noWrap w:val="0"/>
            <w:vAlign w:val="bottom"/>
          </w:tcPr>
          <w:p w14:paraId="0D1204F7">
            <w:pPr>
              <w:keepNext w:val="0"/>
              <w:keepLines w:val="0"/>
              <w:pageBreakBefore w:val="0"/>
              <w:widowControl/>
              <w:kinsoku/>
              <w:wordWrap/>
              <w:overflowPunct/>
              <w:topLinePunct w:val="0"/>
              <w:autoSpaceDE/>
              <w:autoSpaceDN/>
              <w:bidi w:val="0"/>
              <w:adjustRightInd w:val="0"/>
              <w:spacing w:line="400" w:lineRule="exact"/>
              <w:contextualSpacing/>
              <w:jc w:val="left"/>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对采购文件中“第三章项目需求内容”的具体响应情况进行评审，完全符合招标文件要求的得10分，每负偏离一条扣1分，技术响应得分为0分或者扣至负分的将被视为无效响应。</w:t>
            </w:r>
          </w:p>
        </w:tc>
      </w:tr>
      <w:tr w14:paraId="22F2B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6" w:hRule="atLeast"/>
          <w:jc w:val="center"/>
        </w:trPr>
        <w:tc>
          <w:tcPr>
            <w:tcW w:w="536" w:type="dxa"/>
            <w:vMerge w:val="continue"/>
            <w:noWrap w:val="0"/>
            <w:vAlign w:val="center"/>
          </w:tcPr>
          <w:p w14:paraId="77641621">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color w:val="auto"/>
                <w:sz w:val="21"/>
                <w:szCs w:val="21"/>
                <w:highlight w:val="none"/>
              </w:rPr>
            </w:pPr>
          </w:p>
        </w:tc>
        <w:tc>
          <w:tcPr>
            <w:tcW w:w="1231" w:type="dxa"/>
            <w:noWrap w:val="0"/>
            <w:vAlign w:val="center"/>
          </w:tcPr>
          <w:p w14:paraId="2C5F4C01">
            <w:pPr>
              <w:keepNext w:val="0"/>
              <w:keepLines w:val="0"/>
              <w:pageBreakBefore w:val="0"/>
              <w:tabs>
                <w:tab w:val="left" w:pos="5940"/>
              </w:tabs>
              <w:kinsoku/>
              <w:wordWrap/>
              <w:overflowPunct/>
              <w:topLinePunct w:val="0"/>
              <w:autoSpaceDE/>
              <w:autoSpaceDN/>
              <w:bidi w:val="0"/>
              <w:adjustRightInd w:val="0"/>
              <w:spacing w:line="400" w:lineRule="exact"/>
              <w:jc w:val="center"/>
              <w:rPr>
                <w:rFonts w:hint="eastAsia" w:ascii="宋体" w:hAnsi="宋体" w:eastAsia="宋体" w:cs="宋体"/>
                <w:color w:val="auto"/>
                <w:kern w:val="0"/>
                <w:sz w:val="21"/>
                <w:szCs w:val="21"/>
                <w:highlight w:val="none"/>
                <w:lang w:val="en-US" w:eastAsia="zh-CN"/>
              </w:rPr>
            </w:pPr>
          </w:p>
          <w:p w14:paraId="182389B8">
            <w:pPr>
              <w:keepNext w:val="0"/>
              <w:keepLines w:val="0"/>
              <w:pageBreakBefore w:val="0"/>
              <w:tabs>
                <w:tab w:val="left" w:pos="5940"/>
              </w:tabs>
              <w:kinsoku/>
              <w:wordWrap/>
              <w:overflowPunct/>
              <w:topLinePunct w:val="0"/>
              <w:autoSpaceDE/>
              <w:autoSpaceDN/>
              <w:bidi w:val="0"/>
              <w:adjustRightInd w:val="0"/>
              <w:spacing w:line="400" w:lineRule="exact"/>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服务方案</w:t>
            </w:r>
          </w:p>
          <w:p w14:paraId="6258F2A7">
            <w:pPr>
              <w:keepNext w:val="0"/>
              <w:keepLines w:val="0"/>
              <w:pageBreakBefore w:val="0"/>
              <w:tabs>
                <w:tab w:val="left" w:pos="5940"/>
              </w:tabs>
              <w:kinsoku/>
              <w:wordWrap/>
              <w:overflowPunct/>
              <w:topLinePunct w:val="0"/>
              <w:autoSpaceDE/>
              <w:autoSpaceDN/>
              <w:bidi w:val="0"/>
              <w:adjustRightInd w:val="0"/>
              <w:spacing w:line="400" w:lineRule="exact"/>
              <w:jc w:val="center"/>
              <w:rPr>
                <w:rFonts w:hint="eastAsia" w:ascii="宋体" w:hAnsi="宋体" w:eastAsia="宋体" w:cs="宋体"/>
                <w:color w:val="auto"/>
                <w:kern w:val="0"/>
                <w:sz w:val="21"/>
                <w:szCs w:val="21"/>
                <w:highlight w:val="none"/>
                <w:lang w:val="en-US" w:eastAsia="zh-CN"/>
              </w:rPr>
            </w:pPr>
          </w:p>
        </w:tc>
        <w:tc>
          <w:tcPr>
            <w:tcW w:w="638" w:type="dxa"/>
            <w:noWrap w:val="0"/>
            <w:vAlign w:val="center"/>
          </w:tcPr>
          <w:p w14:paraId="6DF9E594">
            <w:pPr>
              <w:keepNext w:val="0"/>
              <w:keepLines w:val="0"/>
              <w:pageBreakBefore w:val="0"/>
              <w:tabs>
                <w:tab w:val="left" w:pos="5940"/>
              </w:tabs>
              <w:kinsoku/>
              <w:wordWrap/>
              <w:overflowPunct/>
              <w:topLinePunct w:val="0"/>
              <w:autoSpaceDE/>
              <w:autoSpaceDN/>
              <w:bidi w:val="0"/>
              <w:adjustRightInd w:val="0"/>
              <w:spacing w:line="400" w:lineRule="exact"/>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8</w:t>
            </w:r>
          </w:p>
        </w:tc>
        <w:tc>
          <w:tcPr>
            <w:tcW w:w="7288" w:type="dxa"/>
            <w:noWrap w:val="0"/>
            <w:vAlign w:val="bottom"/>
          </w:tcPr>
          <w:p w14:paraId="5D888C14">
            <w:pPr>
              <w:keepNext w:val="0"/>
              <w:keepLines w:val="0"/>
              <w:pageBreakBefore w:val="0"/>
              <w:widowControl/>
              <w:kinsoku/>
              <w:wordWrap/>
              <w:overflowPunct/>
              <w:topLinePunct w:val="0"/>
              <w:autoSpaceDE/>
              <w:autoSpaceDN/>
              <w:bidi w:val="0"/>
              <w:adjustRightInd w:val="0"/>
              <w:spacing w:line="400" w:lineRule="exact"/>
              <w:contextualSpacing/>
              <w:jc w:val="left"/>
              <w:rPr>
                <w:rFonts w:hAnsi="宋体" w:cs="宋体"/>
              </w:rPr>
            </w:pPr>
            <w:r>
              <w:rPr>
                <w:rFonts w:hint="eastAsia" w:ascii="宋体" w:hAnsi="宋体" w:cs="宋体"/>
                <w:szCs w:val="21"/>
              </w:rPr>
              <w:t>根据</w:t>
            </w:r>
            <w:r>
              <w:rPr>
                <w:rFonts w:hint="eastAsia" w:cs="宋体"/>
                <w:szCs w:val="21"/>
                <w:lang w:eastAsia="zh-CN"/>
              </w:rPr>
              <w:t>供应商</w:t>
            </w:r>
            <w:r>
              <w:rPr>
                <w:rFonts w:hint="eastAsia" w:ascii="宋体" w:hAnsi="宋体" w:cs="宋体"/>
                <w:szCs w:val="21"/>
              </w:rPr>
              <w:t>提供的服务方案（包括并不限于规划思路、林地清理、整体挖穴、栽植方法、抚育管理等方案）进行评审。</w:t>
            </w:r>
          </w:p>
          <w:p w14:paraId="6224A22B">
            <w:pPr>
              <w:keepNext w:val="0"/>
              <w:keepLines w:val="0"/>
              <w:pageBreakBefore w:val="0"/>
              <w:widowControl/>
              <w:kinsoku/>
              <w:wordWrap/>
              <w:overflowPunct/>
              <w:topLinePunct w:val="0"/>
              <w:autoSpaceDE/>
              <w:autoSpaceDN/>
              <w:bidi w:val="0"/>
              <w:adjustRightInd w:val="0"/>
              <w:spacing w:line="400" w:lineRule="exact"/>
              <w:contextualSpacing/>
              <w:jc w:val="left"/>
              <w:rPr>
                <w:rFonts w:hAnsi="宋体" w:cs="宋体"/>
              </w:rPr>
            </w:pPr>
            <w:r>
              <w:rPr>
                <w:rFonts w:hint="eastAsia" w:ascii="宋体" w:hAnsi="宋体" w:cs="宋体"/>
                <w:szCs w:val="21"/>
              </w:rPr>
              <w:t>服务方案完整、详细、完全满足本项目需求</w:t>
            </w:r>
            <w:r>
              <w:rPr>
                <w:rFonts w:hint="eastAsia" w:hAnsi="宋体" w:cs="宋体"/>
                <w:szCs w:val="21"/>
              </w:rPr>
              <w:t>、操作性强</w:t>
            </w:r>
            <w:r>
              <w:rPr>
                <w:rFonts w:hint="eastAsia" w:ascii="宋体" w:hAnsi="宋体" w:cs="宋体"/>
                <w:szCs w:val="21"/>
              </w:rPr>
              <w:t>的得</w:t>
            </w:r>
            <w:r>
              <w:rPr>
                <w:rFonts w:ascii="宋体" w:hAnsi="宋体" w:cs="宋体"/>
                <w:szCs w:val="21"/>
              </w:rPr>
              <w:t>8</w:t>
            </w:r>
            <w:r>
              <w:rPr>
                <w:rFonts w:hint="eastAsia" w:ascii="宋体" w:hAnsi="宋体" w:cs="宋体"/>
                <w:szCs w:val="21"/>
              </w:rPr>
              <w:t>分；</w:t>
            </w:r>
          </w:p>
          <w:p w14:paraId="73C6D79F">
            <w:pPr>
              <w:keepNext w:val="0"/>
              <w:keepLines w:val="0"/>
              <w:pageBreakBefore w:val="0"/>
              <w:widowControl/>
              <w:kinsoku/>
              <w:wordWrap/>
              <w:overflowPunct/>
              <w:topLinePunct w:val="0"/>
              <w:autoSpaceDE/>
              <w:autoSpaceDN/>
              <w:bidi w:val="0"/>
              <w:adjustRightInd w:val="0"/>
              <w:spacing w:line="400" w:lineRule="exact"/>
              <w:contextualSpacing/>
              <w:jc w:val="left"/>
              <w:rPr>
                <w:rFonts w:hint="eastAsia" w:ascii="宋体" w:hAnsi="宋体" w:cs="宋体"/>
                <w:szCs w:val="21"/>
              </w:rPr>
            </w:pPr>
            <w:r>
              <w:rPr>
                <w:rFonts w:hint="eastAsia" w:ascii="宋体" w:hAnsi="宋体" w:cs="宋体"/>
                <w:szCs w:val="21"/>
              </w:rPr>
              <w:t>服务方案</w:t>
            </w:r>
            <w:r>
              <w:rPr>
                <w:rFonts w:hint="eastAsia" w:hAnsi="宋体" w:cs="宋体"/>
                <w:szCs w:val="21"/>
              </w:rPr>
              <w:t>较</w:t>
            </w:r>
            <w:r>
              <w:rPr>
                <w:rFonts w:hint="eastAsia" w:ascii="宋体" w:hAnsi="宋体" w:cs="宋体"/>
                <w:szCs w:val="21"/>
              </w:rPr>
              <w:t>完整、</w:t>
            </w:r>
            <w:r>
              <w:rPr>
                <w:rFonts w:hint="eastAsia" w:cs="宋体"/>
                <w:szCs w:val="21"/>
                <w:lang w:val="en-US" w:eastAsia="zh-CN"/>
              </w:rPr>
              <w:t>较为详细</w:t>
            </w:r>
            <w:r>
              <w:rPr>
                <w:rFonts w:hint="eastAsia" w:ascii="宋体" w:hAnsi="宋体" w:cs="宋体"/>
                <w:szCs w:val="21"/>
              </w:rPr>
              <w:t>，能满足本项目的需求</w:t>
            </w:r>
            <w:r>
              <w:rPr>
                <w:rFonts w:hint="eastAsia" w:hAnsi="宋体" w:cs="宋体"/>
                <w:szCs w:val="21"/>
              </w:rPr>
              <w:t>、可行性</w:t>
            </w:r>
            <w:r>
              <w:rPr>
                <w:rFonts w:hint="eastAsia" w:cs="宋体"/>
                <w:szCs w:val="21"/>
                <w:lang w:val="en-US" w:eastAsia="zh-CN"/>
              </w:rPr>
              <w:t>较强</w:t>
            </w:r>
            <w:r>
              <w:rPr>
                <w:rFonts w:hint="eastAsia" w:ascii="宋体" w:hAnsi="宋体" w:cs="宋体"/>
                <w:szCs w:val="21"/>
              </w:rPr>
              <w:t>的得</w:t>
            </w:r>
            <w:r>
              <w:rPr>
                <w:rFonts w:hint="eastAsia" w:cs="宋体"/>
                <w:szCs w:val="21"/>
                <w:lang w:val="en-US" w:eastAsia="zh-CN"/>
              </w:rPr>
              <w:t>7</w:t>
            </w:r>
            <w:r>
              <w:rPr>
                <w:rFonts w:hint="eastAsia" w:ascii="宋体" w:hAnsi="宋体" w:cs="宋体"/>
                <w:szCs w:val="21"/>
              </w:rPr>
              <w:t>分；</w:t>
            </w:r>
          </w:p>
          <w:p w14:paraId="4ED2C366">
            <w:pPr>
              <w:keepNext w:val="0"/>
              <w:keepLines w:val="0"/>
              <w:pageBreakBefore w:val="0"/>
              <w:widowControl/>
              <w:kinsoku/>
              <w:wordWrap/>
              <w:overflowPunct/>
              <w:topLinePunct w:val="0"/>
              <w:autoSpaceDE/>
              <w:autoSpaceDN/>
              <w:bidi w:val="0"/>
              <w:adjustRightInd w:val="0"/>
              <w:spacing w:line="400" w:lineRule="exact"/>
              <w:contextualSpacing/>
              <w:jc w:val="left"/>
              <w:rPr>
                <w:rFonts w:hAnsi="宋体" w:cs="宋体"/>
              </w:rPr>
            </w:pPr>
            <w:r>
              <w:rPr>
                <w:rFonts w:hint="eastAsia" w:ascii="宋体" w:hAnsi="宋体" w:cs="宋体"/>
                <w:szCs w:val="21"/>
              </w:rPr>
              <w:t>服务方案</w:t>
            </w:r>
            <w:r>
              <w:rPr>
                <w:rFonts w:hint="eastAsia" w:cs="宋体"/>
                <w:szCs w:val="21"/>
                <w:lang w:val="en-US" w:eastAsia="zh-CN"/>
              </w:rPr>
              <w:t>不够完整</w:t>
            </w:r>
            <w:r>
              <w:rPr>
                <w:rFonts w:hint="eastAsia" w:ascii="宋体" w:hAnsi="宋体" w:cs="宋体"/>
                <w:szCs w:val="21"/>
              </w:rPr>
              <w:t>、</w:t>
            </w:r>
            <w:r>
              <w:rPr>
                <w:rFonts w:hint="eastAsia" w:cs="宋体"/>
                <w:szCs w:val="21"/>
                <w:lang w:val="en-US" w:eastAsia="zh-CN"/>
              </w:rPr>
              <w:t>各方面均有待提升</w:t>
            </w:r>
            <w:r>
              <w:rPr>
                <w:rFonts w:hint="eastAsia" w:hAnsi="宋体" w:cs="宋体"/>
                <w:szCs w:val="21"/>
              </w:rPr>
              <w:t>、可行性</w:t>
            </w:r>
            <w:r>
              <w:rPr>
                <w:rFonts w:hint="eastAsia" w:cs="宋体"/>
                <w:szCs w:val="21"/>
                <w:lang w:val="en-US" w:eastAsia="zh-CN"/>
              </w:rPr>
              <w:t>一般</w:t>
            </w:r>
            <w:r>
              <w:rPr>
                <w:rFonts w:hint="eastAsia" w:ascii="宋体" w:hAnsi="宋体" w:cs="宋体"/>
                <w:szCs w:val="21"/>
              </w:rPr>
              <w:t>的得</w:t>
            </w:r>
            <w:r>
              <w:rPr>
                <w:rFonts w:hint="eastAsia" w:cs="宋体"/>
                <w:szCs w:val="21"/>
                <w:lang w:val="en-US" w:eastAsia="zh-CN"/>
              </w:rPr>
              <w:t>5</w:t>
            </w:r>
            <w:r>
              <w:rPr>
                <w:rFonts w:hint="eastAsia" w:ascii="宋体" w:hAnsi="宋体" w:cs="宋体"/>
                <w:szCs w:val="21"/>
              </w:rPr>
              <w:t>分；</w:t>
            </w:r>
          </w:p>
          <w:p w14:paraId="7145D0BA">
            <w:pPr>
              <w:keepNext w:val="0"/>
              <w:keepLines w:val="0"/>
              <w:pageBreakBefore w:val="0"/>
              <w:widowControl/>
              <w:kinsoku/>
              <w:wordWrap/>
              <w:overflowPunct/>
              <w:topLinePunct w:val="0"/>
              <w:autoSpaceDE/>
              <w:autoSpaceDN/>
              <w:bidi w:val="0"/>
              <w:adjustRightInd w:val="0"/>
              <w:spacing w:line="400" w:lineRule="exact"/>
              <w:contextualSpacing/>
              <w:jc w:val="left"/>
              <w:rPr>
                <w:rFonts w:hAnsi="宋体" w:cs="宋体"/>
              </w:rPr>
            </w:pPr>
            <w:r>
              <w:rPr>
                <w:rFonts w:hint="eastAsia" w:ascii="宋体" w:hAnsi="宋体" w:cs="宋体"/>
                <w:szCs w:val="21"/>
              </w:rPr>
              <w:t>服务方案</w:t>
            </w:r>
            <w:r>
              <w:rPr>
                <w:rFonts w:hint="eastAsia" w:cs="宋体"/>
                <w:szCs w:val="21"/>
                <w:lang w:val="en-US" w:eastAsia="zh-CN"/>
              </w:rPr>
              <w:t>内容简略粗糙，</w:t>
            </w:r>
            <w:r>
              <w:rPr>
                <w:rFonts w:hint="eastAsia" w:ascii="宋体" w:hAnsi="宋体" w:cs="宋体"/>
                <w:szCs w:val="21"/>
              </w:rPr>
              <w:t>无法满足本项目需求</w:t>
            </w:r>
            <w:r>
              <w:rPr>
                <w:rFonts w:hint="eastAsia" w:hAnsi="宋体" w:cs="宋体"/>
                <w:szCs w:val="21"/>
              </w:rPr>
              <w:t>、缺乏可行性</w:t>
            </w:r>
            <w:r>
              <w:rPr>
                <w:rFonts w:hint="eastAsia" w:ascii="宋体" w:hAnsi="宋体" w:cs="宋体"/>
                <w:szCs w:val="21"/>
              </w:rPr>
              <w:t>的得</w:t>
            </w:r>
            <w:r>
              <w:rPr>
                <w:rFonts w:hint="eastAsia" w:hAnsi="宋体" w:cs="宋体"/>
                <w:szCs w:val="21"/>
              </w:rPr>
              <w:t>3</w:t>
            </w:r>
            <w:r>
              <w:rPr>
                <w:rFonts w:hint="eastAsia" w:ascii="宋体" w:hAnsi="宋体" w:cs="宋体"/>
                <w:szCs w:val="21"/>
              </w:rPr>
              <w:t>分</w:t>
            </w:r>
            <w:r>
              <w:rPr>
                <w:rFonts w:hint="eastAsia" w:hAnsi="宋体" w:cs="宋体"/>
                <w:szCs w:val="21"/>
              </w:rPr>
              <w:t>；</w:t>
            </w:r>
          </w:p>
          <w:p w14:paraId="5818730A">
            <w:pPr>
              <w:keepNext w:val="0"/>
              <w:keepLines w:val="0"/>
              <w:pageBreakBefore w:val="0"/>
              <w:widowControl/>
              <w:kinsoku/>
              <w:wordWrap/>
              <w:overflowPunct/>
              <w:topLinePunct w:val="0"/>
              <w:autoSpaceDE/>
              <w:autoSpaceDN/>
              <w:bidi w:val="0"/>
              <w:adjustRightInd w:val="0"/>
              <w:spacing w:line="400" w:lineRule="exact"/>
              <w:contextualSpacing/>
              <w:jc w:val="left"/>
              <w:rPr>
                <w:rFonts w:hint="eastAsia" w:ascii="宋体" w:hAnsi="宋体" w:eastAsia="宋体" w:cs="宋体"/>
                <w:color w:val="auto"/>
                <w:kern w:val="0"/>
                <w:sz w:val="21"/>
                <w:szCs w:val="21"/>
                <w:highlight w:val="none"/>
                <w:lang w:val="en-US" w:eastAsia="zh-CN" w:bidi="ar-SA"/>
              </w:rPr>
            </w:pPr>
            <w:r>
              <w:rPr>
                <w:rFonts w:hint="eastAsia" w:ascii="宋体" w:hAnsi="宋体" w:cs="宋体"/>
                <w:szCs w:val="21"/>
              </w:rPr>
              <w:t>未提供的不得分。</w:t>
            </w:r>
          </w:p>
        </w:tc>
      </w:tr>
      <w:tr w14:paraId="536B9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536" w:type="dxa"/>
            <w:vMerge w:val="continue"/>
            <w:noWrap w:val="0"/>
            <w:vAlign w:val="center"/>
          </w:tcPr>
          <w:p w14:paraId="03ED2B35">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color w:val="auto"/>
                <w:sz w:val="21"/>
                <w:szCs w:val="21"/>
                <w:highlight w:val="none"/>
              </w:rPr>
            </w:pPr>
          </w:p>
        </w:tc>
        <w:tc>
          <w:tcPr>
            <w:tcW w:w="1231" w:type="dxa"/>
            <w:vMerge w:val="restart"/>
            <w:noWrap w:val="0"/>
            <w:vAlign w:val="center"/>
          </w:tcPr>
          <w:p w14:paraId="7329C7B0">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val="0"/>
                <w:bCs/>
                <w:color w:val="auto"/>
                <w:sz w:val="21"/>
                <w:szCs w:val="21"/>
                <w:highlight w:val="none"/>
              </w:rPr>
              <w:t>重难点分析及解决措施</w:t>
            </w:r>
          </w:p>
        </w:tc>
        <w:tc>
          <w:tcPr>
            <w:tcW w:w="638" w:type="dxa"/>
            <w:noWrap w:val="0"/>
            <w:vAlign w:val="center"/>
          </w:tcPr>
          <w:p w14:paraId="05BD8ED4">
            <w:pPr>
              <w:keepNext w:val="0"/>
              <w:keepLines w:val="0"/>
              <w:pageBreakBefore w:val="0"/>
              <w:widowControl w:val="0"/>
              <w:kinsoku/>
              <w:wordWrap/>
              <w:overflowPunct/>
              <w:topLinePunct w:val="0"/>
              <w:autoSpaceDE/>
              <w:autoSpaceDN/>
              <w:bidi w:val="0"/>
              <w:adjustRightInd w:val="0"/>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hAnsi="宋体" w:eastAsia="宋体" w:cs="宋体"/>
                <w:color w:val="auto"/>
                <w:sz w:val="21"/>
                <w:szCs w:val="21"/>
                <w:highlight w:val="none"/>
                <w:lang w:val="en-US" w:eastAsia="zh-CN"/>
              </w:rPr>
              <w:t>5</w:t>
            </w:r>
          </w:p>
        </w:tc>
        <w:tc>
          <w:tcPr>
            <w:tcW w:w="7288" w:type="dxa"/>
            <w:noWrap w:val="0"/>
            <w:vAlign w:val="center"/>
          </w:tcPr>
          <w:p w14:paraId="32621AE6">
            <w:pPr>
              <w:keepNext w:val="0"/>
              <w:keepLines w:val="0"/>
              <w:pageBreakBefore w:val="0"/>
              <w:widowControl/>
              <w:kinsoku/>
              <w:wordWrap/>
              <w:overflowPunct/>
              <w:topLinePunct w:val="0"/>
              <w:autoSpaceDE/>
              <w:autoSpaceDN/>
              <w:bidi w:val="0"/>
              <w:adjustRightInd w:val="0"/>
              <w:spacing w:line="400" w:lineRule="exact"/>
              <w:contextualSpacing/>
              <w:jc w:val="left"/>
              <w:rPr>
                <w:rFonts w:hAnsi="宋体" w:cs="宋体"/>
              </w:rPr>
            </w:pPr>
            <w:r>
              <w:rPr>
                <w:rFonts w:hint="eastAsia" w:ascii="宋体" w:hAnsi="宋体" w:cs="宋体"/>
                <w:szCs w:val="21"/>
              </w:rPr>
              <w:t>本项目在实施过程中的重点、难点分析的针对性、完整性、切实可行性等进行评审。</w:t>
            </w:r>
          </w:p>
          <w:p w14:paraId="5A1600DE">
            <w:pPr>
              <w:keepNext w:val="0"/>
              <w:keepLines w:val="0"/>
              <w:pageBreakBefore w:val="0"/>
              <w:widowControl/>
              <w:kinsoku/>
              <w:wordWrap/>
              <w:overflowPunct/>
              <w:topLinePunct w:val="0"/>
              <w:autoSpaceDE/>
              <w:autoSpaceDN/>
              <w:bidi w:val="0"/>
              <w:adjustRightInd w:val="0"/>
              <w:spacing w:line="400" w:lineRule="exact"/>
              <w:contextualSpacing/>
              <w:jc w:val="left"/>
              <w:rPr>
                <w:rFonts w:hAnsi="宋体" w:cs="宋体"/>
              </w:rPr>
            </w:pPr>
            <w:r>
              <w:rPr>
                <w:rFonts w:hint="eastAsia" w:ascii="宋体" w:hAnsi="宋体" w:cs="宋体"/>
                <w:szCs w:val="21"/>
              </w:rPr>
              <w:t>对项目难点重点分析全面</w:t>
            </w:r>
            <w:r>
              <w:rPr>
                <w:rFonts w:hint="eastAsia" w:hAnsi="宋体" w:cs="宋体"/>
                <w:szCs w:val="21"/>
              </w:rPr>
              <w:t>、详细、完整</w:t>
            </w:r>
            <w:r>
              <w:rPr>
                <w:rFonts w:hint="eastAsia" w:ascii="宋体" w:hAnsi="宋体" w:cs="宋体"/>
                <w:szCs w:val="21"/>
              </w:rPr>
              <w:t>、具有针对性</w:t>
            </w:r>
            <w:r>
              <w:rPr>
                <w:rFonts w:hint="eastAsia" w:hAnsi="宋体" w:cs="宋体"/>
                <w:szCs w:val="21"/>
              </w:rPr>
              <w:t>和可行性</w:t>
            </w:r>
            <w:r>
              <w:rPr>
                <w:rFonts w:hint="eastAsia" w:ascii="宋体" w:hAnsi="宋体" w:cs="宋体"/>
                <w:szCs w:val="21"/>
              </w:rPr>
              <w:t>的得5分；</w:t>
            </w:r>
          </w:p>
          <w:p w14:paraId="36E46395">
            <w:pPr>
              <w:keepNext w:val="0"/>
              <w:keepLines w:val="0"/>
              <w:pageBreakBefore w:val="0"/>
              <w:widowControl/>
              <w:kinsoku/>
              <w:wordWrap/>
              <w:overflowPunct/>
              <w:topLinePunct w:val="0"/>
              <w:autoSpaceDE/>
              <w:autoSpaceDN/>
              <w:bidi w:val="0"/>
              <w:adjustRightInd w:val="0"/>
              <w:spacing w:line="400" w:lineRule="exact"/>
              <w:contextualSpacing/>
              <w:jc w:val="left"/>
              <w:rPr>
                <w:rFonts w:hAnsi="宋体" w:cs="宋体"/>
              </w:rPr>
            </w:pPr>
            <w:r>
              <w:rPr>
                <w:rFonts w:hint="eastAsia" w:ascii="宋体" w:hAnsi="宋体" w:cs="宋体"/>
                <w:szCs w:val="21"/>
              </w:rPr>
              <w:t>对项目难点重点分析</w:t>
            </w:r>
            <w:r>
              <w:rPr>
                <w:rFonts w:hint="eastAsia" w:hAnsi="宋体" w:cs="宋体"/>
                <w:szCs w:val="21"/>
              </w:rPr>
              <w:t>较全面、较详细</w:t>
            </w:r>
            <w:r>
              <w:rPr>
                <w:rFonts w:hint="eastAsia" w:ascii="宋体" w:hAnsi="宋体" w:cs="宋体"/>
                <w:szCs w:val="21"/>
              </w:rPr>
              <w:t>、</w:t>
            </w:r>
            <w:r>
              <w:rPr>
                <w:rFonts w:hint="eastAsia" w:hAnsi="宋体" w:cs="宋体"/>
                <w:szCs w:val="21"/>
              </w:rPr>
              <w:t>较完整、</w:t>
            </w:r>
            <w:r>
              <w:rPr>
                <w:rFonts w:hint="eastAsia" w:cs="宋体"/>
                <w:szCs w:val="21"/>
                <w:lang w:val="en-US" w:eastAsia="zh-CN"/>
              </w:rPr>
              <w:t>较为可行</w:t>
            </w:r>
            <w:r>
              <w:rPr>
                <w:rFonts w:hint="eastAsia" w:ascii="宋体" w:hAnsi="宋体" w:cs="宋体"/>
                <w:szCs w:val="21"/>
              </w:rPr>
              <w:t>的得</w:t>
            </w:r>
            <w:r>
              <w:rPr>
                <w:rFonts w:hint="eastAsia" w:cs="宋体"/>
                <w:szCs w:val="21"/>
                <w:lang w:val="en-US" w:eastAsia="zh-CN"/>
              </w:rPr>
              <w:t>4</w:t>
            </w:r>
            <w:r>
              <w:rPr>
                <w:rFonts w:hint="eastAsia" w:ascii="宋体" w:hAnsi="宋体" w:cs="宋体"/>
                <w:szCs w:val="21"/>
              </w:rPr>
              <w:t>分；</w:t>
            </w:r>
          </w:p>
          <w:p w14:paraId="2361E774">
            <w:pPr>
              <w:keepNext w:val="0"/>
              <w:keepLines w:val="0"/>
              <w:pageBreakBefore w:val="0"/>
              <w:widowControl/>
              <w:kinsoku/>
              <w:wordWrap/>
              <w:overflowPunct/>
              <w:topLinePunct w:val="0"/>
              <w:autoSpaceDE/>
              <w:autoSpaceDN/>
              <w:bidi w:val="0"/>
              <w:adjustRightInd w:val="0"/>
              <w:spacing w:line="400" w:lineRule="exact"/>
              <w:contextualSpacing/>
              <w:jc w:val="left"/>
              <w:rPr>
                <w:rFonts w:hint="eastAsia" w:hAnsi="宋体" w:cs="宋体"/>
                <w:szCs w:val="21"/>
              </w:rPr>
            </w:pPr>
            <w:r>
              <w:rPr>
                <w:rFonts w:hint="eastAsia" w:ascii="宋体" w:hAnsi="宋体" w:cs="宋体"/>
                <w:szCs w:val="21"/>
              </w:rPr>
              <w:t>对项目难点重点分析不够</w:t>
            </w:r>
            <w:r>
              <w:rPr>
                <w:rFonts w:hint="eastAsia" w:hAnsi="宋体" w:cs="宋体"/>
                <w:szCs w:val="21"/>
              </w:rPr>
              <w:t>全面</w:t>
            </w:r>
            <w:r>
              <w:rPr>
                <w:rFonts w:hint="eastAsia" w:ascii="宋体" w:hAnsi="宋体" w:cs="宋体"/>
                <w:szCs w:val="21"/>
              </w:rPr>
              <w:t>、</w:t>
            </w:r>
            <w:r>
              <w:rPr>
                <w:rFonts w:hint="eastAsia" w:hAnsi="宋体" w:cs="宋体"/>
                <w:szCs w:val="21"/>
              </w:rPr>
              <w:t>不够详细、</w:t>
            </w:r>
            <w:r>
              <w:rPr>
                <w:rFonts w:hint="eastAsia" w:ascii="宋体" w:hAnsi="宋体" w:cs="宋体"/>
                <w:szCs w:val="21"/>
              </w:rPr>
              <w:t>针对性</w:t>
            </w:r>
            <w:r>
              <w:rPr>
                <w:rFonts w:hint="eastAsia" w:hAnsi="宋体" w:cs="宋体"/>
                <w:szCs w:val="21"/>
              </w:rPr>
              <w:t>和可行性</w:t>
            </w:r>
            <w:r>
              <w:rPr>
                <w:rFonts w:hint="eastAsia" w:ascii="宋体" w:hAnsi="宋体" w:cs="宋体"/>
                <w:szCs w:val="21"/>
              </w:rPr>
              <w:t>一般的得</w:t>
            </w:r>
            <w:r>
              <w:rPr>
                <w:rFonts w:hint="eastAsia" w:cs="宋体"/>
                <w:szCs w:val="21"/>
                <w:lang w:val="en-US" w:eastAsia="zh-CN"/>
              </w:rPr>
              <w:t>3</w:t>
            </w:r>
            <w:r>
              <w:rPr>
                <w:rFonts w:hint="eastAsia" w:ascii="宋体" w:hAnsi="宋体" w:cs="宋体"/>
                <w:szCs w:val="21"/>
              </w:rPr>
              <w:t>分</w:t>
            </w:r>
            <w:r>
              <w:rPr>
                <w:rFonts w:hint="eastAsia" w:hAnsi="宋体" w:cs="宋体"/>
                <w:szCs w:val="21"/>
              </w:rPr>
              <w:t>；</w:t>
            </w:r>
          </w:p>
          <w:p w14:paraId="4429ADD2">
            <w:pPr>
              <w:keepNext w:val="0"/>
              <w:keepLines w:val="0"/>
              <w:pageBreakBefore w:val="0"/>
              <w:widowControl/>
              <w:kinsoku/>
              <w:wordWrap/>
              <w:overflowPunct/>
              <w:topLinePunct w:val="0"/>
              <w:autoSpaceDE/>
              <w:autoSpaceDN/>
              <w:bidi w:val="0"/>
              <w:adjustRightInd w:val="0"/>
              <w:spacing w:line="400" w:lineRule="exact"/>
              <w:contextualSpacing/>
              <w:jc w:val="left"/>
              <w:rPr>
                <w:rFonts w:hAnsi="宋体" w:cs="宋体"/>
              </w:rPr>
            </w:pPr>
            <w:r>
              <w:rPr>
                <w:rFonts w:hint="eastAsia" w:ascii="宋体" w:hAnsi="宋体" w:cs="宋体"/>
                <w:szCs w:val="21"/>
              </w:rPr>
              <w:t>对项目难点重点分析</w:t>
            </w:r>
            <w:r>
              <w:rPr>
                <w:rFonts w:hint="eastAsia" w:cs="宋体"/>
                <w:szCs w:val="21"/>
                <w:lang w:val="en-US" w:eastAsia="zh-CN"/>
              </w:rPr>
              <w:t>内容简单粗略，与项目实际情况有所偏离</w:t>
            </w:r>
            <w:r>
              <w:rPr>
                <w:rFonts w:hint="eastAsia" w:ascii="宋体" w:hAnsi="宋体" w:cs="宋体"/>
                <w:szCs w:val="21"/>
              </w:rPr>
              <w:t>的得</w:t>
            </w:r>
            <w:r>
              <w:rPr>
                <w:rFonts w:hint="eastAsia" w:cs="宋体"/>
                <w:szCs w:val="21"/>
                <w:lang w:val="en-US" w:eastAsia="zh-CN"/>
              </w:rPr>
              <w:t>1</w:t>
            </w:r>
            <w:r>
              <w:rPr>
                <w:rFonts w:hint="eastAsia" w:ascii="宋体" w:hAnsi="宋体" w:cs="宋体"/>
                <w:szCs w:val="21"/>
              </w:rPr>
              <w:t>分</w:t>
            </w:r>
            <w:r>
              <w:rPr>
                <w:rFonts w:hint="eastAsia" w:hAnsi="宋体" w:cs="宋体"/>
                <w:szCs w:val="21"/>
              </w:rPr>
              <w:t xml:space="preserve">； </w:t>
            </w:r>
          </w:p>
          <w:p w14:paraId="1C77B800">
            <w:pPr>
              <w:keepNext w:val="0"/>
              <w:keepLines w:val="0"/>
              <w:pageBreakBefore w:val="0"/>
              <w:kinsoku/>
              <w:wordWrap/>
              <w:overflowPunct/>
              <w:topLinePunct w:val="0"/>
              <w:autoSpaceDE/>
              <w:autoSpaceDN/>
              <w:bidi w:val="0"/>
              <w:adjustRightInd w:val="0"/>
              <w:spacing w:line="400" w:lineRule="exact"/>
              <w:jc w:val="left"/>
              <w:rPr>
                <w:rFonts w:hint="eastAsia" w:ascii="宋体" w:hAnsi="宋体" w:eastAsia="宋体" w:cs="宋体"/>
                <w:color w:val="auto"/>
                <w:sz w:val="21"/>
                <w:szCs w:val="21"/>
                <w:highlight w:val="none"/>
                <w:lang w:val="en-US" w:eastAsia="zh-CN"/>
              </w:rPr>
            </w:pPr>
            <w:r>
              <w:rPr>
                <w:rFonts w:hint="eastAsia" w:ascii="宋体" w:hAnsi="宋体" w:cs="宋体"/>
                <w:szCs w:val="21"/>
              </w:rPr>
              <w:t>未提供的不得分。</w:t>
            </w:r>
          </w:p>
        </w:tc>
      </w:tr>
      <w:tr w14:paraId="54F1A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536" w:type="dxa"/>
            <w:vMerge w:val="continue"/>
            <w:noWrap w:val="0"/>
            <w:vAlign w:val="center"/>
          </w:tcPr>
          <w:p w14:paraId="405E3CBC">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color w:val="auto"/>
                <w:sz w:val="21"/>
                <w:szCs w:val="21"/>
                <w:highlight w:val="none"/>
                <w:lang w:val="en-US" w:eastAsia="zh-CN"/>
              </w:rPr>
            </w:pPr>
          </w:p>
        </w:tc>
        <w:tc>
          <w:tcPr>
            <w:tcW w:w="1231" w:type="dxa"/>
            <w:vMerge w:val="continue"/>
            <w:noWrap w:val="0"/>
            <w:vAlign w:val="center"/>
          </w:tcPr>
          <w:p w14:paraId="2B2C80FC">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color w:val="auto"/>
                <w:sz w:val="21"/>
                <w:szCs w:val="21"/>
                <w:highlight w:val="none"/>
                <w:lang w:eastAsia="zh-CN"/>
              </w:rPr>
            </w:pPr>
          </w:p>
        </w:tc>
        <w:tc>
          <w:tcPr>
            <w:tcW w:w="638" w:type="dxa"/>
            <w:noWrap w:val="0"/>
            <w:vAlign w:val="center"/>
          </w:tcPr>
          <w:p w14:paraId="0A70DB72">
            <w:pPr>
              <w:keepNext w:val="0"/>
              <w:keepLines w:val="0"/>
              <w:pageBreakBefore w:val="0"/>
              <w:widowControl w:val="0"/>
              <w:kinsoku/>
              <w:wordWrap/>
              <w:overflowPunct/>
              <w:topLinePunct w:val="0"/>
              <w:autoSpaceDE/>
              <w:autoSpaceDN/>
              <w:bidi w:val="0"/>
              <w:adjustRightInd w:val="0"/>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7288" w:type="dxa"/>
            <w:noWrap w:val="0"/>
            <w:vAlign w:val="center"/>
          </w:tcPr>
          <w:p w14:paraId="7A89E365">
            <w:pPr>
              <w:pStyle w:val="28"/>
              <w:keepNext w:val="0"/>
              <w:keepLines w:val="0"/>
              <w:pageBreakBefore w:val="0"/>
              <w:kinsoku/>
              <w:wordWrap/>
              <w:overflowPunct/>
              <w:topLinePunct w:val="0"/>
              <w:autoSpaceDE/>
              <w:autoSpaceDN/>
              <w:bidi w:val="0"/>
              <w:adjustRightInd w:val="0"/>
              <w:snapToGrid w:val="0"/>
              <w:spacing w:line="400" w:lineRule="exact"/>
              <w:jc w:val="left"/>
              <w:rPr>
                <w:rFonts w:ascii="宋体" w:hAnsi="宋体" w:cs="宋体"/>
                <w:szCs w:val="21"/>
              </w:rPr>
            </w:pPr>
            <w:r>
              <w:rPr>
                <w:rFonts w:hint="eastAsia" w:ascii="宋体" w:hAnsi="宋体" w:cs="宋体"/>
                <w:szCs w:val="21"/>
              </w:rPr>
              <w:t>根据</w:t>
            </w:r>
            <w:r>
              <w:rPr>
                <w:rFonts w:hint="eastAsia" w:ascii="宋体" w:hAnsi="宋体" w:cs="宋体"/>
                <w:szCs w:val="21"/>
                <w:lang w:eastAsia="zh-CN"/>
              </w:rPr>
              <w:t>供应商</w:t>
            </w:r>
            <w:r>
              <w:rPr>
                <w:rFonts w:hint="eastAsia" w:ascii="宋体" w:hAnsi="宋体" w:cs="宋体"/>
                <w:szCs w:val="21"/>
              </w:rPr>
              <w:t>提供的重难点分析后，提出相应的解决办法及措施的可行性等进行评审。</w:t>
            </w:r>
          </w:p>
          <w:p w14:paraId="54FD9FD5">
            <w:pPr>
              <w:pStyle w:val="28"/>
              <w:keepNext w:val="0"/>
              <w:keepLines w:val="0"/>
              <w:pageBreakBefore w:val="0"/>
              <w:kinsoku/>
              <w:wordWrap/>
              <w:overflowPunct/>
              <w:topLinePunct w:val="0"/>
              <w:autoSpaceDE/>
              <w:autoSpaceDN/>
              <w:bidi w:val="0"/>
              <w:adjustRightInd w:val="0"/>
              <w:snapToGrid w:val="0"/>
              <w:spacing w:line="400" w:lineRule="exact"/>
              <w:jc w:val="left"/>
              <w:rPr>
                <w:rFonts w:ascii="宋体" w:hAnsi="宋体" w:cs="宋体"/>
                <w:szCs w:val="21"/>
              </w:rPr>
            </w:pPr>
            <w:r>
              <w:rPr>
                <w:rFonts w:hint="eastAsia" w:ascii="宋体" w:hAnsi="宋体" w:cs="宋体"/>
                <w:szCs w:val="21"/>
              </w:rPr>
              <w:t>项目重难点的解决办法及措施全面合理、具有针对性、可行性的得5分；</w:t>
            </w:r>
          </w:p>
          <w:p w14:paraId="2BE4006D">
            <w:pPr>
              <w:pStyle w:val="28"/>
              <w:keepNext w:val="0"/>
              <w:keepLines w:val="0"/>
              <w:pageBreakBefore w:val="0"/>
              <w:kinsoku/>
              <w:wordWrap/>
              <w:overflowPunct/>
              <w:topLinePunct w:val="0"/>
              <w:autoSpaceDE/>
              <w:autoSpaceDN/>
              <w:bidi w:val="0"/>
              <w:adjustRightInd w:val="0"/>
              <w:snapToGrid w:val="0"/>
              <w:spacing w:line="400" w:lineRule="exact"/>
              <w:jc w:val="left"/>
              <w:rPr>
                <w:rFonts w:ascii="宋体" w:hAnsi="宋体" w:cs="宋体"/>
                <w:szCs w:val="21"/>
              </w:rPr>
            </w:pPr>
            <w:r>
              <w:rPr>
                <w:rFonts w:hint="eastAsia" w:ascii="宋体" w:hAnsi="宋体" w:cs="宋体"/>
                <w:szCs w:val="21"/>
              </w:rPr>
              <w:t>项目重难点的解决办法及措施较全面合理、</w:t>
            </w:r>
            <w:r>
              <w:rPr>
                <w:rFonts w:hint="eastAsia" w:ascii="宋体" w:hAnsi="宋体" w:cs="宋体"/>
                <w:szCs w:val="21"/>
                <w:lang w:val="en-US" w:eastAsia="zh-CN"/>
              </w:rPr>
              <w:t>较为可行</w:t>
            </w:r>
            <w:r>
              <w:rPr>
                <w:rFonts w:hint="eastAsia" w:ascii="宋体" w:hAnsi="宋体" w:cs="宋体"/>
                <w:szCs w:val="21"/>
              </w:rPr>
              <w:t>的得</w:t>
            </w:r>
            <w:r>
              <w:rPr>
                <w:rFonts w:hint="eastAsia" w:ascii="宋体" w:hAnsi="宋体" w:cs="宋体"/>
                <w:szCs w:val="21"/>
                <w:lang w:val="en-US" w:eastAsia="zh-CN"/>
              </w:rPr>
              <w:t>4</w:t>
            </w:r>
            <w:r>
              <w:rPr>
                <w:rFonts w:hint="eastAsia" w:ascii="宋体" w:hAnsi="宋体" w:cs="宋体"/>
                <w:szCs w:val="21"/>
              </w:rPr>
              <w:t>分；</w:t>
            </w:r>
          </w:p>
          <w:p w14:paraId="1E32E595">
            <w:pPr>
              <w:keepNext w:val="0"/>
              <w:keepLines w:val="0"/>
              <w:pageBreakBefore w:val="0"/>
              <w:widowControl/>
              <w:kinsoku/>
              <w:wordWrap/>
              <w:overflowPunct/>
              <w:topLinePunct w:val="0"/>
              <w:autoSpaceDE/>
              <w:autoSpaceDN/>
              <w:bidi w:val="0"/>
              <w:adjustRightInd w:val="0"/>
              <w:spacing w:line="400" w:lineRule="exact"/>
              <w:contextualSpacing/>
              <w:jc w:val="left"/>
              <w:rPr>
                <w:rFonts w:hint="eastAsia" w:ascii="宋体" w:hAnsi="宋体" w:cs="宋体"/>
                <w:szCs w:val="21"/>
              </w:rPr>
            </w:pPr>
            <w:r>
              <w:rPr>
                <w:rFonts w:hint="eastAsia" w:ascii="宋体" w:hAnsi="宋体" w:cs="宋体"/>
                <w:szCs w:val="21"/>
              </w:rPr>
              <w:t>项目重难点的解决办法及措施不够全面、不够合理、针对性、可行性一般的得</w:t>
            </w:r>
            <w:r>
              <w:rPr>
                <w:rFonts w:hint="eastAsia" w:ascii="宋体" w:hAnsi="宋体" w:cs="宋体"/>
                <w:szCs w:val="21"/>
                <w:lang w:val="en-US" w:eastAsia="zh-CN"/>
              </w:rPr>
              <w:t>3</w:t>
            </w:r>
            <w:r>
              <w:rPr>
                <w:rFonts w:hint="eastAsia" w:ascii="宋体" w:hAnsi="宋体" w:cs="宋体"/>
                <w:szCs w:val="21"/>
              </w:rPr>
              <w:t>分；</w:t>
            </w:r>
          </w:p>
          <w:p w14:paraId="44F5874B">
            <w:pPr>
              <w:keepNext w:val="0"/>
              <w:keepLines w:val="0"/>
              <w:pageBreakBefore w:val="0"/>
              <w:widowControl/>
              <w:kinsoku/>
              <w:wordWrap/>
              <w:overflowPunct/>
              <w:topLinePunct w:val="0"/>
              <w:autoSpaceDE/>
              <w:autoSpaceDN/>
              <w:bidi w:val="0"/>
              <w:adjustRightInd w:val="0"/>
              <w:spacing w:line="400" w:lineRule="exact"/>
              <w:contextualSpacing/>
              <w:jc w:val="left"/>
              <w:rPr>
                <w:rFonts w:ascii="宋体" w:hAnsi="宋体" w:cs="宋体"/>
                <w:szCs w:val="21"/>
              </w:rPr>
            </w:pPr>
            <w:r>
              <w:rPr>
                <w:rFonts w:hint="eastAsia" w:ascii="宋体" w:hAnsi="宋体" w:cs="宋体"/>
                <w:szCs w:val="21"/>
              </w:rPr>
              <w:t>项目重难点的解决办法及措施</w:t>
            </w:r>
            <w:r>
              <w:rPr>
                <w:rFonts w:hint="eastAsia" w:cs="宋体"/>
                <w:szCs w:val="21"/>
                <w:lang w:val="en-US" w:eastAsia="zh-CN"/>
              </w:rPr>
              <w:t>内容简单粗略，与项目实际情况有所偏离</w:t>
            </w:r>
            <w:r>
              <w:rPr>
                <w:rFonts w:hint="eastAsia" w:ascii="宋体" w:hAnsi="宋体" w:cs="宋体"/>
                <w:szCs w:val="21"/>
              </w:rPr>
              <w:t>的得</w:t>
            </w:r>
            <w:r>
              <w:rPr>
                <w:rFonts w:hint="eastAsia" w:cs="宋体"/>
                <w:szCs w:val="21"/>
                <w:lang w:val="en-US" w:eastAsia="zh-CN"/>
              </w:rPr>
              <w:t>1</w:t>
            </w:r>
            <w:r>
              <w:rPr>
                <w:rFonts w:hint="eastAsia" w:ascii="宋体" w:hAnsi="宋体" w:cs="宋体"/>
                <w:szCs w:val="21"/>
              </w:rPr>
              <w:t>分</w:t>
            </w:r>
            <w:r>
              <w:rPr>
                <w:rFonts w:hint="eastAsia" w:hAnsi="宋体" w:cs="宋体"/>
                <w:szCs w:val="21"/>
              </w:rPr>
              <w:t xml:space="preserve">； </w:t>
            </w:r>
          </w:p>
          <w:p w14:paraId="32AF9969">
            <w:pPr>
              <w:keepNext w:val="0"/>
              <w:keepLines w:val="0"/>
              <w:pageBreakBefore w:val="0"/>
              <w:kinsoku/>
              <w:wordWrap/>
              <w:overflowPunct/>
              <w:topLinePunct w:val="0"/>
              <w:autoSpaceDE/>
              <w:autoSpaceDN/>
              <w:bidi w:val="0"/>
              <w:adjustRightInd w:val="0"/>
              <w:spacing w:line="400" w:lineRule="exact"/>
              <w:jc w:val="left"/>
              <w:rPr>
                <w:rFonts w:hint="eastAsia" w:ascii="宋体" w:hAnsi="宋体" w:eastAsia="宋体" w:cs="宋体"/>
                <w:color w:val="auto"/>
                <w:sz w:val="21"/>
                <w:szCs w:val="21"/>
                <w:highlight w:val="none"/>
              </w:rPr>
            </w:pPr>
            <w:r>
              <w:rPr>
                <w:rFonts w:hint="eastAsia" w:ascii="宋体" w:hAnsi="宋体" w:cs="宋体"/>
                <w:szCs w:val="21"/>
              </w:rPr>
              <w:t>未提供的不得分。</w:t>
            </w:r>
          </w:p>
        </w:tc>
      </w:tr>
      <w:tr w14:paraId="2EF71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536" w:type="dxa"/>
            <w:vMerge w:val="continue"/>
            <w:noWrap w:val="0"/>
            <w:vAlign w:val="center"/>
          </w:tcPr>
          <w:p w14:paraId="79C9CA4E">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color w:val="auto"/>
                <w:sz w:val="21"/>
                <w:szCs w:val="21"/>
                <w:highlight w:val="none"/>
              </w:rPr>
            </w:pPr>
          </w:p>
        </w:tc>
        <w:tc>
          <w:tcPr>
            <w:tcW w:w="1231" w:type="dxa"/>
            <w:noWrap w:val="0"/>
            <w:vAlign w:val="center"/>
          </w:tcPr>
          <w:p w14:paraId="0E2A4198">
            <w:pPr>
              <w:keepNext w:val="0"/>
              <w:keepLines w:val="0"/>
              <w:pageBreakBefore w:val="0"/>
              <w:tabs>
                <w:tab w:val="left" w:pos="5940"/>
              </w:tabs>
              <w:kinsoku/>
              <w:wordWrap/>
              <w:overflowPunct/>
              <w:topLinePunct w:val="0"/>
              <w:autoSpaceDE/>
              <w:autoSpaceDN/>
              <w:bidi w:val="0"/>
              <w:adjustRightInd w:val="0"/>
              <w:spacing w:line="40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rPr>
              <w:t>突发性事件的应急预案</w:t>
            </w:r>
          </w:p>
        </w:tc>
        <w:tc>
          <w:tcPr>
            <w:tcW w:w="638" w:type="dxa"/>
            <w:noWrap w:val="0"/>
            <w:vAlign w:val="center"/>
          </w:tcPr>
          <w:p w14:paraId="66CAABC2">
            <w:pPr>
              <w:keepNext w:val="0"/>
              <w:keepLines w:val="0"/>
              <w:pageBreakBefore w:val="0"/>
              <w:kinsoku/>
              <w:wordWrap/>
              <w:overflowPunct/>
              <w:topLinePunct w:val="0"/>
              <w:autoSpaceDE/>
              <w:autoSpaceDN/>
              <w:bidi w:val="0"/>
              <w:adjustRightInd w:val="0"/>
              <w:spacing w:line="40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rPr>
              <w:t>5</w:t>
            </w:r>
          </w:p>
        </w:tc>
        <w:tc>
          <w:tcPr>
            <w:tcW w:w="7288" w:type="dxa"/>
            <w:noWrap w:val="0"/>
            <w:vAlign w:val="center"/>
          </w:tcPr>
          <w:p w14:paraId="4E71C92A">
            <w:pPr>
              <w:pStyle w:val="28"/>
              <w:keepNext w:val="0"/>
              <w:keepLines w:val="0"/>
              <w:pageBreakBefore w:val="0"/>
              <w:kinsoku/>
              <w:wordWrap/>
              <w:overflowPunct/>
              <w:topLinePunct w:val="0"/>
              <w:autoSpaceDE/>
              <w:autoSpaceDN/>
              <w:bidi w:val="0"/>
              <w:adjustRightInd w:val="0"/>
              <w:snapToGrid w:val="0"/>
              <w:spacing w:line="400" w:lineRule="exact"/>
              <w:jc w:val="left"/>
              <w:rPr>
                <w:rFonts w:ascii="宋体" w:hAnsi="宋体" w:cs="宋体"/>
                <w:szCs w:val="21"/>
              </w:rPr>
            </w:pPr>
            <w:r>
              <w:rPr>
                <w:rFonts w:hint="eastAsia" w:ascii="宋体" w:hAnsi="宋体" w:cs="宋体"/>
                <w:szCs w:val="21"/>
              </w:rPr>
              <w:t>根据</w:t>
            </w:r>
            <w:r>
              <w:rPr>
                <w:rFonts w:hint="eastAsia" w:ascii="宋体" w:hAnsi="宋体" w:cs="宋体"/>
                <w:szCs w:val="21"/>
                <w:lang w:eastAsia="zh-CN"/>
              </w:rPr>
              <w:t>供应商</w:t>
            </w:r>
            <w:r>
              <w:rPr>
                <w:rFonts w:hint="eastAsia" w:ascii="宋体" w:hAnsi="宋体" w:cs="宋体"/>
                <w:szCs w:val="21"/>
              </w:rPr>
              <w:t>应对突发性事件时（如台风、暴雨、火灾等情况）的应急预案等进行评审。</w:t>
            </w:r>
          </w:p>
          <w:p w14:paraId="72898961">
            <w:pPr>
              <w:pStyle w:val="28"/>
              <w:keepNext w:val="0"/>
              <w:keepLines w:val="0"/>
              <w:pageBreakBefore w:val="0"/>
              <w:kinsoku/>
              <w:wordWrap/>
              <w:overflowPunct/>
              <w:topLinePunct w:val="0"/>
              <w:autoSpaceDE/>
              <w:autoSpaceDN/>
              <w:bidi w:val="0"/>
              <w:adjustRightInd w:val="0"/>
              <w:snapToGrid w:val="0"/>
              <w:spacing w:line="400" w:lineRule="exact"/>
              <w:jc w:val="left"/>
              <w:rPr>
                <w:rFonts w:ascii="宋体" w:hAnsi="宋体" w:cs="宋体"/>
                <w:szCs w:val="21"/>
              </w:rPr>
            </w:pPr>
            <w:r>
              <w:rPr>
                <w:rFonts w:hint="eastAsia" w:ascii="宋体" w:hAnsi="宋体" w:cs="宋体"/>
                <w:szCs w:val="21"/>
              </w:rPr>
              <w:t>提供的应急预案内容详细、全面、清晰、</w:t>
            </w:r>
            <w:r>
              <w:rPr>
                <w:rFonts w:hint="eastAsia" w:ascii="宋体" w:hAnsi="宋体" w:cs="宋体"/>
                <w:szCs w:val="21"/>
                <w:lang w:val="en-US" w:eastAsia="zh-CN"/>
              </w:rPr>
              <w:t>可行性</w:t>
            </w:r>
            <w:r>
              <w:rPr>
                <w:rFonts w:hint="eastAsia" w:ascii="宋体" w:hAnsi="宋体" w:cs="宋体"/>
                <w:szCs w:val="21"/>
              </w:rPr>
              <w:t>强的的得5分；</w:t>
            </w:r>
          </w:p>
          <w:p w14:paraId="11D07015">
            <w:pPr>
              <w:pStyle w:val="28"/>
              <w:keepNext w:val="0"/>
              <w:keepLines w:val="0"/>
              <w:pageBreakBefore w:val="0"/>
              <w:kinsoku/>
              <w:wordWrap/>
              <w:overflowPunct/>
              <w:topLinePunct w:val="0"/>
              <w:autoSpaceDE/>
              <w:autoSpaceDN/>
              <w:bidi w:val="0"/>
              <w:adjustRightInd w:val="0"/>
              <w:snapToGrid w:val="0"/>
              <w:spacing w:line="400" w:lineRule="exact"/>
              <w:jc w:val="left"/>
              <w:rPr>
                <w:rFonts w:hint="eastAsia" w:ascii="宋体" w:hAnsi="宋体" w:cs="宋体"/>
                <w:szCs w:val="21"/>
              </w:rPr>
            </w:pPr>
            <w:r>
              <w:rPr>
                <w:rFonts w:hint="eastAsia" w:ascii="宋体" w:hAnsi="宋体" w:cs="宋体"/>
                <w:szCs w:val="21"/>
              </w:rPr>
              <w:t>提供的应急预案内容较详细、较全面、较清晰、</w:t>
            </w:r>
            <w:r>
              <w:rPr>
                <w:rFonts w:hint="eastAsia" w:ascii="宋体" w:hAnsi="宋体" w:cs="宋体"/>
                <w:szCs w:val="21"/>
                <w:lang w:val="en-US" w:eastAsia="zh-CN"/>
              </w:rPr>
              <w:t>可行性较强</w:t>
            </w:r>
            <w:r>
              <w:rPr>
                <w:rFonts w:hint="eastAsia" w:ascii="宋体" w:hAnsi="宋体" w:cs="宋体"/>
                <w:szCs w:val="21"/>
              </w:rPr>
              <w:t>的得</w:t>
            </w:r>
            <w:r>
              <w:rPr>
                <w:rFonts w:hint="eastAsia" w:ascii="宋体" w:hAnsi="宋体" w:cs="宋体"/>
                <w:szCs w:val="21"/>
                <w:lang w:val="en-US" w:eastAsia="zh-CN"/>
              </w:rPr>
              <w:t>4</w:t>
            </w:r>
            <w:r>
              <w:rPr>
                <w:rFonts w:hint="eastAsia" w:ascii="宋体" w:hAnsi="宋体" w:cs="宋体"/>
                <w:szCs w:val="21"/>
              </w:rPr>
              <w:t>分；</w:t>
            </w:r>
          </w:p>
          <w:p w14:paraId="7AD4B12C">
            <w:pPr>
              <w:pStyle w:val="28"/>
              <w:keepNext w:val="0"/>
              <w:keepLines w:val="0"/>
              <w:pageBreakBefore w:val="0"/>
              <w:kinsoku/>
              <w:wordWrap/>
              <w:overflowPunct/>
              <w:topLinePunct w:val="0"/>
              <w:autoSpaceDE/>
              <w:autoSpaceDN/>
              <w:bidi w:val="0"/>
              <w:adjustRightInd w:val="0"/>
              <w:snapToGrid w:val="0"/>
              <w:spacing w:line="400" w:lineRule="exact"/>
              <w:jc w:val="left"/>
              <w:rPr>
                <w:rFonts w:ascii="宋体" w:hAnsi="宋体" w:cs="宋体"/>
                <w:szCs w:val="21"/>
              </w:rPr>
            </w:pPr>
            <w:r>
              <w:rPr>
                <w:rFonts w:hint="eastAsia" w:ascii="宋体" w:hAnsi="宋体" w:cs="宋体"/>
                <w:szCs w:val="21"/>
              </w:rPr>
              <w:t>提供的应急预案内容</w:t>
            </w:r>
            <w:r>
              <w:rPr>
                <w:rFonts w:hint="eastAsia" w:ascii="宋体" w:hAnsi="宋体" w:cs="宋体"/>
                <w:szCs w:val="21"/>
                <w:lang w:val="en-US" w:eastAsia="zh-CN"/>
              </w:rPr>
              <w:t>不够详细，可行性一般</w:t>
            </w:r>
            <w:r>
              <w:rPr>
                <w:rFonts w:hint="eastAsia" w:ascii="宋体" w:hAnsi="宋体" w:cs="宋体"/>
                <w:szCs w:val="21"/>
              </w:rPr>
              <w:t>的得</w:t>
            </w:r>
            <w:r>
              <w:rPr>
                <w:rFonts w:hint="eastAsia" w:ascii="宋体" w:hAnsi="宋体" w:cs="宋体"/>
                <w:szCs w:val="21"/>
                <w:lang w:val="en-US" w:eastAsia="zh-CN"/>
              </w:rPr>
              <w:t>3</w:t>
            </w:r>
            <w:r>
              <w:rPr>
                <w:rFonts w:hint="eastAsia" w:ascii="宋体" w:hAnsi="宋体" w:cs="宋体"/>
                <w:szCs w:val="21"/>
              </w:rPr>
              <w:t>分；</w:t>
            </w:r>
          </w:p>
          <w:p w14:paraId="58455F87">
            <w:pPr>
              <w:pStyle w:val="28"/>
              <w:keepNext w:val="0"/>
              <w:keepLines w:val="0"/>
              <w:pageBreakBefore w:val="0"/>
              <w:kinsoku/>
              <w:wordWrap/>
              <w:overflowPunct/>
              <w:topLinePunct w:val="0"/>
              <w:autoSpaceDE/>
              <w:autoSpaceDN/>
              <w:bidi w:val="0"/>
              <w:adjustRightInd w:val="0"/>
              <w:snapToGrid w:val="0"/>
              <w:spacing w:line="400" w:lineRule="exact"/>
              <w:jc w:val="left"/>
              <w:rPr>
                <w:rFonts w:ascii="宋体" w:hAnsi="宋体" w:cs="宋体"/>
                <w:szCs w:val="21"/>
              </w:rPr>
            </w:pPr>
            <w:r>
              <w:rPr>
                <w:rFonts w:hint="eastAsia" w:ascii="宋体" w:hAnsi="宋体" w:cs="宋体"/>
                <w:szCs w:val="21"/>
              </w:rPr>
              <w:t>提供的应急预案内容简略、片面、模糊不清、缺乏</w:t>
            </w:r>
            <w:r>
              <w:rPr>
                <w:rFonts w:hint="eastAsia" w:ascii="宋体" w:hAnsi="宋体" w:cs="宋体"/>
                <w:szCs w:val="21"/>
                <w:lang w:val="en-US" w:eastAsia="zh-CN"/>
              </w:rPr>
              <w:t>可行性</w:t>
            </w:r>
            <w:r>
              <w:rPr>
                <w:rFonts w:hint="eastAsia" w:ascii="宋体" w:hAnsi="宋体" w:cs="宋体"/>
                <w:szCs w:val="21"/>
              </w:rPr>
              <w:t>的得</w:t>
            </w:r>
            <w:r>
              <w:rPr>
                <w:rFonts w:ascii="宋体" w:hAnsi="宋体" w:cs="宋体"/>
                <w:szCs w:val="21"/>
              </w:rPr>
              <w:t>1</w:t>
            </w:r>
            <w:r>
              <w:rPr>
                <w:rFonts w:hint="eastAsia" w:ascii="宋体" w:hAnsi="宋体" w:cs="宋体"/>
                <w:szCs w:val="21"/>
              </w:rPr>
              <w:t>分；</w:t>
            </w:r>
          </w:p>
          <w:p w14:paraId="48532165">
            <w:pPr>
              <w:pStyle w:val="28"/>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eastAsia="宋体" w:cs="宋体"/>
                <w:strike w:val="0"/>
                <w:dstrike w:val="0"/>
                <w:color w:val="auto"/>
                <w:sz w:val="21"/>
                <w:szCs w:val="21"/>
                <w:highlight w:val="none"/>
                <w:lang w:val="en-US" w:eastAsia="zh-CN"/>
              </w:rPr>
            </w:pPr>
            <w:r>
              <w:rPr>
                <w:rFonts w:hint="eastAsia" w:ascii="宋体" w:hAnsi="宋体" w:cs="宋体"/>
                <w:szCs w:val="21"/>
              </w:rPr>
              <w:t>未提供的不得分。</w:t>
            </w:r>
          </w:p>
        </w:tc>
      </w:tr>
      <w:tr w14:paraId="59909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536" w:type="dxa"/>
            <w:vMerge w:val="continue"/>
            <w:noWrap w:val="0"/>
            <w:vAlign w:val="center"/>
          </w:tcPr>
          <w:p w14:paraId="6621B68F">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color w:val="auto"/>
                <w:sz w:val="21"/>
                <w:szCs w:val="21"/>
                <w:highlight w:val="none"/>
              </w:rPr>
            </w:pPr>
          </w:p>
        </w:tc>
        <w:tc>
          <w:tcPr>
            <w:tcW w:w="1231" w:type="dxa"/>
            <w:noWrap w:val="0"/>
            <w:vAlign w:val="center"/>
          </w:tcPr>
          <w:p w14:paraId="0EBCFAC5">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b w:val="0"/>
                <w:bCs/>
                <w:color w:val="auto"/>
                <w:sz w:val="21"/>
                <w:szCs w:val="21"/>
                <w:highlight w:val="none"/>
                <w:lang w:val="en-US" w:eastAsia="zh-CN" w:bidi="ar-SA"/>
              </w:rPr>
            </w:pPr>
            <w:r>
              <w:rPr>
                <w:rFonts w:hint="eastAsia" w:ascii="宋体" w:hAnsi="宋体" w:eastAsia="宋体" w:cs="宋体"/>
                <w:b w:val="0"/>
                <w:bCs/>
                <w:color w:val="auto"/>
                <w:sz w:val="21"/>
                <w:szCs w:val="21"/>
                <w:highlight w:val="none"/>
              </w:rPr>
              <w:t>组织和实施计划</w:t>
            </w:r>
          </w:p>
        </w:tc>
        <w:tc>
          <w:tcPr>
            <w:tcW w:w="638" w:type="dxa"/>
            <w:noWrap w:val="0"/>
            <w:vAlign w:val="center"/>
          </w:tcPr>
          <w:p w14:paraId="7CA7789C">
            <w:pPr>
              <w:keepNext w:val="0"/>
              <w:keepLines w:val="0"/>
              <w:pageBreakBefore w:val="0"/>
              <w:widowControl w:val="0"/>
              <w:kinsoku/>
              <w:wordWrap/>
              <w:overflowPunct/>
              <w:topLinePunct w:val="0"/>
              <w:autoSpaceDE/>
              <w:autoSpaceDN/>
              <w:bidi w:val="0"/>
              <w:adjustRightInd w:val="0"/>
              <w:spacing w:line="400" w:lineRule="exact"/>
              <w:jc w:val="center"/>
              <w:textAlignment w:val="auto"/>
              <w:rPr>
                <w:rFonts w:hint="eastAsia" w:ascii="宋体" w:hAnsi="宋体" w:eastAsia="宋体" w:cs="宋体"/>
                <w:b w:val="0"/>
                <w:bCs/>
                <w:color w:val="auto"/>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6</w:t>
            </w:r>
          </w:p>
        </w:tc>
        <w:tc>
          <w:tcPr>
            <w:tcW w:w="7288" w:type="dxa"/>
            <w:noWrap w:val="0"/>
            <w:vAlign w:val="center"/>
          </w:tcPr>
          <w:p w14:paraId="7BB8E743">
            <w:pPr>
              <w:pStyle w:val="28"/>
              <w:keepNext w:val="0"/>
              <w:keepLines w:val="0"/>
              <w:pageBreakBefore w:val="0"/>
              <w:kinsoku/>
              <w:wordWrap/>
              <w:overflowPunct/>
              <w:topLinePunct w:val="0"/>
              <w:autoSpaceDE/>
              <w:autoSpaceDN/>
              <w:bidi w:val="0"/>
              <w:adjustRightInd w:val="0"/>
              <w:snapToGrid w:val="0"/>
              <w:spacing w:line="400" w:lineRule="exact"/>
              <w:jc w:val="left"/>
              <w:rPr>
                <w:rFonts w:ascii="宋体" w:hAnsi="宋体" w:cs="宋体"/>
                <w:bCs/>
                <w:szCs w:val="21"/>
              </w:rPr>
            </w:pPr>
            <w:r>
              <w:rPr>
                <w:rFonts w:hint="eastAsia" w:ascii="宋体" w:hAnsi="宋体" w:cs="宋体"/>
                <w:bCs/>
                <w:szCs w:val="21"/>
              </w:rPr>
              <w:t>根据</w:t>
            </w:r>
            <w:r>
              <w:rPr>
                <w:rFonts w:hint="eastAsia" w:ascii="宋体" w:hAnsi="宋体" w:cs="宋体"/>
                <w:bCs/>
                <w:szCs w:val="21"/>
                <w:lang w:eastAsia="zh-CN"/>
              </w:rPr>
              <w:t>供应商</w:t>
            </w:r>
            <w:r>
              <w:rPr>
                <w:rFonts w:hint="eastAsia" w:ascii="宋体" w:hAnsi="宋体" w:cs="宋体"/>
                <w:bCs/>
                <w:szCs w:val="21"/>
              </w:rPr>
              <w:t>对本项目的计划进度安排、进度控制、时间节点的把控等进行评审。</w:t>
            </w:r>
          </w:p>
          <w:p w14:paraId="409C8A48">
            <w:pPr>
              <w:pStyle w:val="28"/>
              <w:keepNext w:val="0"/>
              <w:keepLines w:val="0"/>
              <w:pageBreakBefore w:val="0"/>
              <w:kinsoku/>
              <w:wordWrap/>
              <w:overflowPunct/>
              <w:topLinePunct w:val="0"/>
              <w:autoSpaceDE/>
              <w:autoSpaceDN/>
              <w:bidi w:val="0"/>
              <w:adjustRightInd w:val="0"/>
              <w:snapToGrid w:val="0"/>
              <w:spacing w:line="400" w:lineRule="exact"/>
              <w:jc w:val="left"/>
              <w:rPr>
                <w:rFonts w:ascii="宋体" w:hAnsi="宋体" w:cs="宋体"/>
                <w:bCs/>
                <w:szCs w:val="21"/>
              </w:rPr>
            </w:pPr>
            <w:r>
              <w:rPr>
                <w:rFonts w:hint="eastAsia" w:ascii="宋体" w:hAnsi="宋体" w:cs="宋体"/>
                <w:bCs/>
                <w:szCs w:val="21"/>
              </w:rPr>
              <w:t>计划进度安排合理、进度控制措施详细、时间节点把控科学、能满足采购人需求的得6分；</w:t>
            </w:r>
          </w:p>
          <w:p w14:paraId="20EF3015">
            <w:pPr>
              <w:pStyle w:val="28"/>
              <w:keepNext w:val="0"/>
              <w:keepLines w:val="0"/>
              <w:pageBreakBefore w:val="0"/>
              <w:kinsoku/>
              <w:wordWrap/>
              <w:overflowPunct/>
              <w:topLinePunct w:val="0"/>
              <w:autoSpaceDE/>
              <w:autoSpaceDN/>
              <w:bidi w:val="0"/>
              <w:adjustRightInd w:val="0"/>
              <w:snapToGrid w:val="0"/>
              <w:spacing w:line="400" w:lineRule="exact"/>
              <w:jc w:val="left"/>
              <w:rPr>
                <w:rFonts w:hint="eastAsia" w:ascii="宋体" w:hAnsi="宋体" w:cs="宋体"/>
                <w:bCs/>
                <w:szCs w:val="21"/>
              </w:rPr>
            </w:pPr>
            <w:r>
              <w:rPr>
                <w:rFonts w:hint="eastAsia" w:ascii="宋体" w:hAnsi="宋体" w:cs="宋体"/>
                <w:bCs/>
                <w:szCs w:val="21"/>
              </w:rPr>
              <w:t>计划进度安排较合理、进度控制措施较详细、时间节点把控较科学、能满足采购人需求的得</w:t>
            </w:r>
            <w:r>
              <w:rPr>
                <w:rFonts w:hint="eastAsia" w:ascii="宋体" w:hAnsi="宋体" w:cs="宋体"/>
                <w:bCs/>
                <w:szCs w:val="21"/>
                <w:lang w:val="en-US" w:eastAsia="zh-CN"/>
              </w:rPr>
              <w:t>5</w:t>
            </w:r>
            <w:r>
              <w:rPr>
                <w:rFonts w:hint="eastAsia" w:ascii="宋体" w:hAnsi="宋体" w:cs="宋体"/>
                <w:bCs/>
                <w:szCs w:val="21"/>
              </w:rPr>
              <w:t>分；</w:t>
            </w:r>
          </w:p>
          <w:p w14:paraId="324B62F3">
            <w:pPr>
              <w:pStyle w:val="28"/>
              <w:keepNext w:val="0"/>
              <w:keepLines w:val="0"/>
              <w:pageBreakBefore w:val="0"/>
              <w:kinsoku/>
              <w:wordWrap/>
              <w:overflowPunct/>
              <w:topLinePunct w:val="0"/>
              <w:autoSpaceDE/>
              <w:autoSpaceDN/>
              <w:bidi w:val="0"/>
              <w:adjustRightInd w:val="0"/>
              <w:snapToGrid w:val="0"/>
              <w:spacing w:line="400" w:lineRule="exact"/>
              <w:jc w:val="left"/>
              <w:rPr>
                <w:rFonts w:hint="eastAsia" w:ascii="宋体" w:hAnsi="宋体" w:cs="宋体"/>
                <w:bCs/>
                <w:szCs w:val="21"/>
              </w:rPr>
            </w:pPr>
            <w:r>
              <w:rPr>
                <w:rFonts w:hint="eastAsia" w:ascii="宋体" w:hAnsi="宋体" w:cs="宋体"/>
                <w:bCs/>
                <w:szCs w:val="21"/>
              </w:rPr>
              <w:t>计划进度安排不够合理、进度控制措施不够详细、时间节点把控不够科学</w:t>
            </w:r>
            <w:r>
              <w:rPr>
                <w:rFonts w:hint="eastAsia" w:ascii="宋体" w:hAnsi="宋体" w:cs="宋体"/>
                <w:bCs/>
                <w:szCs w:val="21"/>
                <w:lang w:eastAsia="zh-CN"/>
              </w:rPr>
              <w:t>，</w:t>
            </w:r>
            <w:r>
              <w:rPr>
                <w:rFonts w:hint="eastAsia" w:ascii="宋体" w:hAnsi="宋体" w:cs="宋体"/>
                <w:bCs/>
                <w:szCs w:val="21"/>
                <w:lang w:val="en-US" w:eastAsia="zh-CN"/>
              </w:rPr>
              <w:t>各方面均有待提升</w:t>
            </w:r>
            <w:r>
              <w:rPr>
                <w:rFonts w:hint="eastAsia" w:ascii="宋体" w:hAnsi="宋体" w:cs="宋体"/>
                <w:bCs/>
                <w:szCs w:val="21"/>
              </w:rPr>
              <w:t>的得</w:t>
            </w:r>
            <w:r>
              <w:rPr>
                <w:rFonts w:hint="eastAsia" w:ascii="宋体" w:hAnsi="宋体" w:cs="宋体"/>
                <w:bCs/>
                <w:szCs w:val="21"/>
                <w:lang w:val="en-US" w:eastAsia="zh-CN"/>
              </w:rPr>
              <w:t>3</w:t>
            </w:r>
            <w:r>
              <w:rPr>
                <w:rFonts w:hint="eastAsia" w:ascii="宋体" w:hAnsi="宋体" w:cs="宋体"/>
                <w:bCs/>
                <w:szCs w:val="21"/>
              </w:rPr>
              <w:t>分；</w:t>
            </w:r>
          </w:p>
          <w:p w14:paraId="7CFE76D7">
            <w:pPr>
              <w:pStyle w:val="28"/>
              <w:keepNext w:val="0"/>
              <w:keepLines w:val="0"/>
              <w:pageBreakBefore w:val="0"/>
              <w:kinsoku/>
              <w:wordWrap/>
              <w:overflowPunct/>
              <w:topLinePunct w:val="0"/>
              <w:autoSpaceDE/>
              <w:autoSpaceDN/>
              <w:bidi w:val="0"/>
              <w:adjustRightInd w:val="0"/>
              <w:snapToGrid w:val="0"/>
              <w:spacing w:line="400" w:lineRule="exact"/>
              <w:jc w:val="left"/>
              <w:rPr>
                <w:rFonts w:hint="eastAsia" w:ascii="宋体" w:hAnsi="宋体" w:cs="宋体"/>
                <w:bCs/>
                <w:szCs w:val="21"/>
              </w:rPr>
            </w:pPr>
            <w:r>
              <w:rPr>
                <w:rFonts w:hint="eastAsia" w:ascii="宋体" w:hAnsi="宋体" w:cs="宋体"/>
                <w:bCs/>
                <w:szCs w:val="21"/>
              </w:rPr>
              <w:t>计划进度安排</w:t>
            </w:r>
            <w:r>
              <w:rPr>
                <w:rFonts w:hint="eastAsia" w:ascii="宋体" w:hAnsi="宋体" w:cs="宋体"/>
                <w:bCs/>
                <w:szCs w:val="21"/>
                <w:lang w:val="en-US" w:eastAsia="zh-CN"/>
              </w:rPr>
              <w:t>粗略</w:t>
            </w:r>
            <w:r>
              <w:rPr>
                <w:rFonts w:hint="eastAsia" w:ascii="宋体" w:hAnsi="宋体" w:cs="宋体"/>
                <w:bCs/>
                <w:szCs w:val="21"/>
              </w:rPr>
              <w:t>、进度控制措施</w:t>
            </w:r>
            <w:r>
              <w:rPr>
                <w:rFonts w:hint="eastAsia" w:ascii="宋体" w:hAnsi="宋体" w:cs="宋体"/>
                <w:bCs/>
                <w:szCs w:val="21"/>
                <w:lang w:val="en-US" w:eastAsia="zh-CN"/>
              </w:rPr>
              <w:t>缺失</w:t>
            </w:r>
            <w:r>
              <w:rPr>
                <w:rFonts w:hint="eastAsia" w:ascii="宋体" w:hAnsi="宋体" w:cs="宋体"/>
                <w:bCs/>
                <w:szCs w:val="21"/>
              </w:rPr>
              <w:t>、时间节点</w:t>
            </w:r>
            <w:r>
              <w:rPr>
                <w:rFonts w:hint="eastAsia" w:ascii="宋体" w:hAnsi="宋体" w:cs="宋体"/>
                <w:bCs/>
                <w:szCs w:val="21"/>
                <w:lang w:val="en-US" w:eastAsia="zh-CN"/>
              </w:rPr>
              <w:t>把控不能切合项目实际情况</w:t>
            </w:r>
            <w:r>
              <w:rPr>
                <w:rFonts w:hint="eastAsia" w:ascii="宋体" w:hAnsi="宋体" w:cs="宋体"/>
                <w:bCs/>
                <w:szCs w:val="21"/>
              </w:rPr>
              <w:t>的得</w:t>
            </w:r>
            <w:r>
              <w:rPr>
                <w:rFonts w:hint="eastAsia" w:ascii="宋体" w:hAnsi="宋体" w:cs="宋体"/>
                <w:bCs/>
                <w:szCs w:val="21"/>
                <w:lang w:val="en-US" w:eastAsia="zh-CN"/>
              </w:rPr>
              <w:t>1</w:t>
            </w:r>
            <w:r>
              <w:rPr>
                <w:rFonts w:hint="eastAsia" w:ascii="宋体" w:hAnsi="宋体" w:cs="宋体"/>
                <w:bCs/>
                <w:szCs w:val="21"/>
              </w:rPr>
              <w:t>分；</w:t>
            </w:r>
          </w:p>
          <w:p w14:paraId="44A92563">
            <w:pPr>
              <w:pStyle w:val="28"/>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szCs w:val="21"/>
              </w:rPr>
              <w:t>未提供的不得分。</w:t>
            </w:r>
          </w:p>
        </w:tc>
      </w:tr>
      <w:tr w14:paraId="112E1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536" w:type="dxa"/>
            <w:vMerge w:val="continue"/>
            <w:noWrap w:val="0"/>
            <w:vAlign w:val="center"/>
          </w:tcPr>
          <w:p w14:paraId="2F7460AC">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color w:val="auto"/>
                <w:sz w:val="21"/>
                <w:szCs w:val="21"/>
                <w:highlight w:val="none"/>
              </w:rPr>
            </w:pPr>
          </w:p>
        </w:tc>
        <w:tc>
          <w:tcPr>
            <w:tcW w:w="1231" w:type="dxa"/>
            <w:noWrap w:val="0"/>
            <w:vAlign w:val="center"/>
          </w:tcPr>
          <w:p w14:paraId="73B7AD58">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b w:val="0"/>
                <w:bCs/>
                <w:color w:val="auto"/>
                <w:sz w:val="21"/>
                <w:szCs w:val="21"/>
                <w:highlight w:val="none"/>
                <w:lang w:val="en-US" w:eastAsia="zh-CN" w:bidi="ar-SA"/>
              </w:rPr>
            </w:pPr>
            <w:r>
              <w:rPr>
                <w:rFonts w:hint="eastAsia" w:ascii="宋体" w:hAnsi="宋体" w:eastAsia="宋体" w:cs="宋体"/>
                <w:b w:val="0"/>
                <w:bCs/>
                <w:color w:val="auto"/>
                <w:sz w:val="21"/>
                <w:szCs w:val="21"/>
                <w:highlight w:val="none"/>
              </w:rPr>
              <w:t>质量</w:t>
            </w:r>
            <w:r>
              <w:rPr>
                <w:rFonts w:hint="eastAsia" w:ascii="宋体" w:hAnsi="宋体" w:eastAsia="宋体" w:cs="宋体"/>
                <w:b w:val="0"/>
                <w:bCs/>
                <w:color w:val="auto"/>
                <w:sz w:val="21"/>
                <w:szCs w:val="21"/>
                <w:highlight w:val="none"/>
                <w:lang w:val="en-US" w:eastAsia="zh-CN"/>
              </w:rPr>
              <w:t>保障方案</w:t>
            </w:r>
          </w:p>
        </w:tc>
        <w:tc>
          <w:tcPr>
            <w:tcW w:w="638" w:type="dxa"/>
            <w:noWrap w:val="0"/>
            <w:vAlign w:val="center"/>
          </w:tcPr>
          <w:p w14:paraId="7D1EF770">
            <w:pPr>
              <w:keepNext w:val="0"/>
              <w:keepLines w:val="0"/>
              <w:pageBreakBefore w:val="0"/>
              <w:widowControl w:val="0"/>
              <w:kinsoku/>
              <w:wordWrap/>
              <w:overflowPunct/>
              <w:topLinePunct w:val="0"/>
              <w:autoSpaceDE/>
              <w:autoSpaceDN/>
              <w:bidi w:val="0"/>
              <w:adjustRightInd w:val="0"/>
              <w:spacing w:line="400" w:lineRule="exact"/>
              <w:jc w:val="center"/>
              <w:textAlignment w:val="auto"/>
              <w:rPr>
                <w:rFonts w:hint="eastAsia" w:ascii="宋体" w:hAnsi="宋体" w:eastAsia="宋体" w:cs="宋体"/>
                <w:b w:val="0"/>
                <w:bCs/>
                <w:color w:val="auto"/>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6</w:t>
            </w:r>
          </w:p>
        </w:tc>
        <w:tc>
          <w:tcPr>
            <w:tcW w:w="7288" w:type="dxa"/>
            <w:noWrap w:val="0"/>
            <w:vAlign w:val="center"/>
          </w:tcPr>
          <w:p w14:paraId="25BB5E10">
            <w:pPr>
              <w:pStyle w:val="28"/>
              <w:keepNext w:val="0"/>
              <w:keepLines w:val="0"/>
              <w:pageBreakBefore w:val="0"/>
              <w:kinsoku/>
              <w:wordWrap/>
              <w:overflowPunct/>
              <w:topLinePunct w:val="0"/>
              <w:autoSpaceDE/>
              <w:autoSpaceDN/>
              <w:bidi w:val="0"/>
              <w:adjustRightInd w:val="0"/>
              <w:snapToGrid w:val="0"/>
              <w:spacing w:line="400" w:lineRule="exact"/>
              <w:jc w:val="left"/>
              <w:rPr>
                <w:rFonts w:ascii="宋体" w:hAnsi="宋体" w:cs="宋体"/>
                <w:bCs/>
                <w:szCs w:val="21"/>
              </w:rPr>
            </w:pPr>
            <w:r>
              <w:rPr>
                <w:rFonts w:hint="eastAsia" w:ascii="宋体" w:hAnsi="宋体" w:cs="宋体"/>
                <w:kern w:val="0"/>
                <w:szCs w:val="21"/>
              </w:rPr>
              <w:t>根据</w:t>
            </w:r>
            <w:r>
              <w:rPr>
                <w:rFonts w:hint="eastAsia" w:ascii="宋体" w:hAnsi="宋体" w:cs="宋体"/>
                <w:kern w:val="0"/>
                <w:szCs w:val="21"/>
                <w:lang w:eastAsia="zh-CN"/>
              </w:rPr>
              <w:t>供应商</w:t>
            </w:r>
            <w:r>
              <w:rPr>
                <w:rFonts w:hint="eastAsia" w:ascii="宋体" w:hAnsi="宋体" w:cs="宋体"/>
                <w:kern w:val="0"/>
                <w:szCs w:val="21"/>
              </w:rPr>
              <w:t>苗木起苗、运输等保障苗木质量保障方案</w:t>
            </w:r>
            <w:r>
              <w:rPr>
                <w:rFonts w:hint="eastAsia" w:ascii="宋体" w:hAnsi="宋体" w:cs="宋体"/>
                <w:bCs/>
                <w:szCs w:val="21"/>
              </w:rPr>
              <w:t>进行评审。</w:t>
            </w:r>
          </w:p>
          <w:p w14:paraId="0158E40D">
            <w:pPr>
              <w:pStyle w:val="28"/>
              <w:keepNext w:val="0"/>
              <w:keepLines w:val="0"/>
              <w:pageBreakBefore w:val="0"/>
              <w:kinsoku/>
              <w:wordWrap/>
              <w:overflowPunct/>
              <w:topLinePunct w:val="0"/>
              <w:autoSpaceDE/>
              <w:autoSpaceDN/>
              <w:bidi w:val="0"/>
              <w:adjustRightInd w:val="0"/>
              <w:snapToGrid w:val="0"/>
              <w:spacing w:line="400" w:lineRule="exact"/>
              <w:jc w:val="left"/>
              <w:rPr>
                <w:rFonts w:ascii="宋体" w:hAnsi="宋体" w:cs="宋体"/>
                <w:bCs/>
                <w:szCs w:val="21"/>
              </w:rPr>
            </w:pPr>
            <w:r>
              <w:rPr>
                <w:rFonts w:hint="eastAsia" w:ascii="宋体" w:hAnsi="宋体" w:cs="宋体"/>
                <w:bCs/>
                <w:szCs w:val="21"/>
              </w:rPr>
              <w:t>苗木质量保障方案内容详细全面、流程清晰、保障措施到位的得</w:t>
            </w:r>
            <w:r>
              <w:rPr>
                <w:rFonts w:ascii="宋体" w:hAnsi="宋体" w:cs="宋体"/>
                <w:bCs/>
                <w:szCs w:val="21"/>
              </w:rPr>
              <w:t>6</w:t>
            </w:r>
            <w:r>
              <w:rPr>
                <w:rFonts w:hint="eastAsia" w:ascii="宋体" w:hAnsi="宋体" w:cs="宋体"/>
                <w:bCs/>
                <w:szCs w:val="21"/>
              </w:rPr>
              <w:t>分；</w:t>
            </w:r>
          </w:p>
          <w:p w14:paraId="05CAE25A">
            <w:pPr>
              <w:pStyle w:val="28"/>
              <w:keepNext w:val="0"/>
              <w:keepLines w:val="0"/>
              <w:pageBreakBefore w:val="0"/>
              <w:kinsoku/>
              <w:wordWrap/>
              <w:overflowPunct/>
              <w:topLinePunct w:val="0"/>
              <w:autoSpaceDE/>
              <w:autoSpaceDN/>
              <w:bidi w:val="0"/>
              <w:adjustRightInd w:val="0"/>
              <w:snapToGrid w:val="0"/>
              <w:spacing w:line="400" w:lineRule="exact"/>
              <w:jc w:val="left"/>
              <w:rPr>
                <w:rFonts w:ascii="宋体" w:hAnsi="宋体" w:cs="宋体"/>
                <w:bCs/>
                <w:szCs w:val="21"/>
              </w:rPr>
            </w:pPr>
            <w:r>
              <w:rPr>
                <w:rFonts w:hint="eastAsia" w:ascii="宋体" w:hAnsi="宋体" w:cs="宋体"/>
                <w:bCs/>
                <w:szCs w:val="21"/>
              </w:rPr>
              <w:t>苗木质量保障方案内容较详细全面、流程较清晰、保障措施较到位的得</w:t>
            </w:r>
            <w:r>
              <w:rPr>
                <w:rFonts w:hint="eastAsia" w:ascii="宋体" w:hAnsi="宋体" w:cs="宋体"/>
                <w:bCs/>
                <w:szCs w:val="21"/>
                <w:lang w:val="en-US" w:eastAsia="zh-CN"/>
              </w:rPr>
              <w:t>5</w:t>
            </w:r>
            <w:r>
              <w:rPr>
                <w:rFonts w:hint="eastAsia" w:ascii="宋体" w:hAnsi="宋体" w:cs="宋体"/>
                <w:bCs/>
                <w:szCs w:val="21"/>
              </w:rPr>
              <w:t>分；</w:t>
            </w:r>
          </w:p>
          <w:p w14:paraId="018341AA">
            <w:pPr>
              <w:pStyle w:val="28"/>
              <w:keepNext w:val="0"/>
              <w:keepLines w:val="0"/>
              <w:pageBreakBefore w:val="0"/>
              <w:kinsoku/>
              <w:wordWrap/>
              <w:overflowPunct/>
              <w:topLinePunct w:val="0"/>
              <w:autoSpaceDE/>
              <w:autoSpaceDN/>
              <w:bidi w:val="0"/>
              <w:adjustRightInd w:val="0"/>
              <w:snapToGrid w:val="0"/>
              <w:spacing w:line="400" w:lineRule="exact"/>
              <w:jc w:val="left"/>
              <w:rPr>
                <w:rFonts w:hint="eastAsia" w:ascii="宋体" w:hAnsi="宋体" w:cs="宋体"/>
                <w:bCs/>
                <w:szCs w:val="21"/>
              </w:rPr>
            </w:pPr>
            <w:r>
              <w:rPr>
                <w:rFonts w:hint="eastAsia" w:ascii="宋体" w:hAnsi="宋体" w:cs="宋体"/>
                <w:bCs/>
                <w:szCs w:val="21"/>
              </w:rPr>
              <w:t>苗木质量保障方案内容不够详细全面、流程不够清晰、保障措施不够到位的得</w:t>
            </w:r>
            <w:r>
              <w:rPr>
                <w:rFonts w:hint="eastAsia" w:ascii="宋体" w:hAnsi="宋体" w:cs="宋体"/>
                <w:bCs/>
                <w:szCs w:val="21"/>
                <w:lang w:val="en-US" w:eastAsia="zh-CN"/>
              </w:rPr>
              <w:t>3</w:t>
            </w:r>
            <w:r>
              <w:rPr>
                <w:rFonts w:hint="eastAsia" w:ascii="宋体" w:hAnsi="宋体" w:cs="宋体"/>
                <w:bCs/>
                <w:szCs w:val="21"/>
              </w:rPr>
              <w:t>分；</w:t>
            </w:r>
          </w:p>
          <w:p w14:paraId="4BE88718">
            <w:pPr>
              <w:pStyle w:val="28"/>
              <w:keepNext w:val="0"/>
              <w:keepLines w:val="0"/>
              <w:pageBreakBefore w:val="0"/>
              <w:kinsoku/>
              <w:wordWrap/>
              <w:overflowPunct/>
              <w:topLinePunct w:val="0"/>
              <w:autoSpaceDE/>
              <w:autoSpaceDN/>
              <w:bidi w:val="0"/>
              <w:adjustRightInd w:val="0"/>
              <w:snapToGrid w:val="0"/>
              <w:spacing w:line="400" w:lineRule="exact"/>
              <w:jc w:val="left"/>
              <w:rPr>
                <w:rFonts w:hint="default" w:ascii="宋体" w:hAnsi="宋体" w:eastAsia="宋体" w:cs="宋体"/>
                <w:bCs/>
                <w:szCs w:val="21"/>
                <w:lang w:val="en-US" w:eastAsia="zh-CN"/>
              </w:rPr>
            </w:pPr>
            <w:r>
              <w:rPr>
                <w:rFonts w:hint="eastAsia" w:ascii="宋体" w:hAnsi="宋体" w:cs="宋体"/>
                <w:bCs/>
                <w:szCs w:val="21"/>
              </w:rPr>
              <w:t>苗木质量保障方案内容</w:t>
            </w:r>
            <w:r>
              <w:rPr>
                <w:rFonts w:hint="eastAsia" w:ascii="宋体" w:hAnsi="宋体" w:cs="宋体"/>
                <w:bCs/>
                <w:szCs w:val="21"/>
                <w:lang w:val="en-US" w:eastAsia="zh-CN"/>
              </w:rPr>
              <w:t>简单粗错，各方面不清晰的得1分；</w:t>
            </w:r>
          </w:p>
          <w:p w14:paraId="45C89F52">
            <w:pPr>
              <w:pStyle w:val="28"/>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szCs w:val="21"/>
              </w:rPr>
              <w:t>未提供的不得分。</w:t>
            </w:r>
          </w:p>
        </w:tc>
      </w:tr>
      <w:tr w14:paraId="4E887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536" w:type="dxa"/>
            <w:vMerge w:val="continue"/>
            <w:noWrap w:val="0"/>
            <w:vAlign w:val="center"/>
          </w:tcPr>
          <w:p w14:paraId="3EE8CA56">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color w:val="auto"/>
                <w:sz w:val="21"/>
                <w:szCs w:val="21"/>
                <w:highlight w:val="none"/>
              </w:rPr>
            </w:pPr>
          </w:p>
        </w:tc>
        <w:tc>
          <w:tcPr>
            <w:tcW w:w="1231" w:type="dxa"/>
            <w:vMerge w:val="restart"/>
            <w:noWrap w:val="0"/>
            <w:vAlign w:val="center"/>
          </w:tcPr>
          <w:p w14:paraId="7CFE1BF8">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b w:val="0"/>
                <w:bCs/>
                <w:color w:val="auto"/>
                <w:sz w:val="21"/>
                <w:szCs w:val="21"/>
                <w:highlight w:val="none"/>
                <w:lang w:val="en-US" w:eastAsia="zh-CN" w:bidi="ar-SA"/>
              </w:rPr>
            </w:pPr>
            <w:r>
              <w:rPr>
                <w:rFonts w:hint="eastAsia" w:ascii="宋体" w:hAnsi="宋体" w:eastAsia="宋体" w:cs="宋体"/>
                <w:b w:val="0"/>
                <w:bCs/>
                <w:color w:val="auto"/>
                <w:sz w:val="21"/>
                <w:szCs w:val="21"/>
                <w:highlight w:val="none"/>
              </w:rPr>
              <w:t>安全生产、文明作业、环保措施</w:t>
            </w:r>
          </w:p>
        </w:tc>
        <w:tc>
          <w:tcPr>
            <w:tcW w:w="638" w:type="dxa"/>
            <w:noWrap w:val="0"/>
            <w:vAlign w:val="center"/>
          </w:tcPr>
          <w:p w14:paraId="107945DD">
            <w:pPr>
              <w:keepNext w:val="0"/>
              <w:keepLines w:val="0"/>
              <w:pageBreakBefore w:val="0"/>
              <w:widowControl w:val="0"/>
              <w:kinsoku/>
              <w:wordWrap/>
              <w:overflowPunct/>
              <w:topLinePunct w:val="0"/>
              <w:autoSpaceDE/>
              <w:autoSpaceDN/>
              <w:bidi w:val="0"/>
              <w:adjustRightInd w:val="0"/>
              <w:spacing w:line="400" w:lineRule="exact"/>
              <w:jc w:val="center"/>
              <w:textAlignment w:val="auto"/>
              <w:rPr>
                <w:rFonts w:hint="eastAsia" w:ascii="宋体" w:hAnsi="宋体" w:eastAsia="宋体" w:cs="宋体"/>
                <w:b w:val="0"/>
                <w:bCs/>
                <w:color w:val="auto"/>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4</w:t>
            </w:r>
          </w:p>
        </w:tc>
        <w:tc>
          <w:tcPr>
            <w:tcW w:w="7288" w:type="dxa"/>
            <w:noWrap w:val="0"/>
            <w:vAlign w:val="center"/>
          </w:tcPr>
          <w:p w14:paraId="04D2CE49">
            <w:pPr>
              <w:keepNext w:val="0"/>
              <w:keepLines w:val="0"/>
              <w:pageBreakBefore w:val="0"/>
              <w:widowControl w:val="0"/>
              <w:tabs>
                <w:tab w:val="left" w:pos="4541"/>
              </w:tabs>
              <w:kinsoku/>
              <w:wordWrap/>
              <w:overflowPunct/>
              <w:topLinePunct w:val="0"/>
              <w:autoSpaceDE/>
              <w:autoSpaceDN/>
              <w:bidi w:val="0"/>
              <w:adjustRightInd w:val="0"/>
              <w:spacing w:line="400" w:lineRule="exact"/>
              <w:ind w:firstLine="1"/>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根据</w:t>
            </w:r>
            <w:r>
              <w:rPr>
                <w:rFonts w:hint="eastAsia" w:ascii="宋体" w:hAnsi="宋体" w:eastAsia="宋体" w:cs="宋体"/>
                <w:b w:val="0"/>
                <w:bCs/>
                <w:color w:val="auto"/>
                <w:sz w:val="21"/>
                <w:szCs w:val="21"/>
                <w:highlight w:val="none"/>
                <w:lang w:eastAsia="zh-CN"/>
              </w:rPr>
              <w:t>供应商</w:t>
            </w:r>
            <w:r>
              <w:rPr>
                <w:rFonts w:hint="eastAsia" w:ascii="宋体" w:hAnsi="宋体" w:eastAsia="宋体" w:cs="宋体"/>
                <w:b w:val="0"/>
                <w:bCs/>
                <w:color w:val="auto"/>
                <w:sz w:val="21"/>
                <w:szCs w:val="21"/>
                <w:highlight w:val="none"/>
              </w:rPr>
              <w:t>提供的安全生产措施进行评审。</w:t>
            </w:r>
          </w:p>
          <w:p w14:paraId="1260AD94">
            <w:pPr>
              <w:pStyle w:val="28"/>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安全生产措施内容齐全、措施到位、满足采购人需求的得</w:t>
            </w:r>
            <w:r>
              <w:rPr>
                <w:rFonts w:hint="eastAsia" w:ascii="宋体" w:hAnsi="宋体" w:eastAsia="宋体" w:cs="宋体"/>
                <w:b w:val="0"/>
                <w:bCs/>
                <w:color w:val="auto"/>
                <w:sz w:val="21"/>
                <w:szCs w:val="21"/>
                <w:highlight w:val="none"/>
                <w:lang w:val="en-US" w:eastAsia="zh-CN"/>
              </w:rPr>
              <w:t>4</w:t>
            </w:r>
            <w:r>
              <w:rPr>
                <w:rFonts w:hint="eastAsia" w:ascii="宋体" w:hAnsi="宋体" w:eastAsia="宋体" w:cs="宋体"/>
                <w:b w:val="0"/>
                <w:bCs/>
                <w:color w:val="auto"/>
                <w:sz w:val="21"/>
                <w:szCs w:val="21"/>
                <w:highlight w:val="none"/>
              </w:rPr>
              <w:t>分；</w:t>
            </w:r>
          </w:p>
          <w:p w14:paraId="2B09A871">
            <w:pPr>
              <w:keepNext w:val="0"/>
              <w:keepLines w:val="0"/>
              <w:pageBreakBefore w:val="0"/>
              <w:widowControl w:val="0"/>
              <w:tabs>
                <w:tab w:val="left" w:pos="4541"/>
              </w:tabs>
              <w:kinsoku/>
              <w:wordWrap/>
              <w:overflowPunct/>
              <w:topLinePunct w:val="0"/>
              <w:autoSpaceDE/>
              <w:autoSpaceDN/>
              <w:bidi w:val="0"/>
              <w:adjustRightInd w:val="0"/>
              <w:spacing w:line="400" w:lineRule="exact"/>
              <w:ind w:firstLine="1" w:firstLineChars="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安全生产措施</w:t>
            </w:r>
            <w:r>
              <w:rPr>
                <w:rFonts w:hint="eastAsia" w:ascii="宋体" w:hAnsi="宋体" w:eastAsia="宋体" w:cs="宋体"/>
                <w:b w:val="0"/>
                <w:bCs/>
                <w:color w:val="auto"/>
                <w:sz w:val="21"/>
                <w:szCs w:val="21"/>
                <w:highlight w:val="none"/>
                <w:lang w:val="en-US" w:eastAsia="zh-CN"/>
              </w:rPr>
              <w:t>较为</w:t>
            </w:r>
            <w:r>
              <w:rPr>
                <w:rFonts w:hint="eastAsia" w:ascii="宋体" w:hAnsi="宋体" w:eastAsia="宋体" w:cs="宋体"/>
                <w:b w:val="0"/>
                <w:bCs/>
                <w:color w:val="auto"/>
                <w:sz w:val="21"/>
                <w:szCs w:val="21"/>
                <w:highlight w:val="none"/>
              </w:rPr>
              <w:t>完整、措施</w:t>
            </w:r>
            <w:r>
              <w:rPr>
                <w:rFonts w:hint="eastAsia" w:ascii="宋体" w:hAnsi="宋体" w:eastAsia="宋体" w:cs="宋体"/>
                <w:b w:val="0"/>
                <w:bCs/>
                <w:color w:val="auto"/>
                <w:sz w:val="21"/>
                <w:szCs w:val="21"/>
                <w:highlight w:val="none"/>
                <w:lang w:val="en-US" w:eastAsia="zh-CN"/>
              </w:rPr>
              <w:t>较完善</w:t>
            </w:r>
            <w:r>
              <w:rPr>
                <w:rFonts w:hint="eastAsia" w:ascii="宋体" w:hAnsi="宋体" w:eastAsia="宋体" w:cs="宋体"/>
                <w:b w:val="0"/>
                <w:bCs/>
                <w:color w:val="auto"/>
                <w:sz w:val="21"/>
                <w:szCs w:val="21"/>
                <w:highlight w:val="none"/>
              </w:rPr>
              <w:t>、</w:t>
            </w:r>
            <w:r>
              <w:rPr>
                <w:rFonts w:hint="eastAsia" w:ascii="宋体" w:hAnsi="宋体" w:eastAsia="宋体" w:cs="宋体"/>
                <w:b w:val="0"/>
                <w:bCs/>
                <w:color w:val="auto"/>
                <w:sz w:val="21"/>
                <w:szCs w:val="21"/>
                <w:highlight w:val="none"/>
                <w:lang w:val="en-US" w:eastAsia="zh-CN"/>
              </w:rPr>
              <w:t>能</w:t>
            </w:r>
            <w:r>
              <w:rPr>
                <w:rFonts w:hint="eastAsia" w:ascii="宋体" w:hAnsi="宋体" w:eastAsia="宋体" w:cs="宋体"/>
                <w:b w:val="0"/>
                <w:bCs/>
                <w:color w:val="auto"/>
                <w:sz w:val="21"/>
                <w:szCs w:val="21"/>
                <w:highlight w:val="none"/>
              </w:rPr>
              <w:t>满足采购人需求的得</w:t>
            </w:r>
            <w:r>
              <w:rPr>
                <w:rFonts w:hint="eastAsia" w:ascii="宋体" w:hAnsi="宋体" w:eastAsia="宋体" w:cs="宋体"/>
                <w:b w:val="0"/>
                <w:bCs/>
                <w:color w:val="auto"/>
                <w:sz w:val="21"/>
                <w:szCs w:val="21"/>
                <w:highlight w:val="none"/>
                <w:lang w:val="en-US" w:eastAsia="zh-CN"/>
              </w:rPr>
              <w:t>3</w:t>
            </w:r>
            <w:r>
              <w:rPr>
                <w:rFonts w:hint="eastAsia" w:ascii="宋体" w:hAnsi="宋体" w:eastAsia="宋体" w:cs="宋体"/>
                <w:b w:val="0"/>
                <w:bCs/>
                <w:color w:val="auto"/>
                <w:sz w:val="21"/>
                <w:szCs w:val="21"/>
                <w:highlight w:val="none"/>
              </w:rPr>
              <w:t>分；</w:t>
            </w:r>
          </w:p>
          <w:p w14:paraId="01D02854">
            <w:pPr>
              <w:pStyle w:val="28"/>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安全生产措施</w:t>
            </w:r>
            <w:r>
              <w:rPr>
                <w:rFonts w:hint="eastAsia" w:ascii="宋体" w:hAnsi="宋体" w:eastAsia="宋体" w:cs="宋体"/>
                <w:b w:val="0"/>
                <w:bCs/>
                <w:color w:val="auto"/>
                <w:sz w:val="21"/>
                <w:szCs w:val="21"/>
                <w:highlight w:val="none"/>
                <w:lang w:val="en-US" w:eastAsia="zh-CN"/>
              </w:rPr>
              <w:t>完整性、可行性一般</w:t>
            </w:r>
            <w:r>
              <w:rPr>
                <w:rFonts w:hint="eastAsia" w:ascii="宋体" w:hAnsi="宋体" w:eastAsia="宋体" w:cs="宋体"/>
                <w:b w:val="0"/>
                <w:bCs/>
                <w:color w:val="auto"/>
                <w:sz w:val="21"/>
                <w:szCs w:val="21"/>
                <w:highlight w:val="none"/>
              </w:rPr>
              <w:t>的得</w:t>
            </w:r>
            <w:r>
              <w:rPr>
                <w:rFonts w:hint="eastAsia" w:ascii="宋体" w:hAnsi="宋体" w:eastAsia="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分；</w:t>
            </w:r>
          </w:p>
          <w:p w14:paraId="41E0D23C">
            <w:pPr>
              <w:pStyle w:val="28"/>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安全生产措施</w:t>
            </w:r>
            <w:r>
              <w:rPr>
                <w:rFonts w:hint="eastAsia" w:ascii="宋体" w:hAnsi="宋体" w:eastAsia="宋体" w:cs="宋体"/>
                <w:b w:val="0"/>
                <w:bCs/>
                <w:color w:val="auto"/>
                <w:sz w:val="21"/>
                <w:szCs w:val="21"/>
                <w:highlight w:val="none"/>
                <w:lang w:val="en-US" w:eastAsia="zh-CN"/>
              </w:rPr>
              <w:t>缺乏可行性，</w:t>
            </w:r>
            <w:r>
              <w:rPr>
                <w:rFonts w:hint="eastAsia" w:ascii="宋体" w:hAnsi="宋体" w:eastAsia="宋体" w:cs="宋体"/>
                <w:b w:val="0"/>
                <w:bCs/>
                <w:color w:val="auto"/>
                <w:sz w:val="21"/>
                <w:szCs w:val="21"/>
                <w:highlight w:val="none"/>
              </w:rPr>
              <w:t>不能满足采购人需求的得</w:t>
            </w:r>
            <w:r>
              <w:rPr>
                <w:rFonts w:hint="eastAsia" w:ascii="宋体" w:hAnsi="宋体" w:eastAsia="宋体" w:cs="宋体"/>
                <w:b w:val="0"/>
                <w:bCs/>
                <w:color w:val="auto"/>
                <w:sz w:val="21"/>
                <w:szCs w:val="21"/>
                <w:highlight w:val="none"/>
                <w:lang w:val="en-US" w:eastAsia="zh-CN"/>
              </w:rPr>
              <w:t>1</w:t>
            </w:r>
            <w:r>
              <w:rPr>
                <w:rFonts w:hint="eastAsia" w:ascii="宋体" w:hAnsi="宋体" w:eastAsia="宋体" w:cs="宋体"/>
                <w:b w:val="0"/>
                <w:bCs/>
                <w:color w:val="auto"/>
                <w:sz w:val="21"/>
                <w:szCs w:val="21"/>
                <w:highlight w:val="none"/>
              </w:rPr>
              <w:t>分；</w:t>
            </w:r>
          </w:p>
          <w:p w14:paraId="73841E21">
            <w:pPr>
              <w:pStyle w:val="28"/>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rPr>
              <w:t>未提供的不得分。</w:t>
            </w:r>
          </w:p>
        </w:tc>
      </w:tr>
      <w:tr w14:paraId="6E8F5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536" w:type="dxa"/>
            <w:vMerge w:val="continue"/>
            <w:noWrap w:val="0"/>
            <w:vAlign w:val="center"/>
          </w:tcPr>
          <w:p w14:paraId="4963E78A">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color w:val="auto"/>
                <w:sz w:val="21"/>
                <w:szCs w:val="21"/>
                <w:highlight w:val="none"/>
              </w:rPr>
            </w:pPr>
          </w:p>
        </w:tc>
        <w:tc>
          <w:tcPr>
            <w:tcW w:w="1231" w:type="dxa"/>
            <w:vMerge w:val="continue"/>
            <w:noWrap w:val="0"/>
            <w:vAlign w:val="center"/>
          </w:tcPr>
          <w:p w14:paraId="14E38868">
            <w:pPr>
              <w:keepNext w:val="0"/>
              <w:keepLines w:val="0"/>
              <w:pageBreakBefore w:val="0"/>
              <w:tabs>
                <w:tab w:val="left" w:pos="5940"/>
              </w:tabs>
              <w:kinsoku/>
              <w:wordWrap/>
              <w:overflowPunct/>
              <w:topLinePunct w:val="0"/>
              <w:autoSpaceDE/>
              <w:autoSpaceDN/>
              <w:bidi w:val="0"/>
              <w:adjustRightInd w:val="0"/>
              <w:spacing w:line="400" w:lineRule="exact"/>
              <w:jc w:val="center"/>
              <w:rPr>
                <w:rFonts w:hint="eastAsia" w:ascii="宋体" w:hAnsi="宋体" w:eastAsia="宋体" w:cs="宋体"/>
                <w:b w:val="0"/>
                <w:bCs/>
                <w:color w:val="auto"/>
                <w:kern w:val="0"/>
                <w:sz w:val="21"/>
                <w:szCs w:val="21"/>
                <w:highlight w:val="none"/>
                <w:lang w:eastAsia="zh-CN"/>
              </w:rPr>
            </w:pPr>
          </w:p>
        </w:tc>
        <w:tc>
          <w:tcPr>
            <w:tcW w:w="638" w:type="dxa"/>
            <w:noWrap w:val="0"/>
            <w:vAlign w:val="center"/>
          </w:tcPr>
          <w:p w14:paraId="645BB0A6">
            <w:pPr>
              <w:keepNext w:val="0"/>
              <w:keepLines w:val="0"/>
              <w:pageBreakBefore w:val="0"/>
              <w:widowControl w:val="0"/>
              <w:kinsoku/>
              <w:wordWrap/>
              <w:overflowPunct/>
              <w:topLinePunct w:val="0"/>
              <w:autoSpaceDE/>
              <w:autoSpaceDN/>
              <w:bidi w:val="0"/>
              <w:adjustRightInd w:val="0"/>
              <w:spacing w:line="400" w:lineRule="exact"/>
              <w:jc w:val="center"/>
              <w:textAlignment w:val="auto"/>
              <w:rPr>
                <w:rFonts w:hint="eastAsia" w:ascii="宋体" w:hAnsi="宋体" w:eastAsia="宋体" w:cs="宋体"/>
                <w:b w:val="0"/>
                <w:bCs/>
                <w:color w:val="auto"/>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4</w:t>
            </w:r>
          </w:p>
        </w:tc>
        <w:tc>
          <w:tcPr>
            <w:tcW w:w="7288" w:type="dxa"/>
            <w:noWrap w:val="0"/>
            <w:vAlign w:val="center"/>
          </w:tcPr>
          <w:p w14:paraId="4E7857F0">
            <w:pPr>
              <w:keepNext w:val="0"/>
              <w:keepLines w:val="0"/>
              <w:pageBreakBefore w:val="0"/>
              <w:widowControl w:val="0"/>
              <w:tabs>
                <w:tab w:val="left" w:pos="4541"/>
              </w:tabs>
              <w:kinsoku/>
              <w:wordWrap/>
              <w:overflowPunct/>
              <w:topLinePunct w:val="0"/>
              <w:autoSpaceDE/>
              <w:autoSpaceDN/>
              <w:bidi w:val="0"/>
              <w:adjustRightInd w:val="0"/>
              <w:spacing w:line="400" w:lineRule="exact"/>
              <w:ind w:firstLine="1"/>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rPr>
              <w:t>根据</w:t>
            </w:r>
            <w:r>
              <w:rPr>
                <w:rFonts w:hint="eastAsia" w:ascii="宋体" w:hAnsi="宋体" w:eastAsia="宋体" w:cs="宋体"/>
                <w:b w:val="0"/>
                <w:bCs/>
                <w:color w:val="auto"/>
                <w:sz w:val="21"/>
                <w:szCs w:val="21"/>
                <w:highlight w:val="none"/>
                <w:lang w:eastAsia="zh-CN"/>
              </w:rPr>
              <w:t>供应商</w:t>
            </w:r>
            <w:r>
              <w:rPr>
                <w:rFonts w:hint="eastAsia" w:ascii="宋体" w:hAnsi="宋体" w:eastAsia="宋体" w:cs="宋体"/>
                <w:b w:val="0"/>
                <w:bCs/>
                <w:color w:val="auto"/>
                <w:sz w:val="21"/>
                <w:szCs w:val="21"/>
                <w:highlight w:val="none"/>
              </w:rPr>
              <w:t>提供的文明作业措施进行评审。</w:t>
            </w:r>
          </w:p>
          <w:p w14:paraId="5B0EA2E3">
            <w:pPr>
              <w:keepNext w:val="0"/>
              <w:keepLines w:val="0"/>
              <w:pageBreakBefore w:val="0"/>
              <w:widowControl w:val="0"/>
              <w:tabs>
                <w:tab w:val="left" w:pos="4541"/>
              </w:tabs>
              <w:kinsoku/>
              <w:wordWrap/>
              <w:overflowPunct/>
              <w:topLinePunct w:val="0"/>
              <w:autoSpaceDE/>
              <w:autoSpaceDN/>
              <w:bidi w:val="0"/>
              <w:adjustRightInd w:val="0"/>
              <w:spacing w:line="400" w:lineRule="exact"/>
              <w:ind w:firstLine="1" w:firstLineChars="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文明作业措施内容齐全、措施到位、满足采购人需求的得</w:t>
            </w:r>
            <w:r>
              <w:rPr>
                <w:rFonts w:hint="eastAsia" w:ascii="宋体" w:hAnsi="宋体" w:eastAsia="宋体" w:cs="宋体"/>
                <w:b w:val="0"/>
                <w:bCs/>
                <w:color w:val="auto"/>
                <w:sz w:val="21"/>
                <w:szCs w:val="21"/>
                <w:highlight w:val="none"/>
                <w:lang w:val="en-US" w:eastAsia="zh-CN"/>
              </w:rPr>
              <w:t>4</w:t>
            </w:r>
            <w:r>
              <w:rPr>
                <w:rFonts w:hint="eastAsia" w:ascii="宋体" w:hAnsi="宋体" w:eastAsia="宋体" w:cs="宋体"/>
                <w:b w:val="0"/>
                <w:bCs/>
                <w:color w:val="auto"/>
                <w:sz w:val="21"/>
                <w:szCs w:val="21"/>
                <w:highlight w:val="none"/>
              </w:rPr>
              <w:t>分；</w:t>
            </w:r>
          </w:p>
          <w:p w14:paraId="75E45186">
            <w:pPr>
              <w:keepNext w:val="0"/>
              <w:keepLines w:val="0"/>
              <w:pageBreakBefore w:val="0"/>
              <w:widowControl w:val="0"/>
              <w:tabs>
                <w:tab w:val="left" w:pos="4541"/>
              </w:tabs>
              <w:kinsoku/>
              <w:wordWrap/>
              <w:overflowPunct/>
              <w:topLinePunct w:val="0"/>
              <w:autoSpaceDE/>
              <w:autoSpaceDN/>
              <w:bidi w:val="0"/>
              <w:adjustRightInd w:val="0"/>
              <w:spacing w:line="400" w:lineRule="exact"/>
              <w:ind w:firstLine="1" w:firstLineChars="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文明作业措施</w:t>
            </w:r>
            <w:r>
              <w:rPr>
                <w:rFonts w:hint="eastAsia" w:ascii="宋体" w:hAnsi="宋体" w:eastAsia="宋体" w:cs="宋体"/>
                <w:b w:val="0"/>
                <w:bCs/>
                <w:color w:val="auto"/>
                <w:sz w:val="21"/>
                <w:szCs w:val="21"/>
                <w:highlight w:val="none"/>
                <w:lang w:val="en-US" w:eastAsia="zh-CN"/>
              </w:rPr>
              <w:t>较为</w:t>
            </w:r>
            <w:r>
              <w:rPr>
                <w:rFonts w:hint="eastAsia" w:ascii="宋体" w:hAnsi="宋体" w:eastAsia="宋体" w:cs="宋体"/>
                <w:b w:val="0"/>
                <w:bCs/>
                <w:color w:val="auto"/>
                <w:sz w:val="21"/>
                <w:szCs w:val="21"/>
                <w:highlight w:val="none"/>
              </w:rPr>
              <w:t>完整、措施</w:t>
            </w:r>
            <w:r>
              <w:rPr>
                <w:rFonts w:hint="eastAsia" w:ascii="宋体" w:hAnsi="宋体" w:eastAsia="宋体" w:cs="宋体"/>
                <w:b w:val="0"/>
                <w:bCs/>
                <w:color w:val="auto"/>
                <w:sz w:val="21"/>
                <w:szCs w:val="21"/>
                <w:highlight w:val="none"/>
                <w:lang w:val="en-US" w:eastAsia="zh-CN"/>
              </w:rPr>
              <w:t>较完善</w:t>
            </w:r>
            <w:r>
              <w:rPr>
                <w:rFonts w:hint="eastAsia" w:ascii="宋体" w:hAnsi="宋体" w:eastAsia="宋体" w:cs="宋体"/>
                <w:b w:val="0"/>
                <w:bCs/>
                <w:color w:val="auto"/>
                <w:sz w:val="21"/>
                <w:szCs w:val="21"/>
                <w:highlight w:val="none"/>
              </w:rPr>
              <w:t>、</w:t>
            </w:r>
            <w:r>
              <w:rPr>
                <w:rFonts w:hint="eastAsia" w:ascii="宋体" w:hAnsi="宋体" w:eastAsia="宋体" w:cs="宋体"/>
                <w:b w:val="0"/>
                <w:bCs/>
                <w:color w:val="auto"/>
                <w:sz w:val="21"/>
                <w:szCs w:val="21"/>
                <w:highlight w:val="none"/>
                <w:lang w:val="en-US" w:eastAsia="zh-CN"/>
              </w:rPr>
              <w:t>能</w:t>
            </w:r>
            <w:r>
              <w:rPr>
                <w:rFonts w:hint="eastAsia" w:ascii="宋体" w:hAnsi="宋体" w:eastAsia="宋体" w:cs="宋体"/>
                <w:b w:val="0"/>
                <w:bCs/>
                <w:color w:val="auto"/>
                <w:sz w:val="21"/>
                <w:szCs w:val="21"/>
                <w:highlight w:val="none"/>
              </w:rPr>
              <w:t>满足采购人需求的得</w:t>
            </w:r>
            <w:r>
              <w:rPr>
                <w:rFonts w:hint="eastAsia" w:ascii="宋体" w:hAnsi="宋体" w:eastAsia="宋体" w:cs="宋体"/>
                <w:b w:val="0"/>
                <w:bCs/>
                <w:color w:val="auto"/>
                <w:sz w:val="21"/>
                <w:szCs w:val="21"/>
                <w:highlight w:val="none"/>
                <w:lang w:val="en-US" w:eastAsia="zh-CN"/>
              </w:rPr>
              <w:t>3</w:t>
            </w:r>
            <w:r>
              <w:rPr>
                <w:rFonts w:hint="eastAsia" w:ascii="宋体" w:hAnsi="宋体" w:eastAsia="宋体" w:cs="宋体"/>
                <w:b w:val="0"/>
                <w:bCs/>
                <w:color w:val="auto"/>
                <w:sz w:val="21"/>
                <w:szCs w:val="21"/>
                <w:highlight w:val="none"/>
              </w:rPr>
              <w:t>分；</w:t>
            </w:r>
          </w:p>
          <w:p w14:paraId="4633C36E">
            <w:pPr>
              <w:keepNext w:val="0"/>
              <w:keepLines w:val="0"/>
              <w:pageBreakBefore w:val="0"/>
              <w:widowControl w:val="0"/>
              <w:tabs>
                <w:tab w:val="left" w:pos="4541"/>
              </w:tabs>
              <w:kinsoku/>
              <w:wordWrap/>
              <w:overflowPunct/>
              <w:topLinePunct w:val="0"/>
              <w:autoSpaceDE/>
              <w:autoSpaceDN/>
              <w:bidi w:val="0"/>
              <w:adjustRightInd w:val="0"/>
              <w:spacing w:line="400" w:lineRule="exact"/>
              <w:ind w:firstLine="1" w:firstLineChars="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文明作业措施</w:t>
            </w:r>
            <w:r>
              <w:rPr>
                <w:rFonts w:hint="eastAsia" w:ascii="宋体" w:hAnsi="宋体" w:eastAsia="宋体" w:cs="宋体"/>
                <w:b w:val="0"/>
                <w:bCs/>
                <w:color w:val="auto"/>
                <w:sz w:val="21"/>
                <w:szCs w:val="21"/>
                <w:highlight w:val="none"/>
                <w:lang w:val="en-US" w:eastAsia="zh-CN"/>
              </w:rPr>
              <w:t>完整性、可行性一般</w:t>
            </w:r>
            <w:r>
              <w:rPr>
                <w:rFonts w:hint="eastAsia" w:ascii="宋体" w:hAnsi="宋体" w:eastAsia="宋体" w:cs="宋体"/>
                <w:b w:val="0"/>
                <w:bCs/>
                <w:color w:val="auto"/>
                <w:sz w:val="21"/>
                <w:szCs w:val="21"/>
                <w:highlight w:val="none"/>
              </w:rPr>
              <w:t>的得</w:t>
            </w:r>
            <w:r>
              <w:rPr>
                <w:rFonts w:hint="eastAsia" w:ascii="宋体" w:hAnsi="宋体" w:eastAsia="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分；</w:t>
            </w:r>
          </w:p>
          <w:p w14:paraId="1D0CFB43">
            <w:pPr>
              <w:keepNext w:val="0"/>
              <w:keepLines w:val="0"/>
              <w:pageBreakBefore w:val="0"/>
              <w:widowControl w:val="0"/>
              <w:tabs>
                <w:tab w:val="left" w:pos="4541"/>
              </w:tabs>
              <w:kinsoku/>
              <w:wordWrap/>
              <w:overflowPunct/>
              <w:topLinePunct w:val="0"/>
              <w:autoSpaceDE/>
              <w:autoSpaceDN/>
              <w:bidi w:val="0"/>
              <w:adjustRightInd w:val="0"/>
              <w:spacing w:line="400" w:lineRule="exact"/>
              <w:ind w:firstLine="1" w:firstLineChars="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文明作业措施</w:t>
            </w:r>
            <w:r>
              <w:rPr>
                <w:rFonts w:hint="eastAsia" w:ascii="宋体" w:hAnsi="宋体" w:eastAsia="宋体" w:cs="宋体"/>
                <w:b w:val="0"/>
                <w:bCs/>
                <w:color w:val="auto"/>
                <w:sz w:val="21"/>
                <w:szCs w:val="21"/>
                <w:highlight w:val="none"/>
                <w:lang w:val="en-US" w:eastAsia="zh-CN"/>
              </w:rPr>
              <w:t>缺乏可行性，</w:t>
            </w:r>
            <w:r>
              <w:rPr>
                <w:rFonts w:hint="eastAsia" w:ascii="宋体" w:hAnsi="宋体" w:eastAsia="宋体" w:cs="宋体"/>
                <w:b w:val="0"/>
                <w:bCs/>
                <w:color w:val="auto"/>
                <w:sz w:val="21"/>
                <w:szCs w:val="21"/>
                <w:highlight w:val="none"/>
              </w:rPr>
              <w:t>不能满足采购人需求的得</w:t>
            </w:r>
            <w:r>
              <w:rPr>
                <w:rFonts w:hint="eastAsia" w:ascii="宋体" w:hAnsi="宋体" w:eastAsia="宋体" w:cs="宋体"/>
                <w:b w:val="0"/>
                <w:bCs/>
                <w:color w:val="auto"/>
                <w:sz w:val="21"/>
                <w:szCs w:val="21"/>
                <w:highlight w:val="none"/>
                <w:lang w:val="en-US" w:eastAsia="zh-CN"/>
              </w:rPr>
              <w:t>1</w:t>
            </w:r>
            <w:r>
              <w:rPr>
                <w:rFonts w:hint="eastAsia" w:ascii="宋体" w:hAnsi="宋体" w:eastAsia="宋体" w:cs="宋体"/>
                <w:b w:val="0"/>
                <w:bCs/>
                <w:color w:val="auto"/>
                <w:sz w:val="21"/>
                <w:szCs w:val="21"/>
                <w:highlight w:val="none"/>
              </w:rPr>
              <w:t>分；</w:t>
            </w:r>
          </w:p>
          <w:p w14:paraId="2EA7AF28">
            <w:pPr>
              <w:keepNext w:val="0"/>
              <w:keepLines w:val="0"/>
              <w:pageBreakBefore w:val="0"/>
              <w:widowControl w:val="0"/>
              <w:tabs>
                <w:tab w:val="left" w:pos="4541"/>
              </w:tabs>
              <w:kinsoku/>
              <w:wordWrap/>
              <w:overflowPunct/>
              <w:topLinePunct w:val="0"/>
              <w:autoSpaceDE/>
              <w:autoSpaceDN/>
              <w:bidi w:val="0"/>
              <w:adjustRightInd w:val="0"/>
              <w:spacing w:line="400" w:lineRule="exact"/>
              <w:ind w:firstLine="1" w:firstLineChars="0"/>
              <w:textAlignment w:val="auto"/>
              <w:rPr>
                <w:rFonts w:hint="eastAsia" w:ascii="宋体" w:hAnsi="宋体" w:eastAsia="宋体" w:cs="宋体"/>
                <w:b w:val="0"/>
                <w:bCs/>
                <w:color w:val="auto"/>
                <w:sz w:val="21"/>
                <w:szCs w:val="21"/>
                <w:highlight w:val="none"/>
                <w:lang w:val="en-US" w:eastAsia="zh-CN" w:bidi="ar-SA"/>
              </w:rPr>
            </w:pPr>
            <w:r>
              <w:rPr>
                <w:rFonts w:hint="eastAsia" w:ascii="宋体" w:hAnsi="宋体" w:eastAsia="宋体" w:cs="宋体"/>
                <w:b w:val="0"/>
                <w:bCs/>
                <w:color w:val="auto"/>
                <w:sz w:val="21"/>
                <w:szCs w:val="21"/>
                <w:highlight w:val="none"/>
              </w:rPr>
              <w:t>未提供的不得分。</w:t>
            </w:r>
          </w:p>
        </w:tc>
      </w:tr>
      <w:tr w14:paraId="75468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0" w:hRule="atLeast"/>
          <w:jc w:val="center"/>
        </w:trPr>
        <w:tc>
          <w:tcPr>
            <w:tcW w:w="536" w:type="dxa"/>
            <w:vMerge w:val="continue"/>
            <w:noWrap w:val="0"/>
            <w:vAlign w:val="center"/>
          </w:tcPr>
          <w:p w14:paraId="6743ABA2">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color w:val="auto"/>
                <w:sz w:val="21"/>
                <w:szCs w:val="21"/>
                <w:highlight w:val="none"/>
              </w:rPr>
            </w:pPr>
          </w:p>
        </w:tc>
        <w:tc>
          <w:tcPr>
            <w:tcW w:w="1231" w:type="dxa"/>
            <w:vMerge w:val="continue"/>
            <w:noWrap w:val="0"/>
            <w:vAlign w:val="center"/>
          </w:tcPr>
          <w:p w14:paraId="48E515DF">
            <w:pPr>
              <w:keepNext w:val="0"/>
              <w:keepLines w:val="0"/>
              <w:pageBreakBefore w:val="0"/>
              <w:tabs>
                <w:tab w:val="left" w:pos="5940"/>
              </w:tabs>
              <w:kinsoku/>
              <w:wordWrap/>
              <w:overflowPunct/>
              <w:topLinePunct w:val="0"/>
              <w:autoSpaceDE/>
              <w:autoSpaceDN/>
              <w:bidi w:val="0"/>
              <w:adjustRightInd w:val="0"/>
              <w:spacing w:line="400" w:lineRule="exact"/>
              <w:jc w:val="center"/>
              <w:rPr>
                <w:rFonts w:hint="eastAsia" w:ascii="宋体" w:hAnsi="宋体" w:eastAsia="宋体" w:cs="宋体"/>
                <w:b w:val="0"/>
                <w:bCs/>
                <w:color w:val="auto"/>
                <w:kern w:val="0"/>
                <w:sz w:val="21"/>
                <w:szCs w:val="21"/>
                <w:highlight w:val="none"/>
                <w:lang w:eastAsia="zh-CN"/>
              </w:rPr>
            </w:pPr>
          </w:p>
        </w:tc>
        <w:tc>
          <w:tcPr>
            <w:tcW w:w="638" w:type="dxa"/>
            <w:noWrap w:val="0"/>
            <w:vAlign w:val="center"/>
          </w:tcPr>
          <w:p w14:paraId="21DFDC18">
            <w:pPr>
              <w:keepNext w:val="0"/>
              <w:keepLines w:val="0"/>
              <w:pageBreakBefore w:val="0"/>
              <w:widowControl w:val="0"/>
              <w:kinsoku/>
              <w:wordWrap/>
              <w:overflowPunct/>
              <w:topLinePunct w:val="0"/>
              <w:autoSpaceDE/>
              <w:autoSpaceDN/>
              <w:bidi w:val="0"/>
              <w:adjustRightInd w:val="0"/>
              <w:spacing w:line="400" w:lineRule="exact"/>
              <w:jc w:val="center"/>
              <w:textAlignment w:val="auto"/>
              <w:rPr>
                <w:rFonts w:hint="eastAsia" w:ascii="宋体" w:hAnsi="宋体" w:eastAsia="宋体" w:cs="宋体"/>
                <w:b w:val="0"/>
                <w:bCs/>
                <w:color w:val="auto"/>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4</w:t>
            </w:r>
          </w:p>
        </w:tc>
        <w:tc>
          <w:tcPr>
            <w:tcW w:w="7288" w:type="dxa"/>
            <w:noWrap w:val="0"/>
            <w:vAlign w:val="center"/>
          </w:tcPr>
          <w:p w14:paraId="2703D42B">
            <w:pPr>
              <w:keepNext w:val="0"/>
              <w:keepLines w:val="0"/>
              <w:pageBreakBefore w:val="0"/>
              <w:widowControl w:val="0"/>
              <w:tabs>
                <w:tab w:val="left" w:pos="4541"/>
              </w:tabs>
              <w:kinsoku/>
              <w:wordWrap/>
              <w:overflowPunct/>
              <w:topLinePunct w:val="0"/>
              <w:autoSpaceDE/>
              <w:autoSpaceDN/>
              <w:bidi w:val="0"/>
              <w:adjustRightInd w:val="0"/>
              <w:spacing w:line="400" w:lineRule="exact"/>
              <w:ind w:firstLine="1"/>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rPr>
              <w:t>根据</w:t>
            </w:r>
            <w:r>
              <w:rPr>
                <w:rFonts w:hint="eastAsia" w:ascii="宋体" w:hAnsi="宋体" w:eastAsia="宋体" w:cs="宋体"/>
                <w:b w:val="0"/>
                <w:bCs/>
                <w:color w:val="auto"/>
                <w:sz w:val="21"/>
                <w:szCs w:val="21"/>
                <w:highlight w:val="none"/>
                <w:lang w:eastAsia="zh-CN"/>
              </w:rPr>
              <w:t>供应商</w:t>
            </w:r>
            <w:r>
              <w:rPr>
                <w:rFonts w:hint="eastAsia" w:ascii="宋体" w:hAnsi="宋体" w:eastAsia="宋体" w:cs="宋体"/>
                <w:b w:val="0"/>
                <w:bCs/>
                <w:color w:val="auto"/>
                <w:sz w:val="21"/>
                <w:szCs w:val="21"/>
                <w:highlight w:val="none"/>
              </w:rPr>
              <w:t>提供的环保措施进行评审。</w:t>
            </w:r>
          </w:p>
          <w:p w14:paraId="095F2B17">
            <w:pPr>
              <w:keepNext w:val="0"/>
              <w:keepLines w:val="0"/>
              <w:pageBreakBefore w:val="0"/>
              <w:widowControl w:val="0"/>
              <w:tabs>
                <w:tab w:val="left" w:pos="4541"/>
              </w:tabs>
              <w:kinsoku/>
              <w:wordWrap/>
              <w:overflowPunct/>
              <w:topLinePunct w:val="0"/>
              <w:autoSpaceDE/>
              <w:autoSpaceDN/>
              <w:bidi w:val="0"/>
              <w:adjustRightInd w:val="0"/>
              <w:spacing w:line="400" w:lineRule="exact"/>
              <w:ind w:firstLine="1" w:firstLineChars="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环保措施内容齐全、措施到位、满足采购人需求的得</w:t>
            </w:r>
            <w:r>
              <w:rPr>
                <w:rFonts w:hint="eastAsia" w:ascii="宋体" w:hAnsi="宋体" w:eastAsia="宋体" w:cs="宋体"/>
                <w:b w:val="0"/>
                <w:bCs/>
                <w:color w:val="auto"/>
                <w:sz w:val="21"/>
                <w:szCs w:val="21"/>
                <w:highlight w:val="none"/>
                <w:lang w:val="en-US" w:eastAsia="zh-CN"/>
              </w:rPr>
              <w:t>4</w:t>
            </w:r>
            <w:r>
              <w:rPr>
                <w:rFonts w:hint="eastAsia" w:ascii="宋体" w:hAnsi="宋体" w:eastAsia="宋体" w:cs="宋体"/>
                <w:b w:val="0"/>
                <w:bCs/>
                <w:color w:val="auto"/>
                <w:sz w:val="21"/>
                <w:szCs w:val="21"/>
                <w:highlight w:val="none"/>
              </w:rPr>
              <w:t>分；</w:t>
            </w:r>
          </w:p>
          <w:p w14:paraId="64A75428">
            <w:pPr>
              <w:keepNext w:val="0"/>
              <w:keepLines w:val="0"/>
              <w:pageBreakBefore w:val="0"/>
              <w:widowControl w:val="0"/>
              <w:tabs>
                <w:tab w:val="left" w:pos="4541"/>
              </w:tabs>
              <w:kinsoku/>
              <w:wordWrap/>
              <w:overflowPunct/>
              <w:topLinePunct w:val="0"/>
              <w:autoSpaceDE/>
              <w:autoSpaceDN/>
              <w:bidi w:val="0"/>
              <w:adjustRightInd w:val="0"/>
              <w:spacing w:line="400" w:lineRule="exact"/>
              <w:ind w:firstLine="1" w:firstLineChars="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环保措施内容</w:t>
            </w:r>
            <w:r>
              <w:rPr>
                <w:rFonts w:hint="eastAsia" w:ascii="宋体" w:hAnsi="宋体" w:eastAsia="宋体" w:cs="宋体"/>
                <w:b w:val="0"/>
                <w:bCs/>
                <w:color w:val="auto"/>
                <w:sz w:val="21"/>
                <w:szCs w:val="21"/>
                <w:highlight w:val="none"/>
                <w:lang w:val="en-US" w:eastAsia="zh-CN"/>
              </w:rPr>
              <w:t>较为</w:t>
            </w:r>
            <w:r>
              <w:rPr>
                <w:rFonts w:hint="eastAsia" w:ascii="宋体" w:hAnsi="宋体" w:eastAsia="宋体" w:cs="宋体"/>
                <w:b w:val="0"/>
                <w:bCs/>
                <w:color w:val="auto"/>
                <w:sz w:val="21"/>
                <w:szCs w:val="21"/>
                <w:highlight w:val="none"/>
              </w:rPr>
              <w:t>齐全、措施</w:t>
            </w:r>
            <w:r>
              <w:rPr>
                <w:rFonts w:hint="eastAsia" w:ascii="宋体" w:hAnsi="宋体" w:eastAsia="宋体" w:cs="宋体"/>
                <w:b w:val="0"/>
                <w:bCs/>
                <w:color w:val="auto"/>
                <w:sz w:val="21"/>
                <w:szCs w:val="21"/>
                <w:highlight w:val="none"/>
                <w:lang w:val="en-US" w:eastAsia="zh-CN"/>
              </w:rPr>
              <w:t>较完善</w:t>
            </w:r>
            <w:r>
              <w:rPr>
                <w:rFonts w:hint="eastAsia" w:ascii="宋体" w:hAnsi="宋体" w:eastAsia="宋体" w:cs="宋体"/>
                <w:b w:val="0"/>
                <w:bCs/>
                <w:color w:val="auto"/>
                <w:sz w:val="21"/>
                <w:szCs w:val="21"/>
                <w:highlight w:val="none"/>
              </w:rPr>
              <w:t>、</w:t>
            </w:r>
            <w:r>
              <w:rPr>
                <w:rFonts w:hint="eastAsia" w:ascii="宋体" w:hAnsi="宋体" w:eastAsia="宋体" w:cs="宋体"/>
                <w:b w:val="0"/>
                <w:bCs/>
                <w:color w:val="auto"/>
                <w:sz w:val="21"/>
                <w:szCs w:val="21"/>
                <w:highlight w:val="none"/>
                <w:lang w:val="en-US" w:eastAsia="zh-CN"/>
              </w:rPr>
              <w:t>能</w:t>
            </w:r>
            <w:r>
              <w:rPr>
                <w:rFonts w:hint="eastAsia" w:ascii="宋体" w:hAnsi="宋体" w:eastAsia="宋体" w:cs="宋体"/>
                <w:b w:val="0"/>
                <w:bCs/>
                <w:color w:val="auto"/>
                <w:sz w:val="21"/>
                <w:szCs w:val="21"/>
                <w:highlight w:val="none"/>
              </w:rPr>
              <w:t>满足采购人需求的得</w:t>
            </w:r>
            <w:r>
              <w:rPr>
                <w:rFonts w:hint="eastAsia" w:ascii="宋体" w:hAnsi="宋体" w:eastAsia="宋体" w:cs="宋体"/>
                <w:b w:val="0"/>
                <w:bCs/>
                <w:color w:val="auto"/>
                <w:sz w:val="21"/>
                <w:szCs w:val="21"/>
                <w:highlight w:val="none"/>
                <w:lang w:val="en-US" w:eastAsia="zh-CN"/>
              </w:rPr>
              <w:t>3</w:t>
            </w:r>
            <w:r>
              <w:rPr>
                <w:rFonts w:hint="eastAsia" w:ascii="宋体" w:hAnsi="宋体" w:eastAsia="宋体" w:cs="宋体"/>
                <w:b w:val="0"/>
                <w:bCs/>
                <w:color w:val="auto"/>
                <w:sz w:val="21"/>
                <w:szCs w:val="21"/>
                <w:highlight w:val="none"/>
              </w:rPr>
              <w:t>分；</w:t>
            </w:r>
          </w:p>
          <w:p w14:paraId="025E764F">
            <w:pPr>
              <w:keepNext w:val="0"/>
              <w:keepLines w:val="0"/>
              <w:pageBreakBefore w:val="0"/>
              <w:widowControl w:val="0"/>
              <w:tabs>
                <w:tab w:val="left" w:pos="4541"/>
              </w:tabs>
              <w:kinsoku/>
              <w:wordWrap/>
              <w:overflowPunct/>
              <w:topLinePunct w:val="0"/>
              <w:autoSpaceDE/>
              <w:autoSpaceDN/>
              <w:bidi w:val="0"/>
              <w:adjustRightInd w:val="0"/>
              <w:spacing w:line="400" w:lineRule="exact"/>
              <w:ind w:firstLine="1" w:firstLineChars="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环保措施措施</w:t>
            </w:r>
            <w:r>
              <w:rPr>
                <w:rFonts w:hint="eastAsia" w:ascii="宋体" w:hAnsi="宋体" w:eastAsia="宋体" w:cs="宋体"/>
                <w:b w:val="0"/>
                <w:bCs/>
                <w:color w:val="auto"/>
                <w:sz w:val="21"/>
                <w:szCs w:val="21"/>
                <w:highlight w:val="none"/>
                <w:lang w:val="en-US" w:eastAsia="zh-CN"/>
              </w:rPr>
              <w:t>完整性、可行性一般</w:t>
            </w:r>
            <w:r>
              <w:rPr>
                <w:rFonts w:hint="eastAsia" w:ascii="宋体" w:hAnsi="宋体" w:eastAsia="宋体" w:cs="宋体"/>
                <w:b w:val="0"/>
                <w:bCs/>
                <w:color w:val="auto"/>
                <w:sz w:val="21"/>
                <w:szCs w:val="21"/>
                <w:highlight w:val="none"/>
              </w:rPr>
              <w:t>的得</w:t>
            </w:r>
            <w:r>
              <w:rPr>
                <w:rFonts w:hint="eastAsia" w:ascii="宋体" w:hAnsi="宋体" w:eastAsia="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分；</w:t>
            </w:r>
          </w:p>
          <w:p w14:paraId="0D99F6B9">
            <w:pPr>
              <w:keepNext w:val="0"/>
              <w:keepLines w:val="0"/>
              <w:pageBreakBefore w:val="0"/>
              <w:widowControl w:val="0"/>
              <w:tabs>
                <w:tab w:val="left" w:pos="4541"/>
              </w:tabs>
              <w:kinsoku/>
              <w:wordWrap/>
              <w:overflowPunct/>
              <w:topLinePunct w:val="0"/>
              <w:autoSpaceDE/>
              <w:autoSpaceDN/>
              <w:bidi w:val="0"/>
              <w:adjustRightInd w:val="0"/>
              <w:spacing w:line="400" w:lineRule="exact"/>
              <w:ind w:firstLine="1" w:firstLineChars="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环保措施</w:t>
            </w:r>
            <w:r>
              <w:rPr>
                <w:rFonts w:hint="eastAsia" w:ascii="宋体" w:hAnsi="宋体" w:eastAsia="宋体" w:cs="宋体"/>
                <w:b w:val="0"/>
                <w:bCs/>
                <w:color w:val="auto"/>
                <w:sz w:val="21"/>
                <w:szCs w:val="21"/>
                <w:highlight w:val="none"/>
                <w:lang w:val="en-US" w:eastAsia="zh-CN"/>
              </w:rPr>
              <w:t>缺乏可行性，</w:t>
            </w:r>
            <w:r>
              <w:rPr>
                <w:rFonts w:hint="eastAsia" w:ascii="宋体" w:hAnsi="宋体" w:eastAsia="宋体" w:cs="宋体"/>
                <w:b w:val="0"/>
                <w:bCs/>
                <w:color w:val="auto"/>
                <w:sz w:val="21"/>
                <w:szCs w:val="21"/>
                <w:highlight w:val="none"/>
              </w:rPr>
              <w:t>不能满足采购人需求的得</w:t>
            </w:r>
            <w:r>
              <w:rPr>
                <w:rFonts w:hint="eastAsia" w:ascii="宋体" w:hAnsi="宋体" w:eastAsia="宋体" w:cs="宋体"/>
                <w:b w:val="0"/>
                <w:bCs/>
                <w:color w:val="auto"/>
                <w:sz w:val="21"/>
                <w:szCs w:val="21"/>
                <w:highlight w:val="none"/>
                <w:lang w:val="en-US" w:eastAsia="zh-CN"/>
              </w:rPr>
              <w:t>1</w:t>
            </w:r>
            <w:r>
              <w:rPr>
                <w:rFonts w:hint="eastAsia" w:ascii="宋体" w:hAnsi="宋体" w:eastAsia="宋体" w:cs="宋体"/>
                <w:b w:val="0"/>
                <w:bCs/>
                <w:color w:val="auto"/>
                <w:sz w:val="21"/>
                <w:szCs w:val="21"/>
                <w:highlight w:val="none"/>
              </w:rPr>
              <w:t>分；</w:t>
            </w:r>
          </w:p>
          <w:p w14:paraId="2EA88484">
            <w:pPr>
              <w:keepNext w:val="0"/>
              <w:keepLines w:val="0"/>
              <w:pageBreakBefore w:val="0"/>
              <w:widowControl w:val="0"/>
              <w:tabs>
                <w:tab w:val="left" w:pos="4541"/>
              </w:tabs>
              <w:kinsoku/>
              <w:wordWrap/>
              <w:overflowPunct/>
              <w:topLinePunct w:val="0"/>
              <w:autoSpaceDE/>
              <w:autoSpaceDN/>
              <w:bidi w:val="0"/>
              <w:adjustRightInd w:val="0"/>
              <w:spacing w:line="400" w:lineRule="exact"/>
              <w:ind w:firstLine="1" w:firstLineChars="0"/>
              <w:textAlignment w:val="auto"/>
              <w:rPr>
                <w:rFonts w:hint="eastAsia" w:ascii="宋体" w:hAnsi="宋体" w:eastAsia="宋体" w:cs="宋体"/>
                <w:b w:val="0"/>
                <w:bCs/>
                <w:color w:val="auto"/>
                <w:sz w:val="21"/>
                <w:szCs w:val="21"/>
                <w:highlight w:val="none"/>
                <w:lang w:val="en-US" w:eastAsia="zh-CN" w:bidi="ar-SA"/>
              </w:rPr>
            </w:pPr>
            <w:r>
              <w:rPr>
                <w:rFonts w:hint="eastAsia" w:ascii="宋体" w:hAnsi="宋体" w:eastAsia="宋体" w:cs="宋体"/>
                <w:b w:val="0"/>
                <w:bCs/>
                <w:color w:val="auto"/>
                <w:sz w:val="21"/>
                <w:szCs w:val="21"/>
                <w:highlight w:val="none"/>
              </w:rPr>
              <w:t>未提供的不得分。</w:t>
            </w:r>
          </w:p>
        </w:tc>
      </w:tr>
      <w:tr w14:paraId="2A8A6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536" w:type="dxa"/>
            <w:vMerge w:val="continue"/>
            <w:noWrap w:val="0"/>
            <w:vAlign w:val="center"/>
          </w:tcPr>
          <w:p w14:paraId="61D04520">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color w:val="auto"/>
                <w:sz w:val="21"/>
                <w:szCs w:val="21"/>
                <w:highlight w:val="none"/>
              </w:rPr>
            </w:pPr>
          </w:p>
        </w:tc>
        <w:tc>
          <w:tcPr>
            <w:tcW w:w="1231" w:type="dxa"/>
            <w:vMerge w:val="restart"/>
            <w:noWrap w:val="0"/>
            <w:vAlign w:val="center"/>
          </w:tcPr>
          <w:p w14:paraId="394A2BC8">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b/>
                <w:color w:val="auto"/>
                <w:sz w:val="21"/>
                <w:szCs w:val="21"/>
                <w:highlight w:val="none"/>
                <w:lang w:val="en-US" w:eastAsia="zh-CN" w:bidi="ar-SA"/>
              </w:rPr>
            </w:pPr>
            <w:r>
              <w:rPr>
                <w:rFonts w:hint="eastAsia" w:ascii="宋体" w:hAnsi="宋体" w:eastAsia="宋体" w:cs="宋体"/>
                <w:b w:val="0"/>
                <w:bCs/>
                <w:color w:val="auto"/>
                <w:sz w:val="21"/>
                <w:szCs w:val="21"/>
                <w:highlight w:val="none"/>
              </w:rPr>
              <w:t>服务便捷性及有关承诺</w:t>
            </w:r>
          </w:p>
        </w:tc>
        <w:tc>
          <w:tcPr>
            <w:tcW w:w="638" w:type="dxa"/>
            <w:noWrap w:val="0"/>
            <w:vAlign w:val="center"/>
          </w:tcPr>
          <w:p w14:paraId="6CAD292F">
            <w:pPr>
              <w:keepNext w:val="0"/>
              <w:keepLines w:val="0"/>
              <w:pageBreakBefore w:val="0"/>
              <w:widowControl w:val="0"/>
              <w:kinsoku/>
              <w:wordWrap/>
              <w:overflowPunct/>
              <w:topLinePunct w:val="0"/>
              <w:autoSpaceDE/>
              <w:autoSpaceDN/>
              <w:bidi w:val="0"/>
              <w:adjustRightInd w:val="0"/>
              <w:spacing w:line="400" w:lineRule="exact"/>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5</w:t>
            </w:r>
          </w:p>
        </w:tc>
        <w:tc>
          <w:tcPr>
            <w:tcW w:w="7288" w:type="dxa"/>
            <w:noWrap w:val="0"/>
            <w:vAlign w:val="center"/>
          </w:tcPr>
          <w:p w14:paraId="5EA9F158">
            <w:pPr>
              <w:keepNext w:val="0"/>
              <w:keepLines w:val="0"/>
              <w:pageBreakBefore w:val="0"/>
              <w:widowControl w:val="0"/>
              <w:kinsoku/>
              <w:wordWrap/>
              <w:overflowPunct/>
              <w:topLinePunct w:val="0"/>
              <w:autoSpaceDE/>
              <w:autoSpaceDN/>
              <w:bidi w:val="0"/>
              <w:adjustRightInd w:val="0"/>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的服务便捷性</w:t>
            </w:r>
            <w:r>
              <w:rPr>
                <w:rFonts w:hint="eastAsia" w:ascii="宋体" w:hAnsi="宋体" w:eastAsia="宋体" w:cs="宋体"/>
                <w:b w:val="0"/>
                <w:bCs/>
                <w:color w:val="auto"/>
                <w:sz w:val="21"/>
                <w:szCs w:val="21"/>
                <w:highlight w:val="none"/>
              </w:rPr>
              <w:t>进行评审</w:t>
            </w:r>
            <w:r>
              <w:rPr>
                <w:rFonts w:hint="eastAsia" w:ascii="宋体" w:hAnsi="宋体" w:eastAsia="宋体" w:cs="宋体"/>
                <w:color w:val="auto"/>
                <w:sz w:val="21"/>
                <w:szCs w:val="21"/>
                <w:highlight w:val="none"/>
                <w:lang w:eastAsia="zh-CN"/>
              </w:rPr>
              <w:t>。</w:t>
            </w:r>
          </w:p>
          <w:p w14:paraId="388A191B">
            <w:pPr>
              <w:keepNext w:val="0"/>
              <w:keepLines w:val="0"/>
              <w:pageBreakBefore w:val="0"/>
              <w:widowControl w:val="0"/>
              <w:tabs>
                <w:tab w:val="left" w:pos="5940"/>
              </w:tabs>
              <w:kinsoku/>
              <w:wordWrap/>
              <w:overflowPunct/>
              <w:topLinePunct w:val="0"/>
              <w:autoSpaceDE/>
              <w:autoSpaceDN/>
              <w:bidi w:val="0"/>
              <w:adjustRightInd w:val="0"/>
              <w:spacing w:line="400" w:lineRule="exact"/>
              <w:ind w:firstLine="1"/>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供应商能提供便捷的服务</w:t>
            </w:r>
            <w:r>
              <w:rPr>
                <w:rFonts w:hint="eastAsia" w:ascii="宋体" w:hAnsi="宋体" w:eastAsia="宋体" w:cs="宋体"/>
                <w:color w:val="auto"/>
                <w:sz w:val="21"/>
                <w:szCs w:val="21"/>
                <w:highlight w:val="none"/>
              </w:rPr>
              <w:t>、完全满足本项目需求的得</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p w14:paraId="64BB5F0D">
            <w:pPr>
              <w:keepNext w:val="0"/>
              <w:keepLines w:val="0"/>
              <w:pageBreakBefore w:val="0"/>
              <w:widowControl w:val="0"/>
              <w:tabs>
                <w:tab w:val="left" w:pos="5940"/>
              </w:tabs>
              <w:kinsoku/>
              <w:wordWrap/>
              <w:overflowPunct/>
              <w:topLinePunct w:val="0"/>
              <w:autoSpaceDE/>
              <w:autoSpaceDN/>
              <w:bidi w:val="0"/>
              <w:adjustRightInd w:val="0"/>
              <w:spacing w:line="400" w:lineRule="exact"/>
              <w:ind w:firstLine="1"/>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供应商提供的服务较</w:t>
            </w:r>
            <w:r>
              <w:rPr>
                <w:rFonts w:hint="eastAsia" w:ascii="宋体" w:hAnsi="宋体" w:eastAsia="宋体" w:cs="宋体"/>
                <w:color w:val="auto"/>
                <w:sz w:val="21"/>
                <w:szCs w:val="21"/>
                <w:highlight w:val="none"/>
              </w:rPr>
              <w:t>便捷</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能</w:t>
            </w:r>
            <w:r>
              <w:rPr>
                <w:rFonts w:hint="eastAsia" w:ascii="宋体" w:hAnsi="宋体" w:eastAsia="宋体" w:cs="宋体"/>
                <w:color w:val="auto"/>
                <w:sz w:val="21"/>
                <w:szCs w:val="21"/>
                <w:highlight w:val="none"/>
              </w:rPr>
              <w:t>满足本项目的需求的得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14:paraId="44F0AD3B">
            <w:pPr>
              <w:keepNext w:val="0"/>
              <w:keepLines w:val="0"/>
              <w:pageBreakBefore w:val="0"/>
              <w:widowControl w:val="0"/>
              <w:tabs>
                <w:tab w:val="left" w:pos="5940"/>
              </w:tabs>
              <w:kinsoku/>
              <w:wordWrap/>
              <w:overflowPunct/>
              <w:topLinePunct w:val="0"/>
              <w:autoSpaceDE/>
              <w:autoSpaceDN/>
              <w:bidi w:val="0"/>
              <w:adjustRightInd w:val="0"/>
              <w:spacing w:line="400" w:lineRule="exact"/>
              <w:ind w:firstLine="1"/>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供应商提供的服务较</w:t>
            </w:r>
            <w:r>
              <w:rPr>
                <w:rFonts w:hint="eastAsia" w:ascii="宋体" w:hAnsi="宋体" w:eastAsia="宋体" w:cs="宋体"/>
                <w:color w:val="auto"/>
                <w:sz w:val="21"/>
                <w:szCs w:val="21"/>
                <w:highlight w:val="none"/>
              </w:rPr>
              <w:t>便捷</w:t>
            </w:r>
            <w:r>
              <w:rPr>
                <w:rFonts w:hint="eastAsia" w:ascii="宋体" w:hAnsi="宋体" w:eastAsia="宋体" w:cs="宋体"/>
                <w:color w:val="auto"/>
                <w:sz w:val="21"/>
                <w:szCs w:val="21"/>
                <w:highlight w:val="none"/>
                <w:lang w:val="en-US" w:eastAsia="zh-CN"/>
              </w:rPr>
              <w:t>性</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可行性一般</w:t>
            </w:r>
            <w:r>
              <w:rPr>
                <w:rFonts w:hint="eastAsia" w:ascii="宋体" w:hAnsi="宋体" w:eastAsia="宋体" w:cs="宋体"/>
                <w:color w:val="auto"/>
                <w:sz w:val="21"/>
                <w:szCs w:val="21"/>
                <w:highlight w:val="none"/>
              </w:rPr>
              <w:t>的得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14:paraId="61F36334">
            <w:pPr>
              <w:keepNext w:val="0"/>
              <w:keepLines w:val="0"/>
              <w:pageBreakBefore w:val="0"/>
              <w:widowControl w:val="0"/>
              <w:tabs>
                <w:tab w:val="left" w:pos="5940"/>
              </w:tabs>
              <w:kinsoku/>
              <w:wordWrap/>
              <w:overflowPunct/>
              <w:topLinePunct w:val="0"/>
              <w:autoSpaceDE/>
              <w:autoSpaceDN/>
              <w:bidi w:val="0"/>
              <w:adjustRightInd w:val="0"/>
              <w:spacing w:line="400" w:lineRule="exact"/>
              <w:ind w:firstLine="1" w:firstLineChars="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供应商提供的服务</w:t>
            </w:r>
            <w:r>
              <w:rPr>
                <w:rFonts w:hint="eastAsia" w:ascii="宋体" w:hAnsi="宋体" w:eastAsia="宋体" w:cs="宋体"/>
                <w:color w:val="auto"/>
                <w:sz w:val="21"/>
                <w:szCs w:val="21"/>
                <w:highlight w:val="none"/>
              </w:rPr>
              <w:t>便捷性</w:t>
            </w:r>
            <w:r>
              <w:rPr>
                <w:rFonts w:hint="eastAsia" w:ascii="宋体" w:hAnsi="宋体" w:eastAsia="宋体" w:cs="宋体"/>
                <w:color w:val="auto"/>
                <w:sz w:val="21"/>
                <w:szCs w:val="21"/>
                <w:highlight w:val="none"/>
                <w:lang w:val="en-US" w:eastAsia="zh-CN"/>
              </w:rPr>
              <w:t>欠佳</w:t>
            </w:r>
            <w:r>
              <w:rPr>
                <w:rFonts w:hint="eastAsia" w:ascii="宋体" w:hAnsi="宋体" w:eastAsia="宋体" w:cs="宋体"/>
                <w:color w:val="auto"/>
                <w:sz w:val="21"/>
                <w:szCs w:val="21"/>
                <w:highlight w:val="none"/>
              </w:rPr>
              <w:t>，无法满足本项目需求的得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p>
          <w:p w14:paraId="44250764">
            <w:pPr>
              <w:keepNext w:val="0"/>
              <w:keepLines w:val="0"/>
              <w:pageBreakBefore w:val="0"/>
              <w:widowControl w:val="0"/>
              <w:tabs>
                <w:tab w:val="left" w:pos="5940"/>
              </w:tabs>
              <w:kinsoku/>
              <w:wordWrap/>
              <w:overflowPunct/>
              <w:topLinePunct w:val="0"/>
              <w:autoSpaceDE/>
              <w:autoSpaceDN/>
              <w:bidi w:val="0"/>
              <w:adjustRightInd w:val="0"/>
              <w:spacing w:line="400" w:lineRule="exact"/>
              <w:ind w:firstLine="1" w:firstLineChars="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未提供的不得分。</w:t>
            </w:r>
          </w:p>
        </w:tc>
      </w:tr>
      <w:tr w14:paraId="4EF3A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536" w:type="dxa"/>
            <w:vMerge w:val="continue"/>
            <w:noWrap w:val="0"/>
            <w:vAlign w:val="center"/>
          </w:tcPr>
          <w:p w14:paraId="145C912E">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color w:val="auto"/>
                <w:sz w:val="21"/>
                <w:szCs w:val="21"/>
                <w:highlight w:val="none"/>
              </w:rPr>
            </w:pPr>
          </w:p>
        </w:tc>
        <w:tc>
          <w:tcPr>
            <w:tcW w:w="1231" w:type="dxa"/>
            <w:vMerge w:val="continue"/>
            <w:noWrap w:val="0"/>
            <w:vAlign w:val="center"/>
          </w:tcPr>
          <w:p w14:paraId="197AE74D">
            <w:pPr>
              <w:keepNext w:val="0"/>
              <w:keepLines w:val="0"/>
              <w:pageBreakBefore w:val="0"/>
              <w:tabs>
                <w:tab w:val="left" w:pos="5940"/>
              </w:tabs>
              <w:kinsoku/>
              <w:wordWrap/>
              <w:overflowPunct/>
              <w:topLinePunct w:val="0"/>
              <w:autoSpaceDE/>
              <w:autoSpaceDN/>
              <w:bidi w:val="0"/>
              <w:adjustRightInd w:val="0"/>
              <w:spacing w:line="400" w:lineRule="exact"/>
              <w:jc w:val="left"/>
              <w:rPr>
                <w:rFonts w:hint="eastAsia" w:ascii="宋体" w:hAnsi="宋体" w:eastAsia="宋体" w:cs="宋体"/>
                <w:color w:val="auto"/>
                <w:kern w:val="0"/>
                <w:sz w:val="21"/>
                <w:szCs w:val="21"/>
                <w:highlight w:val="none"/>
              </w:rPr>
            </w:pPr>
          </w:p>
        </w:tc>
        <w:tc>
          <w:tcPr>
            <w:tcW w:w="638" w:type="dxa"/>
            <w:noWrap w:val="0"/>
            <w:vAlign w:val="center"/>
          </w:tcPr>
          <w:p w14:paraId="075F0084">
            <w:pPr>
              <w:keepNext w:val="0"/>
              <w:keepLines w:val="0"/>
              <w:pageBreakBefore w:val="0"/>
              <w:widowControl w:val="0"/>
              <w:kinsoku/>
              <w:wordWrap/>
              <w:overflowPunct/>
              <w:topLinePunct w:val="0"/>
              <w:autoSpaceDE/>
              <w:autoSpaceDN/>
              <w:bidi w:val="0"/>
              <w:adjustRightInd w:val="0"/>
              <w:spacing w:line="400" w:lineRule="exact"/>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5</w:t>
            </w:r>
          </w:p>
        </w:tc>
        <w:tc>
          <w:tcPr>
            <w:tcW w:w="7288" w:type="dxa"/>
            <w:noWrap w:val="0"/>
            <w:vAlign w:val="center"/>
          </w:tcPr>
          <w:p w14:paraId="1DA32558">
            <w:pPr>
              <w:keepNext w:val="0"/>
              <w:keepLines w:val="0"/>
              <w:pageBreakBefore w:val="0"/>
              <w:widowControl w:val="0"/>
              <w:kinsoku/>
              <w:wordWrap/>
              <w:overflowPunct/>
              <w:topLinePunct w:val="0"/>
              <w:autoSpaceDE/>
              <w:autoSpaceDN/>
              <w:bidi w:val="0"/>
              <w:adjustRightInd w:val="0"/>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提供的其他服务有关承诺</w:t>
            </w:r>
            <w:r>
              <w:rPr>
                <w:rFonts w:hint="eastAsia" w:ascii="宋体" w:hAnsi="宋体" w:eastAsia="宋体" w:cs="宋体"/>
                <w:b w:val="0"/>
                <w:bCs/>
                <w:color w:val="auto"/>
                <w:sz w:val="21"/>
                <w:szCs w:val="21"/>
                <w:highlight w:val="none"/>
              </w:rPr>
              <w:t>进行评审</w:t>
            </w:r>
            <w:r>
              <w:rPr>
                <w:rFonts w:hint="eastAsia" w:ascii="宋体" w:hAnsi="宋体" w:eastAsia="宋体" w:cs="宋体"/>
                <w:color w:val="auto"/>
                <w:sz w:val="21"/>
                <w:szCs w:val="21"/>
                <w:highlight w:val="none"/>
                <w:lang w:eastAsia="zh-CN"/>
              </w:rPr>
              <w:t>。</w:t>
            </w:r>
          </w:p>
          <w:p w14:paraId="718938E2">
            <w:pPr>
              <w:keepNext w:val="0"/>
              <w:keepLines w:val="0"/>
              <w:pageBreakBefore w:val="0"/>
              <w:widowControl w:val="0"/>
              <w:kinsoku/>
              <w:wordWrap/>
              <w:overflowPunct/>
              <w:topLinePunct w:val="0"/>
              <w:autoSpaceDE/>
              <w:autoSpaceDN/>
              <w:bidi w:val="0"/>
              <w:adjustRightInd w:val="0"/>
              <w:spacing w:line="40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服务</w:t>
            </w:r>
            <w:r>
              <w:rPr>
                <w:rFonts w:hint="eastAsia" w:ascii="宋体" w:hAnsi="宋体" w:eastAsia="宋体" w:cs="宋体"/>
                <w:color w:val="auto"/>
                <w:sz w:val="21"/>
                <w:szCs w:val="21"/>
                <w:highlight w:val="none"/>
              </w:rPr>
              <w:t>承诺内容符合项目实际、操作性强</w:t>
            </w:r>
            <w:r>
              <w:rPr>
                <w:rFonts w:hint="eastAsia" w:ascii="宋体" w:hAnsi="宋体" w:eastAsia="宋体" w:cs="宋体"/>
                <w:color w:val="auto"/>
                <w:sz w:val="21"/>
                <w:szCs w:val="21"/>
                <w:highlight w:val="none"/>
                <w:lang w:eastAsia="zh-CN"/>
              </w:rPr>
              <w:t>的得</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p w14:paraId="17EAFF0A">
            <w:pPr>
              <w:keepNext w:val="0"/>
              <w:keepLines w:val="0"/>
              <w:pageBreakBefore w:val="0"/>
              <w:widowControl w:val="0"/>
              <w:kinsoku/>
              <w:wordWrap/>
              <w:overflowPunct/>
              <w:topLinePunct w:val="0"/>
              <w:autoSpaceDE/>
              <w:autoSpaceDN/>
              <w:bidi w:val="0"/>
              <w:adjustRightInd w:val="0"/>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服务</w:t>
            </w:r>
            <w:r>
              <w:rPr>
                <w:rFonts w:hint="eastAsia" w:ascii="宋体" w:hAnsi="宋体" w:eastAsia="宋体" w:cs="宋体"/>
                <w:color w:val="auto"/>
                <w:sz w:val="21"/>
                <w:szCs w:val="21"/>
                <w:highlight w:val="none"/>
              </w:rPr>
              <w:t>承诺内容较符合项目实际、操作性较强的</w:t>
            </w:r>
            <w:r>
              <w:rPr>
                <w:rFonts w:hint="eastAsia" w:ascii="宋体" w:hAnsi="宋体" w:eastAsia="宋体" w:cs="宋体"/>
                <w:color w:val="auto"/>
                <w:sz w:val="21"/>
                <w:szCs w:val="21"/>
                <w:highlight w:val="none"/>
                <w:lang w:eastAsia="zh-CN"/>
              </w:rPr>
              <w:t>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14:paraId="5FB6E0A0">
            <w:pPr>
              <w:keepNext w:val="0"/>
              <w:keepLines w:val="0"/>
              <w:pageBreakBefore w:val="0"/>
              <w:widowControl w:val="0"/>
              <w:kinsoku/>
              <w:wordWrap/>
              <w:overflowPunct/>
              <w:topLinePunct w:val="0"/>
              <w:autoSpaceDE/>
              <w:autoSpaceDN/>
              <w:bidi w:val="0"/>
              <w:adjustRightInd w:val="0"/>
              <w:spacing w:line="40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服务</w:t>
            </w:r>
            <w:r>
              <w:rPr>
                <w:rFonts w:hint="eastAsia" w:ascii="宋体" w:hAnsi="宋体" w:eastAsia="宋体" w:cs="宋体"/>
                <w:color w:val="auto"/>
                <w:sz w:val="21"/>
                <w:szCs w:val="21"/>
                <w:highlight w:val="none"/>
              </w:rPr>
              <w:t>承诺内容</w:t>
            </w:r>
            <w:r>
              <w:rPr>
                <w:rFonts w:hint="eastAsia" w:ascii="宋体" w:hAnsi="宋体" w:eastAsia="宋体" w:cs="宋体"/>
                <w:color w:val="auto"/>
                <w:sz w:val="21"/>
                <w:szCs w:val="21"/>
                <w:highlight w:val="none"/>
                <w:lang w:val="en-US" w:eastAsia="zh-CN"/>
              </w:rPr>
              <w:t>符合性、操作性一般</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eastAsia="zh-CN"/>
              </w:rPr>
              <w:t>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14:paraId="3C69793E">
            <w:pPr>
              <w:keepNext w:val="0"/>
              <w:keepLines w:val="0"/>
              <w:pageBreakBefore w:val="0"/>
              <w:widowControl w:val="0"/>
              <w:kinsoku/>
              <w:wordWrap/>
              <w:overflowPunct/>
              <w:topLinePunct w:val="0"/>
              <w:autoSpaceDE/>
              <w:autoSpaceDN/>
              <w:bidi w:val="0"/>
              <w:adjustRightInd w:val="0"/>
              <w:spacing w:line="40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服务</w:t>
            </w:r>
            <w:r>
              <w:rPr>
                <w:rFonts w:hint="eastAsia" w:ascii="宋体" w:hAnsi="宋体" w:eastAsia="宋体" w:cs="宋体"/>
                <w:color w:val="auto"/>
                <w:sz w:val="21"/>
                <w:szCs w:val="21"/>
                <w:highlight w:val="none"/>
              </w:rPr>
              <w:t>承诺内容笼统、与实际有偏差的</w:t>
            </w:r>
            <w:r>
              <w:rPr>
                <w:rFonts w:hint="eastAsia" w:ascii="宋体" w:hAnsi="宋体" w:eastAsia="宋体" w:cs="宋体"/>
                <w:color w:val="auto"/>
                <w:sz w:val="21"/>
                <w:szCs w:val="21"/>
                <w:highlight w:val="none"/>
                <w:lang w:eastAsia="zh-CN"/>
              </w:rPr>
              <w:t>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p>
          <w:p w14:paraId="75BB0B78">
            <w:pPr>
              <w:keepNext w:val="0"/>
              <w:keepLines w:val="0"/>
              <w:pageBreakBefore w:val="0"/>
              <w:widowControl w:val="0"/>
              <w:kinsoku/>
              <w:wordWrap/>
              <w:overflowPunct/>
              <w:topLinePunct w:val="0"/>
              <w:autoSpaceDE/>
              <w:autoSpaceDN/>
              <w:bidi w:val="0"/>
              <w:adjustRightInd w:val="0"/>
              <w:spacing w:line="400" w:lineRule="exact"/>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未提供的不得分。</w:t>
            </w:r>
          </w:p>
        </w:tc>
      </w:tr>
      <w:tr w14:paraId="405BA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536" w:type="dxa"/>
            <w:vMerge w:val="continue"/>
            <w:noWrap w:val="0"/>
            <w:vAlign w:val="center"/>
          </w:tcPr>
          <w:p w14:paraId="4DCB01C6">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color w:val="auto"/>
                <w:sz w:val="21"/>
                <w:szCs w:val="21"/>
                <w:highlight w:val="none"/>
              </w:rPr>
            </w:pPr>
          </w:p>
        </w:tc>
        <w:tc>
          <w:tcPr>
            <w:tcW w:w="1231" w:type="dxa"/>
            <w:noWrap w:val="0"/>
            <w:vAlign w:val="center"/>
          </w:tcPr>
          <w:p w14:paraId="3B53B08C">
            <w:pPr>
              <w:keepNext w:val="0"/>
              <w:keepLines w:val="0"/>
              <w:pageBreakBefore w:val="0"/>
              <w:tabs>
                <w:tab w:val="left" w:pos="5940"/>
              </w:tabs>
              <w:kinsoku/>
              <w:wordWrap/>
              <w:overflowPunct/>
              <w:topLinePunct w:val="0"/>
              <w:autoSpaceDE/>
              <w:autoSpaceDN/>
              <w:bidi w:val="0"/>
              <w:adjustRightInd w:val="0"/>
              <w:spacing w:line="400" w:lineRule="exact"/>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项目团队</w:t>
            </w:r>
          </w:p>
        </w:tc>
        <w:tc>
          <w:tcPr>
            <w:tcW w:w="638" w:type="dxa"/>
            <w:noWrap w:val="0"/>
            <w:vAlign w:val="center"/>
          </w:tcPr>
          <w:p w14:paraId="7E57E10C">
            <w:pPr>
              <w:keepNext w:val="0"/>
              <w:keepLines w:val="0"/>
              <w:pageBreakBefore w:val="0"/>
              <w:widowControl w:val="0"/>
              <w:kinsoku/>
              <w:wordWrap/>
              <w:overflowPunct/>
              <w:topLinePunct w:val="0"/>
              <w:autoSpaceDE/>
              <w:autoSpaceDN/>
              <w:bidi w:val="0"/>
              <w:adjustRightInd w:val="0"/>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7288" w:type="dxa"/>
            <w:noWrap w:val="0"/>
            <w:vAlign w:val="center"/>
          </w:tcPr>
          <w:p w14:paraId="43BF2A62">
            <w:pPr>
              <w:keepNext w:val="0"/>
              <w:keepLines w:val="0"/>
              <w:pageBreakBefore w:val="0"/>
              <w:widowControl w:val="0"/>
              <w:kinsoku/>
              <w:wordWrap/>
              <w:overflowPunct/>
              <w:topLinePunct w:val="0"/>
              <w:autoSpaceDE/>
              <w:autoSpaceDN/>
              <w:bidi w:val="0"/>
              <w:adjustRightInd w:val="0"/>
              <w:spacing w:line="40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根据</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提供拟派本项目人员的数量是否充足</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作业能力</w:t>
            </w:r>
            <w:r>
              <w:rPr>
                <w:rFonts w:hint="eastAsia" w:ascii="宋体" w:hAnsi="宋体" w:eastAsia="宋体" w:cs="宋体"/>
                <w:color w:val="auto"/>
                <w:sz w:val="21"/>
                <w:szCs w:val="21"/>
                <w:highlight w:val="none"/>
                <w:lang w:val="en-US" w:eastAsia="zh-CN"/>
              </w:rPr>
              <w:t>是否优秀、</w:t>
            </w:r>
            <w:r>
              <w:rPr>
                <w:rFonts w:hint="eastAsia" w:ascii="宋体" w:hAnsi="宋体" w:eastAsia="宋体" w:cs="宋体"/>
                <w:color w:val="auto"/>
                <w:sz w:val="21"/>
                <w:szCs w:val="21"/>
                <w:highlight w:val="none"/>
                <w:lang w:eastAsia="zh-CN"/>
              </w:rPr>
              <w:t>有类似施工作业能力</w:t>
            </w:r>
            <w:r>
              <w:rPr>
                <w:rFonts w:hint="eastAsia" w:ascii="宋体" w:hAnsi="宋体" w:eastAsia="宋体" w:cs="宋体"/>
                <w:color w:val="auto"/>
                <w:sz w:val="21"/>
                <w:szCs w:val="21"/>
                <w:highlight w:val="none"/>
                <w:lang w:val="en-US" w:eastAsia="zh-CN"/>
              </w:rPr>
              <w:t>等方面进行评审。</w:t>
            </w:r>
          </w:p>
          <w:p w14:paraId="6F78725C">
            <w:pPr>
              <w:keepNext w:val="0"/>
              <w:keepLines w:val="0"/>
              <w:pageBreakBefore w:val="0"/>
              <w:widowControl w:val="0"/>
              <w:kinsoku/>
              <w:wordWrap/>
              <w:overflowPunct/>
              <w:topLinePunct w:val="0"/>
              <w:autoSpaceDE/>
              <w:autoSpaceDN/>
              <w:bidi w:val="0"/>
              <w:adjustRightInd w:val="0"/>
              <w:spacing w:line="40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拟派项目人员</w:t>
            </w:r>
            <w:r>
              <w:rPr>
                <w:rFonts w:hint="eastAsia" w:ascii="宋体" w:hAnsi="宋体" w:eastAsia="宋体" w:cs="宋体"/>
                <w:color w:val="auto"/>
                <w:sz w:val="21"/>
                <w:szCs w:val="21"/>
                <w:highlight w:val="none"/>
              </w:rPr>
              <w:t>数量</w:t>
            </w:r>
            <w:r>
              <w:rPr>
                <w:rFonts w:hint="eastAsia" w:ascii="宋体" w:hAnsi="宋体" w:eastAsia="宋体" w:cs="宋体"/>
                <w:color w:val="auto"/>
                <w:sz w:val="21"/>
                <w:szCs w:val="21"/>
                <w:highlight w:val="none"/>
                <w:lang w:val="en-US" w:eastAsia="zh-CN"/>
              </w:rPr>
              <w:t>充足、</w:t>
            </w:r>
            <w:r>
              <w:rPr>
                <w:rFonts w:hint="eastAsia" w:ascii="宋体" w:hAnsi="宋体" w:eastAsia="宋体" w:cs="宋体"/>
                <w:color w:val="auto"/>
                <w:sz w:val="21"/>
                <w:szCs w:val="21"/>
                <w:highlight w:val="none"/>
              </w:rPr>
              <w:t>作业能力</w:t>
            </w:r>
            <w:r>
              <w:rPr>
                <w:rFonts w:hint="eastAsia" w:ascii="宋体" w:hAnsi="宋体" w:eastAsia="宋体" w:cs="宋体"/>
                <w:color w:val="auto"/>
                <w:sz w:val="21"/>
                <w:szCs w:val="21"/>
                <w:highlight w:val="none"/>
                <w:lang w:val="en-US" w:eastAsia="zh-CN"/>
              </w:rPr>
              <w:t>优秀、类似施工作业能力强的</w:t>
            </w:r>
            <w:r>
              <w:rPr>
                <w:rFonts w:hint="eastAsia" w:ascii="宋体" w:hAnsi="宋体" w:eastAsia="宋体" w:cs="宋体"/>
                <w:color w:val="auto"/>
                <w:sz w:val="21"/>
                <w:szCs w:val="21"/>
                <w:highlight w:val="none"/>
                <w:lang w:eastAsia="zh-CN"/>
              </w:rPr>
              <w:t>得</w:t>
            </w:r>
            <w:r>
              <w:rPr>
                <w:rFonts w:hint="eastAsia"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分；</w:t>
            </w:r>
          </w:p>
          <w:p w14:paraId="35C98F75">
            <w:pPr>
              <w:keepNext w:val="0"/>
              <w:keepLines w:val="0"/>
              <w:pageBreakBefore w:val="0"/>
              <w:widowControl w:val="0"/>
              <w:kinsoku/>
              <w:wordWrap/>
              <w:overflowPunct/>
              <w:topLinePunct w:val="0"/>
              <w:autoSpaceDE/>
              <w:autoSpaceDN/>
              <w:bidi w:val="0"/>
              <w:adjustRightInd w:val="0"/>
              <w:spacing w:line="40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拟派项目人员</w:t>
            </w:r>
            <w:r>
              <w:rPr>
                <w:rFonts w:hint="eastAsia" w:ascii="宋体" w:hAnsi="宋体" w:eastAsia="宋体" w:cs="宋体"/>
                <w:color w:val="auto"/>
                <w:sz w:val="21"/>
                <w:szCs w:val="21"/>
                <w:highlight w:val="none"/>
              </w:rPr>
              <w:t>数量</w:t>
            </w:r>
            <w:r>
              <w:rPr>
                <w:rFonts w:hint="eastAsia" w:ascii="宋体" w:hAnsi="宋体" w:eastAsia="宋体" w:cs="宋体"/>
                <w:color w:val="auto"/>
                <w:sz w:val="21"/>
                <w:szCs w:val="21"/>
                <w:highlight w:val="none"/>
                <w:lang w:val="en-US" w:eastAsia="zh-CN"/>
              </w:rPr>
              <w:t>较为充足、</w:t>
            </w:r>
            <w:r>
              <w:rPr>
                <w:rFonts w:hint="eastAsia" w:ascii="宋体" w:hAnsi="宋体" w:eastAsia="宋体" w:cs="宋体"/>
                <w:color w:val="auto"/>
                <w:sz w:val="21"/>
                <w:szCs w:val="21"/>
                <w:highlight w:val="none"/>
              </w:rPr>
              <w:t>作业能力</w:t>
            </w:r>
            <w:r>
              <w:rPr>
                <w:rFonts w:hint="eastAsia" w:ascii="宋体" w:hAnsi="宋体" w:eastAsia="宋体" w:cs="宋体"/>
                <w:color w:val="auto"/>
                <w:sz w:val="21"/>
                <w:szCs w:val="21"/>
                <w:highlight w:val="none"/>
                <w:lang w:val="en-US" w:eastAsia="zh-CN"/>
              </w:rPr>
              <w:t>较为优秀、类似施工作业能力较强的</w:t>
            </w:r>
            <w:r>
              <w:rPr>
                <w:rFonts w:hint="eastAsia" w:ascii="宋体" w:hAnsi="宋体" w:eastAsia="宋体" w:cs="宋体"/>
                <w:color w:val="auto"/>
                <w:sz w:val="21"/>
                <w:szCs w:val="21"/>
                <w:highlight w:val="none"/>
                <w:lang w:eastAsia="zh-CN"/>
              </w:rPr>
              <w:t>得</w:t>
            </w:r>
            <w:r>
              <w:rPr>
                <w:rFonts w:hint="eastAsia"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p w14:paraId="2472B836">
            <w:pPr>
              <w:keepNext w:val="0"/>
              <w:keepLines w:val="0"/>
              <w:pageBreakBefore w:val="0"/>
              <w:widowControl w:val="0"/>
              <w:kinsoku/>
              <w:wordWrap/>
              <w:overflowPunct/>
              <w:topLinePunct w:val="0"/>
              <w:autoSpaceDE/>
              <w:autoSpaceDN/>
              <w:bidi w:val="0"/>
              <w:adjustRightInd w:val="0"/>
              <w:spacing w:line="40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拟派项目人员数量略有不足、作业能力一般、有类似施工作业能力但能力欠佳的得3分；</w:t>
            </w:r>
          </w:p>
          <w:p w14:paraId="0C449D68">
            <w:pPr>
              <w:keepNext w:val="0"/>
              <w:keepLines w:val="0"/>
              <w:pageBreakBefore w:val="0"/>
              <w:widowControl w:val="0"/>
              <w:kinsoku/>
              <w:wordWrap/>
              <w:overflowPunct/>
              <w:topLinePunct w:val="0"/>
              <w:autoSpaceDE/>
              <w:autoSpaceDN/>
              <w:bidi w:val="0"/>
              <w:adjustRightInd w:val="0"/>
              <w:spacing w:line="40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拟派项目人员</w:t>
            </w:r>
            <w:r>
              <w:rPr>
                <w:rFonts w:hint="eastAsia" w:ascii="宋体" w:hAnsi="宋体" w:eastAsia="宋体" w:cs="宋体"/>
                <w:color w:val="auto"/>
                <w:sz w:val="21"/>
                <w:szCs w:val="21"/>
                <w:highlight w:val="none"/>
              </w:rPr>
              <w:t>数量不</w:t>
            </w:r>
            <w:r>
              <w:rPr>
                <w:rFonts w:hint="eastAsia" w:ascii="宋体" w:hAnsi="宋体" w:eastAsia="宋体" w:cs="宋体"/>
                <w:color w:val="auto"/>
                <w:sz w:val="21"/>
                <w:szCs w:val="21"/>
                <w:highlight w:val="none"/>
                <w:lang w:val="en-US" w:eastAsia="zh-CN"/>
              </w:rPr>
              <w:t>足、</w:t>
            </w:r>
            <w:r>
              <w:rPr>
                <w:rFonts w:hint="eastAsia" w:ascii="宋体" w:hAnsi="宋体" w:eastAsia="宋体" w:cs="宋体"/>
                <w:color w:val="auto"/>
                <w:sz w:val="21"/>
                <w:szCs w:val="21"/>
                <w:highlight w:val="none"/>
              </w:rPr>
              <w:t>作业能力</w:t>
            </w:r>
            <w:r>
              <w:rPr>
                <w:rFonts w:hint="eastAsia" w:ascii="宋体" w:hAnsi="宋体" w:eastAsia="宋体" w:cs="宋体"/>
                <w:color w:val="auto"/>
                <w:sz w:val="21"/>
                <w:szCs w:val="21"/>
                <w:highlight w:val="none"/>
                <w:lang w:val="en-US" w:eastAsia="zh-CN"/>
              </w:rPr>
              <w:t>较差、无</w:t>
            </w:r>
            <w:r>
              <w:rPr>
                <w:rFonts w:hint="eastAsia" w:ascii="宋体" w:hAnsi="宋体" w:eastAsia="宋体" w:cs="宋体"/>
                <w:color w:val="auto"/>
                <w:sz w:val="21"/>
                <w:szCs w:val="21"/>
                <w:highlight w:val="none"/>
                <w:lang w:eastAsia="zh-CN"/>
              </w:rPr>
              <w:t>类似施工作业能力</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lang w:eastAsia="zh-CN"/>
              </w:rPr>
              <w:t>得</w:t>
            </w:r>
            <w:r>
              <w:rPr>
                <w:rFonts w:hint="eastAsia" w:ascii="宋体" w:hAnsi="宋体" w:eastAsia="宋体" w:cs="宋体"/>
                <w:color w:val="auto"/>
                <w:sz w:val="21"/>
                <w:szCs w:val="21"/>
                <w:highlight w:val="none"/>
                <w:lang w:val="en-US" w:eastAsia="zh-CN"/>
              </w:rPr>
              <w:t>1分；</w:t>
            </w:r>
          </w:p>
          <w:p w14:paraId="2FE8DBD9">
            <w:pPr>
              <w:keepNext w:val="0"/>
              <w:keepLines w:val="0"/>
              <w:pageBreakBefore w:val="0"/>
              <w:widowControl w:val="0"/>
              <w:kinsoku/>
              <w:wordWrap/>
              <w:overflowPunct/>
              <w:topLinePunct w:val="0"/>
              <w:autoSpaceDE/>
              <w:autoSpaceDN/>
              <w:bidi w:val="0"/>
              <w:adjustRightInd w:val="0"/>
              <w:spacing w:line="40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未提供的不得分。</w:t>
            </w:r>
          </w:p>
        </w:tc>
      </w:tr>
      <w:tr w14:paraId="3B9CC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536" w:type="dxa"/>
            <w:vMerge w:val="continue"/>
            <w:noWrap w:val="0"/>
            <w:vAlign w:val="center"/>
          </w:tcPr>
          <w:p w14:paraId="7E62A7E2">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color w:val="auto"/>
                <w:sz w:val="21"/>
                <w:szCs w:val="21"/>
                <w:highlight w:val="none"/>
              </w:rPr>
            </w:pPr>
          </w:p>
        </w:tc>
        <w:tc>
          <w:tcPr>
            <w:tcW w:w="1231" w:type="dxa"/>
            <w:noWrap w:val="0"/>
            <w:vAlign w:val="center"/>
          </w:tcPr>
          <w:p w14:paraId="3391CE3B">
            <w:pPr>
              <w:keepNext w:val="0"/>
              <w:keepLines w:val="0"/>
              <w:pageBreakBefore w:val="0"/>
              <w:tabs>
                <w:tab w:val="left" w:pos="5940"/>
              </w:tabs>
              <w:kinsoku/>
              <w:wordWrap/>
              <w:overflowPunct/>
              <w:topLinePunct w:val="0"/>
              <w:autoSpaceDE/>
              <w:autoSpaceDN/>
              <w:bidi w:val="0"/>
              <w:adjustRightInd w:val="0"/>
              <w:spacing w:line="400" w:lineRule="exact"/>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业绩</w:t>
            </w:r>
          </w:p>
        </w:tc>
        <w:tc>
          <w:tcPr>
            <w:tcW w:w="638" w:type="dxa"/>
            <w:noWrap w:val="0"/>
            <w:vAlign w:val="center"/>
          </w:tcPr>
          <w:p w14:paraId="44C72249">
            <w:pPr>
              <w:keepNext w:val="0"/>
              <w:keepLines w:val="0"/>
              <w:pageBreakBefore w:val="0"/>
              <w:kinsoku/>
              <w:wordWrap/>
              <w:overflowPunct/>
              <w:topLinePunct w:val="0"/>
              <w:autoSpaceDE/>
              <w:autoSpaceDN/>
              <w:bidi w:val="0"/>
              <w:adjustRightInd w:val="0"/>
              <w:spacing w:line="40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p>
        </w:tc>
        <w:tc>
          <w:tcPr>
            <w:tcW w:w="7288" w:type="dxa"/>
            <w:noWrap w:val="0"/>
            <w:vAlign w:val="center"/>
          </w:tcPr>
          <w:p w14:paraId="0AF1FBF1">
            <w:pPr>
              <w:keepNext w:val="0"/>
              <w:keepLines w:val="0"/>
              <w:pageBreakBefore w:val="0"/>
              <w:tabs>
                <w:tab w:val="left" w:pos="5940"/>
              </w:tabs>
              <w:kinsoku/>
              <w:wordWrap/>
              <w:overflowPunct/>
              <w:topLinePunct w:val="0"/>
              <w:autoSpaceDE/>
              <w:autoSpaceDN/>
              <w:bidi w:val="0"/>
              <w:adjustRightInd w:val="0"/>
              <w:spacing w:line="400" w:lineRule="exact"/>
              <w:jc w:val="left"/>
              <w:rPr>
                <w:rFonts w:hint="eastAsia" w:ascii="宋体" w:hAnsi="宋体" w:cs="宋体"/>
                <w:bCs/>
                <w:szCs w:val="21"/>
              </w:rPr>
            </w:pPr>
            <w:r>
              <w:rPr>
                <w:rFonts w:hint="eastAsia" w:ascii="宋体" w:hAnsi="宋体" w:cs="宋体"/>
                <w:bCs/>
                <w:szCs w:val="21"/>
              </w:rPr>
              <w:t>自202</w:t>
            </w:r>
            <w:r>
              <w:rPr>
                <w:rFonts w:hint="eastAsia" w:cs="宋体"/>
                <w:bCs/>
                <w:szCs w:val="21"/>
                <w:lang w:val="en-US" w:eastAsia="zh-CN"/>
              </w:rPr>
              <w:t>2</w:t>
            </w:r>
            <w:r>
              <w:rPr>
                <w:rFonts w:hint="eastAsia" w:ascii="宋体" w:hAnsi="宋体" w:cs="宋体"/>
                <w:bCs/>
                <w:szCs w:val="21"/>
              </w:rPr>
              <w:t>年1月1日（以合同签订时间为准）以来，具有类似业绩的每个得0.5分，最高得1分。（投标文件提供合同及业主单位评价复印件加盖公章）</w:t>
            </w:r>
          </w:p>
        </w:tc>
      </w:tr>
      <w:tr w14:paraId="163F4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536" w:type="dxa"/>
            <w:vMerge w:val="continue"/>
            <w:noWrap w:val="0"/>
            <w:vAlign w:val="center"/>
          </w:tcPr>
          <w:p w14:paraId="3FF5FCF4">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color w:val="auto"/>
                <w:sz w:val="21"/>
                <w:szCs w:val="21"/>
                <w:highlight w:val="none"/>
              </w:rPr>
            </w:pPr>
          </w:p>
        </w:tc>
        <w:tc>
          <w:tcPr>
            <w:tcW w:w="1231" w:type="dxa"/>
            <w:vMerge w:val="restart"/>
            <w:noWrap w:val="0"/>
            <w:vAlign w:val="center"/>
          </w:tcPr>
          <w:p w14:paraId="75D5BD00">
            <w:pPr>
              <w:keepNext w:val="0"/>
              <w:keepLines w:val="0"/>
              <w:pageBreakBefore w:val="0"/>
              <w:tabs>
                <w:tab w:val="left" w:pos="5940"/>
              </w:tabs>
              <w:kinsoku/>
              <w:wordWrap/>
              <w:overflowPunct/>
              <w:topLinePunct w:val="0"/>
              <w:autoSpaceDE/>
              <w:autoSpaceDN/>
              <w:bidi w:val="0"/>
              <w:adjustRightInd w:val="0"/>
              <w:spacing w:line="400" w:lineRule="exact"/>
              <w:jc w:val="center"/>
              <w:rPr>
                <w:rFonts w:hint="eastAsia" w:ascii="宋体" w:hAnsi="宋体" w:eastAsia="宋体" w:cs="宋体"/>
                <w:color w:val="auto"/>
                <w:kern w:val="0"/>
                <w:sz w:val="21"/>
                <w:szCs w:val="21"/>
                <w:highlight w:val="none"/>
                <w:lang w:val="en-US" w:eastAsia="zh-CN"/>
              </w:rPr>
            </w:pPr>
            <w:r>
              <w:rPr>
                <w:rFonts w:hint="eastAsia" w:ascii="宋体" w:hAnsi="宋体" w:cs="宋体"/>
                <w:kern w:val="0"/>
                <w:szCs w:val="21"/>
              </w:rPr>
              <w:t>苗木基地</w:t>
            </w:r>
          </w:p>
        </w:tc>
        <w:tc>
          <w:tcPr>
            <w:tcW w:w="638" w:type="dxa"/>
            <w:noWrap w:val="0"/>
            <w:vAlign w:val="bottom"/>
          </w:tcPr>
          <w:p w14:paraId="44037DC8">
            <w:pPr>
              <w:keepNext w:val="0"/>
              <w:keepLines w:val="0"/>
              <w:pageBreakBefore w:val="0"/>
              <w:kinsoku/>
              <w:wordWrap/>
              <w:overflowPunct/>
              <w:topLinePunct w:val="0"/>
              <w:autoSpaceDE/>
              <w:autoSpaceDN/>
              <w:bidi w:val="0"/>
              <w:adjustRightInd w:val="0"/>
              <w:spacing w:line="400" w:lineRule="exact"/>
              <w:jc w:val="center"/>
              <w:rPr>
                <w:rFonts w:hint="eastAsia" w:ascii="宋体" w:hAnsi="宋体" w:eastAsia="宋体" w:cs="宋体"/>
                <w:color w:val="auto"/>
                <w:kern w:val="0"/>
                <w:sz w:val="21"/>
                <w:szCs w:val="21"/>
                <w:highlight w:val="none"/>
                <w:lang w:val="en-US" w:eastAsia="zh-CN"/>
              </w:rPr>
            </w:pPr>
            <w:r>
              <w:rPr>
                <w:rFonts w:hint="eastAsia" w:ascii="宋体" w:hAnsi="宋体" w:cs="宋体"/>
                <w:kern w:val="0"/>
                <w:szCs w:val="21"/>
                <w:lang w:val="en-US" w:eastAsia="zh-CN"/>
              </w:rPr>
              <w:t>2</w:t>
            </w:r>
          </w:p>
        </w:tc>
        <w:tc>
          <w:tcPr>
            <w:tcW w:w="7288" w:type="dxa"/>
            <w:noWrap w:val="0"/>
            <w:vAlign w:val="center"/>
          </w:tcPr>
          <w:p w14:paraId="26032DC6">
            <w:pPr>
              <w:pStyle w:val="28"/>
              <w:keepNext w:val="0"/>
              <w:keepLines w:val="0"/>
              <w:pageBreakBefore w:val="0"/>
              <w:kinsoku/>
              <w:wordWrap/>
              <w:overflowPunct/>
              <w:topLinePunct w:val="0"/>
              <w:autoSpaceDE/>
              <w:autoSpaceDN/>
              <w:bidi w:val="0"/>
              <w:adjustRightInd w:val="0"/>
              <w:snapToGrid w:val="0"/>
              <w:spacing w:line="400" w:lineRule="exact"/>
              <w:jc w:val="left"/>
              <w:rPr>
                <w:rFonts w:hint="eastAsia" w:ascii="宋体" w:hAnsi="宋体" w:cs="宋体"/>
                <w:bCs/>
                <w:szCs w:val="21"/>
              </w:rPr>
            </w:pPr>
            <w:r>
              <w:rPr>
                <w:rFonts w:hint="eastAsia" w:ascii="宋体" w:hAnsi="宋体" w:cs="宋体"/>
                <w:bCs/>
                <w:szCs w:val="21"/>
              </w:rPr>
              <w:t>提供本次采购相关的苗木基地具有林木种子生产经营许可证的得2分；</w:t>
            </w:r>
          </w:p>
        </w:tc>
      </w:tr>
      <w:tr w14:paraId="55A45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536" w:type="dxa"/>
            <w:vMerge w:val="continue"/>
            <w:noWrap w:val="0"/>
            <w:vAlign w:val="center"/>
          </w:tcPr>
          <w:p w14:paraId="2BDB5CCA">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color w:val="auto"/>
                <w:sz w:val="21"/>
                <w:szCs w:val="21"/>
                <w:highlight w:val="none"/>
              </w:rPr>
            </w:pPr>
          </w:p>
        </w:tc>
        <w:tc>
          <w:tcPr>
            <w:tcW w:w="1231" w:type="dxa"/>
            <w:vMerge w:val="continue"/>
            <w:noWrap w:val="0"/>
            <w:vAlign w:val="center"/>
          </w:tcPr>
          <w:p w14:paraId="00D96272">
            <w:pPr>
              <w:keepNext w:val="0"/>
              <w:keepLines w:val="0"/>
              <w:pageBreakBefore w:val="0"/>
              <w:tabs>
                <w:tab w:val="left" w:pos="5940"/>
              </w:tabs>
              <w:kinsoku/>
              <w:wordWrap/>
              <w:overflowPunct/>
              <w:topLinePunct w:val="0"/>
              <w:autoSpaceDE/>
              <w:autoSpaceDN/>
              <w:bidi w:val="0"/>
              <w:adjustRightInd w:val="0"/>
              <w:spacing w:line="400" w:lineRule="exact"/>
              <w:jc w:val="center"/>
              <w:rPr>
                <w:rFonts w:hint="eastAsia" w:ascii="宋体" w:hAnsi="宋体" w:eastAsia="宋体" w:cs="宋体"/>
                <w:color w:val="auto"/>
                <w:kern w:val="0"/>
                <w:sz w:val="21"/>
                <w:szCs w:val="21"/>
                <w:highlight w:val="none"/>
                <w:lang w:val="en-US" w:eastAsia="zh-CN"/>
              </w:rPr>
            </w:pPr>
          </w:p>
        </w:tc>
        <w:tc>
          <w:tcPr>
            <w:tcW w:w="638" w:type="dxa"/>
            <w:noWrap w:val="0"/>
            <w:vAlign w:val="center"/>
          </w:tcPr>
          <w:p w14:paraId="3B7DE9D3">
            <w:pPr>
              <w:keepNext w:val="0"/>
              <w:keepLines w:val="0"/>
              <w:pageBreakBefore w:val="0"/>
              <w:kinsoku/>
              <w:wordWrap/>
              <w:overflowPunct/>
              <w:topLinePunct w:val="0"/>
              <w:autoSpaceDE/>
              <w:autoSpaceDN/>
              <w:bidi w:val="0"/>
              <w:adjustRightInd w:val="0"/>
              <w:spacing w:line="400" w:lineRule="exact"/>
              <w:jc w:val="center"/>
              <w:rPr>
                <w:rFonts w:hint="eastAsia" w:ascii="宋体" w:hAnsi="宋体" w:eastAsia="宋体" w:cs="宋体"/>
                <w:color w:val="auto"/>
                <w:kern w:val="0"/>
                <w:sz w:val="21"/>
                <w:szCs w:val="21"/>
                <w:highlight w:val="none"/>
                <w:lang w:val="en-US" w:eastAsia="zh-CN"/>
              </w:rPr>
            </w:pPr>
            <w:r>
              <w:rPr>
                <w:rFonts w:hint="eastAsia" w:ascii="宋体" w:hAnsi="宋体" w:cs="宋体"/>
                <w:kern w:val="0"/>
                <w:szCs w:val="21"/>
                <w:lang w:val="en-US" w:eastAsia="zh-CN"/>
              </w:rPr>
              <w:t>8</w:t>
            </w:r>
          </w:p>
        </w:tc>
        <w:tc>
          <w:tcPr>
            <w:tcW w:w="7288" w:type="dxa"/>
            <w:noWrap w:val="0"/>
            <w:vAlign w:val="center"/>
          </w:tcPr>
          <w:p w14:paraId="3A2A3D09">
            <w:pPr>
              <w:pStyle w:val="28"/>
              <w:keepNext w:val="0"/>
              <w:keepLines w:val="0"/>
              <w:pageBreakBefore w:val="0"/>
              <w:kinsoku/>
              <w:wordWrap/>
              <w:overflowPunct/>
              <w:topLinePunct w:val="0"/>
              <w:autoSpaceDE/>
              <w:autoSpaceDN/>
              <w:bidi w:val="0"/>
              <w:adjustRightInd w:val="0"/>
              <w:snapToGrid w:val="0"/>
              <w:spacing w:line="400" w:lineRule="exact"/>
              <w:jc w:val="left"/>
              <w:rPr>
                <w:rFonts w:hint="eastAsia" w:ascii="宋体" w:hAnsi="宋体" w:eastAsia="宋体" w:cs="宋体"/>
                <w:bCs/>
                <w:szCs w:val="21"/>
                <w:lang w:eastAsia="zh-CN"/>
              </w:rPr>
            </w:pPr>
            <w:r>
              <w:rPr>
                <w:rFonts w:hint="eastAsia" w:ascii="宋体" w:hAnsi="宋体" w:cs="宋体"/>
                <w:bCs/>
                <w:szCs w:val="21"/>
              </w:rPr>
              <w:t>根据</w:t>
            </w:r>
            <w:r>
              <w:rPr>
                <w:rFonts w:hint="eastAsia" w:ascii="宋体" w:hAnsi="宋体" w:cs="宋体"/>
                <w:bCs/>
                <w:szCs w:val="21"/>
                <w:lang w:eastAsia="zh-CN"/>
              </w:rPr>
              <w:t>供应商</w:t>
            </w:r>
            <w:r>
              <w:rPr>
                <w:rFonts w:hint="eastAsia" w:ascii="宋体" w:hAnsi="宋体" w:cs="宋体"/>
                <w:bCs/>
                <w:szCs w:val="21"/>
              </w:rPr>
              <w:t>提供的苗木基地介绍情况进行评审</w:t>
            </w:r>
            <w:r>
              <w:rPr>
                <w:rFonts w:hint="eastAsia" w:ascii="宋体" w:hAnsi="宋体" w:cs="宋体"/>
                <w:bCs/>
                <w:szCs w:val="21"/>
                <w:lang w:eastAsia="zh-CN"/>
              </w:rPr>
              <w:t>。</w:t>
            </w:r>
          </w:p>
          <w:p w14:paraId="5C51A7DF">
            <w:pPr>
              <w:pStyle w:val="28"/>
              <w:keepNext w:val="0"/>
              <w:keepLines w:val="0"/>
              <w:pageBreakBefore w:val="0"/>
              <w:kinsoku/>
              <w:wordWrap/>
              <w:overflowPunct/>
              <w:topLinePunct w:val="0"/>
              <w:autoSpaceDE/>
              <w:autoSpaceDN/>
              <w:bidi w:val="0"/>
              <w:adjustRightInd w:val="0"/>
              <w:snapToGrid w:val="0"/>
              <w:spacing w:line="400" w:lineRule="exact"/>
              <w:jc w:val="left"/>
              <w:rPr>
                <w:rFonts w:ascii="宋体" w:hAnsi="宋体" w:cs="宋体"/>
                <w:bCs/>
                <w:szCs w:val="21"/>
              </w:rPr>
            </w:pPr>
            <w:r>
              <w:rPr>
                <w:rFonts w:hint="eastAsia" w:ascii="宋体" w:hAnsi="宋体" w:cs="宋体"/>
                <w:bCs/>
                <w:szCs w:val="21"/>
              </w:rPr>
              <w:t>苗木基地介绍详细、基地现状照片清晰全面、提供的苗木清单完全符合本项目需求的得8分；</w:t>
            </w:r>
          </w:p>
          <w:p w14:paraId="274ECEFD">
            <w:pPr>
              <w:pStyle w:val="28"/>
              <w:keepNext w:val="0"/>
              <w:keepLines w:val="0"/>
              <w:pageBreakBefore w:val="0"/>
              <w:kinsoku/>
              <w:wordWrap/>
              <w:overflowPunct/>
              <w:topLinePunct w:val="0"/>
              <w:autoSpaceDE/>
              <w:autoSpaceDN/>
              <w:bidi w:val="0"/>
              <w:adjustRightInd w:val="0"/>
              <w:snapToGrid w:val="0"/>
              <w:spacing w:line="400" w:lineRule="exact"/>
              <w:jc w:val="left"/>
              <w:rPr>
                <w:rFonts w:hint="eastAsia" w:ascii="宋体" w:hAnsi="宋体" w:cs="宋体"/>
                <w:bCs/>
                <w:szCs w:val="21"/>
              </w:rPr>
            </w:pPr>
            <w:r>
              <w:rPr>
                <w:rFonts w:hint="eastAsia" w:ascii="宋体" w:hAnsi="宋体" w:cs="宋体"/>
                <w:bCs/>
                <w:szCs w:val="21"/>
              </w:rPr>
              <w:t>苗木基地介绍</w:t>
            </w:r>
            <w:r>
              <w:rPr>
                <w:rFonts w:hint="eastAsia" w:ascii="宋体" w:hAnsi="宋体" w:cs="宋体"/>
                <w:bCs/>
                <w:szCs w:val="21"/>
                <w:lang w:val="en-US" w:eastAsia="zh-CN"/>
              </w:rPr>
              <w:t>较为</w:t>
            </w:r>
            <w:r>
              <w:rPr>
                <w:rFonts w:hint="eastAsia" w:ascii="宋体" w:hAnsi="宋体" w:cs="宋体"/>
                <w:bCs/>
                <w:szCs w:val="21"/>
              </w:rPr>
              <w:t>详细、基地现状照片</w:t>
            </w:r>
            <w:r>
              <w:rPr>
                <w:rFonts w:hint="eastAsia" w:ascii="宋体" w:hAnsi="宋体" w:cs="宋体"/>
                <w:bCs/>
                <w:szCs w:val="21"/>
                <w:lang w:val="en-US" w:eastAsia="zh-CN"/>
              </w:rPr>
              <w:t>较为</w:t>
            </w:r>
            <w:r>
              <w:rPr>
                <w:rFonts w:hint="eastAsia" w:ascii="宋体" w:hAnsi="宋体" w:cs="宋体"/>
                <w:bCs/>
                <w:szCs w:val="21"/>
              </w:rPr>
              <w:t>清晰全面、提供的苗木清单符合本项目需求的得</w:t>
            </w:r>
            <w:r>
              <w:rPr>
                <w:rFonts w:hint="eastAsia" w:ascii="宋体" w:hAnsi="宋体" w:cs="宋体"/>
                <w:bCs/>
                <w:szCs w:val="21"/>
                <w:lang w:val="en-US" w:eastAsia="zh-CN"/>
              </w:rPr>
              <w:t>7</w:t>
            </w:r>
            <w:r>
              <w:rPr>
                <w:rFonts w:hint="eastAsia" w:ascii="宋体" w:hAnsi="宋体" w:cs="宋体"/>
                <w:bCs/>
                <w:szCs w:val="21"/>
              </w:rPr>
              <w:t>分；</w:t>
            </w:r>
          </w:p>
          <w:p w14:paraId="6C343076">
            <w:pPr>
              <w:pStyle w:val="28"/>
              <w:keepNext w:val="0"/>
              <w:keepLines w:val="0"/>
              <w:pageBreakBefore w:val="0"/>
              <w:kinsoku/>
              <w:wordWrap/>
              <w:overflowPunct/>
              <w:topLinePunct w:val="0"/>
              <w:autoSpaceDE/>
              <w:autoSpaceDN/>
              <w:bidi w:val="0"/>
              <w:adjustRightInd w:val="0"/>
              <w:snapToGrid w:val="0"/>
              <w:spacing w:line="400" w:lineRule="exact"/>
              <w:jc w:val="left"/>
              <w:rPr>
                <w:rFonts w:hint="eastAsia" w:ascii="宋体" w:hAnsi="宋体" w:cs="宋体"/>
                <w:bCs/>
                <w:szCs w:val="21"/>
              </w:rPr>
            </w:pPr>
            <w:r>
              <w:rPr>
                <w:rFonts w:hint="eastAsia" w:ascii="宋体" w:hAnsi="宋体" w:cs="宋体"/>
                <w:bCs/>
                <w:szCs w:val="21"/>
              </w:rPr>
              <w:t>苗木基地介绍</w:t>
            </w:r>
            <w:r>
              <w:rPr>
                <w:rFonts w:hint="eastAsia" w:ascii="宋体" w:hAnsi="宋体" w:cs="宋体"/>
                <w:bCs/>
                <w:szCs w:val="21"/>
                <w:lang w:val="en-US" w:eastAsia="zh-CN"/>
              </w:rPr>
              <w:t>不够</w:t>
            </w:r>
            <w:r>
              <w:rPr>
                <w:rFonts w:hint="eastAsia" w:ascii="宋体" w:hAnsi="宋体" w:cs="宋体"/>
                <w:bCs/>
                <w:szCs w:val="21"/>
              </w:rPr>
              <w:t>详细、基地现状照片</w:t>
            </w:r>
            <w:r>
              <w:rPr>
                <w:rFonts w:hint="eastAsia" w:ascii="宋体" w:hAnsi="宋体" w:cs="宋体"/>
                <w:bCs/>
                <w:szCs w:val="21"/>
                <w:lang w:val="en-US" w:eastAsia="zh-CN"/>
              </w:rPr>
              <w:t>不够</w:t>
            </w:r>
            <w:r>
              <w:rPr>
                <w:rFonts w:hint="eastAsia" w:ascii="宋体" w:hAnsi="宋体" w:cs="宋体"/>
                <w:bCs/>
                <w:szCs w:val="21"/>
              </w:rPr>
              <w:t>清晰、提供的苗木清单</w:t>
            </w:r>
            <w:r>
              <w:rPr>
                <w:rFonts w:hint="eastAsia" w:ascii="宋体" w:hAnsi="宋体" w:cs="宋体"/>
                <w:bCs/>
                <w:szCs w:val="21"/>
                <w:lang w:val="en-US" w:eastAsia="zh-CN"/>
              </w:rPr>
              <w:t>基本</w:t>
            </w:r>
            <w:r>
              <w:rPr>
                <w:rFonts w:hint="eastAsia" w:ascii="宋体" w:hAnsi="宋体" w:cs="宋体"/>
                <w:bCs/>
                <w:szCs w:val="21"/>
              </w:rPr>
              <w:t>符合本项目需求的得</w:t>
            </w:r>
            <w:r>
              <w:rPr>
                <w:rFonts w:hint="eastAsia" w:ascii="宋体" w:hAnsi="宋体" w:cs="宋体"/>
                <w:bCs/>
                <w:szCs w:val="21"/>
                <w:lang w:val="en-US" w:eastAsia="zh-CN"/>
              </w:rPr>
              <w:t>5</w:t>
            </w:r>
            <w:r>
              <w:rPr>
                <w:rFonts w:hint="eastAsia" w:ascii="宋体" w:hAnsi="宋体" w:cs="宋体"/>
                <w:bCs/>
                <w:szCs w:val="21"/>
              </w:rPr>
              <w:t>分；</w:t>
            </w:r>
          </w:p>
          <w:p w14:paraId="455C68B7">
            <w:pPr>
              <w:pStyle w:val="28"/>
              <w:keepNext w:val="0"/>
              <w:keepLines w:val="0"/>
              <w:pageBreakBefore w:val="0"/>
              <w:kinsoku/>
              <w:wordWrap/>
              <w:overflowPunct/>
              <w:topLinePunct w:val="0"/>
              <w:autoSpaceDE/>
              <w:autoSpaceDN/>
              <w:bidi w:val="0"/>
              <w:adjustRightInd w:val="0"/>
              <w:snapToGrid w:val="0"/>
              <w:spacing w:line="400" w:lineRule="exact"/>
              <w:jc w:val="left"/>
              <w:rPr>
                <w:rFonts w:hint="eastAsia" w:ascii="宋体" w:hAnsi="宋体" w:cs="宋体"/>
                <w:bCs/>
                <w:szCs w:val="21"/>
              </w:rPr>
            </w:pPr>
            <w:r>
              <w:rPr>
                <w:rFonts w:hint="eastAsia" w:ascii="宋体" w:hAnsi="宋体" w:cs="宋体"/>
                <w:bCs/>
                <w:szCs w:val="21"/>
              </w:rPr>
              <w:t>苗木基地介绍不清楚、基地现状照片模糊或未提供、提供的苗木清单不符合本项目需求的得</w:t>
            </w:r>
            <w:r>
              <w:rPr>
                <w:rFonts w:hint="eastAsia" w:ascii="宋体" w:hAnsi="宋体" w:cs="宋体"/>
                <w:bCs/>
                <w:szCs w:val="21"/>
                <w:lang w:val="en-US" w:eastAsia="zh-CN"/>
              </w:rPr>
              <w:t>3</w:t>
            </w:r>
            <w:r>
              <w:rPr>
                <w:rFonts w:hint="eastAsia" w:ascii="宋体" w:hAnsi="宋体" w:cs="宋体"/>
                <w:bCs/>
                <w:szCs w:val="21"/>
              </w:rPr>
              <w:t>分。</w:t>
            </w:r>
          </w:p>
          <w:p w14:paraId="1AFC155A">
            <w:pPr>
              <w:pStyle w:val="28"/>
              <w:keepNext w:val="0"/>
              <w:keepLines w:val="0"/>
              <w:pageBreakBefore w:val="0"/>
              <w:kinsoku/>
              <w:wordWrap/>
              <w:overflowPunct/>
              <w:topLinePunct w:val="0"/>
              <w:autoSpaceDE/>
              <w:autoSpaceDN/>
              <w:bidi w:val="0"/>
              <w:adjustRightInd w:val="0"/>
              <w:snapToGrid w:val="0"/>
              <w:spacing w:line="400" w:lineRule="exact"/>
              <w:jc w:val="left"/>
              <w:rPr>
                <w:rFonts w:hint="eastAsia" w:ascii="宋体" w:hAnsi="宋体" w:eastAsia="宋体" w:cs="宋体"/>
                <w:color w:val="auto"/>
                <w:kern w:val="0"/>
                <w:sz w:val="21"/>
                <w:szCs w:val="21"/>
                <w:highlight w:val="none"/>
              </w:rPr>
            </w:pPr>
            <w:r>
              <w:rPr>
                <w:rFonts w:hint="eastAsia" w:ascii="宋体" w:hAnsi="宋体" w:cs="宋体"/>
                <w:bCs/>
                <w:szCs w:val="21"/>
              </w:rPr>
              <w:t>未提供的不得分。</w:t>
            </w:r>
          </w:p>
        </w:tc>
      </w:tr>
      <w:tr w14:paraId="763C9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536" w:type="dxa"/>
            <w:noWrap w:val="0"/>
            <w:vAlign w:val="center"/>
          </w:tcPr>
          <w:p w14:paraId="0C07199A">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价格10</w:t>
            </w:r>
            <w:r>
              <w:rPr>
                <w:rFonts w:hint="eastAsia" w:ascii="宋体" w:hAnsi="宋体" w:eastAsia="宋体" w:cs="宋体"/>
                <w:color w:val="auto"/>
                <w:sz w:val="21"/>
                <w:szCs w:val="21"/>
                <w:highlight w:val="none"/>
              </w:rPr>
              <w:t>分</w:t>
            </w:r>
          </w:p>
        </w:tc>
        <w:tc>
          <w:tcPr>
            <w:tcW w:w="9157" w:type="dxa"/>
            <w:gridSpan w:val="3"/>
            <w:noWrap w:val="0"/>
            <w:vAlign w:val="center"/>
          </w:tcPr>
          <w:p w14:paraId="04C3664B">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磋商基准价指的是满足磋商文件要求且最低的参与评审的价格。</w:t>
            </w:r>
          </w:p>
          <w:p w14:paraId="366D7993">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en-US" w:eastAsia="zh-CN"/>
              </w:rPr>
              <w:t>最后磋商报价</w:t>
            </w:r>
            <w:r>
              <w:rPr>
                <w:rFonts w:hint="eastAsia" w:ascii="宋体" w:hAnsi="宋体" w:eastAsia="宋体" w:cs="宋体"/>
                <w:bCs/>
                <w:color w:val="auto"/>
                <w:sz w:val="21"/>
                <w:szCs w:val="21"/>
                <w:highlight w:val="none"/>
                <w:lang w:val="zh-CN"/>
              </w:rPr>
              <w:t>为磋商基准价的其价格得分得满分10分。</w:t>
            </w:r>
          </w:p>
          <w:p w14:paraId="16A379B8">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其他供应商价格得分按照下列公式计算：</w:t>
            </w:r>
          </w:p>
          <w:p w14:paraId="4284F689">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价格得分=（磋商基准价/最后磋商报价）×价格权值×100。</w:t>
            </w:r>
          </w:p>
        </w:tc>
      </w:tr>
    </w:tbl>
    <w:p w14:paraId="06BC311A">
      <w:pPr>
        <w:keepNext w:val="0"/>
        <w:keepLines w:val="0"/>
        <w:pageBreakBefore w:val="0"/>
        <w:shd w:val="clear" w:color="auto" w:fill="auto"/>
        <w:kinsoku/>
        <w:wordWrap/>
        <w:overflowPunct/>
        <w:topLinePunct w:val="0"/>
        <w:bidi w:val="0"/>
        <w:adjustRightInd/>
        <w:spacing w:line="500" w:lineRule="exact"/>
        <w:textAlignment w:val="auto"/>
        <w:rPr>
          <w:rFonts w:hint="eastAsia" w:hAnsi="宋体" w:eastAsia="宋体" w:cs="宋体"/>
          <w:b/>
          <w:color w:val="auto"/>
          <w:kern w:val="2"/>
          <w:sz w:val="21"/>
          <w:highlight w:val="none"/>
        </w:rPr>
      </w:pPr>
      <w:r>
        <w:rPr>
          <w:rFonts w:hint="eastAsia" w:hAnsi="宋体" w:eastAsia="宋体" w:cs="宋体"/>
          <w:color w:val="auto"/>
          <w:kern w:val="2"/>
          <w:sz w:val="21"/>
          <w:highlight w:val="none"/>
        </w:rPr>
        <w:t>注：1、小数点后保留</w:t>
      </w:r>
      <w:r>
        <w:rPr>
          <w:rFonts w:hint="eastAsia" w:hAnsi="宋体" w:eastAsia="宋体" w:cs="宋体"/>
          <w:color w:val="auto"/>
          <w:kern w:val="2"/>
          <w:sz w:val="21"/>
          <w:highlight w:val="none"/>
          <w:lang w:val="en-US" w:eastAsia="zh-CN"/>
        </w:rPr>
        <w:t>二</w:t>
      </w:r>
      <w:r>
        <w:rPr>
          <w:rFonts w:hint="eastAsia" w:hAnsi="宋体" w:eastAsia="宋体" w:cs="宋体"/>
          <w:color w:val="auto"/>
          <w:kern w:val="2"/>
          <w:sz w:val="21"/>
          <w:highlight w:val="none"/>
        </w:rPr>
        <w:t>位数。2、各磋商小组成员自行按以上参考分值评分。</w:t>
      </w:r>
    </w:p>
    <w:p w14:paraId="5A899DB0">
      <w:pPr>
        <w:pStyle w:val="4"/>
        <w:bidi w:val="0"/>
        <w:jc w:val="center"/>
        <w:outlineLvl w:val="0"/>
        <w:rPr>
          <w:rFonts w:hint="eastAsia" w:ascii="宋体" w:hAnsi="宋体"/>
          <w:b/>
          <w:color w:val="auto"/>
          <w:kern w:val="2"/>
          <w:sz w:val="32"/>
          <w:szCs w:val="32"/>
          <w:highlight w:val="none"/>
        </w:rPr>
      </w:pPr>
      <w:r>
        <w:rPr>
          <w:rFonts w:hint="eastAsia" w:ascii="宋体" w:hAnsi="宋体" w:eastAsia="宋体" w:cs="宋体"/>
          <w:b/>
          <w:color w:val="auto"/>
          <w:kern w:val="2"/>
          <w:sz w:val="21"/>
          <w:szCs w:val="21"/>
          <w:highlight w:val="none"/>
        </w:rPr>
        <w:br w:type="page"/>
      </w:r>
      <w:bookmarkStart w:id="112" w:name="_Toc2668"/>
      <w:bookmarkStart w:id="113" w:name="_Toc8874"/>
      <w:r>
        <w:rPr>
          <w:rStyle w:val="37"/>
          <w:rFonts w:hint="eastAsia"/>
          <w:b/>
          <w:bCs/>
          <w:color w:val="auto"/>
          <w:highlight w:val="none"/>
        </w:rPr>
        <w:t>第</w:t>
      </w:r>
      <w:r>
        <w:rPr>
          <w:rStyle w:val="37"/>
          <w:rFonts w:hint="eastAsia"/>
          <w:b/>
          <w:bCs/>
          <w:color w:val="auto"/>
          <w:highlight w:val="none"/>
          <w:lang w:val="en-US" w:eastAsia="zh-CN"/>
        </w:rPr>
        <w:t>五</w:t>
      </w:r>
      <w:r>
        <w:rPr>
          <w:rStyle w:val="37"/>
          <w:rFonts w:hint="eastAsia"/>
          <w:b/>
          <w:bCs/>
          <w:color w:val="auto"/>
          <w:highlight w:val="none"/>
        </w:rPr>
        <w:t>章 合同条款及格式</w:t>
      </w:r>
      <w:bookmarkEnd w:id="84"/>
      <w:bookmarkEnd w:id="85"/>
      <w:bookmarkEnd w:id="86"/>
      <w:bookmarkEnd w:id="87"/>
      <w:bookmarkEnd w:id="88"/>
      <w:bookmarkEnd w:id="112"/>
      <w:bookmarkEnd w:id="113"/>
      <w:bookmarkStart w:id="114" w:name="_Toc462564139"/>
      <w:bookmarkStart w:id="115" w:name="_Toc20823346"/>
      <w:bookmarkStart w:id="116" w:name="_Toc16938590"/>
      <w:bookmarkStart w:id="117" w:name="_Toc479757211"/>
      <w:bookmarkStart w:id="118" w:name="_Toc120614244"/>
    </w:p>
    <w:p w14:paraId="49432BDE">
      <w:pPr>
        <w:keepNext w:val="0"/>
        <w:keepLines w:val="0"/>
        <w:pageBreakBefore w:val="0"/>
        <w:widowControl w:val="0"/>
        <w:tabs>
          <w:tab w:val="left" w:pos="900"/>
        </w:tabs>
        <w:kinsoku/>
        <w:wordWrap/>
        <w:overflowPunct/>
        <w:topLinePunct w:val="0"/>
        <w:autoSpaceDE/>
        <w:autoSpaceDN/>
        <w:bidi w:val="0"/>
        <w:adjustRightInd w:val="0"/>
        <w:snapToGrid/>
        <w:spacing w:after="156" w:afterLines="50" w:line="440" w:lineRule="exact"/>
        <w:ind w:firstLine="417" w:firstLineChars="199"/>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（合同文件仅供参考，具体以合同签订时甲乙双方确定的版本为准）</w:t>
      </w:r>
    </w:p>
    <w:p w14:paraId="37D145CC">
      <w:pPr>
        <w:spacing w:line="44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甲方：</w:t>
      </w:r>
      <w:r>
        <w:rPr>
          <w:rFonts w:hint="eastAsia" w:ascii="宋体" w:hAnsi="宋体" w:eastAsia="宋体" w:cs="宋体"/>
          <w:bCs/>
          <w:color w:val="auto"/>
          <w:sz w:val="21"/>
          <w:szCs w:val="21"/>
          <w:highlight w:val="none"/>
          <w:u w:val="single"/>
        </w:rPr>
        <w:t>宁波市海曙区</w:t>
      </w:r>
      <w:r>
        <w:rPr>
          <w:rFonts w:hint="eastAsia" w:ascii="宋体" w:hAnsi="宋体" w:eastAsia="宋体" w:cs="宋体"/>
          <w:bCs/>
          <w:color w:val="auto"/>
          <w:sz w:val="21"/>
          <w:szCs w:val="21"/>
          <w:highlight w:val="none"/>
          <w:u w:val="single"/>
          <w:lang w:eastAsia="zh-CN"/>
        </w:rPr>
        <w:t>章水镇</w:t>
      </w:r>
      <w:r>
        <w:rPr>
          <w:rFonts w:hint="eastAsia" w:ascii="宋体" w:hAnsi="宋体" w:eastAsia="宋体" w:cs="宋体"/>
          <w:bCs/>
          <w:color w:val="auto"/>
          <w:sz w:val="21"/>
          <w:szCs w:val="21"/>
          <w:highlight w:val="none"/>
          <w:u w:val="single"/>
        </w:rPr>
        <w:t xml:space="preserve">人民政府 </w:t>
      </w:r>
      <w:r>
        <w:rPr>
          <w:rFonts w:hint="eastAsia" w:ascii="宋体" w:hAnsi="宋体" w:eastAsia="宋体" w:cs="宋体"/>
          <w:bCs/>
          <w:color w:val="auto"/>
          <w:sz w:val="21"/>
          <w:szCs w:val="21"/>
          <w:highlight w:val="none"/>
        </w:rPr>
        <w:t>（以下简称甲方）</w:t>
      </w:r>
    </w:p>
    <w:p w14:paraId="7C73C405">
      <w:pPr>
        <w:pStyle w:val="14"/>
        <w:snapToGrid w:val="0"/>
        <w:spacing w:before="0" w:beforeLines="0" w:after="0" w:afterLines="0" w:line="440" w:lineRule="exact"/>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乙方：</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（以下简称乙方）</w:t>
      </w:r>
    </w:p>
    <w:p w14:paraId="0BD59270">
      <w:pPr>
        <w:pStyle w:val="14"/>
        <w:snapToGrid w:val="0"/>
        <w:spacing w:before="0" w:beforeLines="0" w:after="0" w:afterLines="0" w:line="440" w:lineRule="exact"/>
        <w:ind w:firstLine="357"/>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依照《民法典》和相关法律、法规及</w:t>
      </w:r>
      <w:r>
        <w:rPr>
          <w:rFonts w:hint="eastAsia" w:ascii="宋体" w:hAnsi="宋体" w:cs="宋体"/>
          <w:color w:val="auto"/>
          <w:sz w:val="21"/>
          <w:szCs w:val="21"/>
          <w:highlight w:val="none"/>
          <w:u w:val="single"/>
          <w:lang w:eastAsia="zh-CN"/>
        </w:rPr>
        <w:t>宁波市海曙区章水镇2024年度结余资金林相优化改造工程</w:t>
      </w:r>
      <w:r>
        <w:rPr>
          <w:rFonts w:hint="eastAsia" w:ascii="宋体" w:hAnsi="宋体" w:eastAsia="宋体" w:cs="宋体"/>
          <w:color w:val="auto"/>
          <w:sz w:val="21"/>
          <w:szCs w:val="21"/>
          <w:highlight w:val="none"/>
        </w:rPr>
        <w:t>公开采购的结果，在自愿、平等、协商一致的基础上，订立本合同。</w:t>
      </w:r>
    </w:p>
    <w:p w14:paraId="28A061F5">
      <w:pPr>
        <w:widowControl/>
        <w:numPr>
          <w:ilvl w:val="0"/>
          <w:numId w:val="14"/>
        </w:numPr>
        <w:spacing w:line="440" w:lineRule="exact"/>
        <w:jc w:val="left"/>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项目名称：</w:t>
      </w:r>
      <w:r>
        <w:rPr>
          <w:rFonts w:hint="eastAsia" w:cs="宋体"/>
          <w:color w:val="auto"/>
          <w:sz w:val="21"/>
          <w:szCs w:val="21"/>
          <w:highlight w:val="none"/>
          <w:u w:val="none"/>
          <w:lang w:eastAsia="zh-CN"/>
        </w:rPr>
        <w:t>宁波市海曙区章水镇2024年度结余资金林相优化改造工程</w:t>
      </w:r>
    </w:p>
    <w:p w14:paraId="2E50706D">
      <w:pPr>
        <w:widowControl/>
        <w:numPr>
          <w:ilvl w:val="0"/>
          <w:numId w:val="14"/>
        </w:numPr>
        <w:spacing w:line="440" w:lineRule="exact"/>
        <w:jc w:val="left"/>
        <w:rPr>
          <w:rFonts w:hint="eastAsia" w:ascii="宋体" w:hAnsi="宋体" w:eastAsia="宋体" w:cs="宋体"/>
          <w:color w:val="auto"/>
          <w:sz w:val="21"/>
          <w:szCs w:val="21"/>
          <w:highlight w:val="none"/>
        </w:rPr>
      </w:pPr>
      <w:r>
        <w:rPr>
          <w:rFonts w:hint="eastAsia" w:hAnsi="宋体" w:eastAsia="宋体" w:cs="宋体"/>
          <w:b/>
          <w:bCs/>
          <w:color w:val="auto"/>
          <w:sz w:val="21"/>
          <w:szCs w:val="21"/>
          <w:highlight w:val="none"/>
          <w:u w:val="none"/>
          <w:lang w:val="en-US" w:eastAsia="zh-CN"/>
        </w:rPr>
        <w:t>项目</w:t>
      </w:r>
      <w:r>
        <w:rPr>
          <w:rFonts w:hint="eastAsia" w:ascii="宋体" w:hAnsi="宋体" w:eastAsia="宋体" w:cs="宋体"/>
          <w:b/>
          <w:bCs/>
          <w:color w:val="auto"/>
          <w:sz w:val="21"/>
          <w:szCs w:val="21"/>
          <w:highlight w:val="none"/>
        </w:rPr>
        <w:t>地点：</w:t>
      </w:r>
      <w:r>
        <w:rPr>
          <w:rFonts w:hint="eastAsia" w:ascii="宋体" w:hAnsi="宋体" w:eastAsia="宋体" w:cs="宋体"/>
          <w:color w:val="auto"/>
          <w:sz w:val="21"/>
          <w:szCs w:val="21"/>
          <w:highlight w:val="none"/>
        </w:rPr>
        <w:t>宁波市海曙区</w:t>
      </w:r>
    </w:p>
    <w:p w14:paraId="619E8C0C">
      <w:pPr>
        <w:widowControl/>
        <w:numPr>
          <w:ilvl w:val="0"/>
          <w:numId w:val="14"/>
        </w:numPr>
        <w:spacing w:line="440" w:lineRule="exact"/>
        <w:jc w:val="left"/>
        <w:rPr>
          <w:rFonts w:hint="eastAsia" w:hAnsi="宋体" w:eastAsia="宋体" w:cs="宋体"/>
          <w:b/>
          <w:bCs/>
          <w:color w:val="auto"/>
          <w:sz w:val="21"/>
          <w:szCs w:val="21"/>
          <w:highlight w:val="none"/>
          <w:u w:val="none"/>
          <w:lang w:val="en-US" w:eastAsia="zh-CN"/>
        </w:rPr>
      </w:pPr>
      <w:r>
        <w:rPr>
          <w:rFonts w:hint="eastAsia" w:hAnsi="宋体" w:eastAsia="宋体" w:cs="宋体"/>
          <w:b/>
          <w:bCs/>
          <w:color w:val="auto"/>
          <w:sz w:val="21"/>
          <w:szCs w:val="21"/>
          <w:highlight w:val="none"/>
          <w:u w:val="none"/>
          <w:lang w:val="en-US" w:eastAsia="zh-CN"/>
        </w:rPr>
        <w:t>服务内容：</w:t>
      </w:r>
    </w:p>
    <w:tbl>
      <w:tblPr>
        <w:tblStyle w:val="23"/>
        <w:tblW w:w="9009" w:type="dxa"/>
        <w:tblInd w:w="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5089"/>
        <w:gridCol w:w="2927"/>
      </w:tblGrid>
      <w:tr w14:paraId="78F37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1DF6C492">
            <w:pPr>
              <w:spacing w:before="60" w:after="60" w:line="40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5089" w:type="dxa"/>
            <w:tcBorders>
              <w:top w:val="single" w:color="auto" w:sz="4" w:space="0"/>
              <w:left w:val="single" w:color="auto" w:sz="4" w:space="0"/>
              <w:bottom w:val="single" w:color="auto" w:sz="4" w:space="0"/>
              <w:right w:val="single" w:color="auto" w:sz="4" w:space="0"/>
            </w:tcBorders>
            <w:noWrap w:val="0"/>
            <w:vAlign w:val="center"/>
          </w:tcPr>
          <w:p w14:paraId="35D7B066">
            <w:pPr>
              <w:spacing w:before="60" w:after="60" w:line="40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采购内容</w:t>
            </w:r>
          </w:p>
        </w:tc>
        <w:tc>
          <w:tcPr>
            <w:tcW w:w="2927" w:type="dxa"/>
            <w:tcBorders>
              <w:top w:val="single" w:color="auto" w:sz="4" w:space="0"/>
              <w:left w:val="single" w:color="auto" w:sz="4" w:space="0"/>
              <w:bottom w:val="single" w:color="auto" w:sz="4" w:space="0"/>
              <w:right w:val="single" w:color="auto" w:sz="4" w:space="0"/>
            </w:tcBorders>
            <w:noWrap w:val="0"/>
            <w:vAlign w:val="center"/>
          </w:tcPr>
          <w:p w14:paraId="11739ECE">
            <w:pPr>
              <w:spacing w:before="60" w:after="60" w:line="40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数量</w:t>
            </w:r>
          </w:p>
        </w:tc>
      </w:tr>
      <w:tr w14:paraId="32009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993" w:type="dxa"/>
            <w:tcBorders>
              <w:top w:val="single" w:color="auto" w:sz="4" w:space="0"/>
              <w:left w:val="single" w:color="auto" w:sz="4" w:space="0"/>
              <w:right w:val="single" w:color="auto" w:sz="4" w:space="0"/>
            </w:tcBorders>
            <w:noWrap w:val="0"/>
            <w:vAlign w:val="center"/>
          </w:tcPr>
          <w:p w14:paraId="476FB156">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5089" w:type="dxa"/>
            <w:tcBorders>
              <w:top w:val="single" w:color="auto" w:sz="4" w:space="0"/>
              <w:left w:val="single" w:color="auto" w:sz="4" w:space="0"/>
              <w:bottom w:val="single" w:color="auto" w:sz="4" w:space="0"/>
              <w:right w:val="single" w:color="auto" w:sz="4" w:space="0"/>
            </w:tcBorders>
            <w:noWrap w:val="0"/>
            <w:vAlign w:val="center"/>
          </w:tcPr>
          <w:p w14:paraId="4D00F66F">
            <w:pPr>
              <w:widowControl/>
              <w:numPr>
                <w:ilvl w:val="0"/>
                <w:numId w:val="0"/>
              </w:numPr>
              <w:spacing w:line="440" w:lineRule="exact"/>
              <w:jc w:val="left"/>
              <w:rPr>
                <w:rFonts w:hint="eastAsia" w:ascii="宋体" w:hAnsi="宋体" w:eastAsia="宋体" w:cs="宋体"/>
                <w:color w:val="auto"/>
                <w:sz w:val="21"/>
                <w:szCs w:val="21"/>
                <w:highlight w:val="none"/>
              </w:rPr>
            </w:pPr>
            <w:r>
              <w:rPr>
                <w:rFonts w:hint="eastAsia" w:cs="宋体"/>
                <w:color w:val="auto"/>
                <w:sz w:val="21"/>
                <w:szCs w:val="21"/>
                <w:highlight w:val="none"/>
                <w:lang w:eastAsia="zh-CN"/>
              </w:rPr>
              <w:t>宁波市海曙区章水镇2024年度结余资金林相优化改造工程</w:t>
            </w:r>
            <w:r>
              <w:rPr>
                <w:rFonts w:hint="eastAsia" w:ascii="宋体" w:hAnsi="宋体" w:eastAsia="宋体" w:cs="宋体"/>
                <w:color w:val="auto"/>
                <w:sz w:val="21"/>
                <w:szCs w:val="21"/>
                <w:highlight w:val="none"/>
                <w:lang w:eastAsia="zh-CN"/>
              </w:rPr>
              <w:t>，</w:t>
            </w:r>
            <w:r>
              <w:rPr>
                <w:rFonts w:hint="eastAsia" w:ascii="宋体" w:hAnsi="宋体" w:eastAsia="宋体" w:cs="宋体"/>
                <w:b w:val="0"/>
                <w:bCs w:val="0"/>
                <w:color w:val="auto"/>
                <w:sz w:val="21"/>
                <w:szCs w:val="21"/>
                <w:highlight w:val="none"/>
              </w:rPr>
              <w:t>要求详见采购文件“第</w:t>
            </w:r>
            <w:r>
              <w:rPr>
                <w:rFonts w:hint="eastAsia" w:hAnsi="宋体" w:eastAsia="宋体" w:cs="宋体"/>
                <w:b w:val="0"/>
                <w:bCs w:val="0"/>
                <w:color w:val="auto"/>
                <w:sz w:val="21"/>
                <w:szCs w:val="21"/>
                <w:highlight w:val="none"/>
                <w:lang w:val="en-US" w:eastAsia="zh-CN"/>
              </w:rPr>
              <w:t>三</w:t>
            </w:r>
            <w:r>
              <w:rPr>
                <w:rFonts w:hint="eastAsia" w:ascii="宋体" w:hAnsi="宋体" w:eastAsia="宋体" w:cs="宋体"/>
                <w:b w:val="0"/>
                <w:bCs w:val="0"/>
                <w:color w:val="auto"/>
                <w:sz w:val="21"/>
                <w:szCs w:val="21"/>
                <w:highlight w:val="none"/>
              </w:rPr>
              <w:t xml:space="preserve">章 </w:t>
            </w:r>
            <w:r>
              <w:rPr>
                <w:rFonts w:hint="eastAsia" w:hAnsi="宋体" w:eastAsia="宋体" w:cs="宋体"/>
                <w:b w:val="0"/>
                <w:bCs w:val="0"/>
                <w:color w:val="auto"/>
                <w:sz w:val="21"/>
                <w:szCs w:val="21"/>
                <w:highlight w:val="none"/>
                <w:lang w:val="en-US" w:eastAsia="zh-CN"/>
              </w:rPr>
              <w:t>项目需求</w:t>
            </w:r>
            <w:r>
              <w:rPr>
                <w:rFonts w:hint="eastAsia" w:ascii="宋体" w:hAnsi="宋体" w:eastAsia="宋体" w:cs="宋体"/>
                <w:b w:val="0"/>
                <w:bCs w:val="0"/>
                <w:color w:val="auto"/>
                <w:sz w:val="21"/>
                <w:szCs w:val="21"/>
                <w:highlight w:val="none"/>
              </w:rPr>
              <w:t>”</w:t>
            </w:r>
            <w:r>
              <w:rPr>
                <w:rFonts w:hint="eastAsia" w:ascii="宋体" w:hAnsi="宋体" w:eastAsia="宋体" w:cs="宋体"/>
                <w:color w:val="auto"/>
                <w:sz w:val="21"/>
                <w:szCs w:val="21"/>
                <w:highlight w:val="none"/>
              </w:rPr>
              <w:t>。</w:t>
            </w:r>
          </w:p>
        </w:tc>
        <w:tc>
          <w:tcPr>
            <w:tcW w:w="2927" w:type="dxa"/>
            <w:tcBorders>
              <w:top w:val="single" w:color="auto" w:sz="4" w:space="0"/>
              <w:left w:val="single" w:color="auto" w:sz="4" w:space="0"/>
              <w:right w:val="single" w:color="auto" w:sz="4" w:space="0"/>
            </w:tcBorders>
            <w:noWrap w:val="0"/>
            <w:vAlign w:val="center"/>
          </w:tcPr>
          <w:p w14:paraId="2BE41767">
            <w:pPr>
              <w:spacing w:line="400" w:lineRule="exact"/>
              <w:jc w:val="cente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约</w:t>
            </w:r>
            <w:r>
              <w:rPr>
                <w:rFonts w:hint="eastAsia" w:hAnsi="宋体" w:eastAsia="宋体" w:cs="宋体"/>
                <w:color w:val="auto"/>
                <w:sz w:val="21"/>
                <w:szCs w:val="21"/>
                <w:highlight w:val="none"/>
                <w:lang w:val="en-US" w:eastAsia="zh-CN"/>
              </w:rPr>
              <w:t>135</w:t>
            </w:r>
            <w:r>
              <w:rPr>
                <w:rFonts w:hint="eastAsia" w:ascii="宋体" w:hAnsi="宋体" w:eastAsia="宋体" w:cs="宋体"/>
                <w:color w:val="auto"/>
                <w:sz w:val="21"/>
                <w:szCs w:val="21"/>
                <w:highlight w:val="none"/>
                <w:lang w:val="en-US" w:eastAsia="zh-CN"/>
              </w:rPr>
              <w:t>亩</w:t>
            </w:r>
          </w:p>
          <w:p w14:paraId="5CB9D179">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（具体数量以实际为准）</w:t>
            </w:r>
          </w:p>
        </w:tc>
      </w:tr>
    </w:tbl>
    <w:p w14:paraId="1BE93530">
      <w:pPr>
        <w:widowControl/>
        <w:numPr>
          <w:ilvl w:val="0"/>
          <w:numId w:val="14"/>
        </w:numPr>
        <w:spacing w:line="440" w:lineRule="exact"/>
        <w:jc w:val="left"/>
        <w:rPr>
          <w:rFonts w:hint="eastAsia" w:hAnsi="宋体" w:eastAsia="宋体" w:cs="宋体"/>
          <w:b/>
          <w:bCs/>
          <w:color w:val="auto"/>
          <w:sz w:val="21"/>
          <w:szCs w:val="21"/>
          <w:highlight w:val="none"/>
          <w:u w:val="none"/>
          <w:lang w:val="en-US" w:eastAsia="zh-CN"/>
        </w:rPr>
      </w:pPr>
      <w:r>
        <w:rPr>
          <w:rFonts w:hint="eastAsia" w:hAnsi="宋体" w:eastAsia="宋体" w:cs="宋体"/>
          <w:b/>
          <w:bCs/>
          <w:color w:val="auto"/>
          <w:sz w:val="21"/>
          <w:szCs w:val="21"/>
          <w:highlight w:val="none"/>
          <w:u w:val="none"/>
          <w:lang w:val="en-US" w:eastAsia="zh-CN"/>
        </w:rPr>
        <w:t>服务期限：</w:t>
      </w:r>
      <w:r>
        <w:rPr>
          <w:rFonts w:hint="eastAsia" w:hAnsi="宋体" w:eastAsia="宋体" w:cs="宋体"/>
          <w:color w:val="auto"/>
          <w:sz w:val="21"/>
          <w:highlight w:val="none"/>
          <w:lang w:eastAsia="zh-CN"/>
        </w:rPr>
        <w:t>自合同签订之日起</w:t>
      </w:r>
      <w:r>
        <w:rPr>
          <w:rFonts w:hint="eastAsia" w:hAnsi="宋体" w:eastAsia="宋体" w:cs="宋体"/>
          <w:color w:val="auto"/>
          <w:sz w:val="21"/>
          <w:highlight w:val="none"/>
          <w:lang w:val="en-US" w:eastAsia="zh-CN"/>
        </w:rPr>
        <w:t>至双方权力义务履行完毕止。</w:t>
      </w:r>
    </w:p>
    <w:p w14:paraId="7C87CFDB">
      <w:pPr>
        <w:widowControl/>
        <w:numPr>
          <w:ilvl w:val="0"/>
          <w:numId w:val="14"/>
        </w:numPr>
        <w:spacing w:line="440" w:lineRule="exact"/>
        <w:jc w:val="left"/>
        <w:rPr>
          <w:rFonts w:hint="eastAsia" w:hAnsi="宋体" w:eastAsia="宋体" w:cs="宋体"/>
          <w:b/>
          <w:bCs/>
          <w:color w:val="auto"/>
          <w:sz w:val="21"/>
          <w:szCs w:val="21"/>
          <w:highlight w:val="none"/>
          <w:u w:val="none"/>
          <w:lang w:val="en-US" w:eastAsia="zh-CN"/>
        </w:rPr>
      </w:pPr>
      <w:r>
        <w:rPr>
          <w:rFonts w:hint="eastAsia" w:hAnsi="宋体" w:eastAsia="宋体" w:cs="宋体"/>
          <w:b/>
          <w:bCs/>
          <w:color w:val="auto"/>
          <w:sz w:val="21"/>
          <w:szCs w:val="21"/>
          <w:highlight w:val="none"/>
          <w:u w:val="none"/>
          <w:lang w:val="en-US" w:eastAsia="zh-CN"/>
        </w:rPr>
        <w:t>合同金额及结算方式</w:t>
      </w:r>
    </w:p>
    <w:p w14:paraId="76651959">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440" w:lineRule="exact"/>
        <w:ind w:firstLine="420" w:firstLineChars="200"/>
        <w:jc w:val="left"/>
        <w:textAlignment w:val="baseline"/>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本合同金额单价人民币：</w:t>
      </w:r>
      <w:r>
        <w:rPr>
          <w:rFonts w:hint="eastAsia" w:ascii="宋体" w:hAnsi="宋体" w:eastAsia="宋体" w:cs="宋体"/>
          <w:color w:val="auto"/>
          <w:sz w:val="21"/>
          <w:szCs w:val="21"/>
          <w:highlight w:val="none"/>
          <w:u w:val="single"/>
        </w:rPr>
        <w:t xml:space="preserve">       （小写：    ）</w:t>
      </w:r>
      <w:r>
        <w:rPr>
          <w:rFonts w:hint="eastAsia" w:ascii="宋体" w:hAnsi="宋体" w:eastAsia="宋体" w:cs="宋体"/>
          <w:bCs/>
          <w:color w:val="auto"/>
          <w:sz w:val="21"/>
          <w:szCs w:val="21"/>
          <w:highlight w:val="none"/>
        </w:rPr>
        <w:t>元/亩</w:t>
      </w:r>
      <w:r>
        <w:rPr>
          <w:rFonts w:hint="eastAsia" w:ascii="宋体" w:hAnsi="宋体" w:eastAsia="宋体" w:cs="宋体"/>
          <w:color w:val="auto"/>
          <w:sz w:val="21"/>
          <w:szCs w:val="21"/>
          <w:highlight w:val="none"/>
        </w:rPr>
        <w:t>；本项目为</w:t>
      </w:r>
      <w:r>
        <w:rPr>
          <w:rFonts w:hint="eastAsia" w:ascii="宋体" w:hAnsi="宋体" w:eastAsia="宋体" w:cs="宋体"/>
          <w:color w:val="auto"/>
          <w:sz w:val="21"/>
          <w:szCs w:val="21"/>
          <w:highlight w:val="none"/>
          <w:u w:val="single"/>
        </w:rPr>
        <w:t>固定单价</w:t>
      </w:r>
      <w:r>
        <w:rPr>
          <w:rFonts w:hint="eastAsia" w:ascii="宋体" w:hAnsi="宋体" w:eastAsia="宋体" w:cs="宋体"/>
          <w:color w:val="auto"/>
          <w:sz w:val="21"/>
          <w:szCs w:val="21"/>
          <w:highlight w:val="none"/>
        </w:rPr>
        <w:t>合同。预估合同总价为人民币</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元整（小写：</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eastAsia="zh-CN"/>
        </w:rPr>
        <w:t>；</w:t>
      </w:r>
    </w:p>
    <w:p w14:paraId="0AC4C609">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440" w:lineRule="exact"/>
        <w:ind w:firstLine="420" w:firstLineChars="200"/>
        <w:jc w:val="left"/>
        <w:textAlignment w:val="baseline"/>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本项目服务期间内，乙方承诺的中标价不因市场因素和政策因素变动而调整。</w:t>
      </w:r>
    </w:p>
    <w:p w14:paraId="39E190D9">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440" w:lineRule="exact"/>
        <w:ind w:firstLine="420" w:firstLineChars="200"/>
        <w:jc w:val="left"/>
        <w:textAlignment w:val="baseline"/>
        <w:rPr>
          <w:rFonts w:hint="eastAsia" w:ascii="宋体" w:hAnsi="宋体" w:eastAsia="宋体" w:cs="宋体"/>
          <w:bCs/>
          <w:color w:val="auto"/>
          <w:kern w:val="0"/>
          <w:sz w:val="21"/>
          <w:szCs w:val="21"/>
          <w:highlight w:val="none"/>
        </w:rPr>
      </w:pPr>
      <w:r>
        <w:rPr>
          <w:rFonts w:hint="eastAsia" w:ascii="宋体" w:hAnsi="宋体" w:eastAsia="宋体" w:cs="宋体"/>
          <w:color w:val="auto"/>
          <w:sz w:val="21"/>
          <w:szCs w:val="21"/>
          <w:highlight w:val="none"/>
        </w:rPr>
        <w:t>注</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总价包含完成服务所需的人工、按规定应缴纳的各种社会保险（含人身意外伤害保险等）、材料、运输、机械设备、劳保用品、林地清理、整地、挖穴、施基肥、定植、搬运上下山、交通、质保期内服务、采购代理服务费、利润、管理费、税金、政策性文件规定及合同包含的所有风险、责任等各项应有的费用，即完成本项目服务涉及的全部费用。</w:t>
      </w:r>
    </w:p>
    <w:p w14:paraId="0EDA7484">
      <w:pPr>
        <w:widowControl/>
        <w:numPr>
          <w:ilvl w:val="0"/>
          <w:numId w:val="14"/>
        </w:numPr>
        <w:spacing w:line="440" w:lineRule="exact"/>
        <w:jc w:val="left"/>
        <w:rPr>
          <w:rFonts w:hint="eastAsia" w:hAnsi="宋体" w:eastAsia="宋体" w:cs="宋体"/>
          <w:b/>
          <w:bCs/>
          <w:color w:val="auto"/>
          <w:sz w:val="21"/>
          <w:szCs w:val="21"/>
          <w:highlight w:val="none"/>
          <w:u w:val="none"/>
          <w:lang w:val="en-US" w:eastAsia="zh-CN"/>
        </w:rPr>
      </w:pPr>
      <w:r>
        <w:rPr>
          <w:rFonts w:hint="eastAsia" w:hAnsi="宋体" w:eastAsia="宋体" w:cs="宋体"/>
          <w:b/>
          <w:bCs/>
          <w:color w:val="auto"/>
          <w:sz w:val="21"/>
          <w:szCs w:val="21"/>
          <w:highlight w:val="none"/>
          <w:u w:val="none"/>
          <w:lang w:val="en-US" w:eastAsia="zh-CN"/>
        </w:rPr>
        <w:t>组成合同的文件</w:t>
      </w:r>
    </w:p>
    <w:p w14:paraId="4CAA3736">
      <w:pPr>
        <w:keepNext w:val="0"/>
        <w:keepLines w:val="0"/>
        <w:pageBreakBefore w:val="0"/>
        <w:widowControl w:val="0"/>
        <w:kinsoku/>
        <w:wordWrap/>
        <w:overflowPunct/>
        <w:topLinePunct w:val="0"/>
        <w:autoSpaceDE/>
        <w:autoSpaceDN/>
        <w:bidi w:val="0"/>
        <w:adjustRightInd w:val="0"/>
        <w:snapToGrid/>
        <w:spacing w:line="440" w:lineRule="exact"/>
        <w:ind w:firstLine="420" w:firstLineChars="200"/>
        <w:textAlignment w:val="baseline"/>
        <w:rPr>
          <w:rFonts w:hint="eastAsia" w:ascii="宋体" w:hAnsi="宋体" w:eastAsia="宋体" w:cs="宋体"/>
          <w:color w:val="auto"/>
          <w:kern w:val="16"/>
          <w:sz w:val="21"/>
          <w:szCs w:val="21"/>
          <w:highlight w:val="none"/>
        </w:rPr>
      </w:pPr>
      <w:r>
        <w:rPr>
          <w:rFonts w:hint="eastAsia" w:hAnsi="宋体" w:eastAsia="宋体" w:cs="宋体"/>
          <w:color w:val="auto"/>
          <w:kern w:val="16"/>
          <w:sz w:val="21"/>
          <w:szCs w:val="21"/>
          <w:highlight w:val="none"/>
          <w:lang w:val="en-US" w:eastAsia="zh-CN"/>
        </w:rPr>
        <w:t>1、</w:t>
      </w:r>
      <w:r>
        <w:rPr>
          <w:rFonts w:hint="eastAsia" w:ascii="宋体" w:hAnsi="宋体" w:eastAsia="宋体" w:cs="宋体"/>
          <w:color w:val="auto"/>
          <w:kern w:val="16"/>
          <w:sz w:val="21"/>
          <w:szCs w:val="21"/>
          <w:highlight w:val="none"/>
        </w:rPr>
        <w:t>本合同协议书；</w:t>
      </w:r>
    </w:p>
    <w:p w14:paraId="7764A31A">
      <w:pPr>
        <w:keepNext w:val="0"/>
        <w:keepLines w:val="0"/>
        <w:pageBreakBefore w:val="0"/>
        <w:widowControl w:val="0"/>
        <w:kinsoku/>
        <w:wordWrap/>
        <w:overflowPunct/>
        <w:topLinePunct w:val="0"/>
        <w:autoSpaceDE/>
        <w:autoSpaceDN/>
        <w:bidi w:val="0"/>
        <w:adjustRightInd w:val="0"/>
        <w:snapToGrid/>
        <w:spacing w:line="440" w:lineRule="exact"/>
        <w:ind w:firstLine="420" w:firstLineChars="200"/>
        <w:textAlignment w:val="baseline"/>
        <w:rPr>
          <w:rFonts w:hint="eastAsia" w:ascii="宋体" w:hAnsi="宋体" w:eastAsia="宋体" w:cs="宋体"/>
          <w:color w:val="auto"/>
          <w:kern w:val="16"/>
          <w:sz w:val="21"/>
          <w:szCs w:val="21"/>
          <w:highlight w:val="none"/>
        </w:rPr>
      </w:pPr>
      <w:r>
        <w:rPr>
          <w:rFonts w:hint="eastAsia" w:hAnsi="宋体" w:eastAsia="宋体" w:cs="宋体"/>
          <w:color w:val="auto"/>
          <w:kern w:val="16"/>
          <w:sz w:val="21"/>
          <w:szCs w:val="21"/>
          <w:highlight w:val="none"/>
          <w:lang w:val="en-US" w:eastAsia="zh-CN"/>
        </w:rPr>
        <w:t>2、</w:t>
      </w:r>
      <w:r>
        <w:rPr>
          <w:rFonts w:hint="eastAsia" w:ascii="宋体" w:hAnsi="宋体" w:eastAsia="宋体" w:cs="宋体"/>
          <w:color w:val="auto"/>
          <w:kern w:val="16"/>
          <w:sz w:val="21"/>
          <w:szCs w:val="21"/>
          <w:highlight w:val="none"/>
        </w:rPr>
        <w:t>中标</w:t>
      </w:r>
      <w:r>
        <w:rPr>
          <w:rFonts w:hint="eastAsia" w:hAnsi="宋体" w:eastAsia="宋体" w:cs="宋体"/>
          <w:color w:val="auto"/>
          <w:kern w:val="16"/>
          <w:sz w:val="21"/>
          <w:szCs w:val="21"/>
          <w:highlight w:val="none"/>
          <w:lang w:eastAsia="zh-CN"/>
        </w:rPr>
        <w:t>（</w:t>
      </w:r>
      <w:r>
        <w:rPr>
          <w:rFonts w:hint="eastAsia" w:hAnsi="宋体" w:eastAsia="宋体" w:cs="宋体"/>
          <w:color w:val="auto"/>
          <w:kern w:val="16"/>
          <w:sz w:val="21"/>
          <w:szCs w:val="21"/>
          <w:highlight w:val="none"/>
          <w:lang w:val="en-US" w:eastAsia="zh-CN"/>
        </w:rPr>
        <w:t>成交</w:t>
      </w:r>
      <w:r>
        <w:rPr>
          <w:rFonts w:hint="eastAsia" w:hAnsi="宋体" w:eastAsia="宋体" w:cs="宋体"/>
          <w:color w:val="auto"/>
          <w:kern w:val="16"/>
          <w:sz w:val="21"/>
          <w:szCs w:val="21"/>
          <w:highlight w:val="none"/>
          <w:lang w:eastAsia="zh-CN"/>
        </w:rPr>
        <w:t>）</w:t>
      </w:r>
      <w:r>
        <w:rPr>
          <w:rFonts w:hint="eastAsia" w:ascii="宋体" w:hAnsi="宋体" w:eastAsia="宋体" w:cs="宋体"/>
          <w:color w:val="auto"/>
          <w:kern w:val="16"/>
          <w:sz w:val="21"/>
          <w:szCs w:val="21"/>
          <w:highlight w:val="none"/>
        </w:rPr>
        <w:t>通知书；</w:t>
      </w:r>
    </w:p>
    <w:p w14:paraId="6870D28B">
      <w:pPr>
        <w:keepNext w:val="0"/>
        <w:keepLines w:val="0"/>
        <w:pageBreakBefore w:val="0"/>
        <w:widowControl w:val="0"/>
        <w:kinsoku/>
        <w:wordWrap/>
        <w:overflowPunct/>
        <w:topLinePunct w:val="0"/>
        <w:autoSpaceDE/>
        <w:autoSpaceDN/>
        <w:bidi w:val="0"/>
        <w:adjustRightInd w:val="0"/>
        <w:snapToGrid/>
        <w:spacing w:line="440" w:lineRule="exact"/>
        <w:ind w:firstLine="420" w:firstLineChars="200"/>
        <w:textAlignment w:val="baseline"/>
        <w:rPr>
          <w:rFonts w:hint="eastAsia" w:ascii="宋体" w:hAnsi="宋体" w:eastAsia="宋体" w:cs="宋体"/>
          <w:color w:val="auto"/>
          <w:kern w:val="16"/>
          <w:sz w:val="21"/>
          <w:szCs w:val="21"/>
          <w:highlight w:val="none"/>
        </w:rPr>
      </w:pPr>
      <w:r>
        <w:rPr>
          <w:rFonts w:hint="eastAsia" w:hAnsi="宋体" w:eastAsia="宋体" w:cs="宋体"/>
          <w:color w:val="auto"/>
          <w:kern w:val="16"/>
          <w:sz w:val="21"/>
          <w:szCs w:val="21"/>
          <w:highlight w:val="none"/>
          <w:lang w:val="en-US" w:eastAsia="zh-CN"/>
        </w:rPr>
        <w:t>3、响应文件</w:t>
      </w:r>
      <w:r>
        <w:rPr>
          <w:rFonts w:hint="eastAsia" w:ascii="宋体" w:hAnsi="宋体" w:eastAsia="宋体" w:cs="宋体"/>
          <w:color w:val="auto"/>
          <w:kern w:val="16"/>
          <w:sz w:val="21"/>
          <w:szCs w:val="21"/>
          <w:highlight w:val="none"/>
        </w:rPr>
        <w:t>及其附件；</w:t>
      </w:r>
    </w:p>
    <w:p w14:paraId="5C695AAA">
      <w:pPr>
        <w:keepNext w:val="0"/>
        <w:keepLines w:val="0"/>
        <w:pageBreakBefore w:val="0"/>
        <w:widowControl w:val="0"/>
        <w:kinsoku/>
        <w:wordWrap/>
        <w:overflowPunct/>
        <w:topLinePunct w:val="0"/>
        <w:autoSpaceDE/>
        <w:autoSpaceDN/>
        <w:bidi w:val="0"/>
        <w:adjustRightInd w:val="0"/>
        <w:snapToGrid/>
        <w:spacing w:line="440" w:lineRule="exact"/>
        <w:ind w:firstLine="420" w:firstLineChars="200"/>
        <w:textAlignment w:val="baseline"/>
        <w:rPr>
          <w:rFonts w:hint="eastAsia" w:ascii="宋体" w:hAnsi="宋体" w:eastAsia="宋体" w:cs="宋体"/>
          <w:color w:val="auto"/>
          <w:kern w:val="16"/>
          <w:sz w:val="21"/>
          <w:szCs w:val="21"/>
          <w:highlight w:val="none"/>
        </w:rPr>
      </w:pPr>
      <w:r>
        <w:rPr>
          <w:rFonts w:hint="eastAsia" w:hAnsi="宋体" w:eastAsia="宋体" w:cs="宋体"/>
          <w:color w:val="auto"/>
          <w:kern w:val="16"/>
          <w:sz w:val="21"/>
          <w:szCs w:val="21"/>
          <w:highlight w:val="none"/>
          <w:lang w:val="en-US" w:eastAsia="zh-CN"/>
        </w:rPr>
        <w:t>4、</w:t>
      </w:r>
      <w:r>
        <w:rPr>
          <w:rFonts w:hint="eastAsia" w:ascii="宋体" w:hAnsi="宋体" w:eastAsia="宋体" w:cs="宋体"/>
          <w:color w:val="auto"/>
          <w:kern w:val="16"/>
          <w:sz w:val="21"/>
          <w:szCs w:val="21"/>
          <w:highlight w:val="none"/>
        </w:rPr>
        <w:t>采购文件；</w:t>
      </w:r>
    </w:p>
    <w:p w14:paraId="0C06CFE1">
      <w:pPr>
        <w:keepNext w:val="0"/>
        <w:keepLines w:val="0"/>
        <w:pageBreakBefore w:val="0"/>
        <w:widowControl w:val="0"/>
        <w:kinsoku/>
        <w:wordWrap/>
        <w:overflowPunct/>
        <w:topLinePunct w:val="0"/>
        <w:autoSpaceDE/>
        <w:autoSpaceDN/>
        <w:bidi w:val="0"/>
        <w:adjustRightInd w:val="0"/>
        <w:snapToGrid/>
        <w:spacing w:line="440" w:lineRule="exact"/>
        <w:ind w:firstLine="420" w:firstLineChars="200"/>
        <w:textAlignment w:val="baseline"/>
        <w:rPr>
          <w:rFonts w:hint="eastAsia" w:ascii="宋体" w:hAnsi="宋体" w:eastAsia="宋体" w:cs="宋体"/>
          <w:color w:val="auto"/>
          <w:kern w:val="16"/>
          <w:sz w:val="21"/>
          <w:szCs w:val="21"/>
          <w:highlight w:val="none"/>
        </w:rPr>
      </w:pPr>
      <w:r>
        <w:rPr>
          <w:rFonts w:hint="eastAsia" w:hAnsi="宋体" w:eastAsia="宋体" w:cs="宋体"/>
          <w:color w:val="auto"/>
          <w:kern w:val="16"/>
          <w:sz w:val="21"/>
          <w:szCs w:val="21"/>
          <w:highlight w:val="none"/>
          <w:lang w:val="en-US" w:eastAsia="zh-CN"/>
        </w:rPr>
        <w:t>5、</w:t>
      </w:r>
      <w:r>
        <w:rPr>
          <w:rFonts w:hint="eastAsia" w:ascii="宋体" w:hAnsi="宋体" w:eastAsia="宋体" w:cs="宋体"/>
          <w:color w:val="auto"/>
          <w:kern w:val="16"/>
          <w:sz w:val="21"/>
          <w:szCs w:val="21"/>
          <w:highlight w:val="none"/>
        </w:rPr>
        <w:t>标准、规范及有关技术文件；</w:t>
      </w:r>
    </w:p>
    <w:p w14:paraId="7FF2CC5E">
      <w:pPr>
        <w:keepNext w:val="0"/>
        <w:keepLines w:val="0"/>
        <w:pageBreakBefore w:val="0"/>
        <w:widowControl w:val="0"/>
        <w:kinsoku/>
        <w:wordWrap/>
        <w:overflowPunct/>
        <w:topLinePunct w:val="0"/>
        <w:autoSpaceDE/>
        <w:autoSpaceDN/>
        <w:bidi w:val="0"/>
        <w:adjustRightInd w:val="0"/>
        <w:snapToGrid/>
        <w:spacing w:line="440" w:lineRule="exact"/>
        <w:ind w:firstLine="420" w:firstLineChars="200"/>
        <w:textAlignment w:val="baseline"/>
        <w:rPr>
          <w:rFonts w:hint="eastAsia" w:ascii="宋体" w:hAnsi="宋体" w:eastAsia="宋体" w:cs="宋体"/>
          <w:color w:val="auto"/>
          <w:kern w:val="16"/>
          <w:sz w:val="21"/>
          <w:szCs w:val="21"/>
          <w:highlight w:val="none"/>
        </w:rPr>
      </w:pPr>
      <w:r>
        <w:rPr>
          <w:rFonts w:hint="eastAsia" w:hAnsi="宋体" w:eastAsia="宋体" w:cs="宋体"/>
          <w:color w:val="auto"/>
          <w:kern w:val="16"/>
          <w:sz w:val="21"/>
          <w:szCs w:val="21"/>
          <w:highlight w:val="none"/>
          <w:lang w:val="en-US" w:eastAsia="zh-CN"/>
        </w:rPr>
        <w:t>6、</w:t>
      </w:r>
      <w:r>
        <w:rPr>
          <w:rFonts w:hint="eastAsia" w:ascii="宋体" w:hAnsi="宋体" w:eastAsia="宋体" w:cs="宋体"/>
          <w:color w:val="auto"/>
          <w:kern w:val="16"/>
          <w:sz w:val="21"/>
          <w:szCs w:val="21"/>
          <w:highlight w:val="none"/>
        </w:rPr>
        <w:t>图纸。（如有）</w:t>
      </w:r>
    </w:p>
    <w:p w14:paraId="25A3B0AF">
      <w:pPr>
        <w:pStyle w:val="14"/>
        <w:snapToGrid w:val="0"/>
        <w:spacing w:before="0" w:beforeLines="0" w:after="0" w:afterLines="0" w:line="440" w:lineRule="exact"/>
        <w:ind w:firstLine="420" w:firstLineChars="200"/>
        <w:jc w:val="left"/>
        <w:rPr>
          <w:rFonts w:hint="eastAsia" w:ascii="宋体" w:hAnsi="宋体" w:eastAsia="宋体" w:cs="宋体"/>
          <w:color w:val="auto"/>
          <w:kern w:val="16"/>
          <w:sz w:val="21"/>
          <w:szCs w:val="21"/>
          <w:highlight w:val="none"/>
        </w:rPr>
      </w:pPr>
      <w:r>
        <w:rPr>
          <w:rFonts w:hint="eastAsia" w:ascii="宋体" w:hAnsi="宋体" w:eastAsia="宋体" w:cs="宋体"/>
          <w:color w:val="auto"/>
          <w:sz w:val="21"/>
          <w:szCs w:val="21"/>
          <w:highlight w:val="none"/>
        </w:rPr>
        <w:t>有关甲乙双方洽商、变更等书面协议或文件均视为本合同组成部分。</w:t>
      </w:r>
    </w:p>
    <w:p w14:paraId="5D4692BB">
      <w:pPr>
        <w:widowControl/>
        <w:numPr>
          <w:ilvl w:val="0"/>
          <w:numId w:val="14"/>
        </w:numPr>
        <w:spacing w:line="440" w:lineRule="exact"/>
        <w:jc w:val="left"/>
        <w:rPr>
          <w:rFonts w:hint="eastAsia" w:hAnsi="宋体" w:eastAsia="宋体" w:cs="宋体"/>
          <w:b/>
          <w:bCs/>
          <w:color w:val="auto"/>
          <w:sz w:val="21"/>
          <w:szCs w:val="21"/>
          <w:highlight w:val="none"/>
          <w:u w:val="none"/>
          <w:lang w:val="en-US" w:eastAsia="zh-CN"/>
        </w:rPr>
      </w:pPr>
      <w:r>
        <w:rPr>
          <w:rFonts w:hint="eastAsia" w:hAnsi="宋体" w:eastAsia="宋体" w:cs="宋体"/>
          <w:b/>
          <w:bCs/>
          <w:color w:val="auto"/>
          <w:sz w:val="21"/>
          <w:szCs w:val="21"/>
          <w:highlight w:val="none"/>
          <w:u w:val="none"/>
          <w:lang w:val="en-US" w:eastAsia="zh-CN"/>
        </w:rPr>
        <w:t>履约保证金：</w:t>
      </w:r>
      <w:r>
        <w:rPr>
          <w:rFonts w:hint="eastAsia" w:hAnsi="宋体" w:eastAsia="宋体" w:cs="宋体"/>
          <w:b w:val="0"/>
          <w:bCs w:val="0"/>
          <w:color w:val="auto"/>
          <w:sz w:val="21"/>
          <w:szCs w:val="21"/>
          <w:highlight w:val="none"/>
          <w:u w:val="none"/>
          <w:lang w:val="en-US" w:eastAsia="zh-CN"/>
        </w:rPr>
        <w:t>无</w:t>
      </w:r>
    </w:p>
    <w:p w14:paraId="32F1D14F">
      <w:pPr>
        <w:widowControl/>
        <w:numPr>
          <w:ilvl w:val="0"/>
          <w:numId w:val="14"/>
        </w:numPr>
        <w:spacing w:line="440" w:lineRule="exact"/>
        <w:jc w:val="left"/>
        <w:rPr>
          <w:rFonts w:hint="eastAsia" w:hAnsi="宋体" w:eastAsia="宋体" w:cs="宋体"/>
          <w:b/>
          <w:bCs/>
          <w:color w:val="auto"/>
          <w:sz w:val="21"/>
          <w:szCs w:val="21"/>
          <w:highlight w:val="none"/>
          <w:u w:val="none"/>
          <w:lang w:val="en-US" w:eastAsia="zh-CN"/>
        </w:rPr>
      </w:pPr>
      <w:r>
        <w:rPr>
          <w:rFonts w:hint="eastAsia" w:hAnsi="宋体" w:eastAsia="宋体" w:cs="宋体"/>
          <w:b/>
          <w:bCs/>
          <w:color w:val="auto"/>
          <w:sz w:val="21"/>
          <w:szCs w:val="21"/>
          <w:highlight w:val="none"/>
          <w:u w:val="none"/>
          <w:lang w:val="en-US" w:eastAsia="zh-CN"/>
        </w:rPr>
        <w:t>转包或分包</w:t>
      </w:r>
    </w:p>
    <w:p w14:paraId="45C74D29">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440" w:lineRule="exact"/>
        <w:ind w:firstLine="420" w:firstLineChars="200"/>
        <w:jc w:val="left"/>
        <w:textAlignment w:val="baseline"/>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本合同范围的服务，应由乙方直接提供，不得转</w:t>
      </w:r>
      <w:r>
        <w:rPr>
          <w:rFonts w:hint="eastAsia" w:ascii="宋体" w:hAnsi="宋体" w:eastAsia="宋体" w:cs="宋体"/>
          <w:color w:val="auto"/>
          <w:sz w:val="21"/>
          <w:szCs w:val="21"/>
          <w:highlight w:val="none"/>
          <w:lang w:val="en-US" w:eastAsia="zh-CN"/>
        </w:rPr>
        <w:t>包</w:t>
      </w:r>
      <w:r>
        <w:rPr>
          <w:rFonts w:hint="eastAsia" w:ascii="宋体" w:hAnsi="宋体" w:eastAsia="宋体" w:cs="宋体"/>
          <w:color w:val="auto"/>
          <w:sz w:val="21"/>
          <w:szCs w:val="21"/>
          <w:highlight w:val="none"/>
        </w:rPr>
        <w:t>他人</w:t>
      </w:r>
      <w:r>
        <w:rPr>
          <w:rFonts w:hint="eastAsia" w:ascii="宋体" w:hAnsi="宋体" w:cs="宋体"/>
          <w:color w:val="auto"/>
          <w:sz w:val="21"/>
          <w:szCs w:val="21"/>
          <w:highlight w:val="none"/>
          <w:lang w:eastAsia="zh-CN"/>
        </w:rPr>
        <w:t>；</w:t>
      </w:r>
    </w:p>
    <w:p w14:paraId="4286097E">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440" w:lineRule="exact"/>
        <w:ind w:firstLine="420" w:firstLineChars="200"/>
        <w:jc w:val="left"/>
        <w:textAlignment w:val="baseline"/>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除非得到甲方的同意，否则乙方不得分包给他人</w:t>
      </w:r>
      <w:r>
        <w:rPr>
          <w:rFonts w:hint="eastAsia" w:ascii="宋体" w:hAnsi="宋体" w:cs="宋体"/>
          <w:color w:val="auto"/>
          <w:sz w:val="21"/>
          <w:szCs w:val="21"/>
          <w:highlight w:val="none"/>
          <w:lang w:eastAsia="zh-CN"/>
        </w:rPr>
        <w:t>；</w:t>
      </w:r>
    </w:p>
    <w:p w14:paraId="5C7737AE">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440" w:lineRule="exact"/>
        <w:ind w:firstLine="420" w:firstLineChars="200"/>
        <w:jc w:val="left"/>
        <w:textAlignment w:val="baseline"/>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如有转</w:t>
      </w:r>
      <w:r>
        <w:rPr>
          <w:rFonts w:hint="eastAsia" w:ascii="宋体" w:hAnsi="宋体" w:eastAsia="宋体" w:cs="宋体"/>
          <w:color w:val="auto"/>
          <w:sz w:val="21"/>
          <w:szCs w:val="21"/>
          <w:highlight w:val="none"/>
          <w:lang w:val="en-US" w:eastAsia="zh-CN"/>
        </w:rPr>
        <w:t>包</w:t>
      </w:r>
      <w:r>
        <w:rPr>
          <w:rFonts w:hint="eastAsia" w:ascii="宋体" w:hAnsi="宋体" w:eastAsia="宋体" w:cs="宋体"/>
          <w:color w:val="auto"/>
          <w:sz w:val="21"/>
          <w:szCs w:val="21"/>
          <w:highlight w:val="none"/>
        </w:rPr>
        <w:t>和未经甲方同意的分包行为，甲方有权终止合同，并要求乙方赔偿因此而造成的损失。</w:t>
      </w:r>
    </w:p>
    <w:p w14:paraId="4BEF1A4F">
      <w:pPr>
        <w:widowControl/>
        <w:numPr>
          <w:ilvl w:val="0"/>
          <w:numId w:val="14"/>
        </w:numPr>
        <w:spacing w:line="440" w:lineRule="exact"/>
        <w:jc w:val="left"/>
        <w:rPr>
          <w:rFonts w:hint="eastAsia" w:hAnsi="宋体" w:eastAsia="宋体" w:cs="宋体"/>
          <w:b/>
          <w:bCs/>
          <w:color w:val="auto"/>
          <w:sz w:val="21"/>
          <w:szCs w:val="21"/>
          <w:highlight w:val="none"/>
          <w:u w:val="none"/>
          <w:lang w:val="en-US" w:eastAsia="zh-CN"/>
        </w:rPr>
      </w:pPr>
      <w:r>
        <w:rPr>
          <w:rFonts w:hint="eastAsia" w:hAnsi="宋体" w:eastAsia="宋体" w:cs="宋体"/>
          <w:b/>
          <w:bCs/>
          <w:color w:val="auto"/>
          <w:sz w:val="21"/>
          <w:szCs w:val="21"/>
          <w:highlight w:val="none"/>
          <w:u w:val="none"/>
          <w:lang w:val="en-US" w:eastAsia="zh-CN"/>
        </w:rPr>
        <w:t>技术规范及标准</w:t>
      </w:r>
    </w:p>
    <w:p w14:paraId="6FFA2802">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包括但不仅限于以下技术规范及标准：</w:t>
      </w:r>
    </w:p>
    <w:p w14:paraId="65A47908">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1、《中华人民共和国森林法实施条例》（2019年12月28日修订）；</w:t>
      </w:r>
    </w:p>
    <w:p w14:paraId="6F0A315E">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2、《浙江省生态公益林建设技术规程》（DB33/T379.3~2014）；</w:t>
      </w:r>
    </w:p>
    <w:p w14:paraId="3ED2C216">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3、《造林技术规程》（GB/T15776~2023）；</w:t>
      </w:r>
    </w:p>
    <w:p w14:paraId="2029A042">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4、《浙江省公益林管理办法》（2009）；</w:t>
      </w:r>
    </w:p>
    <w:p w14:paraId="03A5A450">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5、《浙江省阔叶林发展工程建设技术规范（试行）》；</w:t>
      </w:r>
    </w:p>
    <w:p w14:paraId="03CBEAE0">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6、《浙江省珍贵树种资源发展纲要（2008~2020）》；</w:t>
      </w:r>
    </w:p>
    <w:p w14:paraId="6BF961ED">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7、《碳汇十大主推树种》；</w:t>
      </w:r>
    </w:p>
    <w:p w14:paraId="5F6ABB50">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8、《宁波市主要栽培珍贵用材树种参考名录（2020年修订版）》；</w:t>
      </w:r>
    </w:p>
    <w:p w14:paraId="26228135">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9、《浙江省阔叶林发展工程建设技术规程（试行）》；</w:t>
      </w:r>
    </w:p>
    <w:p w14:paraId="161AF699">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10、《海曙区“十四五”期间年森林采伐限额编制成果》；</w:t>
      </w:r>
    </w:p>
    <w:p w14:paraId="6004B0CA">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11、《宁波市海曙区“十四五”林业发展规划》；</w:t>
      </w:r>
    </w:p>
    <w:p w14:paraId="3789C6FD">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12、《浙江省营造林工程预算定额（2019试行版）》；</w:t>
      </w:r>
    </w:p>
    <w:p w14:paraId="528891B1">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13、《宁波市海曙区总林长令》（2025年第1号）；</w:t>
      </w:r>
    </w:p>
    <w:p w14:paraId="283FF1EC">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14、其他与设计有关资料。</w:t>
      </w:r>
    </w:p>
    <w:p w14:paraId="259A0EBE">
      <w:pPr>
        <w:widowControl/>
        <w:numPr>
          <w:ilvl w:val="0"/>
          <w:numId w:val="14"/>
        </w:numPr>
        <w:spacing w:line="440" w:lineRule="exact"/>
        <w:jc w:val="left"/>
        <w:rPr>
          <w:rFonts w:hint="eastAsia" w:hAnsi="宋体" w:eastAsia="宋体" w:cs="宋体"/>
          <w:b/>
          <w:bCs/>
          <w:color w:val="auto"/>
          <w:sz w:val="21"/>
          <w:szCs w:val="21"/>
          <w:highlight w:val="none"/>
          <w:u w:val="none"/>
          <w:lang w:val="en-US" w:eastAsia="zh-CN"/>
        </w:rPr>
      </w:pPr>
      <w:r>
        <w:rPr>
          <w:rFonts w:hint="eastAsia" w:hAnsi="宋体" w:eastAsia="宋体" w:cs="宋体"/>
          <w:b/>
          <w:bCs/>
          <w:color w:val="auto"/>
          <w:sz w:val="21"/>
          <w:szCs w:val="21"/>
          <w:highlight w:val="none"/>
          <w:u w:val="none"/>
          <w:lang w:val="en-US" w:eastAsia="zh-CN"/>
        </w:rPr>
        <w:t>甲乙双方职责</w:t>
      </w:r>
    </w:p>
    <w:p w14:paraId="372541F0">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440" w:lineRule="exact"/>
        <w:ind w:firstLine="420" w:firstLineChars="200"/>
        <w:jc w:val="left"/>
        <w:textAlignment w:val="baseline"/>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甲方的职责</w:t>
      </w:r>
    </w:p>
    <w:p w14:paraId="148D8E7D">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440" w:lineRule="exact"/>
        <w:ind w:firstLine="420" w:firstLineChars="200"/>
        <w:jc w:val="left"/>
        <w:textAlignment w:val="baseline"/>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1.1</w:t>
      </w:r>
      <w:r>
        <w:rPr>
          <w:rFonts w:hint="eastAsia" w:ascii="宋体" w:hAnsi="宋体" w:eastAsia="宋体" w:cs="宋体"/>
          <w:color w:val="auto"/>
          <w:sz w:val="21"/>
          <w:szCs w:val="21"/>
          <w:highlight w:val="none"/>
        </w:rPr>
        <w:t>提供给乙方本合同服务范围及相关资料；</w:t>
      </w:r>
    </w:p>
    <w:p w14:paraId="1E3DC04B">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440" w:lineRule="exact"/>
        <w:ind w:firstLine="420" w:firstLineChars="200"/>
        <w:jc w:val="left"/>
        <w:textAlignment w:val="baseline"/>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r>
        <w:rPr>
          <w:rFonts w:hint="eastAsia" w:ascii="宋体" w:hAnsi="宋体" w:eastAsia="宋体" w:cs="宋体"/>
          <w:color w:val="auto"/>
          <w:sz w:val="21"/>
          <w:szCs w:val="21"/>
          <w:highlight w:val="none"/>
        </w:rPr>
        <w:t>可委托第三方对乙方实施项目进行监督、检查和验收</w:t>
      </w:r>
      <w:r>
        <w:rPr>
          <w:rFonts w:hint="eastAsia" w:ascii="宋体" w:hAnsi="宋体" w:cs="宋体"/>
          <w:color w:val="auto"/>
          <w:sz w:val="21"/>
          <w:szCs w:val="21"/>
          <w:highlight w:val="none"/>
          <w:lang w:eastAsia="zh-CN"/>
        </w:rPr>
        <w:t>。</w:t>
      </w:r>
    </w:p>
    <w:p w14:paraId="3CFC1453">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440" w:lineRule="exact"/>
        <w:ind w:firstLine="420" w:firstLineChars="200"/>
        <w:jc w:val="left"/>
        <w:textAlignment w:val="baseline"/>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乙方的职责</w:t>
      </w:r>
    </w:p>
    <w:p w14:paraId="2695CF30">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440" w:lineRule="exact"/>
        <w:ind w:firstLine="420" w:firstLineChars="200"/>
        <w:jc w:val="left"/>
        <w:textAlignment w:val="baseline"/>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2.1</w:t>
      </w:r>
      <w:r>
        <w:rPr>
          <w:rFonts w:hint="eastAsia" w:ascii="宋体" w:hAnsi="宋体" w:eastAsia="宋体" w:cs="宋体"/>
          <w:color w:val="auto"/>
          <w:sz w:val="21"/>
          <w:szCs w:val="21"/>
          <w:highlight w:val="none"/>
        </w:rPr>
        <w:t>施工前要完成辅助工程实施及生产与生活资料的准备，人员组织，并在现场统一操作方法</w:t>
      </w:r>
      <w:r>
        <w:rPr>
          <w:rFonts w:hint="eastAsia" w:ascii="宋体" w:hAnsi="宋体" w:cs="宋体"/>
          <w:color w:val="auto"/>
          <w:sz w:val="21"/>
          <w:szCs w:val="21"/>
          <w:highlight w:val="none"/>
          <w:lang w:eastAsia="zh-CN"/>
        </w:rPr>
        <w:t>；</w:t>
      </w:r>
    </w:p>
    <w:p w14:paraId="0321DB66">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440" w:lineRule="exact"/>
        <w:ind w:firstLine="420" w:firstLineChars="200"/>
        <w:jc w:val="left"/>
        <w:textAlignment w:val="baseline"/>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2.2</w:t>
      </w:r>
      <w:r>
        <w:rPr>
          <w:rFonts w:hint="eastAsia" w:ascii="宋体" w:hAnsi="宋体" w:eastAsia="宋体" w:cs="宋体"/>
          <w:color w:val="auto"/>
          <w:sz w:val="21"/>
          <w:szCs w:val="21"/>
          <w:highlight w:val="none"/>
        </w:rPr>
        <w:t>针对作业区域的林分特点</w:t>
      </w:r>
      <w:r>
        <w:rPr>
          <w:rFonts w:hint="eastAsia" w:ascii="宋体" w:hAnsi="宋体" w:eastAsia="宋体" w:cs="宋体"/>
          <w:color w:val="auto"/>
          <w:sz w:val="21"/>
          <w:szCs w:val="21"/>
          <w:highlight w:val="none"/>
          <w:lang w:val="en-US" w:eastAsia="zh-CN"/>
        </w:rPr>
        <w:t>进行</w:t>
      </w:r>
      <w:r>
        <w:rPr>
          <w:rFonts w:hint="eastAsia" w:ascii="宋体" w:hAnsi="宋体" w:cs="宋体"/>
          <w:color w:val="auto"/>
          <w:sz w:val="21"/>
          <w:szCs w:val="21"/>
          <w:highlight w:val="none"/>
          <w:lang w:val="en-US" w:eastAsia="zh-CN"/>
        </w:rPr>
        <w:t>清理</w:t>
      </w:r>
      <w:r>
        <w:rPr>
          <w:rFonts w:hint="eastAsia" w:ascii="宋体" w:hAnsi="宋体" w:cs="宋体"/>
          <w:color w:val="auto"/>
          <w:sz w:val="21"/>
          <w:szCs w:val="21"/>
          <w:highlight w:val="none"/>
          <w:lang w:eastAsia="zh-CN"/>
        </w:rPr>
        <w:t>；</w:t>
      </w:r>
    </w:p>
    <w:p w14:paraId="46B08484">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440" w:lineRule="exact"/>
        <w:ind w:firstLine="420" w:firstLineChars="200"/>
        <w:jc w:val="left"/>
        <w:textAlignment w:val="baseline"/>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2.3清理</w:t>
      </w:r>
      <w:r>
        <w:rPr>
          <w:rFonts w:hint="eastAsia" w:ascii="宋体" w:hAnsi="宋体" w:eastAsia="宋体" w:cs="宋体"/>
          <w:color w:val="auto"/>
          <w:sz w:val="21"/>
          <w:szCs w:val="21"/>
          <w:highlight w:val="none"/>
        </w:rPr>
        <w:t>的具体施工作业要求应严格按相关技术规范及标准执行。</w:t>
      </w:r>
    </w:p>
    <w:p w14:paraId="43E6CBCC">
      <w:pPr>
        <w:widowControl/>
        <w:numPr>
          <w:ilvl w:val="0"/>
          <w:numId w:val="14"/>
        </w:numPr>
        <w:spacing w:line="440" w:lineRule="exact"/>
        <w:jc w:val="left"/>
        <w:rPr>
          <w:rFonts w:hint="eastAsia" w:hAnsi="宋体" w:eastAsia="宋体" w:cs="宋体"/>
          <w:b/>
          <w:bCs/>
          <w:color w:val="auto"/>
          <w:sz w:val="21"/>
          <w:szCs w:val="21"/>
          <w:highlight w:val="none"/>
          <w:u w:val="none"/>
          <w:lang w:val="en-US" w:eastAsia="zh-CN"/>
        </w:rPr>
      </w:pPr>
      <w:r>
        <w:rPr>
          <w:rFonts w:hint="eastAsia" w:hAnsi="宋体" w:eastAsia="宋体" w:cs="宋体"/>
          <w:b/>
          <w:bCs/>
          <w:color w:val="auto"/>
          <w:sz w:val="21"/>
          <w:szCs w:val="21"/>
          <w:highlight w:val="none"/>
          <w:u w:val="none"/>
          <w:lang w:val="en-US" w:eastAsia="zh-CN"/>
        </w:rPr>
        <w:t>其他要求及说明</w:t>
      </w:r>
    </w:p>
    <w:p w14:paraId="42930EA4">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440" w:lineRule="exact"/>
        <w:ind w:firstLine="420" w:firstLineChars="200"/>
        <w:jc w:val="left"/>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1、项目完成后必须通过甲方委托第三方组织的验收。</w:t>
      </w:r>
    </w:p>
    <w:p w14:paraId="30662FEA">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440" w:lineRule="exact"/>
        <w:ind w:firstLine="420" w:firstLineChars="200"/>
        <w:jc w:val="left"/>
        <w:textAlignment w:val="baseline"/>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乙方必须为所有参加作业人员投保人身意外伤害保险（其中死亡赔偿金要求50万及以上），必须在保险生效后再安排人员上山作业，如乙方未按上述要求执行，一经发现必须立即整改，并被取消下一年度参加投标资格。若乙方人员受到人身伤害等，由乙方负责</w:t>
      </w:r>
      <w:r>
        <w:rPr>
          <w:rFonts w:hint="eastAsia" w:ascii="宋体" w:hAnsi="宋体" w:eastAsia="宋体" w:cs="宋体"/>
          <w:color w:val="auto"/>
          <w:sz w:val="21"/>
          <w:szCs w:val="21"/>
          <w:highlight w:val="none"/>
          <w:lang w:eastAsia="zh-CN"/>
        </w:rPr>
        <w:t>。</w:t>
      </w:r>
    </w:p>
    <w:p w14:paraId="60111B5F">
      <w:pPr>
        <w:widowControl/>
        <w:numPr>
          <w:ilvl w:val="0"/>
          <w:numId w:val="14"/>
        </w:numPr>
        <w:spacing w:line="440" w:lineRule="exact"/>
        <w:jc w:val="left"/>
        <w:rPr>
          <w:rFonts w:hint="eastAsia" w:hAnsi="宋体" w:eastAsia="宋体" w:cs="宋体"/>
          <w:b/>
          <w:bCs/>
          <w:color w:val="auto"/>
          <w:sz w:val="21"/>
          <w:szCs w:val="21"/>
          <w:highlight w:val="none"/>
          <w:u w:val="none"/>
          <w:lang w:val="en-US" w:eastAsia="zh-CN"/>
        </w:rPr>
      </w:pPr>
      <w:r>
        <w:rPr>
          <w:rFonts w:hint="eastAsia" w:hAnsi="宋体" w:eastAsia="宋体" w:cs="宋体"/>
          <w:b/>
          <w:bCs/>
          <w:color w:val="auto"/>
          <w:sz w:val="21"/>
          <w:szCs w:val="21"/>
          <w:highlight w:val="none"/>
          <w:u w:val="none"/>
          <w:lang w:val="en-US" w:eastAsia="zh-CN"/>
        </w:rPr>
        <w:t>服务经费支付方式</w:t>
      </w:r>
    </w:p>
    <w:p w14:paraId="79793651">
      <w:pPr>
        <w:keepNext w:val="0"/>
        <w:keepLines w:val="0"/>
        <w:pageBreakBefore w:val="0"/>
        <w:widowControl w:val="0"/>
        <w:kinsoku/>
        <w:wordWrap/>
        <w:overflowPunct/>
        <w:topLinePunct w:val="0"/>
        <w:autoSpaceDE/>
        <w:autoSpaceDN/>
        <w:bidi w:val="0"/>
        <w:adjustRightInd/>
        <w:snapToGrid/>
        <w:spacing w:before="47" w:line="360" w:lineRule="auto"/>
        <w:ind w:firstLine="420" w:firstLineChars="200"/>
        <w:jc w:val="left"/>
        <w:textAlignment w:val="auto"/>
        <w:rPr>
          <w:rFonts w:hint="eastAsia" w:hAnsi="宋体" w:eastAsia="宋体" w:cs="宋体"/>
          <w:color w:val="auto"/>
          <w:kern w:val="0"/>
          <w:sz w:val="21"/>
          <w:szCs w:val="21"/>
          <w:highlight w:val="none"/>
          <w:lang w:val="en-US" w:eastAsia="zh-CN" w:bidi="ar"/>
        </w:rPr>
      </w:pPr>
      <w:r>
        <w:rPr>
          <w:rFonts w:hint="eastAsia" w:hAnsi="宋体" w:eastAsia="宋体" w:cs="宋体"/>
          <w:color w:val="auto"/>
          <w:kern w:val="0"/>
          <w:sz w:val="21"/>
          <w:szCs w:val="21"/>
          <w:highlight w:val="none"/>
          <w:lang w:val="en-US" w:eastAsia="zh-CN" w:bidi="ar"/>
        </w:rPr>
        <w:t>1、合同签订后7个工作日内支付合同总价的40%；（乙方于合同签订前书面承诺放弃预付款或降低预付款支付比例的，可不适用本条款）；</w:t>
      </w:r>
    </w:p>
    <w:p w14:paraId="10DC943A">
      <w:pPr>
        <w:keepNext w:val="0"/>
        <w:keepLines w:val="0"/>
        <w:pageBreakBefore w:val="0"/>
        <w:widowControl w:val="0"/>
        <w:kinsoku/>
        <w:wordWrap/>
        <w:overflowPunct/>
        <w:topLinePunct w:val="0"/>
        <w:autoSpaceDE/>
        <w:autoSpaceDN/>
        <w:bidi w:val="0"/>
        <w:adjustRightInd/>
        <w:snapToGrid/>
        <w:spacing w:before="47" w:line="360" w:lineRule="auto"/>
        <w:ind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hint="eastAsia" w:hAnsi="宋体" w:eastAsia="宋体" w:cs="宋体"/>
          <w:color w:val="auto"/>
          <w:kern w:val="0"/>
          <w:sz w:val="21"/>
          <w:szCs w:val="21"/>
          <w:highlight w:val="none"/>
          <w:lang w:val="en-US" w:eastAsia="zh-CN" w:bidi="ar"/>
        </w:rPr>
        <w:t>2、项目完成验收合格后支付至合同总价的100%。</w:t>
      </w:r>
    </w:p>
    <w:p w14:paraId="235A9515">
      <w:pPr>
        <w:widowControl/>
        <w:numPr>
          <w:ilvl w:val="0"/>
          <w:numId w:val="14"/>
        </w:numPr>
        <w:spacing w:line="440" w:lineRule="exact"/>
        <w:jc w:val="left"/>
        <w:rPr>
          <w:rFonts w:hint="eastAsia" w:hAnsi="宋体" w:eastAsia="宋体" w:cs="宋体"/>
          <w:b/>
          <w:bCs/>
          <w:color w:val="auto"/>
          <w:sz w:val="21"/>
          <w:szCs w:val="21"/>
          <w:highlight w:val="none"/>
          <w:u w:val="none"/>
          <w:lang w:val="en-US" w:eastAsia="zh-CN"/>
        </w:rPr>
      </w:pPr>
      <w:r>
        <w:rPr>
          <w:rFonts w:hint="eastAsia" w:hAnsi="宋体" w:eastAsia="宋体" w:cs="宋体"/>
          <w:b/>
          <w:bCs/>
          <w:color w:val="auto"/>
          <w:sz w:val="21"/>
          <w:szCs w:val="21"/>
          <w:highlight w:val="none"/>
          <w:u w:val="none"/>
          <w:lang w:val="en-US" w:eastAsia="zh-CN"/>
        </w:rPr>
        <w:t>税</w:t>
      </w:r>
    </w:p>
    <w:p w14:paraId="4426C91F">
      <w:pPr>
        <w:pStyle w:val="14"/>
        <w:snapToGrid w:val="0"/>
        <w:spacing w:before="0" w:beforeLines="0" w:after="0" w:afterLines="0" w:line="44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本合同执行中相关的一切税费均由乙方负担。</w:t>
      </w:r>
    </w:p>
    <w:p w14:paraId="33DEFB2A">
      <w:pPr>
        <w:widowControl/>
        <w:numPr>
          <w:ilvl w:val="0"/>
          <w:numId w:val="14"/>
        </w:numPr>
        <w:spacing w:line="440" w:lineRule="exact"/>
        <w:jc w:val="left"/>
        <w:rPr>
          <w:rFonts w:hint="eastAsia" w:hAnsi="宋体" w:eastAsia="宋体" w:cs="宋体"/>
          <w:b/>
          <w:bCs/>
          <w:color w:val="auto"/>
          <w:sz w:val="21"/>
          <w:szCs w:val="21"/>
          <w:highlight w:val="none"/>
          <w:u w:val="none"/>
          <w:lang w:val="en-US" w:eastAsia="zh-CN"/>
        </w:rPr>
      </w:pPr>
      <w:r>
        <w:rPr>
          <w:rFonts w:hint="eastAsia" w:hAnsi="宋体" w:eastAsia="宋体" w:cs="宋体"/>
          <w:b/>
          <w:bCs/>
          <w:color w:val="auto"/>
          <w:sz w:val="21"/>
          <w:szCs w:val="21"/>
          <w:highlight w:val="none"/>
          <w:u w:val="none"/>
          <w:lang w:val="en-US" w:eastAsia="zh-CN"/>
        </w:rPr>
        <w:t>违约责任</w:t>
      </w:r>
    </w:p>
    <w:p w14:paraId="43399CA8">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440" w:lineRule="exact"/>
        <w:ind w:firstLine="420" w:firstLineChars="200"/>
        <w:jc w:val="left"/>
        <w:textAlignment w:val="baseline"/>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甲方无正当理由拒收接受服务的，甲方向乙方偿付预估合同价款百分之五作为违约金</w:t>
      </w:r>
      <w:r>
        <w:rPr>
          <w:rFonts w:hint="eastAsia" w:ascii="宋体" w:hAnsi="宋体" w:cs="宋体"/>
          <w:color w:val="auto"/>
          <w:sz w:val="21"/>
          <w:szCs w:val="21"/>
          <w:highlight w:val="none"/>
          <w:lang w:eastAsia="zh-CN"/>
        </w:rPr>
        <w:t>；</w:t>
      </w:r>
    </w:p>
    <w:p w14:paraId="76666209">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440" w:lineRule="exact"/>
        <w:ind w:firstLine="420" w:firstLineChars="200"/>
        <w:jc w:val="left"/>
        <w:textAlignment w:val="baseline"/>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甲方无故逾期验收和办理款项支付手续的，甲方应按逾期付款总额每日万分之五向乙方支付违约金</w:t>
      </w:r>
      <w:r>
        <w:rPr>
          <w:rFonts w:hint="eastAsia" w:ascii="宋体" w:hAnsi="宋体" w:cs="宋体"/>
          <w:color w:val="auto"/>
          <w:sz w:val="21"/>
          <w:szCs w:val="21"/>
          <w:highlight w:val="none"/>
          <w:lang w:eastAsia="zh-CN"/>
        </w:rPr>
        <w:t>，违约金总额不超过逾期付款总额的20%；</w:t>
      </w:r>
    </w:p>
    <w:p w14:paraId="72B8E17C">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440" w:lineRule="exact"/>
        <w:ind w:firstLine="420" w:firstLineChars="200"/>
        <w:jc w:val="left"/>
        <w:textAlignment w:val="baseline"/>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乙方逾期提供服务的，每日向甲方支付预估合同价款千分之六违约金。逾期超过约定日期10个工作日不能提供服务的，甲方可解除本合同。乙方因逾期交付或因其他违约行为导致甲方解除合同的，乙方应向甲方支付预估合同价款5%的违约金，如造成甲方损失超过违约金的，超出部分由乙方继续承担赔偿责任</w:t>
      </w:r>
      <w:r>
        <w:rPr>
          <w:rFonts w:hint="eastAsia" w:ascii="宋体" w:hAnsi="宋体" w:cs="宋体"/>
          <w:color w:val="auto"/>
          <w:sz w:val="21"/>
          <w:szCs w:val="21"/>
          <w:highlight w:val="none"/>
          <w:lang w:eastAsia="zh-CN"/>
        </w:rPr>
        <w:t>；</w:t>
      </w:r>
    </w:p>
    <w:p w14:paraId="04486951">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440" w:lineRule="exact"/>
        <w:ind w:firstLine="420" w:firstLineChars="200"/>
        <w:jc w:val="left"/>
        <w:textAlignment w:val="baseline"/>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在合同约定的服务期内，如乙方提供的服务无法满足甲方的需要或未达到投标承诺的标准，经甲方指出后仍未有改进的，甲方可单方解除合同，由此造成甲方的一切损失均由乙方承担</w:t>
      </w:r>
      <w:r>
        <w:rPr>
          <w:rFonts w:hint="eastAsia" w:ascii="宋体" w:hAnsi="宋体" w:eastAsia="宋体" w:cs="宋体"/>
          <w:color w:val="auto"/>
          <w:sz w:val="21"/>
          <w:szCs w:val="21"/>
          <w:highlight w:val="none"/>
          <w:lang w:eastAsia="zh-CN"/>
        </w:rPr>
        <w:t>。</w:t>
      </w:r>
    </w:p>
    <w:p w14:paraId="5DEB361B">
      <w:pPr>
        <w:widowControl/>
        <w:numPr>
          <w:ilvl w:val="0"/>
          <w:numId w:val="14"/>
        </w:numPr>
        <w:spacing w:line="440" w:lineRule="exact"/>
        <w:jc w:val="left"/>
        <w:rPr>
          <w:rFonts w:hint="eastAsia" w:hAnsi="宋体" w:eastAsia="宋体" w:cs="宋体"/>
          <w:b/>
          <w:bCs/>
          <w:color w:val="auto"/>
          <w:sz w:val="21"/>
          <w:szCs w:val="21"/>
          <w:highlight w:val="none"/>
          <w:u w:val="none"/>
          <w:lang w:val="en-US" w:eastAsia="zh-CN"/>
        </w:rPr>
      </w:pPr>
      <w:r>
        <w:rPr>
          <w:rFonts w:hint="eastAsia" w:hAnsi="宋体" w:eastAsia="宋体" w:cs="宋体"/>
          <w:b/>
          <w:bCs/>
          <w:color w:val="auto"/>
          <w:sz w:val="21"/>
          <w:szCs w:val="21"/>
          <w:highlight w:val="none"/>
          <w:u w:val="none"/>
          <w:lang w:val="en-US" w:eastAsia="zh-CN"/>
        </w:rPr>
        <w:t>不可抗力事件处理</w:t>
      </w:r>
    </w:p>
    <w:p w14:paraId="4EB352F6">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440" w:lineRule="exact"/>
        <w:ind w:firstLine="420" w:firstLineChars="200"/>
        <w:jc w:val="left"/>
        <w:textAlignment w:val="baseline"/>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在合同有效期内，任何一方因不可抗力事件导致不能履行合同，则合同履行期可延长，其延长期与不可抗力影响期相同</w:t>
      </w:r>
      <w:r>
        <w:rPr>
          <w:rFonts w:hint="eastAsia" w:ascii="宋体" w:hAnsi="宋体" w:cs="宋体"/>
          <w:color w:val="auto"/>
          <w:sz w:val="21"/>
          <w:szCs w:val="21"/>
          <w:highlight w:val="none"/>
          <w:lang w:eastAsia="zh-CN"/>
        </w:rPr>
        <w:t>；</w:t>
      </w:r>
    </w:p>
    <w:p w14:paraId="548AD361">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440" w:lineRule="exact"/>
        <w:ind w:firstLine="420" w:firstLineChars="200"/>
        <w:jc w:val="left"/>
        <w:textAlignment w:val="baseline"/>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不可抗力事件发生后，应立即通知对方，并寄送有关权威机构出具的证明</w:t>
      </w:r>
      <w:r>
        <w:rPr>
          <w:rFonts w:hint="eastAsia" w:ascii="宋体" w:hAnsi="宋体" w:cs="宋体"/>
          <w:color w:val="auto"/>
          <w:sz w:val="21"/>
          <w:szCs w:val="21"/>
          <w:highlight w:val="none"/>
          <w:lang w:eastAsia="zh-CN"/>
        </w:rPr>
        <w:t>；</w:t>
      </w:r>
    </w:p>
    <w:p w14:paraId="742392E5">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440" w:lineRule="exact"/>
        <w:ind w:firstLine="420" w:firstLineChars="200"/>
        <w:jc w:val="left"/>
        <w:textAlignment w:val="baseline"/>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不可抗力事件延续120天以上，双方应通过友好协商，确定是否继续履行合同。</w:t>
      </w:r>
    </w:p>
    <w:p w14:paraId="2C1BFDCA">
      <w:pPr>
        <w:widowControl/>
        <w:numPr>
          <w:ilvl w:val="0"/>
          <w:numId w:val="14"/>
        </w:numPr>
        <w:spacing w:line="440" w:lineRule="exact"/>
        <w:jc w:val="left"/>
        <w:rPr>
          <w:rFonts w:hint="eastAsia" w:hAnsi="宋体" w:eastAsia="宋体" w:cs="宋体"/>
          <w:b/>
          <w:bCs/>
          <w:color w:val="auto"/>
          <w:sz w:val="21"/>
          <w:szCs w:val="21"/>
          <w:highlight w:val="none"/>
          <w:u w:val="none"/>
          <w:lang w:val="en-US" w:eastAsia="zh-CN"/>
        </w:rPr>
      </w:pPr>
      <w:r>
        <w:rPr>
          <w:rFonts w:hint="eastAsia" w:hAnsi="宋体" w:eastAsia="宋体" w:cs="宋体"/>
          <w:b/>
          <w:bCs/>
          <w:color w:val="auto"/>
          <w:sz w:val="21"/>
          <w:szCs w:val="21"/>
          <w:highlight w:val="none"/>
          <w:u w:val="none"/>
          <w:lang w:val="en-US" w:eastAsia="zh-CN"/>
        </w:rPr>
        <w:t>诉讼</w:t>
      </w:r>
    </w:p>
    <w:p w14:paraId="007B8DA0">
      <w:pPr>
        <w:pStyle w:val="14"/>
        <w:snapToGrid w:val="0"/>
        <w:spacing w:before="0" w:beforeLines="0" w:after="0" w:afterLines="0" w:line="44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双方在执行合同中所发生的一切争议，应通过协商解决。如协商不成，可向合同签订地法院起诉，合同签订地在此约定为</w:t>
      </w:r>
      <w:r>
        <w:rPr>
          <w:rFonts w:hint="eastAsia" w:ascii="宋体" w:hAnsi="宋体" w:eastAsia="宋体" w:cs="宋体"/>
          <w:color w:val="auto"/>
          <w:sz w:val="21"/>
          <w:szCs w:val="21"/>
          <w:highlight w:val="none"/>
          <w:u w:val="single"/>
        </w:rPr>
        <w:t>宁波市海曙区</w:t>
      </w:r>
      <w:r>
        <w:rPr>
          <w:rFonts w:hint="eastAsia" w:ascii="宋体" w:hAnsi="宋体" w:eastAsia="宋体" w:cs="宋体"/>
          <w:color w:val="auto"/>
          <w:sz w:val="21"/>
          <w:szCs w:val="21"/>
          <w:highlight w:val="none"/>
        </w:rPr>
        <w:t>。</w:t>
      </w:r>
    </w:p>
    <w:p w14:paraId="007DB01F">
      <w:pPr>
        <w:widowControl/>
        <w:numPr>
          <w:ilvl w:val="0"/>
          <w:numId w:val="14"/>
        </w:numPr>
        <w:spacing w:line="440" w:lineRule="exact"/>
        <w:jc w:val="left"/>
        <w:rPr>
          <w:rFonts w:hint="eastAsia" w:hAnsi="宋体" w:eastAsia="宋体" w:cs="宋体"/>
          <w:b/>
          <w:bCs/>
          <w:color w:val="auto"/>
          <w:sz w:val="21"/>
          <w:szCs w:val="21"/>
          <w:highlight w:val="none"/>
          <w:u w:val="none"/>
          <w:lang w:val="en-US" w:eastAsia="zh-CN"/>
        </w:rPr>
      </w:pPr>
      <w:bookmarkStart w:id="119" w:name="OLE_LINK10"/>
      <w:r>
        <w:rPr>
          <w:rFonts w:hint="eastAsia" w:hAnsi="宋体" w:eastAsia="宋体" w:cs="宋体"/>
          <w:b/>
          <w:bCs/>
          <w:color w:val="auto"/>
          <w:sz w:val="21"/>
          <w:szCs w:val="21"/>
          <w:highlight w:val="none"/>
          <w:u w:val="none"/>
          <w:lang w:val="en-US" w:eastAsia="zh-CN"/>
        </w:rPr>
        <w:t>合同生效及其它</w:t>
      </w:r>
    </w:p>
    <w:bookmarkEnd w:id="119"/>
    <w:p w14:paraId="53673F6B">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440" w:lineRule="exact"/>
        <w:ind w:firstLine="420" w:firstLineChars="200"/>
        <w:jc w:val="left"/>
        <w:textAlignment w:val="baseline"/>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合同经双方法定代表人或授权委托代理人签字并加盖单位公章后生效</w:t>
      </w:r>
      <w:r>
        <w:rPr>
          <w:rFonts w:hint="eastAsia" w:ascii="宋体" w:hAnsi="宋体" w:cs="宋体"/>
          <w:color w:val="auto"/>
          <w:sz w:val="21"/>
          <w:szCs w:val="21"/>
          <w:highlight w:val="none"/>
          <w:lang w:eastAsia="zh-CN"/>
        </w:rPr>
        <w:t>；</w:t>
      </w:r>
    </w:p>
    <w:p w14:paraId="4800D1EE">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440" w:lineRule="exact"/>
        <w:ind w:firstLine="420" w:firstLineChars="200"/>
        <w:jc w:val="left"/>
        <w:textAlignment w:val="baseline"/>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合同执行中涉及采购资金和采购内容修改或补充的，须经区财政部门审批，并签书面补充协议报区政府采购监督管理部门备案，方可作为主合同不可分割的一部分</w:t>
      </w:r>
      <w:r>
        <w:rPr>
          <w:rFonts w:hint="eastAsia" w:ascii="宋体" w:hAnsi="宋体" w:cs="宋体"/>
          <w:color w:val="auto"/>
          <w:sz w:val="21"/>
          <w:szCs w:val="21"/>
          <w:highlight w:val="none"/>
          <w:lang w:eastAsia="zh-CN"/>
        </w:rPr>
        <w:t>；</w:t>
      </w:r>
    </w:p>
    <w:p w14:paraId="274E3E07">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440" w:lineRule="exact"/>
        <w:ind w:firstLine="420" w:firstLineChars="200"/>
        <w:jc w:val="left"/>
        <w:textAlignment w:val="baseline"/>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本合同作业标准、考核办法、车辆使用协议及招标文件、乙方投标文件及投标澄清或承诺，作为合同附件，对合同条款具有补充作用，具有同等法律效力</w:t>
      </w:r>
      <w:r>
        <w:rPr>
          <w:rFonts w:hint="eastAsia" w:ascii="宋体" w:hAnsi="宋体" w:cs="宋体"/>
          <w:color w:val="auto"/>
          <w:sz w:val="21"/>
          <w:szCs w:val="21"/>
          <w:highlight w:val="none"/>
          <w:lang w:eastAsia="zh-CN"/>
        </w:rPr>
        <w:t>；</w:t>
      </w:r>
    </w:p>
    <w:p w14:paraId="06E6127F">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440" w:lineRule="exact"/>
        <w:ind w:firstLine="420" w:firstLineChars="200"/>
        <w:jc w:val="left"/>
        <w:textAlignment w:val="baseline"/>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本合同未尽事宜，遵照《民法典》有关条文执行</w:t>
      </w:r>
      <w:r>
        <w:rPr>
          <w:rFonts w:hint="eastAsia" w:ascii="宋体" w:hAnsi="宋体" w:cs="宋体"/>
          <w:color w:val="auto"/>
          <w:sz w:val="21"/>
          <w:szCs w:val="21"/>
          <w:highlight w:val="none"/>
          <w:lang w:eastAsia="zh-CN"/>
        </w:rPr>
        <w:t>；</w:t>
      </w:r>
    </w:p>
    <w:p w14:paraId="612D7E6E">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440" w:lineRule="exact"/>
        <w:ind w:firstLine="420" w:firstLineChars="200"/>
        <w:jc w:val="left"/>
        <w:textAlignment w:val="baseline"/>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本合同正本一式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份，具有同等法律效力，甲乙双方各执</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w:t>
      </w:r>
    </w:p>
    <w:p w14:paraId="0B289F3D">
      <w:pPr>
        <w:spacing w:line="440" w:lineRule="exact"/>
        <w:rPr>
          <w:rFonts w:hint="eastAsia" w:ascii="宋体" w:hAnsi="宋体" w:eastAsia="宋体" w:cs="宋体"/>
          <w:color w:val="auto"/>
          <w:sz w:val="21"/>
          <w:szCs w:val="21"/>
          <w:highlight w:val="none"/>
        </w:rPr>
      </w:pPr>
    </w:p>
    <w:p w14:paraId="2AF91CE1">
      <w:pPr>
        <w:spacing w:line="440" w:lineRule="exact"/>
        <w:rPr>
          <w:rFonts w:hint="eastAsia" w:ascii="宋体" w:hAnsi="宋体" w:eastAsia="宋体" w:cs="宋体"/>
          <w:color w:val="auto"/>
          <w:sz w:val="21"/>
          <w:szCs w:val="21"/>
          <w:highlight w:val="none"/>
        </w:rPr>
      </w:pPr>
    </w:p>
    <w:p w14:paraId="511D8A00">
      <w:pPr>
        <w:spacing w:line="440" w:lineRule="exac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甲  方（公章）：                                        乙   方（公章）：</w:t>
      </w:r>
    </w:p>
    <w:p w14:paraId="1459C617">
      <w:pPr>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                                                地   址：</w:t>
      </w:r>
    </w:p>
    <w:p w14:paraId="69838143">
      <w:pPr>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                                            法定代表人：</w:t>
      </w:r>
    </w:p>
    <w:p w14:paraId="2C3AC25C">
      <w:pPr>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委托代理人：                                            委托代理人：</w:t>
      </w:r>
    </w:p>
    <w:p w14:paraId="7E87560E">
      <w:pPr>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    话：                                              电    话：</w:t>
      </w:r>
    </w:p>
    <w:p w14:paraId="2B296DA3">
      <w:pPr>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    真：                                              传    真：</w:t>
      </w:r>
    </w:p>
    <w:p w14:paraId="586B4511">
      <w:pPr>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                                              开户银行：</w:t>
      </w:r>
    </w:p>
    <w:p w14:paraId="3BD2115D">
      <w:pPr>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帐    号：                                              帐    号：</w:t>
      </w:r>
    </w:p>
    <w:p w14:paraId="45E6C7FC">
      <w:pPr>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邮政编码：                                              邮政编码</w:t>
      </w:r>
    </w:p>
    <w:p w14:paraId="5C02D6E2">
      <w:pPr>
        <w:pStyle w:val="22"/>
        <w:rPr>
          <w:rFonts w:hint="eastAsia" w:ascii="宋体" w:hAnsi="宋体" w:eastAsia="宋体" w:cs="宋体"/>
          <w:color w:val="auto"/>
          <w:sz w:val="21"/>
          <w:szCs w:val="21"/>
          <w:highlight w:val="none"/>
          <w:lang w:val="en-US" w:eastAsia="zh-CN"/>
        </w:rPr>
      </w:pPr>
    </w:p>
    <w:p w14:paraId="4C384FDD">
      <w:pPr>
        <w:rPr>
          <w:rFonts w:hint="eastAsia" w:ascii="宋体" w:hAnsi="宋体" w:eastAsia="宋体" w:cs="宋体"/>
          <w:color w:val="auto"/>
          <w:sz w:val="21"/>
          <w:szCs w:val="21"/>
          <w:highlight w:val="none"/>
        </w:rPr>
      </w:pPr>
      <w:bookmarkStart w:id="120" w:name="_Toc5824"/>
      <w:r>
        <w:rPr>
          <w:rFonts w:hint="eastAsia" w:ascii="宋体" w:hAnsi="宋体" w:eastAsia="宋体" w:cs="宋体"/>
          <w:color w:val="auto"/>
          <w:sz w:val="21"/>
          <w:szCs w:val="21"/>
          <w:highlight w:val="none"/>
        </w:rPr>
        <w:br w:type="page"/>
      </w:r>
    </w:p>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114"/>
    <w:bookmarkEnd w:id="115"/>
    <w:bookmarkEnd w:id="116"/>
    <w:bookmarkEnd w:id="117"/>
    <w:bookmarkEnd w:id="118"/>
    <w:bookmarkEnd w:id="120"/>
    <w:p w14:paraId="7E005F5C">
      <w:pPr>
        <w:pStyle w:val="4"/>
        <w:bidi w:val="0"/>
        <w:jc w:val="center"/>
        <w:outlineLvl w:val="0"/>
        <w:rPr>
          <w:rFonts w:hint="eastAsia" w:hAnsi="宋体" w:eastAsia="宋体" w:cs="宋体"/>
          <w:b/>
          <w:color w:val="auto"/>
          <w:highlight w:val="none"/>
        </w:rPr>
      </w:pPr>
      <w:bookmarkStart w:id="121" w:name="_Toc15863"/>
      <w:bookmarkStart w:id="122" w:name="_Toc23854"/>
      <w:bookmarkStart w:id="123" w:name="_Toc1823"/>
      <w:r>
        <w:rPr>
          <w:rStyle w:val="37"/>
          <w:rFonts w:hint="eastAsia"/>
          <w:b/>
          <w:bCs/>
          <w:color w:val="auto"/>
          <w:highlight w:val="none"/>
        </w:rPr>
        <w:t>第六章 响应文件格式</w:t>
      </w:r>
      <w:bookmarkEnd w:id="121"/>
      <w:bookmarkEnd w:id="122"/>
      <w:bookmarkEnd w:id="123"/>
    </w:p>
    <w:p w14:paraId="3DD0BD5C">
      <w:pPr>
        <w:shd w:val="clear" w:color="auto" w:fill="auto"/>
        <w:snapToGrid w:val="0"/>
        <w:jc w:val="center"/>
        <w:rPr>
          <w:rFonts w:hint="eastAsia" w:hAnsi="宋体" w:eastAsia="宋体" w:cs="宋体"/>
          <w:b/>
          <w:color w:val="auto"/>
          <w:sz w:val="21"/>
          <w:highlight w:val="none"/>
        </w:rPr>
      </w:pPr>
      <w:bookmarkStart w:id="124" w:name="_Toc294193701"/>
      <w:bookmarkStart w:id="125" w:name="_Toc294085997"/>
      <w:bookmarkStart w:id="126" w:name="_Toc294085258"/>
    </w:p>
    <w:p w14:paraId="78BB9DEC">
      <w:pPr>
        <w:shd w:val="clear" w:color="auto" w:fill="auto"/>
        <w:snapToGrid w:val="0"/>
        <w:jc w:val="left"/>
        <w:rPr>
          <w:rFonts w:hint="eastAsia" w:hAnsi="宋体" w:eastAsia="宋体" w:cs="宋体"/>
          <w:b/>
          <w:bCs w:val="0"/>
          <w:color w:val="auto"/>
          <w:sz w:val="21"/>
          <w:highlight w:val="none"/>
        </w:rPr>
      </w:pPr>
      <w:r>
        <w:rPr>
          <w:rFonts w:hint="eastAsia" w:hAnsi="宋体" w:eastAsia="宋体" w:cs="宋体"/>
          <w:b/>
          <w:bCs w:val="0"/>
          <w:color w:val="auto"/>
          <w:sz w:val="21"/>
          <w:highlight w:val="none"/>
        </w:rPr>
        <w:t>1.外包装格式（提供电子备份投标文件信封密封时使用）</w:t>
      </w:r>
    </w:p>
    <w:p w14:paraId="52A4BD69">
      <w:pPr>
        <w:shd w:val="clear" w:color="auto" w:fill="auto"/>
        <w:snapToGrid w:val="0"/>
        <w:jc w:val="left"/>
        <w:rPr>
          <w:rFonts w:hint="eastAsia" w:hAnsi="宋体" w:eastAsia="宋体" w:cs="宋体"/>
          <w:b w:val="0"/>
          <w:bCs/>
          <w:color w:val="auto"/>
          <w:sz w:val="21"/>
          <w:highlight w:val="none"/>
        </w:rPr>
      </w:pPr>
      <w:r>
        <w:rPr>
          <w:rFonts w:hint="eastAsia" w:hAnsi="宋体" w:eastAsia="宋体" w:cs="宋体"/>
          <w:b w:val="0"/>
          <w:bCs/>
          <w:color w:val="auto"/>
          <w:sz w:val="21"/>
          <w:highlight w:val="none"/>
        </w:rPr>
        <w:t>电子备份投标文件</w:t>
      </w:r>
    </w:p>
    <w:p w14:paraId="287F2995">
      <w:pPr>
        <w:shd w:val="clear" w:color="auto" w:fill="auto"/>
        <w:snapToGrid w:val="0"/>
        <w:jc w:val="left"/>
        <w:rPr>
          <w:rFonts w:hint="eastAsia" w:hAnsi="宋体" w:eastAsia="宋体" w:cs="宋体"/>
          <w:b w:val="0"/>
          <w:bCs/>
          <w:color w:val="auto"/>
          <w:sz w:val="21"/>
          <w:highlight w:val="none"/>
        </w:rPr>
      </w:pPr>
      <w:r>
        <w:rPr>
          <w:rFonts w:hint="eastAsia" w:hAnsi="宋体" w:eastAsia="宋体" w:cs="宋体"/>
          <w:b w:val="0"/>
          <w:bCs/>
          <w:color w:val="auto"/>
          <w:sz w:val="21"/>
          <w:highlight w:val="none"/>
        </w:rPr>
        <w:t>项目名称：</w:t>
      </w:r>
    </w:p>
    <w:p w14:paraId="72FAED5C">
      <w:pPr>
        <w:shd w:val="clear" w:color="auto" w:fill="auto"/>
        <w:snapToGrid w:val="0"/>
        <w:jc w:val="left"/>
        <w:rPr>
          <w:rFonts w:hint="eastAsia" w:hAnsi="宋体" w:eastAsia="宋体" w:cs="宋体"/>
          <w:b w:val="0"/>
          <w:bCs/>
          <w:color w:val="auto"/>
          <w:sz w:val="21"/>
          <w:highlight w:val="none"/>
        </w:rPr>
      </w:pPr>
      <w:r>
        <w:rPr>
          <w:rFonts w:hint="eastAsia" w:hAnsi="宋体" w:eastAsia="宋体" w:cs="宋体"/>
          <w:b w:val="0"/>
          <w:bCs/>
          <w:color w:val="auto"/>
          <w:sz w:val="21"/>
          <w:highlight w:val="none"/>
        </w:rPr>
        <w:t>项目编号：</w:t>
      </w:r>
    </w:p>
    <w:p w14:paraId="0F4D5866">
      <w:pPr>
        <w:shd w:val="clear" w:color="auto" w:fill="auto"/>
        <w:snapToGrid w:val="0"/>
        <w:jc w:val="left"/>
        <w:rPr>
          <w:rFonts w:hint="eastAsia" w:hAnsi="宋体" w:eastAsia="宋体" w:cs="宋体"/>
          <w:b w:val="0"/>
          <w:bCs/>
          <w:color w:val="auto"/>
          <w:sz w:val="21"/>
          <w:highlight w:val="none"/>
        </w:rPr>
      </w:pPr>
      <w:r>
        <w:rPr>
          <w:rFonts w:hint="eastAsia" w:hAnsi="宋体" w:eastAsia="宋体" w:cs="宋体"/>
          <w:b w:val="0"/>
          <w:bCs/>
          <w:color w:val="auto"/>
          <w:sz w:val="21"/>
          <w:highlight w:val="none"/>
          <w:lang w:val="en-US" w:eastAsia="zh-CN"/>
        </w:rPr>
        <w:t>供应商</w:t>
      </w:r>
      <w:r>
        <w:rPr>
          <w:rFonts w:hint="eastAsia" w:hAnsi="宋体" w:eastAsia="宋体" w:cs="宋体"/>
          <w:b w:val="0"/>
          <w:bCs/>
          <w:color w:val="auto"/>
          <w:sz w:val="21"/>
          <w:highlight w:val="none"/>
        </w:rPr>
        <w:t>名称（加盖公章）：</w:t>
      </w:r>
    </w:p>
    <w:p w14:paraId="18854F69">
      <w:pPr>
        <w:shd w:val="clear" w:color="auto" w:fill="auto"/>
        <w:snapToGrid w:val="0"/>
        <w:jc w:val="left"/>
        <w:rPr>
          <w:rFonts w:hint="eastAsia" w:hAnsi="宋体" w:eastAsia="宋体" w:cs="宋体"/>
          <w:b w:val="0"/>
          <w:bCs/>
          <w:color w:val="auto"/>
          <w:sz w:val="21"/>
          <w:highlight w:val="none"/>
        </w:rPr>
      </w:pPr>
      <w:r>
        <w:rPr>
          <w:rFonts w:hint="eastAsia" w:hAnsi="宋体" w:eastAsia="宋体" w:cs="宋体"/>
          <w:b w:val="0"/>
          <w:bCs/>
          <w:color w:val="auto"/>
          <w:sz w:val="21"/>
          <w:highlight w:val="none"/>
          <w:lang w:val="en-US" w:eastAsia="zh-CN"/>
        </w:rPr>
        <w:t>供应商</w:t>
      </w:r>
      <w:r>
        <w:rPr>
          <w:rFonts w:hint="eastAsia" w:hAnsi="宋体" w:eastAsia="宋体" w:cs="宋体"/>
          <w:b w:val="0"/>
          <w:bCs/>
          <w:color w:val="auto"/>
          <w:sz w:val="21"/>
          <w:highlight w:val="none"/>
        </w:rPr>
        <w:t>地址：</w:t>
      </w:r>
    </w:p>
    <w:p w14:paraId="6596010E">
      <w:pPr>
        <w:shd w:val="clear" w:color="auto" w:fill="auto"/>
        <w:snapToGrid w:val="0"/>
        <w:jc w:val="center"/>
        <w:rPr>
          <w:rFonts w:hint="eastAsia" w:hAnsi="宋体" w:eastAsia="宋体" w:cs="宋体"/>
          <w:b w:val="0"/>
          <w:bCs/>
          <w:color w:val="auto"/>
          <w:sz w:val="21"/>
          <w:highlight w:val="none"/>
        </w:rPr>
      </w:pPr>
      <w:r>
        <w:rPr>
          <w:rFonts w:hint="eastAsia" w:hAnsi="宋体" w:eastAsia="宋体" w:cs="宋体"/>
          <w:b w:val="0"/>
          <w:bCs/>
          <w:color w:val="auto"/>
          <w:sz w:val="21"/>
          <w:highlight w:val="none"/>
        </w:rPr>
        <w:t>（投标截止时间前不得启封）</w:t>
      </w:r>
    </w:p>
    <w:p w14:paraId="3776E096">
      <w:pPr>
        <w:shd w:val="clear" w:color="auto" w:fill="auto"/>
        <w:snapToGrid w:val="0"/>
        <w:jc w:val="left"/>
        <w:rPr>
          <w:rFonts w:hint="eastAsia" w:hAnsi="宋体" w:eastAsia="宋体" w:cs="宋体"/>
          <w:b w:val="0"/>
          <w:bCs/>
          <w:color w:val="auto"/>
          <w:sz w:val="21"/>
          <w:highlight w:val="none"/>
        </w:rPr>
      </w:pPr>
      <w:r>
        <w:rPr>
          <w:rFonts w:hint="eastAsia" w:hAnsi="宋体" w:eastAsia="宋体" w:cs="宋体"/>
          <w:b w:val="0"/>
          <w:bCs/>
          <w:color w:val="auto"/>
          <w:sz w:val="21"/>
          <w:highlight w:val="none"/>
        </w:rPr>
        <w:t xml:space="preserve">                                                            年  月  日</w:t>
      </w:r>
    </w:p>
    <w:p w14:paraId="3CFB8592">
      <w:pPr>
        <w:shd w:val="clear" w:color="auto" w:fill="auto"/>
        <w:snapToGrid w:val="0"/>
        <w:jc w:val="left"/>
        <w:rPr>
          <w:rFonts w:hint="eastAsia" w:hAnsi="宋体" w:eastAsia="宋体" w:cs="宋体"/>
          <w:b/>
          <w:color w:val="auto"/>
          <w:sz w:val="21"/>
          <w:highlight w:val="none"/>
        </w:rPr>
      </w:pPr>
    </w:p>
    <w:p w14:paraId="286FE3A9">
      <w:pPr>
        <w:shd w:val="clear" w:color="auto" w:fill="auto"/>
        <w:snapToGrid w:val="0"/>
        <w:jc w:val="left"/>
        <w:rPr>
          <w:rFonts w:hint="eastAsia" w:hAnsi="宋体" w:eastAsia="宋体" w:cs="宋体"/>
          <w:b/>
          <w:color w:val="auto"/>
          <w:sz w:val="21"/>
          <w:highlight w:val="none"/>
        </w:rPr>
      </w:pPr>
    </w:p>
    <w:p w14:paraId="5EB86179">
      <w:pPr>
        <w:shd w:val="clear" w:color="auto" w:fill="auto"/>
        <w:snapToGrid w:val="0"/>
        <w:jc w:val="left"/>
        <w:rPr>
          <w:rFonts w:hint="eastAsia" w:hAnsi="宋体" w:eastAsia="宋体" w:cs="宋体"/>
          <w:b/>
          <w:color w:val="auto"/>
          <w:sz w:val="21"/>
          <w:highlight w:val="none"/>
        </w:rPr>
      </w:pPr>
    </w:p>
    <w:p w14:paraId="5142880E">
      <w:pPr>
        <w:shd w:val="clear" w:color="auto" w:fill="auto"/>
        <w:snapToGrid w:val="0"/>
        <w:jc w:val="left"/>
        <w:rPr>
          <w:rFonts w:hint="eastAsia" w:hAnsi="宋体" w:eastAsia="宋体" w:cs="宋体"/>
          <w:b/>
          <w:color w:val="auto"/>
          <w:sz w:val="21"/>
          <w:highlight w:val="none"/>
        </w:rPr>
      </w:pPr>
    </w:p>
    <w:p w14:paraId="53D34E60">
      <w:pPr>
        <w:shd w:val="clear" w:color="auto" w:fill="auto"/>
        <w:snapToGrid w:val="0"/>
        <w:jc w:val="left"/>
        <w:rPr>
          <w:rFonts w:hint="eastAsia" w:hAnsi="宋体" w:eastAsia="宋体" w:cs="宋体"/>
          <w:b/>
          <w:bCs w:val="0"/>
          <w:color w:val="auto"/>
          <w:sz w:val="21"/>
          <w:highlight w:val="none"/>
        </w:rPr>
      </w:pPr>
      <w:r>
        <w:rPr>
          <w:rFonts w:hint="eastAsia" w:hAnsi="宋体" w:eastAsia="宋体" w:cs="宋体"/>
          <w:b/>
          <w:bCs w:val="0"/>
          <w:color w:val="auto"/>
          <w:sz w:val="21"/>
          <w:highlight w:val="none"/>
        </w:rPr>
        <w:t>2.投标文件封面格式</w:t>
      </w:r>
    </w:p>
    <w:p w14:paraId="2C1511CF">
      <w:pPr>
        <w:shd w:val="clear" w:color="auto" w:fill="auto"/>
        <w:snapToGrid w:val="0"/>
        <w:jc w:val="left"/>
        <w:rPr>
          <w:rFonts w:hint="default" w:hAnsi="宋体" w:eastAsia="宋体" w:cs="宋体"/>
          <w:b w:val="0"/>
          <w:bCs/>
          <w:color w:val="auto"/>
          <w:sz w:val="21"/>
          <w:highlight w:val="none"/>
          <w:lang w:val="en-US" w:eastAsia="zh-CN"/>
        </w:rPr>
      </w:pPr>
      <w:r>
        <w:rPr>
          <w:rFonts w:hint="eastAsia" w:hAnsi="宋体" w:eastAsia="宋体" w:cs="宋体"/>
          <w:b w:val="0"/>
          <w:bCs/>
          <w:color w:val="auto"/>
          <w:sz w:val="21"/>
          <w:highlight w:val="none"/>
        </w:rPr>
        <w:t xml:space="preserve">                                                                     </w:t>
      </w:r>
      <w:r>
        <w:rPr>
          <w:rFonts w:hint="eastAsia" w:hAnsi="宋体" w:eastAsia="宋体" w:cs="宋体"/>
          <w:b w:val="0"/>
          <w:bCs/>
          <w:color w:val="auto"/>
          <w:sz w:val="21"/>
          <w:highlight w:val="none"/>
          <w:lang w:val="en-US" w:eastAsia="zh-CN"/>
        </w:rPr>
        <w:t xml:space="preserve">  </w:t>
      </w:r>
      <w:r>
        <w:rPr>
          <w:rFonts w:hint="eastAsia" w:hAnsi="宋体" w:eastAsia="宋体" w:cs="宋体"/>
          <w:b w:val="0"/>
          <w:bCs/>
          <w:color w:val="auto"/>
          <w:sz w:val="21"/>
          <w:highlight w:val="none"/>
        </w:rPr>
        <w:t xml:space="preserve"> </w:t>
      </w:r>
    </w:p>
    <w:p w14:paraId="647DDE05">
      <w:pPr>
        <w:shd w:val="clear" w:color="auto" w:fill="auto"/>
        <w:snapToGrid w:val="0"/>
        <w:ind w:firstLine="3360" w:firstLineChars="1600"/>
        <w:jc w:val="left"/>
        <w:rPr>
          <w:rFonts w:hint="eastAsia" w:hAnsi="宋体" w:eastAsia="宋体" w:cs="宋体"/>
          <w:b w:val="0"/>
          <w:bCs/>
          <w:color w:val="auto"/>
          <w:sz w:val="21"/>
          <w:highlight w:val="none"/>
        </w:rPr>
      </w:pPr>
      <w:r>
        <w:rPr>
          <w:rFonts w:hint="eastAsia" w:hAnsi="宋体" w:eastAsia="宋体" w:cs="宋体"/>
          <w:b w:val="0"/>
          <w:bCs/>
          <w:color w:val="auto"/>
          <w:sz w:val="21"/>
          <w:highlight w:val="none"/>
        </w:rPr>
        <w:t>资格文件/商务技术文件/报价文件</w:t>
      </w:r>
    </w:p>
    <w:p w14:paraId="1A2C9769">
      <w:pPr>
        <w:shd w:val="clear" w:color="auto" w:fill="auto"/>
        <w:snapToGrid w:val="0"/>
        <w:jc w:val="left"/>
        <w:rPr>
          <w:rFonts w:hint="eastAsia" w:hAnsi="宋体" w:eastAsia="宋体" w:cs="宋体"/>
          <w:b w:val="0"/>
          <w:bCs/>
          <w:color w:val="auto"/>
          <w:sz w:val="21"/>
          <w:highlight w:val="none"/>
        </w:rPr>
      </w:pPr>
    </w:p>
    <w:p w14:paraId="272A6AFE">
      <w:pPr>
        <w:shd w:val="clear" w:color="auto" w:fill="auto"/>
        <w:snapToGrid w:val="0"/>
        <w:jc w:val="left"/>
        <w:rPr>
          <w:rFonts w:hint="eastAsia" w:hAnsi="宋体" w:eastAsia="宋体" w:cs="宋体"/>
          <w:b w:val="0"/>
          <w:bCs/>
          <w:color w:val="auto"/>
          <w:sz w:val="21"/>
          <w:highlight w:val="none"/>
        </w:rPr>
      </w:pPr>
      <w:r>
        <w:rPr>
          <w:rFonts w:hint="eastAsia" w:hAnsi="宋体" w:eastAsia="宋体" w:cs="宋体"/>
          <w:b w:val="0"/>
          <w:bCs/>
          <w:color w:val="auto"/>
          <w:sz w:val="21"/>
          <w:highlight w:val="none"/>
        </w:rPr>
        <w:t>项目名称：</w:t>
      </w:r>
    </w:p>
    <w:p w14:paraId="096A6243">
      <w:pPr>
        <w:shd w:val="clear" w:color="auto" w:fill="auto"/>
        <w:snapToGrid w:val="0"/>
        <w:jc w:val="left"/>
        <w:rPr>
          <w:rFonts w:hint="eastAsia" w:hAnsi="宋体" w:eastAsia="宋体" w:cs="宋体"/>
          <w:b w:val="0"/>
          <w:bCs/>
          <w:color w:val="auto"/>
          <w:sz w:val="21"/>
          <w:highlight w:val="none"/>
        </w:rPr>
      </w:pPr>
      <w:r>
        <w:rPr>
          <w:rFonts w:hint="eastAsia" w:hAnsi="宋体" w:eastAsia="宋体" w:cs="宋体"/>
          <w:b w:val="0"/>
          <w:bCs/>
          <w:color w:val="auto"/>
          <w:sz w:val="21"/>
          <w:highlight w:val="none"/>
        </w:rPr>
        <w:t>项目编号：</w:t>
      </w:r>
    </w:p>
    <w:p w14:paraId="1CED53A8">
      <w:pPr>
        <w:shd w:val="clear" w:color="auto" w:fill="auto"/>
        <w:snapToGrid w:val="0"/>
        <w:jc w:val="left"/>
        <w:rPr>
          <w:rFonts w:hint="eastAsia" w:hAnsi="宋体" w:eastAsia="宋体" w:cs="宋体"/>
          <w:b w:val="0"/>
          <w:bCs/>
          <w:color w:val="auto"/>
          <w:sz w:val="21"/>
          <w:highlight w:val="none"/>
        </w:rPr>
      </w:pPr>
      <w:r>
        <w:rPr>
          <w:rFonts w:hint="eastAsia" w:hAnsi="宋体" w:eastAsia="宋体" w:cs="宋体"/>
          <w:b w:val="0"/>
          <w:bCs/>
          <w:color w:val="auto"/>
          <w:sz w:val="21"/>
          <w:highlight w:val="none"/>
          <w:lang w:val="en-US" w:eastAsia="zh-CN"/>
        </w:rPr>
        <w:t>供应商</w:t>
      </w:r>
      <w:r>
        <w:rPr>
          <w:rFonts w:hint="eastAsia" w:hAnsi="宋体" w:eastAsia="宋体" w:cs="宋体"/>
          <w:b w:val="0"/>
          <w:bCs/>
          <w:color w:val="auto"/>
          <w:sz w:val="21"/>
          <w:highlight w:val="none"/>
        </w:rPr>
        <w:t>名称（加盖公章）：</w:t>
      </w:r>
    </w:p>
    <w:p w14:paraId="4B21E0EC">
      <w:pPr>
        <w:shd w:val="clear" w:color="auto" w:fill="auto"/>
        <w:snapToGrid w:val="0"/>
        <w:jc w:val="left"/>
        <w:rPr>
          <w:rFonts w:hint="eastAsia" w:hAnsi="宋体" w:eastAsia="宋体" w:cs="宋体"/>
          <w:b w:val="0"/>
          <w:bCs/>
          <w:color w:val="auto"/>
          <w:sz w:val="21"/>
          <w:highlight w:val="none"/>
        </w:rPr>
      </w:pPr>
      <w:r>
        <w:rPr>
          <w:rFonts w:hint="eastAsia" w:hAnsi="宋体" w:eastAsia="宋体" w:cs="宋体"/>
          <w:b w:val="0"/>
          <w:bCs/>
          <w:color w:val="auto"/>
          <w:sz w:val="21"/>
          <w:highlight w:val="none"/>
          <w:lang w:val="en-US" w:eastAsia="zh-CN"/>
        </w:rPr>
        <w:t>供应商</w:t>
      </w:r>
      <w:r>
        <w:rPr>
          <w:rFonts w:hint="eastAsia" w:hAnsi="宋体" w:eastAsia="宋体" w:cs="宋体"/>
          <w:b w:val="0"/>
          <w:bCs/>
          <w:color w:val="auto"/>
          <w:sz w:val="21"/>
          <w:highlight w:val="none"/>
        </w:rPr>
        <w:t>地址：</w:t>
      </w:r>
    </w:p>
    <w:p w14:paraId="53C44408">
      <w:pPr>
        <w:shd w:val="clear" w:color="auto" w:fill="auto"/>
        <w:snapToGrid w:val="0"/>
        <w:jc w:val="left"/>
        <w:rPr>
          <w:rFonts w:hint="eastAsia" w:hAnsi="宋体" w:eastAsia="宋体" w:cs="宋体"/>
          <w:b w:val="0"/>
          <w:bCs/>
          <w:color w:val="auto"/>
          <w:sz w:val="21"/>
          <w:highlight w:val="none"/>
        </w:rPr>
      </w:pPr>
    </w:p>
    <w:p w14:paraId="27680458">
      <w:pPr>
        <w:shd w:val="clear" w:color="auto" w:fill="auto"/>
        <w:snapToGrid w:val="0"/>
        <w:jc w:val="left"/>
        <w:rPr>
          <w:rFonts w:hint="eastAsia" w:hAnsi="宋体" w:eastAsia="宋体" w:cs="宋体"/>
          <w:b w:val="0"/>
          <w:bCs/>
          <w:color w:val="auto"/>
          <w:sz w:val="21"/>
          <w:highlight w:val="none"/>
        </w:rPr>
      </w:pPr>
    </w:p>
    <w:p w14:paraId="7218C6DD">
      <w:pPr>
        <w:shd w:val="clear" w:color="auto" w:fill="auto"/>
        <w:snapToGrid w:val="0"/>
        <w:jc w:val="left"/>
        <w:rPr>
          <w:rFonts w:hint="eastAsia" w:hAnsi="宋体" w:eastAsia="宋体" w:cs="宋体"/>
          <w:b w:val="0"/>
          <w:bCs/>
          <w:color w:val="auto"/>
          <w:sz w:val="21"/>
          <w:highlight w:val="none"/>
        </w:rPr>
      </w:pPr>
      <w:r>
        <w:rPr>
          <w:rFonts w:hint="eastAsia" w:hAnsi="宋体" w:eastAsia="宋体" w:cs="宋体"/>
          <w:b w:val="0"/>
          <w:bCs/>
          <w:color w:val="auto"/>
          <w:sz w:val="21"/>
          <w:highlight w:val="none"/>
        </w:rPr>
        <w:t xml:space="preserve">                                    </w:t>
      </w:r>
      <w:r>
        <w:rPr>
          <w:rFonts w:hint="eastAsia" w:hAnsi="宋体" w:eastAsia="宋体" w:cs="宋体"/>
          <w:b w:val="0"/>
          <w:bCs/>
          <w:color w:val="auto"/>
          <w:sz w:val="21"/>
          <w:highlight w:val="none"/>
          <w:lang w:val="en-US" w:eastAsia="zh-CN"/>
        </w:rPr>
        <w:t xml:space="preserve">                        </w:t>
      </w:r>
      <w:r>
        <w:rPr>
          <w:rFonts w:hint="eastAsia" w:hAnsi="宋体" w:eastAsia="宋体" w:cs="宋体"/>
          <w:b w:val="0"/>
          <w:bCs/>
          <w:color w:val="auto"/>
          <w:sz w:val="21"/>
          <w:highlight w:val="none"/>
        </w:rPr>
        <w:t xml:space="preserve">  年  月  日</w:t>
      </w:r>
    </w:p>
    <w:p w14:paraId="1A9178D8">
      <w:pPr>
        <w:shd w:val="clear" w:color="auto" w:fill="auto"/>
        <w:snapToGrid w:val="0"/>
        <w:jc w:val="left"/>
        <w:rPr>
          <w:rFonts w:hint="eastAsia" w:hAnsi="宋体" w:eastAsia="宋体" w:cs="宋体"/>
          <w:b/>
          <w:color w:val="auto"/>
          <w:sz w:val="21"/>
          <w:highlight w:val="none"/>
        </w:rPr>
      </w:pPr>
    </w:p>
    <w:p w14:paraId="1311F352">
      <w:pPr>
        <w:shd w:val="clear" w:color="auto" w:fill="auto"/>
        <w:snapToGrid w:val="0"/>
        <w:jc w:val="left"/>
        <w:rPr>
          <w:rFonts w:hint="eastAsia" w:hAnsi="宋体" w:eastAsia="宋体" w:cs="宋体"/>
          <w:b/>
          <w:color w:val="auto"/>
          <w:sz w:val="21"/>
          <w:highlight w:val="none"/>
        </w:rPr>
      </w:pPr>
    </w:p>
    <w:p w14:paraId="71251929">
      <w:pPr>
        <w:shd w:val="clear" w:color="auto" w:fill="auto"/>
        <w:snapToGrid w:val="0"/>
        <w:jc w:val="left"/>
        <w:rPr>
          <w:rFonts w:hint="eastAsia" w:hAnsi="宋体" w:eastAsia="宋体" w:cs="宋体"/>
          <w:b/>
          <w:color w:val="auto"/>
          <w:sz w:val="21"/>
          <w:highlight w:val="none"/>
        </w:rPr>
      </w:pPr>
    </w:p>
    <w:p w14:paraId="4BBBDB0E">
      <w:pPr>
        <w:shd w:val="clear" w:color="auto" w:fill="auto"/>
        <w:snapToGrid w:val="0"/>
        <w:jc w:val="left"/>
        <w:rPr>
          <w:rFonts w:hint="eastAsia" w:hAnsi="宋体" w:eastAsia="宋体" w:cs="宋体"/>
          <w:b/>
          <w:color w:val="auto"/>
          <w:sz w:val="21"/>
          <w:highlight w:val="none"/>
        </w:rPr>
      </w:pPr>
    </w:p>
    <w:p w14:paraId="426F652C">
      <w:pPr>
        <w:shd w:val="clear" w:color="auto" w:fill="auto"/>
        <w:snapToGrid w:val="0"/>
        <w:jc w:val="left"/>
        <w:rPr>
          <w:rFonts w:hint="eastAsia" w:hAnsi="宋体" w:eastAsia="宋体" w:cs="宋体"/>
          <w:b/>
          <w:color w:val="auto"/>
          <w:sz w:val="21"/>
          <w:highlight w:val="none"/>
        </w:rPr>
      </w:pPr>
    </w:p>
    <w:p w14:paraId="2F1325FD">
      <w:pPr>
        <w:shd w:val="clear" w:color="auto" w:fill="auto"/>
        <w:snapToGrid w:val="0"/>
        <w:jc w:val="left"/>
        <w:rPr>
          <w:rFonts w:hint="eastAsia" w:hAnsi="宋体" w:eastAsia="宋体" w:cs="宋体"/>
          <w:b/>
          <w:color w:val="auto"/>
          <w:sz w:val="21"/>
          <w:highlight w:val="none"/>
        </w:rPr>
      </w:pPr>
    </w:p>
    <w:p w14:paraId="695AE95D">
      <w:pPr>
        <w:shd w:val="clear" w:color="auto" w:fill="auto"/>
        <w:snapToGrid w:val="0"/>
        <w:jc w:val="left"/>
        <w:rPr>
          <w:rFonts w:hint="eastAsia" w:hAnsi="宋体" w:eastAsia="宋体" w:cs="宋体"/>
          <w:b/>
          <w:color w:val="auto"/>
          <w:sz w:val="21"/>
          <w:highlight w:val="none"/>
        </w:rPr>
      </w:pPr>
    </w:p>
    <w:p w14:paraId="18376C23">
      <w:pPr>
        <w:shd w:val="clear" w:color="auto" w:fill="auto"/>
        <w:snapToGrid w:val="0"/>
        <w:jc w:val="left"/>
        <w:rPr>
          <w:rFonts w:hint="eastAsia" w:ascii="宋体" w:hAnsi="宋体" w:eastAsia="宋体" w:cs="宋体"/>
          <w:b/>
          <w:bCs w:val="0"/>
          <w:color w:val="auto"/>
          <w:sz w:val="21"/>
          <w:highlight w:val="none"/>
          <w:lang w:val="en-US" w:eastAsia="zh-CN"/>
        </w:rPr>
      </w:pPr>
    </w:p>
    <w:p w14:paraId="57E071E0">
      <w:pPr>
        <w:shd w:val="clear" w:color="auto" w:fill="auto"/>
        <w:snapToGrid w:val="0"/>
        <w:jc w:val="left"/>
        <w:rPr>
          <w:rFonts w:hint="eastAsia" w:ascii="宋体" w:hAnsi="宋体" w:eastAsia="宋体" w:cs="宋体"/>
          <w:b/>
          <w:bCs w:val="0"/>
          <w:color w:val="auto"/>
          <w:sz w:val="21"/>
          <w:highlight w:val="none"/>
        </w:rPr>
      </w:pPr>
      <w:r>
        <w:rPr>
          <w:rFonts w:hint="eastAsia" w:ascii="宋体" w:hAnsi="宋体" w:eastAsia="宋体" w:cs="宋体"/>
          <w:b/>
          <w:bCs w:val="0"/>
          <w:color w:val="auto"/>
          <w:sz w:val="21"/>
          <w:highlight w:val="none"/>
          <w:lang w:val="en-US" w:eastAsia="zh-CN"/>
        </w:rPr>
        <w:t>3.</w:t>
      </w:r>
      <w:r>
        <w:rPr>
          <w:rFonts w:hint="eastAsia" w:ascii="宋体" w:hAnsi="宋体" w:eastAsia="宋体" w:cs="宋体"/>
          <w:b/>
          <w:bCs w:val="0"/>
          <w:color w:val="auto"/>
          <w:sz w:val="21"/>
          <w:highlight w:val="none"/>
        </w:rPr>
        <w:t>资格文件内容包括：</w:t>
      </w:r>
    </w:p>
    <w:p w14:paraId="7DE9671C">
      <w:pPr>
        <w:pStyle w:val="5"/>
        <w:numPr>
          <w:ilvl w:val="0"/>
          <w:numId w:val="0"/>
        </w:numPr>
        <w:shd w:val="clear" w:color="auto" w:fill="auto"/>
        <w:tabs>
          <w:tab w:val="left" w:pos="720"/>
        </w:tabs>
        <w:snapToGrid w:val="0"/>
        <w:rPr>
          <w:rFonts w:hint="eastAsia" w:ascii="宋体" w:hAnsi="宋体" w:eastAsia="宋体" w:cs="宋体"/>
          <w:bCs/>
          <w:color w:val="auto"/>
          <w:sz w:val="21"/>
          <w:highlight w:val="none"/>
        </w:rPr>
      </w:pPr>
      <w:r>
        <w:rPr>
          <w:rFonts w:hint="eastAsia" w:ascii="宋体" w:hAnsi="宋体" w:eastAsia="宋体" w:cs="宋体"/>
          <w:bCs/>
          <w:color w:val="auto"/>
          <w:sz w:val="21"/>
          <w:highlight w:val="none"/>
        </w:rPr>
        <w:t>（1）供应商资格声明函（</w:t>
      </w:r>
      <w:r>
        <w:rPr>
          <w:rFonts w:hint="eastAsia" w:ascii="宋体" w:hAnsi="宋体" w:eastAsia="宋体" w:cs="宋体"/>
          <w:color w:val="auto"/>
          <w:sz w:val="21"/>
          <w:highlight w:val="none"/>
        </w:rPr>
        <w:t>格式详见第六章 响应文件格式</w:t>
      </w:r>
      <w:r>
        <w:rPr>
          <w:rFonts w:hint="eastAsia" w:ascii="宋体" w:hAnsi="宋体" w:eastAsia="宋体" w:cs="宋体"/>
          <w:bCs/>
          <w:color w:val="auto"/>
          <w:sz w:val="21"/>
          <w:highlight w:val="none"/>
        </w:rPr>
        <w:t>）；</w:t>
      </w:r>
    </w:p>
    <w:p w14:paraId="19DFEBE9">
      <w:pPr>
        <w:pStyle w:val="5"/>
        <w:numPr>
          <w:ilvl w:val="0"/>
          <w:numId w:val="0"/>
        </w:numPr>
        <w:shd w:val="clear" w:color="auto" w:fill="auto"/>
        <w:tabs>
          <w:tab w:val="left" w:pos="720"/>
        </w:tabs>
        <w:snapToGrid w:val="0"/>
        <w:rPr>
          <w:rFonts w:hint="eastAsia" w:ascii="宋体" w:hAnsi="宋体" w:eastAsia="宋体" w:cs="宋体"/>
          <w:bCs/>
          <w:color w:val="auto"/>
          <w:sz w:val="21"/>
          <w:highlight w:val="none"/>
        </w:rPr>
      </w:pPr>
      <w:r>
        <w:rPr>
          <w:rFonts w:hint="eastAsia" w:ascii="宋体" w:hAnsi="宋体" w:eastAsia="宋体" w:cs="宋体"/>
          <w:bCs/>
          <w:color w:val="auto"/>
          <w:sz w:val="21"/>
          <w:highlight w:val="none"/>
        </w:rPr>
        <w:t>（2）有效的企业法人营业执照（或事业法人登记证）、其他组织（个体工商户）的营业执照或者民办非企业单位登记证书复印件；投标供应商如果有名称变更的，应提供由行政主管部门出具的变更证明文件。若以不具有独立承担民事责任能力的分支机构投标，须取得具有法人资格的总公司的授权书，并提供总公司营业执照副本复印件；</w:t>
      </w:r>
    </w:p>
    <w:p w14:paraId="1AD33103">
      <w:pPr>
        <w:pStyle w:val="5"/>
        <w:numPr>
          <w:ilvl w:val="0"/>
          <w:numId w:val="0"/>
        </w:numPr>
        <w:shd w:val="clear" w:color="auto" w:fill="auto"/>
        <w:tabs>
          <w:tab w:val="left" w:pos="720"/>
        </w:tabs>
        <w:snapToGrid w:val="0"/>
        <w:rPr>
          <w:rFonts w:hint="eastAsia" w:ascii="宋体" w:hAnsi="宋体" w:eastAsia="宋体" w:cs="宋体"/>
          <w:bCs/>
          <w:color w:val="auto"/>
          <w:sz w:val="21"/>
          <w:highlight w:val="none"/>
        </w:rPr>
      </w:pPr>
      <w:r>
        <w:rPr>
          <w:rFonts w:hint="eastAsia" w:ascii="宋体" w:hAnsi="宋体" w:eastAsia="宋体" w:cs="宋体"/>
          <w:bCs/>
          <w:color w:val="auto"/>
          <w:sz w:val="21"/>
          <w:highlight w:val="none"/>
        </w:rPr>
        <w:t>（</w:t>
      </w:r>
      <w:r>
        <w:rPr>
          <w:rFonts w:hint="eastAsia" w:ascii="宋体" w:hAnsi="宋体" w:eastAsia="宋体" w:cs="宋体"/>
          <w:bCs/>
          <w:color w:val="auto"/>
          <w:sz w:val="21"/>
          <w:highlight w:val="none"/>
          <w:lang w:val="en-US" w:eastAsia="zh-CN"/>
        </w:rPr>
        <w:t>3</w:t>
      </w:r>
      <w:r>
        <w:rPr>
          <w:rFonts w:hint="eastAsia" w:ascii="宋体" w:hAnsi="宋体" w:eastAsia="宋体" w:cs="宋体"/>
          <w:bCs/>
          <w:color w:val="auto"/>
          <w:sz w:val="21"/>
          <w:highlight w:val="none"/>
        </w:rPr>
        <w:t>）供应商落实政府采购政策需满足的资格的证明文件：详见“第一章  竞争性磋商公告 二、申请人的资格要求：</w:t>
      </w:r>
      <w:r>
        <w:rPr>
          <w:rFonts w:hint="eastAsia" w:ascii="宋体" w:hAnsi="宋体" w:eastAsia="宋体" w:cs="宋体"/>
          <w:bCs/>
          <w:color w:val="auto"/>
          <w:sz w:val="21"/>
          <w:highlight w:val="none"/>
          <w:lang w:val="en-US" w:eastAsia="zh-CN"/>
        </w:rPr>
        <w:t>2</w:t>
      </w:r>
      <w:r>
        <w:rPr>
          <w:rFonts w:hint="eastAsia" w:ascii="宋体" w:hAnsi="宋体" w:eastAsia="宋体" w:cs="宋体"/>
          <w:bCs/>
          <w:color w:val="auto"/>
          <w:sz w:val="21"/>
          <w:highlight w:val="none"/>
        </w:rPr>
        <w:t>.落实政府采购政策需满足的资格要求”；</w:t>
      </w:r>
    </w:p>
    <w:p w14:paraId="0BFD1FF8">
      <w:pPr>
        <w:pStyle w:val="5"/>
        <w:numPr>
          <w:ilvl w:val="0"/>
          <w:numId w:val="0"/>
        </w:numPr>
        <w:shd w:val="clear" w:color="auto" w:fill="auto"/>
        <w:tabs>
          <w:tab w:val="left" w:pos="720"/>
        </w:tabs>
        <w:snapToGrid w:val="0"/>
        <w:rPr>
          <w:rFonts w:hint="eastAsia" w:ascii="宋体" w:hAnsi="宋体" w:eastAsia="宋体" w:cs="宋体"/>
          <w:bCs/>
          <w:color w:val="auto"/>
          <w:sz w:val="21"/>
          <w:highlight w:val="none"/>
        </w:rPr>
      </w:pPr>
      <w:r>
        <w:rPr>
          <w:rFonts w:hint="eastAsia" w:ascii="宋体" w:hAnsi="宋体" w:eastAsia="宋体" w:cs="宋体"/>
          <w:bCs/>
          <w:color w:val="auto"/>
          <w:sz w:val="21"/>
          <w:highlight w:val="none"/>
        </w:rPr>
        <w:t>（</w:t>
      </w:r>
      <w:r>
        <w:rPr>
          <w:rFonts w:hint="eastAsia" w:ascii="宋体" w:hAnsi="宋体" w:eastAsia="宋体" w:cs="宋体"/>
          <w:bCs/>
          <w:color w:val="auto"/>
          <w:sz w:val="21"/>
          <w:highlight w:val="none"/>
          <w:lang w:val="en-US" w:eastAsia="zh-CN"/>
        </w:rPr>
        <w:t>4</w:t>
      </w:r>
      <w:r>
        <w:rPr>
          <w:rFonts w:hint="eastAsia" w:ascii="宋体" w:hAnsi="宋体" w:eastAsia="宋体" w:cs="宋体"/>
          <w:bCs/>
          <w:color w:val="auto"/>
          <w:sz w:val="21"/>
          <w:highlight w:val="none"/>
        </w:rPr>
        <w:t>）供应商特定资格条件的证明文件：详见“第一章  竞争性磋商公告 二、申请人的资格要求：3.本项目的特定资格要求”</w:t>
      </w:r>
    </w:p>
    <w:p w14:paraId="18C38565">
      <w:pPr>
        <w:pStyle w:val="5"/>
        <w:numPr>
          <w:ilvl w:val="0"/>
          <w:numId w:val="0"/>
        </w:numPr>
        <w:shd w:val="clear" w:color="auto" w:fill="auto"/>
        <w:tabs>
          <w:tab w:val="left" w:pos="720"/>
        </w:tabs>
        <w:snapToGrid w:val="0"/>
        <w:rPr>
          <w:rFonts w:hint="eastAsia" w:ascii="宋体" w:hAnsi="宋体" w:eastAsia="宋体" w:cs="宋体"/>
          <w:bCs/>
          <w:color w:val="auto"/>
          <w:sz w:val="21"/>
          <w:highlight w:val="none"/>
        </w:rPr>
      </w:pPr>
      <w:r>
        <w:rPr>
          <w:rFonts w:hint="eastAsia" w:ascii="宋体" w:hAnsi="宋体" w:eastAsia="宋体" w:cs="宋体"/>
          <w:bCs/>
          <w:color w:val="auto"/>
          <w:sz w:val="21"/>
          <w:highlight w:val="none"/>
        </w:rPr>
        <w:t>（</w:t>
      </w:r>
      <w:r>
        <w:rPr>
          <w:rFonts w:hint="eastAsia" w:ascii="宋体" w:hAnsi="宋体" w:eastAsia="宋体" w:cs="宋体"/>
          <w:bCs/>
          <w:color w:val="auto"/>
          <w:sz w:val="21"/>
          <w:highlight w:val="none"/>
          <w:lang w:val="en-US" w:eastAsia="zh-CN"/>
        </w:rPr>
        <w:t>5</w:t>
      </w:r>
      <w:r>
        <w:rPr>
          <w:rFonts w:hint="eastAsia" w:ascii="宋体" w:hAnsi="宋体" w:eastAsia="宋体" w:cs="宋体"/>
          <w:bCs/>
          <w:color w:val="auto"/>
          <w:sz w:val="21"/>
          <w:highlight w:val="none"/>
        </w:rPr>
        <w:t>）磋商文件要求的其他资格条件证明材料（如有）；</w:t>
      </w:r>
    </w:p>
    <w:p w14:paraId="6B9BCC3B">
      <w:pPr>
        <w:pStyle w:val="5"/>
        <w:numPr>
          <w:ilvl w:val="0"/>
          <w:numId w:val="0"/>
        </w:numPr>
        <w:shd w:val="clear" w:color="auto" w:fill="auto"/>
        <w:tabs>
          <w:tab w:val="left" w:pos="720"/>
        </w:tabs>
        <w:snapToGrid w:val="0"/>
        <w:spacing w:before="120" w:beforeLines="50"/>
        <w:ind w:left="412" w:leftChars="196"/>
        <w:rPr>
          <w:rFonts w:hint="eastAsia" w:ascii="宋体" w:hAnsi="宋体" w:cs="宋体"/>
          <w:bCs/>
          <w:color w:val="auto"/>
          <w:sz w:val="21"/>
          <w:highlight w:val="none"/>
        </w:rPr>
      </w:pPr>
    </w:p>
    <w:p w14:paraId="07A04E71">
      <w:pPr>
        <w:pStyle w:val="5"/>
        <w:numPr>
          <w:ilvl w:val="0"/>
          <w:numId w:val="0"/>
        </w:numPr>
        <w:shd w:val="clear" w:color="auto" w:fill="auto"/>
        <w:tabs>
          <w:tab w:val="left" w:pos="720"/>
        </w:tabs>
        <w:snapToGrid w:val="0"/>
        <w:spacing w:before="120" w:beforeLines="50"/>
        <w:ind w:left="412" w:leftChars="196"/>
        <w:rPr>
          <w:rFonts w:hint="eastAsia" w:ascii="宋体" w:hAnsi="宋体" w:cs="宋体"/>
          <w:bCs/>
          <w:color w:val="auto"/>
          <w:sz w:val="21"/>
          <w:highlight w:val="none"/>
        </w:rPr>
      </w:pPr>
    </w:p>
    <w:p w14:paraId="1785C733">
      <w:pPr>
        <w:shd w:val="clear" w:color="auto" w:fill="auto"/>
        <w:snapToGrid w:val="0"/>
        <w:jc w:val="left"/>
        <w:rPr>
          <w:rFonts w:hint="eastAsia" w:hAnsi="宋体" w:eastAsia="宋体" w:cs="宋体"/>
          <w:b/>
          <w:color w:val="auto"/>
          <w:sz w:val="21"/>
          <w:highlight w:val="none"/>
        </w:rPr>
        <w:sectPr>
          <w:pgSz w:w="11906" w:h="16838"/>
          <w:pgMar w:top="1474" w:right="1474" w:bottom="1247" w:left="1474" w:header="851" w:footer="850" w:gutter="0"/>
          <w:pgBorders>
            <w:top w:val="none" w:sz="0" w:space="0"/>
            <w:left w:val="none" w:sz="0" w:space="0"/>
            <w:bottom w:val="none" w:sz="0" w:space="0"/>
            <w:right w:val="none" w:sz="0" w:space="0"/>
          </w:pgBorders>
          <w:pgNumType w:fmt="decimal"/>
          <w:cols w:space="720" w:num="1"/>
          <w:docGrid w:linePitch="312" w:charSpace="0"/>
        </w:sectPr>
      </w:pPr>
    </w:p>
    <w:bookmarkEnd w:id="124"/>
    <w:bookmarkEnd w:id="125"/>
    <w:bookmarkEnd w:id="126"/>
    <w:p w14:paraId="1E0209BC">
      <w:pPr>
        <w:pStyle w:val="31"/>
        <w:shd w:val="clear" w:color="auto" w:fill="auto"/>
        <w:ind w:left="0" w:firstLine="0"/>
        <w:rPr>
          <w:rFonts w:hint="eastAsia" w:hAnsi="宋体" w:cs="宋体"/>
          <w:b/>
          <w:color w:val="auto"/>
          <w:highlight w:val="none"/>
        </w:rPr>
      </w:pPr>
      <w:r>
        <w:rPr>
          <w:rFonts w:hint="eastAsia" w:hAnsi="宋体" w:cs="宋体"/>
          <w:b/>
          <w:color w:val="auto"/>
          <w:highlight w:val="none"/>
        </w:rPr>
        <w:t>（1）供应商资格声明函</w:t>
      </w:r>
    </w:p>
    <w:p w14:paraId="2684892A">
      <w:pPr>
        <w:pStyle w:val="31"/>
        <w:keepNext w:val="0"/>
        <w:keepLines w:val="0"/>
        <w:pageBreakBefore w:val="0"/>
        <w:widowControl w:val="0"/>
        <w:shd w:val="clear" w:color="auto" w:fill="auto"/>
        <w:kinsoku/>
        <w:wordWrap/>
        <w:overflowPunct/>
        <w:topLinePunct w:val="0"/>
        <w:autoSpaceDE/>
        <w:autoSpaceDN/>
        <w:bidi w:val="0"/>
        <w:spacing w:line="400" w:lineRule="exact"/>
        <w:jc w:val="center"/>
        <w:rPr>
          <w:rFonts w:hint="eastAsia" w:hAnsi="宋体" w:cs="宋体"/>
          <w:b/>
          <w:color w:val="auto"/>
          <w:highlight w:val="none"/>
        </w:rPr>
      </w:pPr>
      <w:r>
        <w:rPr>
          <w:rFonts w:hint="eastAsia" w:hAnsi="宋体" w:cs="宋体"/>
          <w:b/>
          <w:color w:val="auto"/>
          <w:highlight w:val="none"/>
        </w:rPr>
        <w:t>供应商资格声明函</w:t>
      </w:r>
    </w:p>
    <w:p w14:paraId="36F80784">
      <w:pPr>
        <w:keepNext w:val="0"/>
        <w:keepLines w:val="0"/>
        <w:pageBreakBefore w:val="0"/>
        <w:widowControl w:val="0"/>
        <w:shd w:val="clear" w:color="auto" w:fill="auto"/>
        <w:kinsoku/>
        <w:wordWrap/>
        <w:overflowPunct/>
        <w:topLinePunct w:val="0"/>
        <w:autoSpaceDE/>
        <w:autoSpaceDN/>
        <w:bidi w:val="0"/>
        <w:spacing w:line="400" w:lineRule="exact"/>
        <w:rPr>
          <w:rFonts w:hint="eastAsia" w:hAnsi="宋体" w:eastAsia="宋体" w:cs="宋体"/>
          <w:b/>
          <w:color w:val="auto"/>
          <w:kern w:val="2"/>
          <w:sz w:val="21"/>
          <w:szCs w:val="24"/>
          <w:highlight w:val="none"/>
        </w:rPr>
      </w:pPr>
      <w:r>
        <w:rPr>
          <w:rFonts w:hint="eastAsia" w:hAnsi="宋体" w:eastAsia="宋体" w:cs="宋体"/>
          <w:b/>
          <w:color w:val="auto"/>
          <w:kern w:val="2"/>
          <w:sz w:val="21"/>
          <w:szCs w:val="24"/>
          <w:highlight w:val="none"/>
          <w:u w:val="single"/>
          <w:lang w:val="en-US" w:eastAsia="zh-CN"/>
        </w:rPr>
        <w:t>宁波国采招标咨询有限公司</w:t>
      </w:r>
      <w:r>
        <w:rPr>
          <w:rFonts w:hint="eastAsia" w:hAnsi="宋体" w:eastAsia="宋体" w:cs="宋体"/>
          <w:b/>
          <w:color w:val="auto"/>
          <w:kern w:val="2"/>
          <w:sz w:val="21"/>
          <w:szCs w:val="24"/>
          <w:highlight w:val="none"/>
        </w:rPr>
        <w:t>：</w:t>
      </w:r>
    </w:p>
    <w:p w14:paraId="419CDCFA">
      <w:pPr>
        <w:keepNext w:val="0"/>
        <w:keepLines w:val="0"/>
        <w:pageBreakBefore w:val="0"/>
        <w:widowControl w:val="0"/>
        <w:shd w:val="clear" w:color="auto" w:fill="auto"/>
        <w:kinsoku/>
        <w:wordWrap/>
        <w:overflowPunct/>
        <w:topLinePunct w:val="0"/>
        <w:autoSpaceDE/>
        <w:autoSpaceDN/>
        <w:bidi w:val="0"/>
        <w:adjustRightInd/>
        <w:snapToGrid w:val="0"/>
        <w:spacing w:line="400" w:lineRule="exact"/>
        <w:ind w:firstLine="424" w:firstLineChars="202"/>
        <w:textAlignment w:val="auto"/>
        <w:rPr>
          <w:rFonts w:hint="eastAsia" w:hAnsi="宋体" w:eastAsia="宋体" w:cs="宋体"/>
          <w:color w:val="auto"/>
          <w:kern w:val="2"/>
          <w:sz w:val="21"/>
          <w:szCs w:val="24"/>
          <w:highlight w:val="none"/>
        </w:rPr>
      </w:pPr>
      <w:r>
        <w:rPr>
          <w:rFonts w:hint="eastAsia" w:hAnsi="宋体" w:eastAsia="宋体" w:cs="宋体"/>
          <w:color w:val="auto"/>
          <w:kern w:val="2"/>
          <w:sz w:val="21"/>
          <w:szCs w:val="24"/>
          <w:highlight w:val="none"/>
        </w:rPr>
        <w:t>关于贵司</w:t>
      </w:r>
      <w:r>
        <w:rPr>
          <w:rFonts w:hint="eastAsia" w:hAnsi="宋体" w:eastAsia="宋体" w:cs="宋体"/>
          <w:color w:val="auto"/>
          <w:kern w:val="2"/>
          <w:sz w:val="21"/>
          <w:szCs w:val="24"/>
          <w:highlight w:val="none"/>
          <w:u w:val="single"/>
        </w:rPr>
        <w:t xml:space="preserve">      </w:t>
      </w:r>
      <w:r>
        <w:rPr>
          <w:rFonts w:hint="eastAsia" w:hAnsi="宋体" w:eastAsia="宋体" w:cs="宋体"/>
          <w:color w:val="auto"/>
          <w:kern w:val="2"/>
          <w:sz w:val="21"/>
          <w:szCs w:val="24"/>
          <w:highlight w:val="none"/>
        </w:rPr>
        <w:t>年</w:t>
      </w:r>
      <w:r>
        <w:rPr>
          <w:rFonts w:hint="eastAsia" w:hAnsi="宋体" w:eastAsia="宋体" w:cs="宋体"/>
          <w:color w:val="auto"/>
          <w:kern w:val="2"/>
          <w:sz w:val="21"/>
          <w:szCs w:val="24"/>
          <w:highlight w:val="none"/>
          <w:u w:val="single"/>
        </w:rPr>
        <w:t>　　</w:t>
      </w:r>
      <w:r>
        <w:rPr>
          <w:rFonts w:hint="eastAsia" w:hAnsi="宋体" w:eastAsia="宋体" w:cs="宋体"/>
          <w:color w:val="auto"/>
          <w:kern w:val="2"/>
          <w:sz w:val="21"/>
          <w:szCs w:val="24"/>
          <w:highlight w:val="none"/>
        </w:rPr>
        <w:t>月</w:t>
      </w:r>
      <w:r>
        <w:rPr>
          <w:rFonts w:hint="eastAsia" w:hAnsi="宋体" w:eastAsia="宋体" w:cs="宋体"/>
          <w:color w:val="auto"/>
          <w:kern w:val="2"/>
          <w:sz w:val="21"/>
          <w:szCs w:val="24"/>
          <w:highlight w:val="none"/>
          <w:u w:val="single"/>
        </w:rPr>
        <w:t>　　</w:t>
      </w:r>
      <w:r>
        <w:rPr>
          <w:rFonts w:hint="eastAsia" w:hAnsi="宋体" w:eastAsia="宋体" w:cs="宋体"/>
          <w:color w:val="auto"/>
          <w:kern w:val="2"/>
          <w:sz w:val="21"/>
          <w:szCs w:val="24"/>
          <w:highlight w:val="none"/>
        </w:rPr>
        <w:t>日发布</w:t>
      </w:r>
      <w:r>
        <w:rPr>
          <w:rFonts w:hint="eastAsia" w:hAnsi="宋体" w:eastAsia="宋体" w:cs="宋体"/>
          <w:color w:val="auto"/>
          <w:kern w:val="2"/>
          <w:sz w:val="21"/>
          <w:szCs w:val="24"/>
          <w:highlight w:val="none"/>
          <w:u w:val="single"/>
        </w:rPr>
        <w:t xml:space="preserve"> </w:t>
      </w:r>
      <w:r>
        <w:rPr>
          <w:rFonts w:hint="eastAsia" w:hAnsi="宋体" w:eastAsia="宋体" w:cs="宋体"/>
          <w:color w:val="auto"/>
          <w:kern w:val="2"/>
          <w:sz w:val="21"/>
          <w:szCs w:val="24"/>
          <w:highlight w:val="none"/>
          <w:u w:val="single"/>
          <w:lang w:eastAsia="zh-CN"/>
        </w:rPr>
        <w:t>（</w:t>
      </w:r>
      <w:r>
        <w:rPr>
          <w:rFonts w:hint="eastAsia" w:hAnsi="宋体" w:eastAsia="宋体" w:cs="宋体"/>
          <w:color w:val="auto"/>
          <w:kern w:val="2"/>
          <w:sz w:val="21"/>
          <w:szCs w:val="24"/>
          <w:highlight w:val="none"/>
          <w:u w:val="single"/>
          <w:lang w:val="en-US" w:eastAsia="zh-CN"/>
        </w:rPr>
        <w:t>项目名称</w:t>
      </w:r>
      <w:r>
        <w:rPr>
          <w:rFonts w:hint="eastAsia" w:hAnsi="宋体" w:eastAsia="宋体" w:cs="宋体"/>
          <w:color w:val="auto"/>
          <w:kern w:val="2"/>
          <w:sz w:val="21"/>
          <w:szCs w:val="24"/>
          <w:highlight w:val="none"/>
          <w:u w:val="single"/>
          <w:lang w:eastAsia="zh-CN"/>
        </w:rPr>
        <w:t>）</w:t>
      </w:r>
      <w:r>
        <w:rPr>
          <w:rFonts w:hint="eastAsia" w:hAnsi="宋体" w:eastAsia="宋体" w:cs="宋体"/>
          <w:color w:val="auto"/>
          <w:kern w:val="2"/>
          <w:sz w:val="21"/>
          <w:szCs w:val="24"/>
          <w:highlight w:val="none"/>
          <w:u w:val="single"/>
        </w:rPr>
        <w:t xml:space="preserve"> </w:t>
      </w:r>
      <w:r>
        <w:rPr>
          <w:rFonts w:hint="eastAsia" w:hAnsi="宋体" w:eastAsia="宋体" w:cs="宋体"/>
          <w:color w:val="auto"/>
          <w:kern w:val="2"/>
          <w:sz w:val="21"/>
          <w:szCs w:val="24"/>
          <w:highlight w:val="none"/>
        </w:rPr>
        <w:t>项目（项目编号：</w:t>
      </w:r>
      <w:r>
        <w:rPr>
          <w:rFonts w:hint="eastAsia" w:hAnsi="宋体" w:eastAsia="宋体" w:cs="宋体"/>
          <w:color w:val="auto"/>
          <w:kern w:val="2"/>
          <w:sz w:val="21"/>
          <w:szCs w:val="24"/>
          <w:highlight w:val="none"/>
          <w:u w:val="single"/>
        </w:rPr>
        <w:t>　　　</w:t>
      </w:r>
      <w:r>
        <w:rPr>
          <w:rFonts w:hint="eastAsia" w:hAnsi="宋体" w:eastAsia="宋体" w:cs="宋体"/>
          <w:color w:val="auto"/>
          <w:kern w:val="2"/>
          <w:sz w:val="21"/>
          <w:szCs w:val="24"/>
          <w:highlight w:val="none"/>
        </w:rPr>
        <w:t>）的竞争性磋商公告，本公司（企业）愿意参加投标</w:t>
      </w:r>
      <w:r>
        <w:rPr>
          <w:rFonts w:hint="eastAsia" w:hAnsi="宋体" w:eastAsia="宋体" w:cs="宋体"/>
          <w:color w:val="auto"/>
          <w:kern w:val="2"/>
          <w:sz w:val="21"/>
          <w:szCs w:val="24"/>
          <w:highlight w:val="none"/>
          <w:lang w:val="en-US" w:eastAsia="zh-CN"/>
        </w:rPr>
        <w:t>响应</w:t>
      </w:r>
      <w:r>
        <w:rPr>
          <w:rFonts w:hint="eastAsia" w:hAnsi="宋体" w:eastAsia="宋体" w:cs="宋体"/>
          <w:color w:val="auto"/>
          <w:kern w:val="2"/>
          <w:sz w:val="21"/>
          <w:szCs w:val="24"/>
          <w:highlight w:val="none"/>
        </w:rPr>
        <w:t>，并声明：</w:t>
      </w:r>
    </w:p>
    <w:p w14:paraId="34AF010F">
      <w:pPr>
        <w:keepNext w:val="0"/>
        <w:keepLines w:val="0"/>
        <w:pageBreakBefore w:val="0"/>
        <w:widowControl w:val="0"/>
        <w:shd w:val="clear" w:color="auto" w:fill="auto"/>
        <w:kinsoku/>
        <w:wordWrap/>
        <w:overflowPunct/>
        <w:topLinePunct w:val="0"/>
        <w:autoSpaceDE/>
        <w:autoSpaceDN/>
        <w:bidi w:val="0"/>
        <w:adjustRightInd/>
        <w:snapToGrid w:val="0"/>
        <w:spacing w:line="400" w:lineRule="exact"/>
        <w:ind w:firstLine="424" w:firstLineChars="202"/>
        <w:textAlignment w:val="auto"/>
        <w:rPr>
          <w:rFonts w:hint="eastAsia" w:hAnsi="宋体" w:eastAsia="宋体" w:cs="宋体"/>
          <w:color w:val="auto"/>
          <w:kern w:val="2"/>
          <w:sz w:val="21"/>
          <w:szCs w:val="24"/>
          <w:highlight w:val="none"/>
        </w:rPr>
      </w:pPr>
      <w:r>
        <w:rPr>
          <w:rFonts w:hint="eastAsia" w:hAnsi="宋体" w:eastAsia="宋体" w:cs="宋体"/>
          <w:color w:val="auto"/>
          <w:kern w:val="2"/>
          <w:sz w:val="21"/>
          <w:szCs w:val="24"/>
          <w:highlight w:val="none"/>
        </w:rPr>
        <w:t>1</w:t>
      </w:r>
      <w:r>
        <w:rPr>
          <w:rFonts w:hint="eastAsia" w:hAnsi="宋体" w:eastAsia="宋体" w:cs="宋体"/>
          <w:color w:val="auto"/>
          <w:kern w:val="2"/>
          <w:sz w:val="21"/>
          <w:szCs w:val="24"/>
          <w:highlight w:val="none"/>
          <w:lang w:val="en-US" w:eastAsia="zh-CN"/>
        </w:rPr>
        <w:t>.</w:t>
      </w:r>
      <w:r>
        <w:rPr>
          <w:rFonts w:hint="eastAsia" w:hAnsi="宋体" w:eastAsia="宋体" w:cs="宋体"/>
          <w:color w:val="auto"/>
          <w:kern w:val="2"/>
          <w:sz w:val="21"/>
          <w:szCs w:val="24"/>
          <w:highlight w:val="none"/>
        </w:rPr>
        <w:t>本公司（企业）具备《中华人民共和国政府采购法》第二十二条资格条件，并已清楚磋商文件的要求及有关文件规定。</w:t>
      </w:r>
    </w:p>
    <w:p w14:paraId="5FC7135B">
      <w:pPr>
        <w:keepNext w:val="0"/>
        <w:keepLines w:val="0"/>
        <w:pageBreakBefore w:val="0"/>
        <w:widowControl w:val="0"/>
        <w:numPr>
          <w:ilvl w:val="0"/>
          <w:numId w:val="15"/>
        </w:numPr>
        <w:shd w:val="clear" w:color="auto" w:fill="auto"/>
        <w:kinsoku/>
        <w:wordWrap/>
        <w:overflowPunct/>
        <w:topLinePunct w:val="0"/>
        <w:autoSpaceDE/>
        <w:autoSpaceDN/>
        <w:bidi w:val="0"/>
        <w:adjustRightInd/>
        <w:snapToGrid w:val="0"/>
        <w:spacing w:line="400" w:lineRule="exact"/>
        <w:ind w:left="425" w:leftChars="0" w:hanging="425" w:firstLineChars="0"/>
        <w:textAlignment w:val="auto"/>
        <w:rPr>
          <w:rFonts w:hint="eastAsia" w:hAnsi="宋体" w:eastAsia="宋体" w:cs="宋体"/>
          <w:color w:val="auto"/>
          <w:kern w:val="2"/>
          <w:sz w:val="21"/>
          <w:szCs w:val="24"/>
          <w:highlight w:val="none"/>
        </w:rPr>
      </w:pPr>
      <w:r>
        <w:rPr>
          <w:rFonts w:hint="eastAsia" w:hAnsi="宋体" w:eastAsia="宋体" w:cs="宋体"/>
          <w:color w:val="auto"/>
          <w:kern w:val="2"/>
          <w:sz w:val="21"/>
          <w:szCs w:val="24"/>
          <w:highlight w:val="none"/>
        </w:rPr>
        <w:t>具有独立承担民事责任的能力；</w:t>
      </w:r>
    </w:p>
    <w:p w14:paraId="6C123285">
      <w:pPr>
        <w:keepNext w:val="0"/>
        <w:keepLines w:val="0"/>
        <w:pageBreakBefore w:val="0"/>
        <w:widowControl w:val="0"/>
        <w:numPr>
          <w:ilvl w:val="0"/>
          <w:numId w:val="15"/>
        </w:numPr>
        <w:shd w:val="clear" w:color="auto" w:fill="auto"/>
        <w:kinsoku/>
        <w:wordWrap/>
        <w:overflowPunct/>
        <w:topLinePunct w:val="0"/>
        <w:autoSpaceDE/>
        <w:autoSpaceDN/>
        <w:bidi w:val="0"/>
        <w:adjustRightInd/>
        <w:snapToGrid w:val="0"/>
        <w:spacing w:line="400" w:lineRule="exact"/>
        <w:ind w:left="425" w:leftChars="0" w:hanging="425" w:firstLineChars="0"/>
        <w:textAlignment w:val="auto"/>
        <w:rPr>
          <w:rFonts w:hint="eastAsia" w:hAnsi="宋体" w:eastAsia="宋体" w:cs="宋体"/>
          <w:color w:val="auto"/>
          <w:kern w:val="2"/>
          <w:sz w:val="21"/>
          <w:szCs w:val="24"/>
          <w:highlight w:val="none"/>
        </w:rPr>
      </w:pPr>
      <w:r>
        <w:rPr>
          <w:rFonts w:hint="eastAsia" w:hAnsi="宋体" w:eastAsia="宋体" w:cs="宋体"/>
          <w:color w:val="auto"/>
          <w:kern w:val="2"/>
          <w:sz w:val="21"/>
          <w:szCs w:val="24"/>
          <w:highlight w:val="none"/>
        </w:rPr>
        <w:t>具有良好的商业信誉和健全的财务会计制度；</w:t>
      </w:r>
    </w:p>
    <w:p w14:paraId="55B54141">
      <w:pPr>
        <w:keepNext w:val="0"/>
        <w:keepLines w:val="0"/>
        <w:pageBreakBefore w:val="0"/>
        <w:widowControl w:val="0"/>
        <w:numPr>
          <w:ilvl w:val="0"/>
          <w:numId w:val="15"/>
        </w:numPr>
        <w:shd w:val="clear" w:color="auto" w:fill="auto"/>
        <w:kinsoku/>
        <w:wordWrap/>
        <w:overflowPunct/>
        <w:topLinePunct w:val="0"/>
        <w:autoSpaceDE/>
        <w:autoSpaceDN/>
        <w:bidi w:val="0"/>
        <w:adjustRightInd/>
        <w:snapToGrid w:val="0"/>
        <w:spacing w:line="400" w:lineRule="exact"/>
        <w:ind w:left="425" w:leftChars="0" w:hanging="425" w:firstLineChars="0"/>
        <w:textAlignment w:val="auto"/>
        <w:rPr>
          <w:rFonts w:hint="eastAsia" w:hAnsi="宋体" w:eastAsia="宋体" w:cs="宋体"/>
          <w:color w:val="auto"/>
          <w:kern w:val="2"/>
          <w:sz w:val="21"/>
          <w:szCs w:val="24"/>
          <w:highlight w:val="none"/>
        </w:rPr>
      </w:pPr>
      <w:r>
        <w:rPr>
          <w:rFonts w:hint="eastAsia" w:hAnsi="宋体" w:eastAsia="宋体" w:cs="宋体"/>
          <w:color w:val="auto"/>
          <w:kern w:val="2"/>
          <w:sz w:val="21"/>
          <w:szCs w:val="24"/>
          <w:highlight w:val="none"/>
        </w:rPr>
        <w:t>具有履行合同所必需的设备和专业技术能力；</w:t>
      </w:r>
    </w:p>
    <w:p w14:paraId="7AD75347">
      <w:pPr>
        <w:keepNext w:val="0"/>
        <w:keepLines w:val="0"/>
        <w:pageBreakBefore w:val="0"/>
        <w:widowControl w:val="0"/>
        <w:numPr>
          <w:ilvl w:val="0"/>
          <w:numId w:val="15"/>
        </w:numPr>
        <w:shd w:val="clear" w:color="auto" w:fill="auto"/>
        <w:kinsoku/>
        <w:wordWrap/>
        <w:overflowPunct/>
        <w:topLinePunct w:val="0"/>
        <w:autoSpaceDE/>
        <w:autoSpaceDN/>
        <w:bidi w:val="0"/>
        <w:adjustRightInd/>
        <w:snapToGrid w:val="0"/>
        <w:spacing w:line="400" w:lineRule="exact"/>
        <w:ind w:left="425" w:leftChars="0" w:hanging="425" w:firstLineChars="0"/>
        <w:textAlignment w:val="auto"/>
        <w:rPr>
          <w:rFonts w:hint="eastAsia" w:hAnsi="宋体" w:eastAsia="宋体" w:cs="宋体"/>
          <w:color w:val="auto"/>
          <w:kern w:val="2"/>
          <w:sz w:val="21"/>
          <w:szCs w:val="24"/>
          <w:highlight w:val="none"/>
        </w:rPr>
      </w:pPr>
      <w:r>
        <w:rPr>
          <w:rFonts w:hint="eastAsia" w:hAnsi="宋体" w:eastAsia="宋体" w:cs="宋体"/>
          <w:color w:val="auto"/>
          <w:kern w:val="2"/>
          <w:sz w:val="21"/>
          <w:szCs w:val="24"/>
          <w:highlight w:val="none"/>
        </w:rPr>
        <w:t>有依法缴纳税收和社会保障资金的良好记录；</w:t>
      </w:r>
    </w:p>
    <w:p w14:paraId="6BFF04CD">
      <w:pPr>
        <w:keepNext w:val="0"/>
        <w:keepLines w:val="0"/>
        <w:pageBreakBefore w:val="0"/>
        <w:widowControl w:val="0"/>
        <w:numPr>
          <w:ilvl w:val="0"/>
          <w:numId w:val="15"/>
        </w:numPr>
        <w:shd w:val="clear" w:color="auto" w:fill="auto"/>
        <w:kinsoku/>
        <w:wordWrap/>
        <w:overflowPunct/>
        <w:topLinePunct w:val="0"/>
        <w:autoSpaceDE/>
        <w:autoSpaceDN/>
        <w:bidi w:val="0"/>
        <w:adjustRightInd/>
        <w:snapToGrid w:val="0"/>
        <w:spacing w:line="400" w:lineRule="exact"/>
        <w:ind w:left="425" w:leftChars="0" w:hanging="425" w:firstLineChars="0"/>
        <w:textAlignment w:val="auto"/>
        <w:rPr>
          <w:rFonts w:hint="eastAsia" w:hAnsi="宋体" w:eastAsia="宋体" w:cs="宋体"/>
          <w:color w:val="auto"/>
          <w:kern w:val="2"/>
          <w:sz w:val="21"/>
          <w:szCs w:val="24"/>
          <w:highlight w:val="none"/>
        </w:rPr>
      </w:pPr>
      <w:r>
        <w:rPr>
          <w:rFonts w:hint="eastAsia" w:hAnsi="宋体" w:eastAsia="宋体" w:cs="宋体"/>
          <w:color w:val="auto"/>
          <w:kern w:val="2"/>
          <w:sz w:val="21"/>
          <w:szCs w:val="24"/>
          <w:highlight w:val="none"/>
        </w:rPr>
        <w:t>参加政府采购活动前三年内，在经营活动中没有重大违法记录；</w:t>
      </w:r>
    </w:p>
    <w:p w14:paraId="40A8A1EA">
      <w:pPr>
        <w:keepNext w:val="0"/>
        <w:keepLines w:val="0"/>
        <w:pageBreakBefore w:val="0"/>
        <w:widowControl w:val="0"/>
        <w:numPr>
          <w:ilvl w:val="0"/>
          <w:numId w:val="15"/>
        </w:numPr>
        <w:shd w:val="clear" w:color="auto" w:fill="auto"/>
        <w:kinsoku/>
        <w:wordWrap/>
        <w:overflowPunct/>
        <w:topLinePunct w:val="0"/>
        <w:autoSpaceDE/>
        <w:autoSpaceDN/>
        <w:bidi w:val="0"/>
        <w:adjustRightInd/>
        <w:snapToGrid w:val="0"/>
        <w:spacing w:line="400" w:lineRule="exact"/>
        <w:ind w:left="425" w:leftChars="0" w:hanging="425" w:firstLineChars="0"/>
        <w:textAlignment w:val="auto"/>
        <w:rPr>
          <w:rFonts w:hint="eastAsia" w:hAnsi="宋体" w:eastAsia="宋体" w:cs="宋体"/>
          <w:color w:val="auto"/>
          <w:kern w:val="2"/>
          <w:sz w:val="21"/>
          <w:szCs w:val="24"/>
          <w:highlight w:val="none"/>
        </w:rPr>
      </w:pPr>
      <w:r>
        <w:rPr>
          <w:rFonts w:hint="eastAsia" w:hAnsi="宋体" w:eastAsia="宋体" w:cs="宋体"/>
          <w:color w:val="auto"/>
          <w:kern w:val="2"/>
          <w:sz w:val="21"/>
          <w:szCs w:val="24"/>
          <w:highlight w:val="none"/>
        </w:rPr>
        <w:t>法律、行政法规规定的其他条件。</w:t>
      </w:r>
    </w:p>
    <w:p w14:paraId="71DB0F66">
      <w:pPr>
        <w:keepNext w:val="0"/>
        <w:keepLines w:val="0"/>
        <w:pageBreakBefore w:val="0"/>
        <w:widowControl w:val="0"/>
        <w:shd w:val="clear" w:color="auto" w:fill="auto"/>
        <w:kinsoku/>
        <w:wordWrap/>
        <w:overflowPunct/>
        <w:topLinePunct w:val="0"/>
        <w:autoSpaceDE/>
        <w:autoSpaceDN/>
        <w:bidi w:val="0"/>
        <w:adjustRightInd/>
        <w:snapToGrid w:val="0"/>
        <w:spacing w:line="400" w:lineRule="exact"/>
        <w:ind w:firstLine="424" w:firstLineChars="202"/>
        <w:textAlignment w:val="auto"/>
        <w:rPr>
          <w:rFonts w:hint="eastAsia" w:hAnsi="宋体" w:eastAsia="宋体" w:cs="宋体"/>
          <w:color w:val="auto"/>
          <w:kern w:val="2"/>
          <w:sz w:val="21"/>
          <w:szCs w:val="24"/>
          <w:highlight w:val="none"/>
        </w:rPr>
      </w:pPr>
      <w:r>
        <w:rPr>
          <w:rFonts w:hint="eastAsia" w:hAnsi="宋体" w:eastAsia="宋体" w:cs="宋体"/>
          <w:color w:val="auto"/>
          <w:kern w:val="2"/>
          <w:sz w:val="21"/>
          <w:szCs w:val="24"/>
          <w:highlight w:val="none"/>
        </w:rPr>
        <w:t>2</w:t>
      </w:r>
      <w:r>
        <w:rPr>
          <w:rFonts w:hint="eastAsia" w:hAnsi="宋体" w:eastAsia="宋体" w:cs="宋体"/>
          <w:color w:val="auto"/>
          <w:kern w:val="2"/>
          <w:sz w:val="21"/>
          <w:szCs w:val="24"/>
          <w:highlight w:val="none"/>
          <w:lang w:val="en-US" w:eastAsia="zh-CN"/>
        </w:rPr>
        <w:t>.</w:t>
      </w:r>
      <w:r>
        <w:rPr>
          <w:rFonts w:hint="eastAsia" w:hAnsi="宋体" w:eastAsia="宋体" w:cs="宋体"/>
          <w:color w:val="auto"/>
          <w:kern w:val="2"/>
          <w:sz w:val="21"/>
          <w:szCs w:val="24"/>
          <w:highlight w:val="none"/>
        </w:rPr>
        <w:t>本公司（企业）的法定代表人或单位负责人与所参投的本采购项目的其他供应商的法定代表人或单位负责人不为同一人且与其他供应商之间不存在直接控股、管理关系。</w:t>
      </w:r>
    </w:p>
    <w:p w14:paraId="7AE92989">
      <w:pPr>
        <w:keepNext w:val="0"/>
        <w:keepLines w:val="0"/>
        <w:pageBreakBefore w:val="0"/>
        <w:widowControl w:val="0"/>
        <w:shd w:val="clear" w:color="auto" w:fill="auto"/>
        <w:kinsoku/>
        <w:wordWrap/>
        <w:overflowPunct/>
        <w:topLinePunct w:val="0"/>
        <w:autoSpaceDE/>
        <w:autoSpaceDN/>
        <w:bidi w:val="0"/>
        <w:adjustRightInd/>
        <w:snapToGrid w:val="0"/>
        <w:spacing w:line="400" w:lineRule="exact"/>
        <w:ind w:firstLine="424" w:firstLineChars="202"/>
        <w:textAlignment w:val="auto"/>
        <w:rPr>
          <w:rFonts w:hint="eastAsia" w:hAnsi="宋体" w:eastAsia="宋体" w:cs="宋体"/>
          <w:color w:val="auto"/>
          <w:kern w:val="2"/>
          <w:sz w:val="21"/>
          <w:szCs w:val="24"/>
          <w:highlight w:val="none"/>
        </w:rPr>
      </w:pPr>
      <w:r>
        <w:rPr>
          <w:rFonts w:hint="eastAsia" w:hAnsi="宋体" w:eastAsia="宋体" w:cs="宋体"/>
          <w:color w:val="auto"/>
          <w:kern w:val="2"/>
          <w:sz w:val="21"/>
          <w:szCs w:val="24"/>
          <w:highlight w:val="none"/>
        </w:rPr>
        <w:t>3</w:t>
      </w:r>
      <w:r>
        <w:rPr>
          <w:rFonts w:hint="eastAsia" w:hAnsi="宋体" w:eastAsia="宋体" w:cs="宋体"/>
          <w:color w:val="auto"/>
          <w:kern w:val="2"/>
          <w:sz w:val="21"/>
          <w:szCs w:val="24"/>
          <w:highlight w:val="none"/>
          <w:lang w:val="en-US" w:eastAsia="zh-CN"/>
        </w:rPr>
        <w:t>.</w:t>
      </w:r>
      <w:r>
        <w:rPr>
          <w:rFonts w:hint="eastAsia" w:hAnsi="宋体" w:eastAsia="宋体" w:cs="宋体"/>
          <w:color w:val="auto"/>
          <w:kern w:val="2"/>
          <w:sz w:val="21"/>
          <w:szCs w:val="24"/>
          <w:highlight w:val="none"/>
        </w:rPr>
        <w:t>根据《中华人民共和国政府采购法实施条例》的规定，本公司（企业）如为本采购项目提供整体设计、规范编制或者项目管理、监理、检测等服务的供应商，不得再参加该采购项目的其他采购活动。否则，由此所造成的损失、不良后果及法律责任，一律由我公司（企业）承担。</w:t>
      </w:r>
    </w:p>
    <w:p w14:paraId="6614F39B">
      <w:pPr>
        <w:keepNext w:val="0"/>
        <w:keepLines w:val="0"/>
        <w:pageBreakBefore w:val="0"/>
        <w:widowControl w:val="0"/>
        <w:shd w:val="clear" w:color="auto" w:fill="auto"/>
        <w:kinsoku/>
        <w:wordWrap/>
        <w:overflowPunct/>
        <w:topLinePunct w:val="0"/>
        <w:autoSpaceDE/>
        <w:autoSpaceDN/>
        <w:bidi w:val="0"/>
        <w:adjustRightInd/>
        <w:snapToGrid w:val="0"/>
        <w:spacing w:line="400" w:lineRule="exact"/>
        <w:ind w:firstLine="424" w:firstLineChars="202"/>
        <w:textAlignment w:val="auto"/>
        <w:rPr>
          <w:rFonts w:hint="eastAsia" w:hAnsi="宋体" w:eastAsia="宋体" w:cs="宋体"/>
          <w:color w:val="auto"/>
          <w:kern w:val="2"/>
          <w:sz w:val="21"/>
          <w:szCs w:val="24"/>
          <w:highlight w:val="none"/>
        </w:rPr>
      </w:pPr>
      <w:r>
        <w:rPr>
          <w:rFonts w:hint="eastAsia" w:hAnsi="宋体" w:eastAsia="宋体" w:cs="宋体"/>
          <w:color w:val="auto"/>
          <w:kern w:val="2"/>
          <w:sz w:val="21"/>
          <w:szCs w:val="24"/>
          <w:highlight w:val="none"/>
        </w:rPr>
        <w:t>4</w:t>
      </w:r>
      <w:r>
        <w:rPr>
          <w:rFonts w:hint="eastAsia" w:hAnsi="宋体" w:eastAsia="宋体" w:cs="宋体"/>
          <w:color w:val="auto"/>
          <w:kern w:val="2"/>
          <w:sz w:val="21"/>
          <w:szCs w:val="24"/>
          <w:highlight w:val="none"/>
          <w:lang w:val="en-US" w:eastAsia="zh-CN"/>
        </w:rPr>
        <w:t>.</w:t>
      </w:r>
      <w:r>
        <w:rPr>
          <w:rFonts w:hint="eastAsia" w:hAnsi="宋体" w:eastAsia="宋体" w:cs="宋体"/>
          <w:color w:val="auto"/>
          <w:kern w:val="2"/>
          <w:sz w:val="21"/>
          <w:szCs w:val="24"/>
          <w:highlight w:val="none"/>
        </w:rPr>
        <w:t>本公司（企业）具有履行合同所必需的设备和专业技术能力，且本公司（企业）参加政府采购活动前3年内在经营活动中没有重大违法记录。否则，由此所造成的损失、不良后果及法律责任，一律由我公司（企业）承担。</w:t>
      </w:r>
    </w:p>
    <w:p w14:paraId="4773AED1">
      <w:pPr>
        <w:keepNext w:val="0"/>
        <w:keepLines w:val="0"/>
        <w:pageBreakBefore w:val="0"/>
        <w:widowControl w:val="0"/>
        <w:shd w:val="clear" w:color="auto" w:fill="auto"/>
        <w:kinsoku/>
        <w:wordWrap/>
        <w:overflowPunct/>
        <w:topLinePunct w:val="0"/>
        <w:autoSpaceDE/>
        <w:autoSpaceDN/>
        <w:bidi w:val="0"/>
        <w:adjustRightInd/>
        <w:snapToGrid w:val="0"/>
        <w:spacing w:line="400" w:lineRule="exact"/>
        <w:ind w:firstLine="424" w:firstLineChars="202"/>
        <w:textAlignment w:val="auto"/>
        <w:rPr>
          <w:rFonts w:hint="eastAsia" w:hAnsi="宋体" w:eastAsia="宋体" w:cs="宋体"/>
          <w:color w:val="auto"/>
          <w:kern w:val="2"/>
          <w:sz w:val="21"/>
          <w:szCs w:val="24"/>
          <w:highlight w:val="none"/>
        </w:rPr>
      </w:pPr>
      <w:r>
        <w:rPr>
          <w:rFonts w:hint="eastAsia" w:hAnsi="宋体" w:eastAsia="宋体" w:cs="宋体"/>
          <w:color w:val="auto"/>
          <w:kern w:val="2"/>
          <w:sz w:val="21"/>
          <w:szCs w:val="24"/>
          <w:highlight w:val="none"/>
        </w:rPr>
        <w:t>5</w:t>
      </w:r>
      <w:r>
        <w:rPr>
          <w:rFonts w:hint="eastAsia" w:hAnsi="宋体" w:eastAsia="宋体" w:cs="宋体"/>
          <w:color w:val="auto"/>
          <w:kern w:val="2"/>
          <w:sz w:val="21"/>
          <w:szCs w:val="24"/>
          <w:highlight w:val="none"/>
          <w:lang w:val="en-US" w:eastAsia="zh-CN"/>
        </w:rPr>
        <w:t>.</w:t>
      </w:r>
      <w:r>
        <w:rPr>
          <w:rFonts w:hint="eastAsia" w:hAnsi="宋体" w:eastAsia="宋体" w:cs="宋体"/>
          <w:color w:val="auto"/>
          <w:kern w:val="2"/>
          <w:sz w:val="21"/>
          <w:szCs w:val="24"/>
          <w:highlight w:val="none"/>
        </w:rPr>
        <w:t>本公司（企业）未被列入“信用中国”网站(www.creditchina.gov.cn)“失信被执行人或重大税收违法案件当事人名单或政府采购严重违法失信行为”记录名单；不处于中国政府采购网(www.ccgp.gov.cn)“政府采购严重违法失信行为信息记录”中的禁止参加政府采购活动期间。否则，由此所造成的损失、不良后果及法律责任，一律由我公司（企业）承担。</w:t>
      </w:r>
    </w:p>
    <w:p w14:paraId="4693D8EB">
      <w:pPr>
        <w:keepNext w:val="0"/>
        <w:keepLines w:val="0"/>
        <w:pageBreakBefore w:val="0"/>
        <w:widowControl w:val="0"/>
        <w:shd w:val="clear" w:color="auto" w:fill="auto"/>
        <w:kinsoku/>
        <w:wordWrap/>
        <w:overflowPunct/>
        <w:topLinePunct w:val="0"/>
        <w:autoSpaceDE/>
        <w:autoSpaceDN/>
        <w:bidi w:val="0"/>
        <w:adjustRightInd/>
        <w:snapToGrid w:val="0"/>
        <w:spacing w:line="400" w:lineRule="exact"/>
        <w:ind w:firstLine="424" w:firstLineChars="202"/>
        <w:textAlignment w:val="auto"/>
        <w:rPr>
          <w:rFonts w:hint="eastAsia" w:hAnsi="宋体" w:eastAsia="宋体" w:cs="宋体"/>
          <w:color w:val="auto"/>
          <w:kern w:val="2"/>
          <w:sz w:val="21"/>
          <w:szCs w:val="24"/>
          <w:highlight w:val="none"/>
        </w:rPr>
      </w:pPr>
      <w:r>
        <w:rPr>
          <w:rFonts w:hint="eastAsia" w:hAnsi="宋体" w:eastAsia="宋体" w:cs="宋体"/>
          <w:color w:val="auto"/>
          <w:kern w:val="2"/>
          <w:sz w:val="21"/>
          <w:szCs w:val="24"/>
          <w:highlight w:val="none"/>
        </w:rPr>
        <w:t>本次采购活动中，如有违法、违规、弄虚作假行为，所造成的损失、不良后果及法律责任，一律由我公司（企业）承担。</w:t>
      </w:r>
    </w:p>
    <w:p w14:paraId="73A8CA0C">
      <w:pPr>
        <w:keepNext w:val="0"/>
        <w:keepLines w:val="0"/>
        <w:pageBreakBefore w:val="0"/>
        <w:widowControl w:val="0"/>
        <w:shd w:val="clear" w:color="auto" w:fill="auto"/>
        <w:kinsoku/>
        <w:wordWrap/>
        <w:overflowPunct/>
        <w:topLinePunct w:val="0"/>
        <w:autoSpaceDE/>
        <w:autoSpaceDN/>
        <w:bidi w:val="0"/>
        <w:adjustRightInd/>
        <w:snapToGrid w:val="0"/>
        <w:spacing w:before="156" w:beforeLines="50" w:line="400" w:lineRule="exact"/>
        <w:ind w:firstLine="424" w:firstLineChars="202"/>
        <w:textAlignment w:val="auto"/>
        <w:rPr>
          <w:rFonts w:hint="eastAsia" w:hAnsi="宋体" w:eastAsia="宋体" w:cs="宋体"/>
          <w:color w:val="auto"/>
          <w:kern w:val="2"/>
          <w:sz w:val="21"/>
          <w:szCs w:val="24"/>
          <w:highlight w:val="none"/>
        </w:rPr>
      </w:pPr>
      <w:r>
        <w:rPr>
          <w:rFonts w:hint="eastAsia" w:hAnsi="宋体" w:eastAsia="宋体" w:cs="宋体"/>
          <w:color w:val="auto"/>
          <w:kern w:val="2"/>
          <w:sz w:val="21"/>
          <w:szCs w:val="24"/>
          <w:highlight w:val="none"/>
        </w:rPr>
        <w:t>特此声明！</w:t>
      </w:r>
    </w:p>
    <w:p w14:paraId="7F20D375">
      <w:pPr>
        <w:keepNext w:val="0"/>
        <w:keepLines w:val="0"/>
        <w:pageBreakBefore w:val="0"/>
        <w:widowControl w:val="0"/>
        <w:shd w:val="clear" w:color="auto" w:fill="auto"/>
        <w:kinsoku/>
        <w:wordWrap/>
        <w:overflowPunct/>
        <w:topLinePunct w:val="0"/>
        <w:autoSpaceDE/>
        <w:autoSpaceDN/>
        <w:bidi w:val="0"/>
        <w:adjustRightInd/>
        <w:snapToGrid w:val="0"/>
        <w:spacing w:before="156" w:beforeLines="50" w:line="400" w:lineRule="exact"/>
        <w:ind w:firstLine="424" w:firstLineChars="202"/>
        <w:textAlignment w:val="auto"/>
        <w:rPr>
          <w:rFonts w:hint="eastAsia" w:hAnsi="宋体" w:eastAsia="宋体" w:cs="宋体"/>
          <w:color w:val="auto"/>
          <w:kern w:val="2"/>
          <w:sz w:val="21"/>
          <w:szCs w:val="24"/>
          <w:highlight w:val="none"/>
        </w:rPr>
      </w:pPr>
      <w:r>
        <w:rPr>
          <w:rFonts w:hint="eastAsia" w:hAnsi="宋体" w:eastAsia="宋体" w:cs="宋体"/>
          <w:color w:val="auto"/>
          <w:kern w:val="2"/>
          <w:sz w:val="21"/>
          <w:szCs w:val="24"/>
          <w:highlight w:val="none"/>
        </w:rPr>
        <w:t>供应商名称（公章）：</w:t>
      </w:r>
    </w:p>
    <w:p w14:paraId="76CAE41C">
      <w:pPr>
        <w:keepNext w:val="0"/>
        <w:keepLines w:val="0"/>
        <w:pageBreakBefore w:val="0"/>
        <w:widowControl w:val="0"/>
        <w:shd w:val="clear" w:color="auto" w:fill="auto"/>
        <w:kinsoku/>
        <w:wordWrap/>
        <w:overflowPunct/>
        <w:topLinePunct w:val="0"/>
        <w:autoSpaceDE/>
        <w:autoSpaceDN/>
        <w:bidi w:val="0"/>
        <w:adjustRightInd/>
        <w:snapToGrid w:val="0"/>
        <w:spacing w:before="156" w:beforeLines="50" w:line="400" w:lineRule="exact"/>
        <w:ind w:firstLine="424" w:firstLineChars="202"/>
        <w:textAlignment w:val="auto"/>
        <w:rPr>
          <w:rFonts w:hint="eastAsia" w:hAnsi="宋体" w:eastAsia="宋体" w:cs="宋体"/>
          <w:color w:val="auto"/>
          <w:kern w:val="2"/>
          <w:sz w:val="21"/>
          <w:szCs w:val="24"/>
          <w:highlight w:val="none"/>
        </w:rPr>
        <w:sectPr>
          <w:headerReference r:id="rId13" w:type="default"/>
          <w:footerReference r:id="rId14" w:type="default"/>
          <w:footnotePr>
            <w:numFmt w:val="decimalEnclosedCircleChinese"/>
          </w:footnotePr>
          <w:pgSz w:w="11906" w:h="16838"/>
          <w:pgMar w:top="1701" w:right="1134" w:bottom="1304" w:left="1134" w:header="964" w:footer="567" w:gutter="567"/>
          <w:pgBorders>
            <w:top w:val="none" w:sz="0" w:space="0"/>
            <w:left w:val="none" w:sz="0" w:space="0"/>
            <w:bottom w:val="none" w:sz="0" w:space="0"/>
            <w:right w:val="none" w:sz="0" w:space="0"/>
          </w:pgBorders>
          <w:pgNumType w:fmt="decimal"/>
          <w:cols w:space="720" w:num="1"/>
          <w:docGrid w:type="lines" w:linePitch="312" w:charSpace="0"/>
        </w:sectPr>
      </w:pPr>
      <w:r>
        <w:rPr>
          <w:rFonts w:hint="eastAsia" w:hAnsi="宋体" w:eastAsia="宋体" w:cs="宋体"/>
          <w:color w:val="auto"/>
          <w:kern w:val="2"/>
          <w:sz w:val="21"/>
          <w:szCs w:val="24"/>
          <w:highlight w:val="none"/>
        </w:rPr>
        <w:t>年    月    日</w:t>
      </w:r>
    </w:p>
    <w:p w14:paraId="006A44AE">
      <w:pPr>
        <w:adjustRightInd/>
        <w:spacing w:line="411" w:lineRule="exact"/>
        <w:ind w:right="6"/>
        <w:jc w:val="both"/>
        <w:textAlignment w:val="auto"/>
        <w:rPr>
          <w:rFonts w:hint="eastAsia" w:ascii="宋体" w:hAnsi="宋体" w:eastAsia="宋体" w:cs="宋体"/>
          <w:b/>
          <w:color w:val="auto"/>
          <w:kern w:val="2"/>
          <w:sz w:val="21"/>
          <w:szCs w:val="21"/>
          <w:highlight w:val="none"/>
          <w:lang w:val="en-US" w:eastAsia="zh-CN"/>
        </w:rPr>
      </w:pPr>
      <w:r>
        <w:rPr>
          <w:rFonts w:hint="eastAsia" w:ascii="宋体" w:hAnsi="宋体" w:eastAsia="宋体" w:cs="宋体"/>
          <w:b/>
          <w:color w:val="auto"/>
          <w:kern w:val="2"/>
          <w:sz w:val="21"/>
          <w:szCs w:val="21"/>
          <w:highlight w:val="none"/>
          <w:lang w:eastAsia="zh-CN"/>
        </w:rPr>
        <w:t>（</w:t>
      </w:r>
      <w:r>
        <w:rPr>
          <w:rFonts w:hint="eastAsia" w:ascii="宋体" w:hAnsi="宋体" w:eastAsia="宋体" w:cs="宋体"/>
          <w:b/>
          <w:color w:val="auto"/>
          <w:kern w:val="2"/>
          <w:sz w:val="21"/>
          <w:szCs w:val="21"/>
          <w:highlight w:val="none"/>
          <w:lang w:val="en-US" w:eastAsia="zh-CN"/>
        </w:rPr>
        <w:t>2</w:t>
      </w:r>
      <w:r>
        <w:rPr>
          <w:rFonts w:hint="eastAsia" w:ascii="宋体" w:hAnsi="宋体" w:eastAsia="宋体" w:cs="宋体"/>
          <w:b/>
          <w:color w:val="auto"/>
          <w:kern w:val="2"/>
          <w:sz w:val="21"/>
          <w:szCs w:val="21"/>
          <w:highlight w:val="none"/>
          <w:lang w:eastAsia="zh-CN"/>
        </w:rPr>
        <w:t>）</w:t>
      </w:r>
      <w:r>
        <w:rPr>
          <w:rFonts w:hint="eastAsia" w:ascii="宋体" w:hAnsi="宋体" w:eastAsia="宋体" w:cs="宋体"/>
          <w:b/>
          <w:color w:val="auto"/>
          <w:kern w:val="2"/>
          <w:sz w:val="21"/>
          <w:szCs w:val="21"/>
          <w:highlight w:val="none"/>
          <w:lang w:val="en-US" w:eastAsia="zh-CN"/>
        </w:rPr>
        <w:t>中小企业声明函</w:t>
      </w:r>
    </w:p>
    <w:p w14:paraId="7F7C2EAD">
      <w:pPr>
        <w:adjustRightInd/>
        <w:spacing w:line="411" w:lineRule="exact"/>
        <w:ind w:right="6"/>
        <w:jc w:val="center"/>
        <w:textAlignment w:val="auto"/>
        <w:rPr>
          <w:rFonts w:ascii="Times New Roman" w:hAnsi="Times New Roman" w:eastAsia="宋体" w:cs="Times New Roman"/>
          <w:b/>
          <w:color w:val="auto"/>
          <w:kern w:val="2"/>
          <w:sz w:val="30"/>
          <w:szCs w:val="30"/>
          <w:highlight w:val="none"/>
        </w:rPr>
      </w:pPr>
    </w:p>
    <w:p w14:paraId="726DF46A">
      <w:pPr>
        <w:adjustRightInd/>
        <w:spacing w:line="411" w:lineRule="exact"/>
        <w:ind w:right="6"/>
        <w:jc w:val="center"/>
        <w:textAlignment w:val="auto"/>
        <w:rPr>
          <w:rFonts w:ascii="Times New Roman" w:hAnsi="Times New Roman" w:eastAsia="宋体" w:cs="Times New Roman"/>
          <w:b/>
          <w:color w:val="auto"/>
          <w:kern w:val="2"/>
          <w:sz w:val="30"/>
          <w:szCs w:val="30"/>
          <w:highlight w:val="none"/>
        </w:rPr>
      </w:pPr>
      <w:r>
        <w:rPr>
          <w:rFonts w:ascii="Times New Roman" w:hAnsi="Times New Roman" w:eastAsia="宋体" w:cs="Times New Roman"/>
          <w:b/>
          <w:color w:val="auto"/>
          <w:kern w:val="2"/>
          <w:sz w:val="30"/>
          <w:szCs w:val="30"/>
          <w:highlight w:val="none"/>
        </w:rPr>
        <w:t>中小企业声明函</w:t>
      </w:r>
    </w:p>
    <w:p w14:paraId="35E17063">
      <w:pPr>
        <w:adjustRightInd/>
        <w:spacing w:line="200" w:lineRule="exact"/>
        <w:textAlignment w:val="auto"/>
        <w:rPr>
          <w:rFonts w:ascii="Times New Roman" w:hAnsi="Times New Roman" w:eastAsia="Times New Roman" w:cs="Times New Roman"/>
          <w:color w:val="auto"/>
          <w:kern w:val="2"/>
          <w:sz w:val="21"/>
          <w:szCs w:val="20"/>
          <w:highlight w:val="none"/>
        </w:rPr>
      </w:pPr>
    </w:p>
    <w:p w14:paraId="03ED449B">
      <w:pPr>
        <w:adjustRightInd/>
        <w:spacing w:line="318" w:lineRule="exact"/>
        <w:textAlignment w:val="auto"/>
        <w:rPr>
          <w:rFonts w:ascii="Times New Roman" w:hAnsi="Times New Roman" w:eastAsia="Times New Roman" w:cs="Times New Roman"/>
          <w:color w:val="auto"/>
          <w:kern w:val="2"/>
          <w:sz w:val="21"/>
          <w:szCs w:val="20"/>
          <w:highlight w:val="none"/>
        </w:rPr>
      </w:pPr>
    </w:p>
    <w:p w14:paraId="749F035A">
      <w:pPr>
        <w:adjustRightInd/>
        <w:spacing w:line="492" w:lineRule="exact"/>
        <w:ind w:left="360" w:right="366" w:firstLine="641"/>
        <w:textAlignment w:val="auto"/>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本公司（联合体）郑重声明，根据《政府采购促进中小企业发展管理办法》（财库﹝2020﹞46号）的规定，本公司（联合体）参加</w:t>
      </w:r>
      <w:r>
        <w:rPr>
          <w:rFonts w:ascii="Times New Roman" w:hAnsi="Times New Roman" w:eastAsia="宋体" w:cs="Times New Roman"/>
          <w:color w:val="auto"/>
          <w:kern w:val="2"/>
          <w:sz w:val="21"/>
          <w:szCs w:val="21"/>
          <w:highlight w:val="none"/>
          <w:u w:val="single"/>
        </w:rPr>
        <w:t>（单位名称）</w:t>
      </w:r>
      <w:r>
        <w:rPr>
          <w:rFonts w:ascii="Times New Roman" w:hAnsi="Times New Roman" w:eastAsia="宋体" w:cs="Times New Roman"/>
          <w:color w:val="auto"/>
          <w:kern w:val="2"/>
          <w:sz w:val="21"/>
          <w:szCs w:val="21"/>
          <w:highlight w:val="none"/>
        </w:rPr>
        <w:t>的</w:t>
      </w:r>
      <w:r>
        <w:rPr>
          <w:rFonts w:ascii="Times New Roman" w:hAnsi="Times New Roman" w:eastAsia="宋体" w:cs="Times New Roman"/>
          <w:color w:val="auto"/>
          <w:kern w:val="2"/>
          <w:sz w:val="21"/>
          <w:szCs w:val="21"/>
          <w:highlight w:val="none"/>
          <w:u w:val="single"/>
        </w:rPr>
        <w:t>（项目名称）</w:t>
      </w:r>
      <w:r>
        <w:rPr>
          <w:rFonts w:ascii="Times New Roman" w:hAnsi="Times New Roman" w:eastAsia="宋体" w:cs="Times New Roman"/>
          <w:color w:val="auto"/>
          <w:kern w:val="2"/>
          <w:sz w:val="21"/>
          <w:szCs w:val="21"/>
          <w:highlight w:val="none"/>
        </w:rPr>
        <w:t>采购活动，服务全部由符合政策要求的中小企业承接）。相关企业（含联合体中的中小企业、签订分包意向协议的中小企业）的具体情况如下：</w:t>
      </w:r>
    </w:p>
    <w:p w14:paraId="0562AFC7">
      <w:pPr>
        <w:adjustRightInd/>
        <w:spacing w:line="492" w:lineRule="exact"/>
        <w:ind w:left="360" w:right="366" w:firstLine="641"/>
        <w:textAlignment w:val="auto"/>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1</w:t>
      </w:r>
      <w:r>
        <w:rPr>
          <w:rFonts w:hint="eastAsia" w:ascii="Times New Roman" w:hAnsi="Times New Roman" w:eastAsia="宋体" w:cs="Times New Roman"/>
          <w:color w:val="auto"/>
          <w:kern w:val="2"/>
          <w:sz w:val="21"/>
          <w:szCs w:val="21"/>
          <w:highlight w:val="none"/>
        </w:rPr>
        <w:t>、</w:t>
      </w:r>
      <w:r>
        <w:rPr>
          <w:rFonts w:ascii="Times New Roman" w:hAnsi="Times New Roman" w:eastAsia="宋体" w:cs="Times New Roman"/>
          <w:color w:val="auto"/>
          <w:kern w:val="2"/>
          <w:sz w:val="21"/>
          <w:szCs w:val="21"/>
          <w:highlight w:val="none"/>
          <w:u w:val="single"/>
        </w:rPr>
        <w:t>（</w:t>
      </w:r>
      <w:r>
        <w:rPr>
          <w:rFonts w:hint="eastAsia" w:ascii="Times New Roman" w:cs="Times New Roman"/>
          <w:color w:val="auto"/>
          <w:kern w:val="2"/>
          <w:sz w:val="21"/>
          <w:szCs w:val="21"/>
          <w:highlight w:val="none"/>
          <w:u w:val="single"/>
          <w:lang w:val="en-US" w:eastAsia="zh-CN"/>
        </w:rPr>
        <w:t>宁波市海曙区章水镇2024年度结余资金林相优化改造工程</w:t>
      </w:r>
      <w:r>
        <w:rPr>
          <w:rFonts w:hint="eastAsia" w:ascii="Times New Roman" w:hAnsi="Times New Roman" w:eastAsia="宋体" w:cs="Times New Roman"/>
          <w:color w:val="auto"/>
          <w:kern w:val="2"/>
          <w:sz w:val="21"/>
          <w:szCs w:val="21"/>
          <w:highlight w:val="none"/>
          <w:u w:val="single"/>
        </w:rPr>
        <w:t>）</w:t>
      </w:r>
      <w:r>
        <w:rPr>
          <w:rFonts w:ascii="Times New Roman" w:hAnsi="Times New Roman" w:eastAsia="宋体" w:cs="Times New Roman"/>
          <w:color w:val="auto"/>
          <w:kern w:val="2"/>
          <w:sz w:val="21"/>
          <w:szCs w:val="21"/>
          <w:highlight w:val="none"/>
        </w:rPr>
        <w:t>，属于</w:t>
      </w:r>
      <w:r>
        <w:rPr>
          <w:rFonts w:hint="eastAsia" w:ascii="Times New Roman" w:hAnsi="Times New Roman" w:eastAsia="宋体" w:cs="Times New Roman"/>
          <w:color w:val="auto"/>
          <w:kern w:val="2"/>
          <w:sz w:val="21"/>
          <w:szCs w:val="21"/>
          <w:highlight w:val="none"/>
          <w:u w:val="single"/>
        </w:rPr>
        <w:t xml:space="preserve">其他未列明行业 </w:t>
      </w:r>
      <w:r>
        <w:rPr>
          <w:rFonts w:ascii="Times New Roman" w:hAnsi="Times New Roman" w:eastAsia="宋体" w:cs="Times New Roman"/>
          <w:color w:val="auto"/>
          <w:kern w:val="2"/>
          <w:sz w:val="21"/>
          <w:szCs w:val="21"/>
          <w:highlight w:val="none"/>
        </w:rPr>
        <w:t>；承接企业为</w:t>
      </w:r>
      <w:r>
        <w:rPr>
          <w:rFonts w:ascii="Times New Roman" w:hAnsi="Times New Roman" w:eastAsia="宋体" w:cs="Times New Roman"/>
          <w:color w:val="auto"/>
          <w:kern w:val="2"/>
          <w:sz w:val="21"/>
          <w:szCs w:val="21"/>
          <w:highlight w:val="none"/>
          <w:u w:val="single"/>
        </w:rPr>
        <w:t>（企业名称）</w:t>
      </w:r>
      <w:r>
        <w:rPr>
          <w:rFonts w:ascii="Times New Roman" w:hAnsi="Times New Roman" w:eastAsia="宋体" w:cs="Times New Roman"/>
          <w:color w:val="auto"/>
          <w:kern w:val="2"/>
          <w:sz w:val="21"/>
          <w:szCs w:val="21"/>
          <w:highlight w:val="none"/>
        </w:rPr>
        <w:t>，从业人员</w:t>
      </w:r>
      <w:r>
        <w:rPr>
          <w:rFonts w:ascii="Times New Roman" w:hAnsi="Times New Roman" w:eastAsia="宋体" w:cs="Times New Roman"/>
          <w:color w:val="auto"/>
          <w:kern w:val="2"/>
          <w:sz w:val="21"/>
          <w:szCs w:val="21"/>
          <w:highlight w:val="none"/>
          <w:u w:val="single"/>
        </w:rPr>
        <w:t xml:space="preserve">  </w:t>
      </w:r>
      <w:r>
        <w:rPr>
          <w:rFonts w:ascii="Times New Roman" w:hAnsi="Times New Roman" w:eastAsia="宋体" w:cs="Times New Roman"/>
          <w:color w:val="auto"/>
          <w:kern w:val="2"/>
          <w:sz w:val="21"/>
          <w:szCs w:val="21"/>
          <w:highlight w:val="none"/>
        </w:rPr>
        <w:t>人，营业 收入为</w:t>
      </w:r>
      <w:r>
        <w:rPr>
          <w:rFonts w:ascii="Times New Roman" w:hAnsi="Times New Roman" w:eastAsia="宋体" w:cs="Times New Roman"/>
          <w:color w:val="auto"/>
          <w:kern w:val="2"/>
          <w:sz w:val="21"/>
          <w:szCs w:val="21"/>
          <w:highlight w:val="none"/>
          <w:u w:val="single"/>
        </w:rPr>
        <w:t xml:space="preserve">  </w:t>
      </w:r>
      <w:r>
        <w:rPr>
          <w:rFonts w:ascii="Times New Roman" w:hAnsi="Times New Roman" w:eastAsia="宋体" w:cs="Times New Roman"/>
          <w:color w:val="auto"/>
          <w:kern w:val="2"/>
          <w:sz w:val="21"/>
          <w:szCs w:val="21"/>
          <w:highlight w:val="none"/>
        </w:rPr>
        <w:t>万元，资产总额为</w:t>
      </w:r>
      <w:r>
        <w:rPr>
          <w:rFonts w:ascii="Times New Roman" w:hAnsi="Times New Roman" w:eastAsia="宋体" w:cs="Times New Roman"/>
          <w:color w:val="auto"/>
          <w:kern w:val="2"/>
          <w:sz w:val="21"/>
          <w:szCs w:val="21"/>
          <w:highlight w:val="none"/>
          <w:u w:val="single"/>
        </w:rPr>
        <w:t xml:space="preserve">   </w:t>
      </w:r>
      <w:r>
        <w:rPr>
          <w:rFonts w:ascii="Times New Roman" w:hAnsi="Times New Roman" w:eastAsia="宋体" w:cs="Times New Roman"/>
          <w:color w:val="auto"/>
          <w:kern w:val="2"/>
          <w:sz w:val="21"/>
          <w:szCs w:val="21"/>
          <w:highlight w:val="none"/>
        </w:rPr>
        <w:t xml:space="preserve">万元，属于 </w:t>
      </w:r>
      <w:r>
        <w:rPr>
          <w:rFonts w:ascii="Times New Roman" w:hAnsi="Times New Roman" w:eastAsia="宋体" w:cs="Times New Roman"/>
          <w:color w:val="auto"/>
          <w:kern w:val="2"/>
          <w:sz w:val="21"/>
          <w:szCs w:val="21"/>
          <w:highlight w:val="none"/>
          <w:u w:val="single"/>
        </w:rPr>
        <w:t>（中型企业、小型企业、微型企业）</w:t>
      </w:r>
      <w:r>
        <w:rPr>
          <w:rFonts w:ascii="Times New Roman" w:hAnsi="Times New Roman" w:eastAsia="宋体" w:cs="Times New Roman"/>
          <w:color w:val="auto"/>
          <w:kern w:val="2"/>
          <w:sz w:val="21"/>
          <w:szCs w:val="21"/>
          <w:highlight w:val="none"/>
        </w:rPr>
        <w:t xml:space="preserve">； </w:t>
      </w:r>
    </w:p>
    <w:p w14:paraId="4F83CB57">
      <w:pPr>
        <w:adjustRightInd/>
        <w:spacing w:line="492" w:lineRule="exact"/>
        <w:ind w:left="360" w:right="366" w:firstLine="641"/>
        <w:textAlignment w:val="auto"/>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w:t>
      </w:r>
    </w:p>
    <w:p w14:paraId="31951F9A">
      <w:pPr>
        <w:adjustRightInd/>
        <w:spacing w:line="455" w:lineRule="exact"/>
        <w:ind w:left="360" w:right="366" w:firstLine="646"/>
        <w:textAlignment w:val="auto"/>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以上企业，不属于大企业的分支机构，不存在控股股东为大企业的情形，也不存在与大企业的负责人为同一人的情形。</w:t>
      </w:r>
    </w:p>
    <w:p w14:paraId="56C05192">
      <w:pPr>
        <w:adjustRightInd/>
        <w:spacing w:line="196" w:lineRule="exact"/>
        <w:textAlignment w:val="auto"/>
        <w:rPr>
          <w:rFonts w:ascii="Times New Roman" w:hAnsi="Times New Roman" w:eastAsia="宋体" w:cs="Times New Roman"/>
          <w:color w:val="auto"/>
          <w:kern w:val="2"/>
          <w:sz w:val="21"/>
          <w:szCs w:val="21"/>
          <w:highlight w:val="none"/>
        </w:rPr>
      </w:pPr>
    </w:p>
    <w:p w14:paraId="37BC05C9">
      <w:pPr>
        <w:adjustRightInd/>
        <w:spacing w:line="423" w:lineRule="exact"/>
        <w:ind w:left="360" w:right="366" w:firstLine="641"/>
        <w:textAlignment w:val="auto"/>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本企业对上述声明内容的真实性负责。如有虚假，将依法承担相应责任。</w:t>
      </w:r>
    </w:p>
    <w:p w14:paraId="6F54A24C">
      <w:pPr>
        <w:adjustRightInd/>
        <w:spacing w:line="188" w:lineRule="exact"/>
        <w:textAlignment w:val="auto"/>
        <w:rPr>
          <w:rFonts w:ascii="Times New Roman" w:hAnsi="Times New Roman" w:eastAsia="宋体" w:cs="Times New Roman"/>
          <w:color w:val="auto"/>
          <w:kern w:val="2"/>
          <w:sz w:val="21"/>
          <w:szCs w:val="21"/>
          <w:highlight w:val="none"/>
        </w:rPr>
      </w:pPr>
    </w:p>
    <w:p w14:paraId="7E8C91AB">
      <w:pPr>
        <w:adjustRightInd/>
        <w:spacing w:line="366" w:lineRule="exact"/>
        <w:ind w:left="4200" w:firstLine="210" w:firstLineChars="100"/>
        <w:textAlignment w:val="auto"/>
        <w:rPr>
          <w:rFonts w:ascii="Times New Roman" w:hAnsi="Times New Roman" w:eastAsia="宋体" w:cs="Times New Roman"/>
          <w:color w:val="auto"/>
          <w:kern w:val="2"/>
          <w:sz w:val="21"/>
          <w:szCs w:val="21"/>
          <w:highlight w:val="none"/>
        </w:rPr>
      </w:pPr>
    </w:p>
    <w:p w14:paraId="58214ACE">
      <w:pPr>
        <w:adjustRightInd/>
        <w:spacing w:line="366" w:lineRule="exact"/>
        <w:ind w:left="4200" w:firstLine="210" w:firstLineChars="100"/>
        <w:textAlignment w:val="auto"/>
        <w:rPr>
          <w:rFonts w:ascii="Times New Roman" w:hAnsi="Times New Roman" w:eastAsia="宋体" w:cs="Times New Roman"/>
          <w:color w:val="auto"/>
          <w:kern w:val="2"/>
          <w:sz w:val="21"/>
          <w:szCs w:val="21"/>
          <w:highlight w:val="none"/>
        </w:rPr>
      </w:pPr>
    </w:p>
    <w:p w14:paraId="016BCE7F">
      <w:pPr>
        <w:adjustRightInd/>
        <w:spacing w:line="366" w:lineRule="exact"/>
        <w:ind w:left="4200" w:firstLine="210" w:firstLineChars="100"/>
        <w:textAlignment w:val="auto"/>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企业名称（盖章）：</w:t>
      </w:r>
    </w:p>
    <w:p w14:paraId="089D9AAE">
      <w:pPr>
        <w:adjustRightInd/>
        <w:spacing w:line="175" w:lineRule="exact"/>
        <w:textAlignment w:val="auto"/>
        <w:rPr>
          <w:rFonts w:ascii="Times New Roman" w:hAnsi="Times New Roman" w:eastAsia="宋体" w:cs="Times New Roman"/>
          <w:color w:val="auto"/>
          <w:kern w:val="2"/>
          <w:sz w:val="21"/>
          <w:szCs w:val="21"/>
          <w:highlight w:val="none"/>
        </w:rPr>
      </w:pPr>
    </w:p>
    <w:p w14:paraId="370DB536">
      <w:pPr>
        <w:adjustRightInd/>
        <w:spacing w:line="588" w:lineRule="exact"/>
        <w:ind w:firstLine="4410" w:firstLineChars="2100"/>
        <w:textAlignment w:val="auto"/>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日</w:t>
      </w:r>
      <w:r>
        <w:rPr>
          <w:rFonts w:hint="eastAsia" w:ascii="Times New Roman" w:hAnsi="Times New Roman" w:eastAsia="宋体" w:cs="Times New Roman"/>
          <w:color w:val="auto"/>
          <w:kern w:val="2"/>
          <w:sz w:val="21"/>
          <w:szCs w:val="21"/>
          <w:highlight w:val="none"/>
        </w:rPr>
        <w:t xml:space="preserve">  </w:t>
      </w:r>
      <w:r>
        <w:rPr>
          <w:rFonts w:ascii="Times New Roman" w:hAnsi="Times New Roman" w:eastAsia="宋体" w:cs="Times New Roman"/>
          <w:color w:val="auto"/>
          <w:kern w:val="2"/>
          <w:sz w:val="21"/>
          <w:szCs w:val="21"/>
          <w:highlight w:val="none"/>
        </w:rPr>
        <w:t>期：</w:t>
      </w:r>
    </w:p>
    <w:p w14:paraId="776609BF">
      <w:pPr>
        <w:widowControl w:val="0"/>
        <w:adjustRightInd/>
        <w:ind w:firstLine="560" w:firstLineChars="200"/>
        <w:jc w:val="both"/>
        <w:rPr>
          <w:rFonts w:ascii="Times New Roman" w:hAnsi="Times New Roman" w:eastAsia="仿宋_GB2312" w:cs="Times New Roman"/>
          <w:color w:val="auto"/>
          <w:kern w:val="2"/>
          <w:sz w:val="28"/>
          <w:szCs w:val="21"/>
          <w:highlight w:val="none"/>
          <w:lang w:val="en-US" w:eastAsia="zh-CN" w:bidi="ar-SA"/>
        </w:rPr>
      </w:pPr>
    </w:p>
    <w:p w14:paraId="4E7FC2FE">
      <w:pPr>
        <w:widowControl w:val="0"/>
        <w:adjustRightInd/>
        <w:ind w:firstLine="560" w:firstLineChars="200"/>
        <w:jc w:val="both"/>
        <w:rPr>
          <w:rFonts w:ascii="Times New Roman" w:hAnsi="Times New Roman" w:eastAsia="仿宋_GB2312" w:cs="Times New Roman"/>
          <w:color w:val="auto"/>
          <w:kern w:val="2"/>
          <w:sz w:val="28"/>
          <w:szCs w:val="21"/>
          <w:highlight w:val="none"/>
          <w:lang w:val="en-US" w:eastAsia="zh-CN" w:bidi="ar-SA"/>
        </w:rPr>
      </w:pPr>
    </w:p>
    <w:p w14:paraId="6BBCB60F">
      <w:pPr>
        <w:widowControl w:val="0"/>
        <w:adjustRightInd/>
        <w:ind w:firstLine="560" w:firstLineChars="200"/>
        <w:jc w:val="both"/>
        <w:rPr>
          <w:rFonts w:ascii="Times New Roman" w:hAnsi="Times New Roman" w:eastAsia="仿宋_GB2312" w:cs="Times New Roman"/>
          <w:color w:val="auto"/>
          <w:kern w:val="2"/>
          <w:sz w:val="28"/>
          <w:szCs w:val="21"/>
          <w:highlight w:val="none"/>
          <w:lang w:val="en-US" w:eastAsia="zh-CN" w:bidi="ar-SA"/>
        </w:rPr>
      </w:pPr>
    </w:p>
    <w:p w14:paraId="757E7000">
      <w:pPr>
        <w:widowControl w:val="0"/>
        <w:adjustRightInd/>
        <w:ind w:firstLine="560" w:firstLineChars="200"/>
        <w:jc w:val="both"/>
        <w:rPr>
          <w:rFonts w:ascii="Times New Roman" w:hAnsi="Times New Roman" w:eastAsia="仿宋_GB2312" w:cs="Times New Roman"/>
          <w:color w:val="auto"/>
          <w:kern w:val="2"/>
          <w:sz w:val="28"/>
          <w:szCs w:val="21"/>
          <w:highlight w:val="none"/>
          <w:lang w:val="en-US" w:eastAsia="zh-CN" w:bidi="ar-SA"/>
        </w:rPr>
      </w:pPr>
    </w:p>
    <w:p w14:paraId="7C4F0BDF">
      <w:pPr>
        <w:widowControl w:val="0"/>
        <w:adjustRightInd/>
        <w:jc w:val="both"/>
        <w:rPr>
          <w:rFonts w:ascii="Times New Roman" w:hAnsi="Times New Roman" w:eastAsia="仿宋_GB2312" w:cs="Times New Roman"/>
          <w:color w:val="auto"/>
          <w:kern w:val="2"/>
          <w:sz w:val="28"/>
          <w:szCs w:val="21"/>
          <w:highlight w:val="none"/>
          <w:lang w:val="en-US" w:eastAsia="zh-CN" w:bidi="ar-SA"/>
        </w:rPr>
      </w:pPr>
    </w:p>
    <w:p w14:paraId="729A1EE4">
      <w:pPr>
        <w:adjustRightInd/>
        <w:snapToGrid w:val="0"/>
        <w:spacing w:line="360" w:lineRule="auto"/>
        <w:jc w:val="left"/>
        <w:textAlignment w:val="auto"/>
        <w:rPr>
          <w:rFonts w:ascii="Times New Roman" w:hAnsi="Times New Roman" w:eastAsia="宋体" w:cs="Times New Roman"/>
          <w:color w:val="auto"/>
          <w:spacing w:val="6"/>
          <w:kern w:val="2"/>
          <w:sz w:val="21"/>
          <w:szCs w:val="21"/>
          <w:highlight w:val="none"/>
        </w:rPr>
      </w:pPr>
      <w:r>
        <w:rPr>
          <w:rFonts w:ascii="Times New Roman" w:hAnsi="Times New Roman" w:eastAsia="宋体" w:cs="Times New Roman"/>
          <w:color w:val="auto"/>
          <w:spacing w:val="6"/>
          <w:kern w:val="2"/>
          <w:sz w:val="21"/>
          <w:szCs w:val="21"/>
          <w:highlight w:val="none"/>
        </w:rPr>
        <w:t xml:space="preserve"> 说明：</w:t>
      </w:r>
    </w:p>
    <w:p w14:paraId="5260662F">
      <w:pPr>
        <w:adjustRightInd/>
        <w:snapToGrid w:val="0"/>
        <w:spacing w:line="360" w:lineRule="auto"/>
        <w:jc w:val="left"/>
        <w:textAlignment w:val="auto"/>
        <w:rPr>
          <w:rFonts w:ascii="Times New Roman" w:hAnsi="Times New Roman" w:eastAsia="宋体" w:cs="Times New Roman"/>
          <w:color w:val="auto"/>
          <w:spacing w:val="6"/>
          <w:kern w:val="2"/>
          <w:sz w:val="21"/>
          <w:szCs w:val="21"/>
          <w:highlight w:val="none"/>
        </w:rPr>
      </w:pPr>
      <w:r>
        <w:rPr>
          <w:rFonts w:ascii="Times New Roman" w:hAnsi="Times New Roman" w:eastAsia="宋体" w:cs="Times New Roman"/>
          <w:color w:val="auto"/>
          <w:spacing w:val="6"/>
          <w:kern w:val="2"/>
          <w:sz w:val="21"/>
          <w:szCs w:val="21"/>
          <w:highlight w:val="none"/>
        </w:rPr>
        <w:t>1从业人员、营业收入、资产总额填报上一年度数据，无上一年度数据的新成立企业可不填报。</w:t>
      </w:r>
    </w:p>
    <w:p w14:paraId="20EFB7A9">
      <w:pPr>
        <w:adjustRightInd/>
        <w:snapToGrid w:val="0"/>
        <w:spacing w:line="360" w:lineRule="auto"/>
        <w:jc w:val="left"/>
        <w:textAlignment w:val="auto"/>
        <w:rPr>
          <w:rFonts w:ascii="Times New Roman" w:hAnsi="Times New Roman" w:eastAsia="宋体" w:cs="Times New Roman"/>
          <w:color w:val="auto"/>
          <w:spacing w:val="6"/>
          <w:kern w:val="2"/>
          <w:sz w:val="21"/>
          <w:szCs w:val="21"/>
          <w:highlight w:val="none"/>
        </w:rPr>
      </w:pPr>
      <w:r>
        <w:rPr>
          <w:rFonts w:ascii="Times New Roman" w:hAnsi="Times New Roman" w:eastAsia="宋体" w:cs="Times New Roman"/>
          <w:color w:val="auto"/>
          <w:spacing w:val="6"/>
          <w:kern w:val="2"/>
          <w:sz w:val="21"/>
          <w:szCs w:val="21"/>
          <w:highlight w:val="none"/>
        </w:rPr>
        <w:t>2、</w:t>
      </w:r>
      <w:r>
        <w:rPr>
          <w:rFonts w:hint="eastAsia" w:ascii="Times New Roman" w:eastAsia="宋体" w:cs="Times New Roman"/>
          <w:color w:val="auto"/>
          <w:spacing w:val="6"/>
          <w:kern w:val="2"/>
          <w:sz w:val="21"/>
          <w:szCs w:val="21"/>
          <w:highlight w:val="none"/>
          <w:lang w:eastAsia="zh-CN"/>
        </w:rPr>
        <w:t>供应商</w:t>
      </w:r>
      <w:r>
        <w:rPr>
          <w:rFonts w:ascii="Times New Roman" w:hAnsi="Times New Roman" w:eastAsia="宋体" w:cs="Times New Roman"/>
          <w:color w:val="auto"/>
          <w:spacing w:val="6"/>
          <w:kern w:val="2"/>
          <w:sz w:val="21"/>
          <w:szCs w:val="21"/>
          <w:highlight w:val="none"/>
        </w:rPr>
        <w:t>根据采购文件规定的采购标的对应的中小企业划分标准所属行业，对照中小微行业划型标准规定（根据工信部联企业〔2011〕300号制定）如实填写。</w:t>
      </w:r>
    </w:p>
    <w:p w14:paraId="5599CDA3">
      <w:pPr>
        <w:snapToGrid w:val="0"/>
        <w:spacing w:line="360" w:lineRule="auto"/>
        <w:jc w:val="left"/>
        <w:rPr>
          <w:color w:val="auto"/>
          <w:spacing w:val="6"/>
          <w:szCs w:val="21"/>
          <w:highlight w:val="none"/>
        </w:rPr>
        <w:sectPr>
          <w:headerReference r:id="rId15" w:type="default"/>
          <w:footerReference r:id="rId16" w:type="default"/>
          <w:pgSz w:w="11907" w:h="16840"/>
          <w:pgMar w:top="1276" w:right="1474" w:bottom="1242" w:left="1474" w:header="720" w:footer="720" w:gutter="0"/>
          <w:pgBorders>
            <w:top w:val="none" w:sz="0" w:space="0"/>
            <w:left w:val="none" w:sz="0" w:space="0"/>
            <w:bottom w:val="none" w:sz="0" w:space="0"/>
            <w:right w:val="none" w:sz="0" w:space="0"/>
          </w:pgBorders>
          <w:cols w:space="720" w:num="1"/>
          <w:docGrid w:linePitch="285" w:charSpace="0"/>
        </w:sectPr>
      </w:pPr>
      <w:r>
        <w:rPr>
          <w:rFonts w:ascii="Times New Roman" w:hAnsi="Times New Roman" w:eastAsia="宋体" w:cs="Times New Roman"/>
          <w:color w:val="auto"/>
          <w:spacing w:val="6"/>
          <w:kern w:val="2"/>
          <w:sz w:val="21"/>
          <w:szCs w:val="21"/>
          <w:highlight w:val="none"/>
        </w:rPr>
        <w:t>3、</w:t>
      </w:r>
      <w:r>
        <w:rPr>
          <w:rFonts w:hint="eastAsia" w:ascii="Times New Roman" w:eastAsia="宋体" w:cs="Times New Roman"/>
          <w:color w:val="auto"/>
          <w:spacing w:val="6"/>
          <w:kern w:val="2"/>
          <w:sz w:val="21"/>
          <w:szCs w:val="21"/>
          <w:highlight w:val="none"/>
          <w:lang w:eastAsia="zh-CN"/>
        </w:rPr>
        <w:t>供应商</w:t>
      </w:r>
      <w:r>
        <w:rPr>
          <w:rFonts w:ascii="Times New Roman" w:hAnsi="Times New Roman" w:eastAsia="宋体" w:cs="Times New Roman"/>
          <w:color w:val="auto"/>
          <w:spacing w:val="6"/>
          <w:kern w:val="2"/>
          <w:sz w:val="21"/>
          <w:szCs w:val="21"/>
          <w:highlight w:val="none"/>
        </w:rPr>
        <w:t>提供的声明函与事实不符的，依据《政府采购法》第七十七条第一款的规定追究法律责任,如若中标本声明函随中标结果予以公示。</w:t>
      </w:r>
    </w:p>
    <w:tbl>
      <w:tblPr>
        <w:tblStyle w:val="23"/>
        <w:tblW w:w="15077" w:type="dxa"/>
        <w:jc w:val="center"/>
        <w:tblLayout w:type="fixed"/>
        <w:tblCellMar>
          <w:top w:w="0" w:type="dxa"/>
          <w:left w:w="108" w:type="dxa"/>
          <w:bottom w:w="0" w:type="dxa"/>
          <w:right w:w="108" w:type="dxa"/>
        </w:tblCellMar>
      </w:tblPr>
      <w:tblGrid>
        <w:gridCol w:w="2003"/>
        <w:gridCol w:w="1512"/>
        <w:gridCol w:w="1779"/>
        <w:gridCol w:w="1677"/>
        <w:gridCol w:w="1252"/>
        <w:gridCol w:w="1494"/>
        <w:gridCol w:w="1536"/>
        <w:gridCol w:w="1297"/>
        <w:gridCol w:w="1287"/>
        <w:gridCol w:w="1240"/>
      </w:tblGrid>
      <w:tr w14:paraId="2877514D">
        <w:tblPrEx>
          <w:tblCellMar>
            <w:top w:w="0" w:type="dxa"/>
            <w:left w:w="108" w:type="dxa"/>
            <w:bottom w:w="0" w:type="dxa"/>
            <w:right w:w="108" w:type="dxa"/>
          </w:tblCellMar>
        </w:tblPrEx>
        <w:trPr>
          <w:trHeight w:val="148" w:hRule="atLeast"/>
          <w:jc w:val="center"/>
        </w:trPr>
        <w:tc>
          <w:tcPr>
            <w:tcW w:w="15077" w:type="dxa"/>
            <w:gridSpan w:val="10"/>
            <w:tcBorders>
              <w:top w:val="nil"/>
              <w:left w:val="nil"/>
              <w:bottom w:val="nil"/>
              <w:right w:val="nil"/>
            </w:tcBorders>
            <w:noWrap w:val="0"/>
            <w:vAlign w:val="bottom"/>
          </w:tcPr>
          <w:p w14:paraId="14A81A99">
            <w:pPr>
              <w:widowControl/>
              <w:wordWrap w:val="0"/>
              <w:adjustRightInd/>
              <w:spacing w:line="240" w:lineRule="auto"/>
              <w:jc w:val="center"/>
              <w:textAlignment w:val="auto"/>
              <w:rPr>
                <w:rFonts w:ascii="宋体" w:hAnsi="宋体" w:eastAsia="宋体" w:cs="宋体"/>
                <w:b/>
                <w:bCs/>
                <w:color w:val="auto"/>
                <w:kern w:val="0"/>
                <w:sz w:val="32"/>
                <w:szCs w:val="32"/>
                <w:highlight w:val="none"/>
              </w:rPr>
            </w:pPr>
            <w:r>
              <w:rPr>
                <w:rFonts w:hint="eastAsia" w:ascii="宋体" w:hAnsi="宋体" w:eastAsia="宋体" w:cs="宋体"/>
                <w:b/>
                <w:bCs/>
                <w:color w:val="auto"/>
                <w:kern w:val="0"/>
                <w:sz w:val="24"/>
                <w:szCs w:val="20"/>
                <w:highlight w:val="none"/>
              </w:rPr>
              <w:t>中小微行业划型标准规定（根据工信部联企业〔</w:t>
            </w:r>
            <w:r>
              <w:rPr>
                <w:rFonts w:ascii="宋体" w:hAnsi="宋体" w:eastAsia="宋体" w:cs="宋体"/>
                <w:b/>
                <w:bCs/>
                <w:color w:val="auto"/>
                <w:kern w:val="0"/>
                <w:sz w:val="24"/>
                <w:szCs w:val="20"/>
                <w:highlight w:val="none"/>
              </w:rPr>
              <w:t>2011</w:t>
            </w:r>
            <w:r>
              <w:rPr>
                <w:rFonts w:hint="eastAsia" w:ascii="宋体" w:hAnsi="宋体" w:eastAsia="宋体" w:cs="宋体"/>
                <w:b/>
                <w:bCs/>
                <w:color w:val="auto"/>
                <w:kern w:val="0"/>
                <w:sz w:val="24"/>
                <w:szCs w:val="20"/>
                <w:highlight w:val="none"/>
              </w:rPr>
              <w:t>〕</w:t>
            </w:r>
            <w:r>
              <w:rPr>
                <w:rFonts w:ascii="宋体" w:hAnsi="宋体" w:eastAsia="宋体" w:cs="宋体"/>
                <w:b/>
                <w:bCs/>
                <w:color w:val="auto"/>
                <w:kern w:val="0"/>
                <w:sz w:val="24"/>
                <w:szCs w:val="20"/>
                <w:highlight w:val="none"/>
              </w:rPr>
              <w:t>300</w:t>
            </w:r>
            <w:r>
              <w:rPr>
                <w:rFonts w:hint="eastAsia" w:ascii="宋体" w:hAnsi="宋体" w:eastAsia="宋体" w:cs="宋体"/>
                <w:b/>
                <w:bCs/>
                <w:color w:val="auto"/>
                <w:kern w:val="0"/>
                <w:sz w:val="24"/>
                <w:szCs w:val="20"/>
                <w:highlight w:val="none"/>
              </w:rPr>
              <w:t>号制定）</w:t>
            </w:r>
          </w:p>
        </w:tc>
      </w:tr>
      <w:tr w14:paraId="7C91D943">
        <w:tblPrEx>
          <w:tblCellMar>
            <w:top w:w="0" w:type="dxa"/>
            <w:left w:w="108" w:type="dxa"/>
            <w:bottom w:w="0" w:type="dxa"/>
            <w:right w:w="108" w:type="dxa"/>
          </w:tblCellMar>
        </w:tblPrEx>
        <w:trPr>
          <w:trHeight w:val="389" w:hRule="atLeast"/>
          <w:jc w:val="center"/>
        </w:trPr>
        <w:tc>
          <w:tcPr>
            <w:tcW w:w="2003" w:type="dxa"/>
            <w:vMerge w:val="restart"/>
            <w:tcBorders>
              <w:top w:val="single" w:color="auto" w:sz="8" w:space="0"/>
              <w:left w:val="single" w:color="auto" w:sz="8" w:space="0"/>
              <w:bottom w:val="single" w:color="000000" w:sz="4" w:space="0"/>
              <w:right w:val="single" w:color="auto" w:sz="8" w:space="0"/>
            </w:tcBorders>
            <w:noWrap w:val="0"/>
            <w:vAlign w:val="center"/>
          </w:tcPr>
          <w:p w14:paraId="1AB08B9A">
            <w:pPr>
              <w:widowControl/>
              <w:wordWrap w:val="0"/>
              <w:adjustRightInd/>
              <w:spacing w:line="240" w:lineRule="auto"/>
              <w:jc w:val="center"/>
              <w:textAlignment w:val="auto"/>
              <w:rPr>
                <w:rFonts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rPr>
              <w:t>行业</w:t>
            </w:r>
          </w:p>
        </w:tc>
        <w:tc>
          <w:tcPr>
            <w:tcW w:w="4968" w:type="dxa"/>
            <w:gridSpan w:val="3"/>
            <w:tcBorders>
              <w:top w:val="single" w:color="auto" w:sz="8" w:space="0"/>
              <w:left w:val="nil"/>
              <w:bottom w:val="single" w:color="auto" w:sz="4" w:space="0"/>
              <w:right w:val="single" w:color="000000" w:sz="8" w:space="0"/>
            </w:tcBorders>
            <w:noWrap w:val="0"/>
            <w:vAlign w:val="bottom"/>
          </w:tcPr>
          <w:p w14:paraId="77E1EDE6">
            <w:pPr>
              <w:widowControl/>
              <w:wordWrap w:val="0"/>
              <w:adjustRightInd/>
              <w:spacing w:line="240" w:lineRule="auto"/>
              <w:jc w:val="center"/>
              <w:textAlignment w:val="auto"/>
              <w:rPr>
                <w:rFonts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rPr>
              <w:t>中型企业</w:t>
            </w:r>
          </w:p>
        </w:tc>
        <w:tc>
          <w:tcPr>
            <w:tcW w:w="4282" w:type="dxa"/>
            <w:gridSpan w:val="3"/>
            <w:tcBorders>
              <w:top w:val="single" w:color="auto" w:sz="8" w:space="0"/>
              <w:left w:val="nil"/>
              <w:bottom w:val="single" w:color="auto" w:sz="4" w:space="0"/>
              <w:right w:val="single" w:color="000000" w:sz="8" w:space="0"/>
            </w:tcBorders>
            <w:noWrap w:val="0"/>
            <w:vAlign w:val="bottom"/>
          </w:tcPr>
          <w:p w14:paraId="6E09F1C0">
            <w:pPr>
              <w:widowControl/>
              <w:wordWrap w:val="0"/>
              <w:adjustRightInd/>
              <w:spacing w:line="240" w:lineRule="auto"/>
              <w:jc w:val="center"/>
              <w:textAlignment w:val="auto"/>
              <w:rPr>
                <w:rFonts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rPr>
              <w:t>小型企业</w:t>
            </w:r>
          </w:p>
        </w:tc>
        <w:tc>
          <w:tcPr>
            <w:tcW w:w="3818" w:type="dxa"/>
            <w:gridSpan w:val="3"/>
            <w:tcBorders>
              <w:top w:val="single" w:color="auto" w:sz="8" w:space="0"/>
              <w:left w:val="nil"/>
              <w:bottom w:val="single" w:color="auto" w:sz="4" w:space="0"/>
              <w:right w:val="single" w:color="000000" w:sz="8" w:space="0"/>
            </w:tcBorders>
            <w:noWrap w:val="0"/>
            <w:vAlign w:val="bottom"/>
          </w:tcPr>
          <w:p w14:paraId="26DEDB64">
            <w:pPr>
              <w:widowControl/>
              <w:wordWrap w:val="0"/>
              <w:adjustRightInd/>
              <w:spacing w:line="240" w:lineRule="auto"/>
              <w:jc w:val="center"/>
              <w:textAlignment w:val="auto"/>
              <w:rPr>
                <w:rFonts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rPr>
              <w:t>微型企业</w:t>
            </w:r>
          </w:p>
        </w:tc>
      </w:tr>
      <w:tr w14:paraId="2F1024B9">
        <w:tblPrEx>
          <w:tblCellMar>
            <w:top w:w="0" w:type="dxa"/>
            <w:left w:w="108" w:type="dxa"/>
            <w:bottom w:w="0" w:type="dxa"/>
            <w:right w:w="108" w:type="dxa"/>
          </w:tblCellMar>
        </w:tblPrEx>
        <w:trPr>
          <w:trHeight w:val="518" w:hRule="atLeast"/>
          <w:jc w:val="center"/>
        </w:trPr>
        <w:tc>
          <w:tcPr>
            <w:tcW w:w="2003" w:type="dxa"/>
            <w:vMerge w:val="continue"/>
            <w:tcBorders>
              <w:top w:val="single" w:color="auto" w:sz="8" w:space="0"/>
              <w:left w:val="single" w:color="auto" w:sz="8" w:space="0"/>
              <w:bottom w:val="single" w:color="000000" w:sz="4" w:space="0"/>
              <w:right w:val="single" w:color="auto" w:sz="8" w:space="0"/>
            </w:tcBorders>
            <w:noWrap w:val="0"/>
            <w:vAlign w:val="center"/>
          </w:tcPr>
          <w:p w14:paraId="196EE661">
            <w:pPr>
              <w:widowControl/>
              <w:wordWrap w:val="0"/>
              <w:adjustRightInd/>
              <w:spacing w:line="240" w:lineRule="auto"/>
              <w:jc w:val="left"/>
              <w:textAlignment w:val="auto"/>
              <w:rPr>
                <w:rFonts w:ascii="宋体" w:hAnsi="宋体" w:eastAsia="宋体" w:cs="宋体"/>
                <w:b/>
                <w:bCs/>
                <w:color w:val="auto"/>
                <w:kern w:val="0"/>
                <w:sz w:val="24"/>
                <w:szCs w:val="20"/>
                <w:highlight w:val="none"/>
              </w:rPr>
            </w:pPr>
          </w:p>
        </w:tc>
        <w:tc>
          <w:tcPr>
            <w:tcW w:w="1512" w:type="dxa"/>
            <w:tcBorders>
              <w:top w:val="nil"/>
              <w:left w:val="nil"/>
              <w:bottom w:val="single" w:color="auto" w:sz="4" w:space="0"/>
              <w:right w:val="single" w:color="auto" w:sz="4" w:space="0"/>
            </w:tcBorders>
            <w:noWrap w:val="0"/>
            <w:vAlign w:val="bottom"/>
          </w:tcPr>
          <w:p w14:paraId="1792AD59">
            <w:pPr>
              <w:widowControl/>
              <w:wordWrap w:val="0"/>
              <w:adjustRightInd/>
              <w:spacing w:line="240" w:lineRule="auto"/>
              <w:jc w:val="center"/>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从业人员</w:t>
            </w:r>
            <w:r>
              <w:rPr>
                <w:rFonts w:ascii="宋体" w:hAnsi="宋体" w:eastAsia="宋体" w:cs="宋体"/>
                <w:color w:val="auto"/>
                <w:kern w:val="0"/>
                <w:sz w:val="20"/>
                <w:szCs w:val="20"/>
                <w:highlight w:val="none"/>
              </w:rPr>
              <w:t>X</w:t>
            </w:r>
            <w:r>
              <w:rPr>
                <w:rFonts w:hint="eastAsia" w:ascii="宋体" w:hAnsi="宋体" w:eastAsia="宋体" w:cs="宋体"/>
                <w:color w:val="auto"/>
                <w:kern w:val="0"/>
                <w:sz w:val="20"/>
                <w:szCs w:val="20"/>
                <w:highlight w:val="none"/>
              </w:rPr>
              <w:t>（人）</w:t>
            </w:r>
          </w:p>
        </w:tc>
        <w:tc>
          <w:tcPr>
            <w:tcW w:w="1779" w:type="dxa"/>
            <w:tcBorders>
              <w:top w:val="nil"/>
              <w:left w:val="nil"/>
              <w:bottom w:val="single" w:color="auto" w:sz="4" w:space="0"/>
              <w:right w:val="single" w:color="auto" w:sz="4" w:space="0"/>
            </w:tcBorders>
            <w:noWrap w:val="0"/>
            <w:vAlign w:val="bottom"/>
          </w:tcPr>
          <w:p w14:paraId="1FD939A5">
            <w:pPr>
              <w:widowControl/>
              <w:wordWrap w:val="0"/>
              <w:adjustRightInd/>
              <w:spacing w:line="240" w:lineRule="auto"/>
              <w:jc w:val="center"/>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营业收入</w:t>
            </w:r>
            <w:r>
              <w:rPr>
                <w:rFonts w:ascii="宋体" w:hAnsi="宋体" w:eastAsia="宋体" w:cs="宋体"/>
                <w:color w:val="auto"/>
                <w:kern w:val="0"/>
                <w:sz w:val="20"/>
                <w:szCs w:val="20"/>
                <w:highlight w:val="none"/>
              </w:rPr>
              <w:t>Y</w:t>
            </w:r>
          </w:p>
          <w:p w14:paraId="4DD5D5F4">
            <w:pPr>
              <w:widowControl/>
              <w:wordWrap w:val="0"/>
              <w:adjustRightInd/>
              <w:spacing w:line="240" w:lineRule="auto"/>
              <w:jc w:val="center"/>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（万元）</w:t>
            </w:r>
          </w:p>
        </w:tc>
        <w:tc>
          <w:tcPr>
            <w:tcW w:w="1677" w:type="dxa"/>
            <w:tcBorders>
              <w:top w:val="nil"/>
              <w:left w:val="nil"/>
              <w:bottom w:val="single" w:color="auto" w:sz="4" w:space="0"/>
              <w:right w:val="single" w:color="auto" w:sz="8" w:space="0"/>
            </w:tcBorders>
            <w:noWrap w:val="0"/>
            <w:vAlign w:val="bottom"/>
          </w:tcPr>
          <w:p w14:paraId="341C2888">
            <w:pPr>
              <w:widowControl/>
              <w:wordWrap w:val="0"/>
              <w:adjustRightInd/>
              <w:spacing w:line="240" w:lineRule="auto"/>
              <w:jc w:val="center"/>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资产总额</w:t>
            </w:r>
            <w:r>
              <w:rPr>
                <w:rFonts w:ascii="宋体" w:hAnsi="宋体" w:eastAsia="宋体" w:cs="宋体"/>
                <w:color w:val="auto"/>
                <w:kern w:val="0"/>
                <w:sz w:val="20"/>
                <w:szCs w:val="20"/>
                <w:highlight w:val="none"/>
              </w:rPr>
              <w:t>Z</w:t>
            </w:r>
          </w:p>
          <w:p w14:paraId="61DE96B5">
            <w:pPr>
              <w:widowControl/>
              <w:wordWrap w:val="0"/>
              <w:adjustRightInd/>
              <w:spacing w:line="240" w:lineRule="auto"/>
              <w:jc w:val="center"/>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（万元）</w:t>
            </w:r>
          </w:p>
        </w:tc>
        <w:tc>
          <w:tcPr>
            <w:tcW w:w="1252" w:type="dxa"/>
            <w:tcBorders>
              <w:top w:val="nil"/>
              <w:left w:val="nil"/>
              <w:bottom w:val="single" w:color="auto" w:sz="4" w:space="0"/>
              <w:right w:val="single" w:color="auto" w:sz="4" w:space="0"/>
            </w:tcBorders>
            <w:noWrap w:val="0"/>
            <w:vAlign w:val="bottom"/>
          </w:tcPr>
          <w:p w14:paraId="489A1C24">
            <w:pPr>
              <w:widowControl/>
              <w:wordWrap w:val="0"/>
              <w:adjustRightInd/>
              <w:spacing w:line="240" w:lineRule="auto"/>
              <w:jc w:val="center"/>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从业人员</w:t>
            </w:r>
            <w:r>
              <w:rPr>
                <w:rFonts w:ascii="宋体" w:hAnsi="宋体" w:eastAsia="宋体" w:cs="宋体"/>
                <w:color w:val="auto"/>
                <w:kern w:val="0"/>
                <w:sz w:val="20"/>
                <w:szCs w:val="20"/>
                <w:highlight w:val="none"/>
              </w:rPr>
              <w:t>X</w:t>
            </w:r>
            <w:r>
              <w:rPr>
                <w:rFonts w:hint="eastAsia" w:ascii="宋体" w:hAnsi="宋体" w:eastAsia="宋体" w:cs="宋体"/>
                <w:color w:val="auto"/>
                <w:kern w:val="0"/>
                <w:sz w:val="20"/>
                <w:szCs w:val="20"/>
                <w:highlight w:val="none"/>
              </w:rPr>
              <w:t>（人）</w:t>
            </w:r>
          </w:p>
        </w:tc>
        <w:tc>
          <w:tcPr>
            <w:tcW w:w="1494" w:type="dxa"/>
            <w:tcBorders>
              <w:top w:val="nil"/>
              <w:left w:val="nil"/>
              <w:bottom w:val="single" w:color="auto" w:sz="4" w:space="0"/>
              <w:right w:val="single" w:color="auto" w:sz="4" w:space="0"/>
            </w:tcBorders>
            <w:noWrap w:val="0"/>
            <w:vAlign w:val="bottom"/>
          </w:tcPr>
          <w:p w14:paraId="3C242E78">
            <w:pPr>
              <w:widowControl/>
              <w:wordWrap w:val="0"/>
              <w:adjustRightInd/>
              <w:spacing w:line="240" w:lineRule="auto"/>
              <w:jc w:val="center"/>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营业收入</w:t>
            </w:r>
            <w:r>
              <w:rPr>
                <w:rFonts w:ascii="宋体" w:hAnsi="宋体" w:eastAsia="宋体" w:cs="宋体"/>
                <w:color w:val="auto"/>
                <w:kern w:val="0"/>
                <w:sz w:val="20"/>
                <w:szCs w:val="20"/>
                <w:highlight w:val="none"/>
              </w:rPr>
              <w:t>Y</w:t>
            </w:r>
          </w:p>
          <w:p w14:paraId="6EAB51EF">
            <w:pPr>
              <w:widowControl/>
              <w:wordWrap w:val="0"/>
              <w:adjustRightInd/>
              <w:spacing w:line="240" w:lineRule="auto"/>
              <w:jc w:val="center"/>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（万元）</w:t>
            </w:r>
          </w:p>
        </w:tc>
        <w:tc>
          <w:tcPr>
            <w:tcW w:w="1536" w:type="dxa"/>
            <w:tcBorders>
              <w:top w:val="nil"/>
              <w:left w:val="nil"/>
              <w:bottom w:val="single" w:color="auto" w:sz="4" w:space="0"/>
              <w:right w:val="single" w:color="auto" w:sz="8" w:space="0"/>
            </w:tcBorders>
            <w:noWrap w:val="0"/>
            <w:vAlign w:val="bottom"/>
          </w:tcPr>
          <w:p w14:paraId="78F1AE4B">
            <w:pPr>
              <w:widowControl/>
              <w:wordWrap w:val="0"/>
              <w:adjustRightInd/>
              <w:spacing w:line="240" w:lineRule="auto"/>
              <w:jc w:val="center"/>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资产总额</w:t>
            </w:r>
            <w:r>
              <w:rPr>
                <w:rFonts w:ascii="宋体" w:hAnsi="宋体" w:eastAsia="宋体" w:cs="宋体"/>
                <w:color w:val="auto"/>
                <w:kern w:val="0"/>
                <w:sz w:val="20"/>
                <w:szCs w:val="20"/>
                <w:highlight w:val="none"/>
              </w:rPr>
              <w:t>Z</w:t>
            </w:r>
          </w:p>
          <w:p w14:paraId="78D4CAA3">
            <w:pPr>
              <w:widowControl/>
              <w:wordWrap w:val="0"/>
              <w:adjustRightInd/>
              <w:spacing w:line="240" w:lineRule="auto"/>
              <w:jc w:val="center"/>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（万元）</w:t>
            </w:r>
          </w:p>
        </w:tc>
        <w:tc>
          <w:tcPr>
            <w:tcW w:w="1297" w:type="dxa"/>
            <w:tcBorders>
              <w:top w:val="nil"/>
              <w:left w:val="nil"/>
              <w:bottom w:val="single" w:color="auto" w:sz="4" w:space="0"/>
              <w:right w:val="single" w:color="auto" w:sz="4" w:space="0"/>
            </w:tcBorders>
            <w:noWrap w:val="0"/>
            <w:vAlign w:val="bottom"/>
          </w:tcPr>
          <w:p w14:paraId="3EF010F3">
            <w:pPr>
              <w:widowControl/>
              <w:wordWrap w:val="0"/>
              <w:adjustRightInd/>
              <w:spacing w:line="240" w:lineRule="auto"/>
              <w:jc w:val="center"/>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从业人员</w:t>
            </w:r>
            <w:r>
              <w:rPr>
                <w:rFonts w:ascii="宋体" w:hAnsi="宋体" w:eastAsia="宋体" w:cs="宋体"/>
                <w:color w:val="auto"/>
                <w:kern w:val="0"/>
                <w:sz w:val="20"/>
                <w:szCs w:val="20"/>
                <w:highlight w:val="none"/>
              </w:rPr>
              <w:t>X</w:t>
            </w:r>
            <w:r>
              <w:rPr>
                <w:rFonts w:hint="eastAsia" w:ascii="宋体" w:hAnsi="宋体" w:eastAsia="宋体" w:cs="宋体"/>
                <w:color w:val="auto"/>
                <w:kern w:val="0"/>
                <w:sz w:val="20"/>
                <w:szCs w:val="20"/>
                <w:highlight w:val="none"/>
              </w:rPr>
              <w:t>（人）</w:t>
            </w:r>
          </w:p>
        </w:tc>
        <w:tc>
          <w:tcPr>
            <w:tcW w:w="1287" w:type="dxa"/>
            <w:tcBorders>
              <w:top w:val="nil"/>
              <w:left w:val="nil"/>
              <w:bottom w:val="single" w:color="auto" w:sz="4" w:space="0"/>
              <w:right w:val="single" w:color="auto" w:sz="4" w:space="0"/>
            </w:tcBorders>
            <w:noWrap w:val="0"/>
            <w:vAlign w:val="bottom"/>
          </w:tcPr>
          <w:p w14:paraId="1EEECF87">
            <w:pPr>
              <w:widowControl/>
              <w:wordWrap w:val="0"/>
              <w:adjustRightInd/>
              <w:spacing w:line="240" w:lineRule="auto"/>
              <w:jc w:val="center"/>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营业收入</w:t>
            </w:r>
            <w:r>
              <w:rPr>
                <w:rFonts w:ascii="宋体" w:hAnsi="宋体" w:eastAsia="宋体" w:cs="宋体"/>
                <w:color w:val="auto"/>
                <w:kern w:val="0"/>
                <w:sz w:val="20"/>
                <w:szCs w:val="20"/>
                <w:highlight w:val="none"/>
              </w:rPr>
              <w:t>Y</w:t>
            </w:r>
            <w:r>
              <w:rPr>
                <w:rFonts w:hint="eastAsia" w:ascii="宋体" w:hAnsi="宋体" w:eastAsia="宋体" w:cs="宋体"/>
                <w:color w:val="auto"/>
                <w:kern w:val="0"/>
                <w:sz w:val="20"/>
                <w:szCs w:val="20"/>
                <w:highlight w:val="none"/>
              </w:rPr>
              <w:t>（万元）</w:t>
            </w:r>
          </w:p>
        </w:tc>
        <w:tc>
          <w:tcPr>
            <w:tcW w:w="1234" w:type="dxa"/>
            <w:tcBorders>
              <w:top w:val="nil"/>
              <w:left w:val="nil"/>
              <w:bottom w:val="single" w:color="auto" w:sz="4" w:space="0"/>
              <w:right w:val="single" w:color="auto" w:sz="8" w:space="0"/>
            </w:tcBorders>
            <w:noWrap w:val="0"/>
            <w:vAlign w:val="bottom"/>
          </w:tcPr>
          <w:p w14:paraId="47111716">
            <w:pPr>
              <w:widowControl/>
              <w:wordWrap w:val="0"/>
              <w:adjustRightInd/>
              <w:spacing w:line="240" w:lineRule="auto"/>
              <w:jc w:val="center"/>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资产总额</w:t>
            </w:r>
            <w:r>
              <w:rPr>
                <w:rFonts w:ascii="宋体" w:hAnsi="宋体" w:eastAsia="宋体" w:cs="宋体"/>
                <w:color w:val="auto"/>
                <w:kern w:val="0"/>
                <w:sz w:val="20"/>
                <w:szCs w:val="20"/>
                <w:highlight w:val="none"/>
              </w:rPr>
              <w:t>Z</w:t>
            </w:r>
            <w:r>
              <w:rPr>
                <w:rFonts w:hint="eastAsia" w:ascii="宋体" w:hAnsi="宋体" w:eastAsia="宋体" w:cs="宋体"/>
                <w:color w:val="auto"/>
                <w:kern w:val="0"/>
                <w:sz w:val="20"/>
                <w:szCs w:val="20"/>
                <w:highlight w:val="none"/>
              </w:rPr>
              <w:t>（万元）</w:t>
            </w:r>
          </w:p>
        </w:tc>
      </w:tr>
      <w:tr w14:paraId="7E89FC8D">
        <w:tblPrEx>
          <w:tblCellMar>
            <w:top w:w="0" w:type="dxa"/>
            <w:left w:w="108" w:type="dxa"/>
            <w:bottom w:w="0" w:type="dxa"/>
            <w:right w:w="108" w:type="dxa"/>
          </w:tblCellMar>
        </w:tblPrEx>
        <w:trPr>
          <w:trHeight w:val="355" w:hRule="atLeast"/>
          <w:jc w:val="center"/>
        </w:trPr>
        <w:tc>
          <w:tcPr>
            <w:tcW w:w="2003" w:type="dxa"/>
            <w:tcBorders>
              <w:top w:val="nil"/>
              <w:left w:val="single" w:color="auto" w:sz="8" w:space="0"/>
              <w:bottom w:val="single" w:color="auto" w:sz="4" w:space="0"/>
              <w:right w:val="single" w:color="auto" w:sz="8" w:space="0"/>
            </w:tcBorders>
            <w:noWrap w:val="0"/>
            <w:vAlign w:val="bottom"/>
          </w:tcPr>
          <w:p w14:paraId="3996BA0A">
            <w:pPr>
              <w:widowControl/>
              <w:wordWrap w:val="0"/>
              <w:adjustRightInd/>
              <w:spacing w:line="240" w:lineRule="auto"/>
              <w:jc w:val="left"/>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 xml:space="preserve"> 1</w:t>
            </w:r>
            <w:r>
              <w:rPr>
                <w:rFonts w:hint="eastAsia" w:ascii="宋体" w:hAnsi="宋体" w:eastAsia="宋体" w:cs="宋体"/>
                <w:color w:val="auto"/>
                <w:kern w:val="0"/>
                <w:sz w:val="20"/>
                <w:szCs w:val="20"/>
                <w:highlight w:val="none"/>
              </w:rPr>
              <w:t>、农林牧渔业</w:t>
            </w:r>
          </w:p>
        </w:tc>
        <w:tc>
          <w:tcPr>
            <w:tcW w:w="1512" w:type="dxa"/>
            <w:tcBorders>
              <w:top w:val="nil"/>
              <w:left w:val="nil"/>
              <w:bottom w:val="single" w:color="auto" w:sz="4" w:space="0"/>
              <w:right w:val="single" w:color="auto" w:sz="4" w:space="0"/>
            </w:tcBorders>
            <w:noWrap w:val="0"/>
            <w:vAlign w:val="center"/>
          </w:tcPr>
          <w:p w14:paraId="3C226B16">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779" w:type="dxa"/>
            <w:tcBorders>
              <w:top w:val="nil"/>
              <w:left w:val="nil"/>
              <w:bottom w:val="single" w:color="auto" w:sz="4" w:space="0"/>
              <w:right w:val="single" w:color="auto" w:sz="4" w:space="0"/>
            </w:tcBorders>
            <w:noWrap w:val="0"/>
            <w:vAlign w:val="center"/>
          </w:tcPr>
          <w:p w14:paraId="1FC59ECB">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500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Y</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20000</w:t>
            </w:r>
          </w:p>
        </w:tc>
        <w:tc>
          <w:tcPr>
            <w:tcW w:w="1677" w:type="dxa"/>
            <w:tcBorders>
              <w:top w:val="nil"/>
              <w:left w:val="nil"/>
              <w:bottom w:val="single" w:color="auto" w:sz="4" w:space="0"/>
              <w:right w:val="single" w:color="auto" w:sz="8" w:space="0"/>
            </w:tcBorders>
            <w:noWrap w:val="0"/>
            <w:vAlign w:val="center"/>
          </w:tcPr>
          <w:p w14:paraId="76321DBA">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252" w:type="dxa"/>
            <w:tcBorders>
              <w:top w:val="nil"/>
              <w:left w:val="nil"/>
              <w:bottom w:val="single" w:color="auto" w:sz="4" w:space="0"/>
              <w:right w:val="single" w:color="auto" w:sz="4" w:space="0"/>
            </w:tcBorders>
            <w:noWrap w:val="0"/>
            <w:vAlign w:val="center"/>
          </w:tcPr>
          <w:p w14:paraId="7BD1B3BC">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494" w:type="dxa"/>
            <w:tcBorders>
              <w:top w:val="nil"/>
              <w:left w:val="nil"/>
              <w:bottom w:val="single" w:color="auto" w:sz="4" w:space="0"/>
              <w:right w:val="single" w:color="auto" w:sz="4" w:space="0"/>
            </w:tcBorders>
            <w:noWrap w:val="0"/>
            <w:vAlign w:val="center"/>
          </w:tcPr>
          <w:p w14:paraId="726167D9">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50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Y</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500</w:t>
            </w:r>
          </w:p>
        </w:tc>
        <w:tc>
          <w:tcPr>
            <w:tcW w:w="1536" w:type="dxa"/>
            <w:tcBorders>
              <w:top w:val="nil"/>
              <w:left w:val="nil"/>
              <w:bottom w:val="single" w:color="auto" w:sz="4" w:space="0"/>
              <w:right w:val="single" w:color="auto" w:sz="8" w:space="0"/>
            </w:tcBorders>
            <w:noWrap w:val="0"/>
            <w:vAlign w:val="center"/>
          </w:tcPr>
          <w:p w14:paraId="13A6A57B">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297" w:type="dxa"/>
            <w:tcBorders>
              <w:top w:val="nil"/>
              <w:left w:val="nil"/>
              <w:bottom w:val="single" w:color="auto" w:sz="4" w:space="0"/>
              <w:right w:val="single" w:color="auto" w:sz="4" w:space="0"/>
            </w:tcBorders>
            <w:noWrap w:val="0"/>
            <w:vAlign w:val="center"/>
          </w:tcPr>
          <w:p w14:paraId="3F765F2B">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287" w:type="dxa"/>
            <w:tcBorders>
              <w:top w:val="nil"/>
              <w:left w:val="nil"/>
              <w:bottom w:val="single" w:color="auto" w:sz="4" w:space="0"/>
              <w:right w:val="single" w:color="auto" w:sz="4" w:space="0"/>
            </w:tcBorders>
            <w:noWrap w:val="0"/>
            <w:vAlign w:val="center"/>
          </w:tcPr>
          <w:p w14:paraId="201C9729">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Y</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50</w:t>
            </w:r>
          </w:p>
        </w:tc>
        <w:tc>
          <w:tcPr>
            <w:tcW w:w="1234" w:type="dxa"/>
            <w:tcBorders>
              <w:top w:val="nil"/>
              <w:left w:val="nil"/>
              <w:bottom w:val="single" w:color="auto" w:sz="4" w:space="0"/>
              <w:right w:val="single" w:color="auto" w:sz="8" w:space="0"/>
            </w:tcBorders>
            <w:noWrap w:val="0"/>
            <w:vAlign w:val="center"/>
          </w:tcPr>
          <w:p w14:paraId="53E305BE">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14:paraId="7CA1B0EC">
        <w:tblPrEx>
          <w:tblCellMar>
            <w:top w:w="0" w:type="dxa"/>
            <w:left w:w="108" w:type="dxa"/>
            <w:bottom w:w="0" w:type="dxa"/>
            <w:right w:w="108" w:type="dxa"/>
          </w:tblCellMar>
        </w:tblPrEx>
        <w:trPr>
          <w:trHeight w:val="355" w:hRule="atLeast"/>
          <w:jc w:val="center"/>
        </w:trPr>
        <w:tc>
          <w:tcPr>
            <w:tcW w:w="2003" w:type="dxa"/>
            <w:tcBorders>
              <w:top w:val="nil"/>
              <w:left w:val="single" w:color="auto" w:sz="8" w:space="0"/>
              <w:bottom w:val="single" w:color="auto" w:sz="4" w:space="0"/>
              <w:right w:val="single" w:color="auto" w:sz="8" w:space="0"/>
            </w:tcBorders>
            <w:noWrap w:val="0"/>
            <w:vAlign w:val="bottom"/>
          </w:tcPr>
          <w:p w14:paraId="0B6B98E1">
            <w:pPr>
              <w:widowControl/>
              <w:wordWrap w:val="0"/>
              <w:adjustRightInd/>
              <w:spacing w:line="240" w:lineRule="auto"/>
              <w:jc w:val="left"/>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 xml:space="preserve"> 2</w:t>
            </w:r>
            <w:r>
              <w:rPr>
                <w:rFonts w:hint="eastAsia" w:ascii="宋体" w:hAnsi="宋体" w:eastAsia="宋体" w:cs="宋体"/>
                <w:color w:val="auto"/>
                <w:kern w:val="0"/>
                <w:sz w:val="20"/>
                <w:szCs w:val="20"/>
                <w:highlight w:val="none"/>
              </w:rPr>
              <w:t>、工业</w:t>
            </w:r>
          </w:p>
        </w:tc>
        <w:tc>
          <w:tcPr>
            <w:tcW w:w="1512" w:type="dxa"/>
            <w:tcBorders>
              <w:top w:val="nil"/>
              <w:left w:val="nil"/>
              <w:bottom w:val="single" w:color="auto" w:sz="4" w:space="0"/>
              <w:right w:val="single" w:color="auto" w:sz="4" w:space="0"/>
            </w:tcBorders>
            <w:noWrap w:val="0"/>
            <w:vAlign w:val="center"/>
          </w:tcPr>
          <w:p w14:paraId="39C11459">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300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X</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1000</w:t>
            </w:r>
          </w:p>
        </w:tc>
        <w:tc>
          <w:tcPr>
            <w:tcW w:w="1779" w:type="dxa"/>
            <w:tcBorders>
              <w:top w:val="nil"/>
              <w:left w:val="nil"/>
              <w:bottom w:val="single" w:color="auto" w:sz="4" w:space="0"/>
              <w:right w:val="single" w:color="auto" w:sz="4" w:space="0"/>
            </w:tcBorders>
            <w:noWrap w:val="0"/>
            <w:vAlign w:val="center"/>
          </w:tcPr>
          <w:p w14:paraId="79355220">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2000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Y</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40000</w:t>
            </w:r>
          </w:p>
        </w:tc>
        <w:tc>
          <w:tcPr>
            <w:tcW w:w="1677" w:type="dxa"/>
            <w:tcBorders>
              <w:top w:val="nil"/>
              <w:left w:val="nil"/>
              <w:bottom w:val="single" w:color="auto" w:sz="4" w:space="0"/>
              <w:right w:val="single" w:color="auto" w:sz="8" w:space="0"/>
            </w:tcBorders>
            <w:noWrap w:val="0"/>
            <w:vAlign w:val="center"/>
          </w:tcPr>
          <w:p w14:paraId="10C155B3">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252" w:type="dxa"/>
            <w:tcBorders>
              <w:top w:val="nil"/>
              <w:left w:val="nil"/>
              <w:bottom w:val="single" w:color="auto" w:sz="4" w:space="0"/>
              <w:right w:val="single" w:color="auto" w:sz="4" w:space="0"/>
            </w:tcBorders>
            <w:noWrap w:val="0"/>
            <w:vAlign w:val="center"/>
          </w:tcPr>
          <w:p w14:paraId="56AF12FD">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20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X</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300</w:t>
            </w:r>
          </w:p>
        </w:tc>
        <w:tc>
          <w:tcPr>
            <w:tcW w:w="1494" w:type="dxa"/>
            <w:tcBorders>
              <w:top w:val="nil"/>
              <w:left w:val="nil"/>
              <w:bottom w:val="single" w:color="auto" w:sz="4" w:space="0"/>
              <w:right w:val="single" w:color="auto" w:sz="4" w:space="0"/>
            </w:tcBorders>
            <w:noWrap w:val="0"/>
            <w:vAlign w:val="center"/>
          </w:tcPr>
          <w:p w14:paraId="2437A82B">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300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Y</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2000</w:t>
            </w:r>
          </w:p>
        </w:tc>
        <w:tc>
          <w:tcPr>
            <w:tcW w:w="1536" w:type="dxa"/>
            <w:tcBorders>
              <w:top w:val="nil"/>
              <w:left w:val="nil"/>
              <w:bottom w:val="single" w:color="auto" w:sz="4" w:space="0"/>
              <w:right w:val="single" w:color="auto" w:sz="8" w:space="0"/>
            </w:tcBorders>
            <w:noWrap w:val="0"/>
            <w:vAlign w:val="center"/>
          </w:tcPr>
          <w:p w14:paraId="058CBB64">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297" w:type="dxa"/>
            <w:tcBorders>
              <w:top w:val="nil"/>
              <w:left w:val="nil"/>
              <w:bottom w:val="single" w:color="auto" w:sz="4" w:space="0"/>
              <w:right w:val="single" w:color="auto" w:sz="4" w:space="0"/>
            </w:tcBorders>
            <w:noWrap w:val="0"/>
            <w:vAlign w:val="center"/>
          </w:tcPr>
          <w:p w14:paraId="1E026C03">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X</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20</w:t>
            </w:r>
          </w:p>
        </w:tc>
        <w:tc>
          <w:tcPr>
            <w:tcW w:w="1287" w:type="dxa"/>
            <w:tcBorders>
              <w:top w:val="nil"/>
              <w:left w:val="nil"/>
              <w:bottom w:val="single" w:color="auto" w:sz="4" w:space="0"/>
              <w:right w:val="single" w:color="auto" w:sz="4" w:space="0"/>
            </w:tcBorders>
            <w:noWrap w:val="0"/>
            <w:vAlign w:val="center"/>
          </w:tcPr>
          <w:p w14:paraId="4C85E397">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Y</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300</w:t>
            </w:r>
          </w:p>
        </w:tc>
        <w:tc>
          <w:tcPr>
            <w:tcW w:w="1234" w:type="dxa"/>
            <w:tcBorders>
              <w:top w:val="nil"/>
              <w:left w:val="nil"/>
              <w:bottom w:val="single" w:color="auto" w:sz="4" w:space="0"/>
              <w:right w:val="single" w:color="auto" w:sz="8" w:space="0"/>
            </w:tcBorders>
            <w:noWrap w:val="0"/>
            <w:vAlign w:val="center"/>
          </w:tcPr>
          <w:p w14:paraId="640CA801">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14:paraId="33BD3927">
        <w:tblPrEx>
          <w:tblCellMar>
            <w:top w:w="0" w:type="dxa"/>
            <w:left w:w="108" w:type="dxa"/>
            <w:bottom w:w="0" w:type="dxa"/>
            <w:right w:w="108" w:type="dxa"/>
          </w:tblCellMar>
        </w:tblPrEx>
        <w:trPr>
          <w:trHeight w:val="355" w:hRule="atLeast"/>
          <w:jc w:val="center"/>
        </w:trPr>
        <w:tc>
          <w:tcPr>
            <w:tcW w:w="2003" w:type="dxa"/>
            <w:tcBorders>
              <w:top w:val="nil"/>
              <w:left w:val="single" w:color="auto" w:sz="8" w:space="0"/>
              <w:bottom w:val="single" w:color="auto" w:sz="4" w:space="0"/>
              <w:right w:val="single" w:color="auto" w:sz="8" w:space="0"/>
            </w:tcBorders>
            <w:noWrap w:val="0"/>
            <w:vAlign w:val="bottom"/>
          </w:tcPr>
          <w:p w14:paraId="00310F27">
            <w:pPr>
              <w:widowControl/>
              <w:wordWrap w:val="0"/>
              <w:adjustRightInd/>
              <w:spacing w:line="240" w:lineRule="auto"/>
              <w:jc w:val="left"/>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 xml:space="preserve"> 3</w:t>
            </w:r>
            <w:r>
              <w:rPr>
                <w:rFonts w:hint="eastAsia" w:ascii="宋体" w:hAnsi="宋体" w:eastAsia="宋体" w:cs="宋体"/>
                <w:color w:val="auto"/>
                <w:kern w:val="0"/>
                <w:sz w:val="20"/>
                <w:szCs w:val="20"/>
                <w:highlight w:val="none"/>
              </w:rPr>
              <w:t>、建筑业</w:t>
            </w:r>
          </w:p>
        </w:tc>
        <w:tc>
          <w:tcPr>
            <w:tcW w:w="1512" w:type="dxa"/>
            <w:tcBorders>
              <w:top w:val="nil"/>
              <w:left w:val="nil"/>
              <w:bottom w:val="single" w:color="auto" w:sz="4" w:space="0"/>
              <w:right w:val="single" w:color="auto" w:sz="4" w:space="0"/>
            </w:tcBorders>
            <w:noWrap w:val="0"/>
            <w:vAlign w:val="center"/>
          </w:tcPr>
          <w:p w14:paraId="6D447506">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779" w:type="dxa"/>
            <w:tcBorders>
              <w:top w:val="nil"/>
              <w:left w:val="nil"/>
              <w:bottom w:val="single" w:color="auto" w:sz="4" w:space="0"/>
              <w:right w:val="single" w:color="auto" w:sz="4" w:space="0"/>
            </w:tcBorders>
            <w:noWrap w:val="0"/>
            <w:vAlign w:val="center"/>
          </w:tcPr>
          <w:p w14:paraId="247B295D">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6000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Y</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80000</w:t>
            </w:r>
          </w:p>
        </w:tc>
        <w:tc>
          <w:tcPr>
            <w:tcW w:w="1677" w:type="dxa"/>
            <w:tcBorders>
              <w:top w:val="nil"/>
              <w:left w:val="nil"/>
              <w:bottom w:val="single" w:color="auto" w:sz="4" w:space="0"/>
              <w:right w:val="single" w:color="auto" w:sz="8" w:space="0"/>
            </w:tcBorders>
            <w:noWrap w:val="0"/>
            <w:vAlign w:val="center"/>
          </w:tcPr>
          <w:p w14:paraId="68F8CF91">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5000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Z</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80000</w:t>
            </w:r>
          </w:p>
        </w:tc>
        <w:tc>
          <w:tcPr>
            <w:tcW w:w="1252" w:type="dxa"/>
            <w:tcBorders>
              <w:top w:val="nil"/>
              <w:left w:val="nil"/>
              <w:bottom w:val="single" w:color="auto" w:sz="4" w:space="0"/>
              <w:right w:val="single" w:color="auto" w:sz="4" w:space="0"/>
            </w:tcBorders>
            <w:noWrap w:val="0"/>
            <w:vAlign w:val="center"/>
          </w:tcPr>
          <w:p w14:paraId="5EC79AD8">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494" w:type="dxa"/>
            <w:tcBorders>
              <w:top w:val="nil"/>
              <w:left w:val="nil"/>
              <w:bottom w:val="single" w:color="auto" w:sz="4" w:space="0"/>
              <w:right w:val="single" w:color="auto" w:sz="4" w:space="0"/>
            </w:tcBorders>
            <w:noWrap w:val="0"/>
            <w:vAlign w:val="center"/>
          </w:tcPr>
          <w:p w14:paraId="6135AB09">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300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Y</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6000</w:t>
            </w:r>
          </w:p>
        </w:tc>
        <w:tc>
          <w:tcPr>
            <w:tcW w:w="1536" w:type="dxa"/>
            <w:tcBorders>
              <w:top w:val="nil"/>
              <w:left w:val="nil"/>
              <w:bottom w:val="single" w:color="auto" w:sz="4" w:space="0"/>
              <w:right w:val="single" w:color="auto" w:sz="8" w:space="0"/>
            </w:tcBorders>
            <w:noWrap w:val="0"/>
            <w:vAlign w:val="center"/>
          </w:tcPr>
          <w:p w14:paraId="19E1CA21">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300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Z</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5000</w:t>
            </w:r>
          </w:p>
        </w:tc>
        <w:tc>
          <w:tcPr>
            <w:tcW w:w="1297" w:type="dxa"/>
            <w:tcBorders>
              <w:top w:val="nil"/>
              <w:left w:val="nil"/>
              <w:bottom w:val="single" w:color="auto" w:sz="4" w:space="0"/>
              <w:right w:val="single" w:color="auto" w:sz="4" w:space="0"/>
            </w:tcBorders>
            <w:noWrap w:val="0"/>
            <w:vAlign w:val="center"/>
          </w:tcPr>
          <w:p w14:paraId="7F6A63CC">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287" w:type="dxa"/>
            <w:tcBorders>
              <w:top w:val="nil"/>
              <w:left w:val="nil"/>
              <w:bottom w:val="single" w:color="auto" w:sz="4" w:space="0"/>
              <w:right w:val="single" w:color="auto" w:sz="4" w:space="0"/>
            </w:tcBorders>
            <w:noWrap w:val="0"/>
            <w:vAlign w:val="center"/>
          </w:tcPr>
          <w:p w14:paraId="6A910A76">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Y</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300</w:t>
            </w:r>
          </w:p>
        </w:tc>
        <w:tc>
          <w:tcPr>
            <w:tcW w:w="1234" w:type="dxa"/>
            <w:tcBorders>
              <w:top w:val="nil"/>
              <w:left w:val="nil"/>
              <w:bottom w:val="single" w:color="auto" w:sz="4" w:space="0"/>
              <w:right w:val="single" w:color="auto" w:sz="8" w:space="0"/>
            </w:tcBorders>
            <w:noWrap w:val="0"/>
            <w:vAlign w:val="center"/>
          </w:tcPr>
          <w:p w14:paraId="298472C7">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Z</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300</w:t>
            </w:r>
          </w:p>
        </w:tc>
      </w:tr>
      <w:tr w14:paraId="2735D3EC">
        <w:tblPrEx>
          <w:tblCellMar>
            <w:top w:w="0" w:type="dxa"/>
            <w:left w:w="108" w:type="dxa"/>
            <w:bottom w:w="0" w:type="dxa"/>
            <w:right w:w="108" w:type="dxa"/>
          </w:tblCellMar>
        </w:tblPrEx>
        <w:trPr>
          <w:trHeight w:val="355" w:hRule="atLeast"/>
          <w:jc w:val="center"/>
        </w:trPr>
        <w:tc>
          <w:tcPr>
            <w:tcW w:w="2003" w:type="dxa"/>
            <w:tcBorders>
              <w:top w:val="nil"/>
              <w:left w:val="single" w:color="auto" w:sz="8" w:space="0"/>
              <w:bottom w:val="single" w:color="auto" w:sz="4" w:space="0"/>
              <w:right w:val="single" w:color="auto" w:sz="8" w:space="0"/>
            </w:tcBorders>
            <w:noWrap w:val="0"/>
            <w:vAlign w:val="bottom"/>
          </w:tcPr>
          <w:p w14:paraId="3D8E7D61">
            <w:pPr>
              <w:widowControl/>
              <w:wordWrap w:val="0"/>
              <w:adjustRightInd/>
              <w:spacing w:line="240" w:lineRule="auto"/>
              <w:jc w:val="left"/>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 xml:space="preserve"> 4</w:t>
            </w:r>
            <w:r>
              <w:rPr>
                <w:rFonts w:hint="eastAsia" w:ascii="宋体" w:hAnsi="宋体" w:eastAsia="宋体" w:cs="宋体"/>
                <w:color w:val="auto"/>
                <w:kern w:val="0"/>
                <w:sz w:val="20"/>
                <w:szCs w:val="20"/>
                <w:highlight w:val="none"/>
              </w:rPr>
              <w:t>、批发业</w:t>
            </w:r>
          </w:p>
        </w:tc>
        <w:tc>
          <w:tcPr>
            <w:tcW w:w="1512" w:type="dxa"/>
            <w:tcBorders>
              <w:top w:val="nil"/>
              <w:left w:val="nil"/>
              <w:bottom w:val="single" w:color="auto" w:sz="4" w:space="0"/>
              <w:right w:val="single" w:color="auto" w:sz="4" w:space="0"/>
            </w:tcBorders>
            <w:noWrap w:val="0"/>
            <w:vAlign w:val="center"/>
          </w:tcPr>
          <w:p w14:paraId="38033E30">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20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X</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200</w:t>
            </w:r>
          </w:p>
        </w:tc>
        <w:tc>
          <w:tcPr>
            <w:tcW w:w="1779" w:type="dxa"/>
            <w:tcBorders>
              <w:top w:val="nil"/>
              <w:left w:val="nil"/>
              <w:bottom w:val="single" w:color="auto" w:sz="4" w:space="0"/>
              <w:right w:val="single" w:color="auto" w:sz="4" w:space="0"/>
            </w:tcBorders>
            <w:noWrap w:val="0"/>
            <w:vAlign w:val="center"/>
          </w:tcPr>
          <w:p w14:paraId="38EDEA3B">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5000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Y</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40000</w:t>
            </w:r>
          </w:p>
        </w:tc>
        <w:tc>
          <w:tcPr>
            <w:tcW w:w="1677" w:type="dxa"/>
            <w:tcBorders>
              <w:top w:val="nil"/>
              <w:left w:val="nil"/>
              <w:bottom w:val="single" w:color="auto" w:sz="4" w:space="0"/>
              <w:right w:val="single" w:color="auto" w:sz="8" w:space="0"/>
            </w:tcBorders>
            <w:noWrap w:val="0"/>
            <w:vAlign w:val="center"/>
          </w:tcPr>
          <w:p w14:paraId="2DDE980B">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252" w:type="dxa"/>
            <w:tcBorders>
              <w:top w:val="nil"/>
              <w:left w:val="nil"/>
              <w:bottom w:val="single" w:color="auto" w:sz="4" w:space="0"/>
              <w:right w:val="single" w:color="auto" w:sz="4" w:space="0"/>
            </w:tcBorders>
            <w:noWrap w:val="0"/>
            <w:vAlign w:val="center"/>
          </w:tcPr>
          <w:p w14:paraId="6D55BF3E">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5</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X</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20</w:t>
            </w:r>
          </w:p>
        </w:tc>
        <w:tc>
          <w:tcPr>
            <w:tcW w:w="1494" w:type="dxa"/>
            <w:tcBorders>
              <w:top w:val="nil"/>
              <w:left w:val="nil"/>
              <w:bottom w:val="single" w:color="auto" w:sz="4" w:space="0"/>
              <w:right w:val="single" w:color="auto" w:sz="4" w:space="0"/>
            </w:tcBorders>
            <w:noWrap w:val="0"/>
            <w:vAlign w:val="center"/>
          </w:tcPr>
          <w:p w14:paraId="38484C6E">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1000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Y</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5000</w:t>
            </w:r>
          </w:p>
        </w:tc>
        <w:tc>
          <w:tcPr>
            <w:tcW w:w="1536" w:type="dxa"/>
            <w:tcBorders>
              <w:top w:val="nil"/>
              <w:left w:val="nil"/>
              <w:bottom w:val="single" w:color="auto" w:sz="4" w:space="0"/>
              <w:right w:val="single" w:color="auto" w:sz="8" w:space="0"/>
            </w:tcBorders>
            <w:noWrap w:val="0"/>
            <w:vAlign w:val="center"/>
          </w:tcPr>
          <w:p w14:paraId="7DF007B7">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297" w:type="dxa"/>
            <w:tcBorders>
              <w:top w:val="nil"/>
              <w:left w:val="nil"/>
              <w:bottom w:val="single" w:color="auto" w:sz="4" w:space="0"/>
              <w:right w:val="single" w:color="auto" w:sz="4" w:space="0"/>
            </w:tcBorders>
            <w:noWrap w:val="0"/>
            <w:vAlign w:val="center"/>
          </w:tcPr>
          <w:p w14:paraId="3B1F758A">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X</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5</w:t>
            </w:r>
          </w:p>
        </w:tc>
        <w:tc>
          <w:tcPr>
            <w:tcW w:w="1287" w:type="dxa"/>
            <w:tcBorders>
              <w:top w:val="nil"/>
              <w:left w:val="nil"/>
              <w:bottom w:val="single" w:color="auto" w:sz="4" w:space="0"/>
              <w:right w:val="single" w:color="auto" w:sz="4" w:space="0"/>
            </w:tcBorders>
            <w:noWrap w:val="0"/>
            <w:vAlign w:val="center"/>
          </w:tcPr>
          <w:p w14:paraId="68F0D9EC">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Y</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1000</w:t>
            </w:r>
          </w:p>
        </w:tc>
        <w:tc>
          <w:tcPr>
            <w:tcW w:w="1234" w:type="dxa"/>
            <w:tcBorders>
              <w:top w:val="nil"/>
              <w:left w:val="nil"/>
              <w:bottom w:val="single" w:color="auto" w:sz="4" w:space="0"/>
              <w:right w:val="single" w:color="auto" w:sz="8" w:space="0"/>
            </w:tcBorders>
            <w:noWrap w:val="0"/>
            <w:vAlign w:val="center"/>
          </w:tcPr>
          <w:p w14:paraId="2557CE3C">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14:paraId="06AE8F94">
        <w:tblPrEx>
          <w:tblCellMar>
            <w:top w:w="0" w:type="dxa"/>
            <w:left w:w="108" w:type="dxa"/>
            <w:bottom w:w="0" w:type="dxa"/>
            <w:right w:w="108" w:type="dxa"/>
          </w:tblCellMar>
        </w:tblPrEx>
        <w:trPr>
          <w:trHeight w:val="355" w:hRule="atLeast"/>
          <w:jc w:val="center"/>
        </w:trPr>
        <w:tc>
          <w:tcPr>
            <w:tcW w:w="2003" w:type="dxa"/>
            <w:tcBorders>
              <w:top w:val="nil"/>
              <w:left w:val="single" w:color="auto" w:sz="8" w:space="0"/>
              <w:bottom w:val="single" w:color="auto" w:sz="4" w:space="0"/>
              <w:right w:val="single" w:color="auto" w:sz="8" w:space="0"/>
            </w:tcBorders>
            <w:noWrap w:val="0"/>
            <w:vAlign w:val="bottom"/>
          </w:tcPr>
          <w:p w14:paraId="79EAC2C5">
            <w:pPr>
              <w:widowControl/>
              <w:wordWrap w:val="0"/>
              <w:adjustRightInd/>
              <w:spacing w:line="240" w:lineRule="auto"/>
              <w:jc w:val="left"/>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 xml:space="preserve"> 5</w:t>
            </w:r>
            <w:r>
              <w:rPr>
                <w:rFonts w:hint="eastAsia" w:ascii="宋体" w:hAnsi="宋体" w:eastAsia="宋体" w:cs="宋体"/>
                <w:color w:val="auto"/>
                <w:kern w:val="0"/>
                <w:sz w:val="20"/>
                <w:szCs w:val="20"/>
                <w:highlight w:val="none"/>
              </w:rPr>
              <w:t>、零售业</w:t>
            </w:r>
          </w:p>
        </w:tc>
        <w:tc>
          <w:tcPr>
            <w:tcW w:w="1512" w:type="dxa"/>
            <w:tcBorders>
              <w:top w:val="nil"/>
              <w:left w:val="nil"/>
              <w:bottom w:val="single" w:color="auto" w:sz="4" w:space="0"/>
              <w:right w:val="single" w:color="auto" w:sz="4" w:space="0"/>
            </w:tcBorders>
            <w:noWrap w:val="0"/>
            <w:vAlign w:val="center"/>
          </w:tcPr>
          <w:p w14:paraId="0E17A8D7">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50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X</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300</w:t>
            </w:r>
          </w:p>
        </w:tc>
        <w:tc>
          <w:tcPr>
            <w:tcW w:w="1779" w:type="dxa"/>
            <w:tcBorders>
              <w:top w:val="nil"/>
              <w:left w:val="nil"/>
              <w:bottom w:val="single" w:color="auto" w:sz="4" w:space="0"/>
              <w:right w:val="single" w:color="auto" w:sz="4" w:space="0"/>
            </w:tcBorders>
            <w:noWrap w:val="0"/>
            <w:vAlign w:val="center"/>
          </w:tcPr>
          <w:p w14:paraId="4A8623B6">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 xml:space="preserve"> 500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Y</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20000</w:t>
            </w:r>
          </w:p>
        </w:tc>
        <w:tc>
          <w:tcPr>
            <w:tcW w:w="1677" w:type="dxa"/>
            <w:tcBorders>
              <w:top w:val="nil"/>
              <w:left w:val="nil"/>
              <w:bottom w:val="single" w:color="auto" w:sz="4" w:space="0"/>
              <w:right w:val="single" w:color="auto" w:sz="8" w:space="0"/>
            </w:tcBorders>
            <w:noWrap w:val="0"/>
            <w:vAlign w:val="center"/>
          </w:tcPr>
          <w:p w14:paraId="067393D1">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252" w:type="dxa"/>
            <w:tcBorders>
              <w:top w:val="nil"/>
              <w:left w:val="nil"/>
              <w:bottom w:val="single" w:color="auto" w:sz="4" w:space="0"/>
              <w:right w:val="single" w:color="auto" w:sz="4" w:space="0"/>
            </w:tcBorders>
            <w:noWrap w:val="0"/>
            <w:vAlign w:val="center"/>
          </w:tcPr>
          <w:p w14:paraId="5C6E1022">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10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X</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50</w:t>
            </w:r>
          </w:p>
        </w:tc>
        <w:tc>
          <w:tcPr>
            <w:tcW w:w="1494" w:type="dxa"/>
            <w:tcBorders>
              <w:top w:val="nil"/>
              <w:left w:val="nil"/>
              <w:bottom w:val="single" w:color="auto" w:sz="4" w:space="0"/>
              <w:right w:val="single" w:color="auto" w:sz="4" w:space="0"/>
            </w:tcBorders>
            <w:noWrap w:val="0"/>
            <w:vAlign w:val="center"/>
          </w:tcPr>
          <w:p w14:paraId="16216979">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100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Y</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500</w:t>
            </w:r>
          </w:p>
        </w:tc>
        <w:tc>
          <w:tcPr>
            <w:tcW w:w="1536" w:type="dxa"/>
            <w:tcBorders>
              <w:top w:val="nil"/>
              <w:left w:val="nil"/>
              <w:bottom w:val="single" w:color="auto" w:sz="4" w:space="0"/>
              <w:right w:val="single" w:color="auto" w:sz="8" w:space="0"/>
            </w:tcBorders>
            <w:noWrap w:val="0"/>
            <w:vAlign w:val="center"/>
          </w:tcPr>
          <w:p w14:paraId="32491BD3">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297" w:type="dxa"/>
            <w:tcBorders>
              <w:top w:val="nil"/>
              <w:left w:val="nil"/>
              <w:bottom w:val="single" w:color="auto" w:sz="4" w:space="0"/>
              <w:right w:val="single" w:color="auto" w:sz="4" w:space="0"/>
            </w:tcBorders>
            <w:noWrap w:val="0"/>
            <w:vAlign w:val="center"/>
          </w:tcPr>
          <w:p w14:paraId="784AEC63">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X</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10</w:t>
            </w:r>
          </w:p>
        </w:tc>
        <w:tc>
          <w:tcPr>
            <w:tcW w:w="1287" w:type="dxa"/>
            <w:tcBorders>
              <w:top w:val="nil"/>
              <w:left w:val="nil"/>
              <w:bottom w:val="single" w:color="auto" w:sz="4" w:space="0"/>
              <w:right w:val="single" w:color="auto" w:sz="4" w:space="0"/>
            </w:tcBorders>
            <w:noWrap w:val="0"/>
            <w:vAlign w:val="center"/>
          </w:tcPr>
          <w:p w14:paraId="11F00047">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Y</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100</w:t>
            </w:r>
          </w:p>
        </w:tc>
        <w:tc>
          <w:tcPr>
            <w:tcW w:w="1234" w:type="dxa"/>
            <w:tcBorders>
              <w:top w:val="nil"/>
              <w:left w:val="nil"/>
              <w:bottom w:val="single" w:color="auto" w:sz="4" w:space="0"/>
              <w:right w:val="single" w:color="auto" w:sz="8" w:space="0"/>
            </w:tcBorders>
            <w:noWrap w:val="0"/>
            <w:vAlign w:val="center"/>
          </w:tcPr>
          <w:p w14:paraId="71BB6000">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14:paraId="719B68D1">
        <w:tblPrEx>
          <w:tblCellMar>
            <w:top w:w="0" w:type="dxa"/>
            <w:left w:w="108" w:type="dxa"/>
            <w:bottom w:w="0" w:type="dxa"/>
            <w:right w:w="108" w:type="dxa"/>
          </w:tblCellMar>
        </w:tblPrEx>
        <w:trPr>
          <w:trHeight w:val="355" w:hRule="atLeast"/>
          <w:jc w:val="center"/>
        </w:trPr>
        <w:tc>
          <w:tcPr>
            <w:tcW w:w="2003" w:type="dxa"/>
            <w:tcBorders>
              <w:top w:val="nil"/>
              <w:left w:val="single" w:color="auto" w:sz="8" w:space="0"/>
              <w:bottom w:val="single" w:color="auto" w:sz="4" w:space="0"/>
              <w:right w:val="single" w:color="auto" w:sz="8" w:space="0"/>
            </w:tcBorders>
            <w:noWrap w:val="0"/>
            <w:vAlign w:val="bottom"/>
          </w:tcPr>
          <w:p w14:paraId="4D9E2566">
            <w:pPr>
              <w:widowControl/>
              <w:wordWrap w:val="0"/>
              <w:adjustRightInd/>
              <w:spacing w:line="240" w:lineRule="auto"/>
              <w:jc w:val="left"/>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 xml:space="preserve"> 6</w:t>
            </w:r>
            <w:r>
              <w:rPr>
                <w:rFonts w:hint="eastAsia" w:ascii="宋体" w:hAnsi="宋体" w:eastAsia="宋体" w:cs="宋体"/>
                <w:color w:val="auto"/>
                <w:kern w:val="0"/>
                <w:sz w:val="20"/>
                <w:szCs w:val="20"/>
                <w:highlight w:val="none"/>
              </w:rPr>
              <w:t>、交通运输业</w:t>
            </w:r>
          </w:p>
        </w:tc>
        <w:tc>
          <w:tcPr>
            <w:tcW w:w="1512" w:type="dxa"/>
            <w:tcBorders>
              <w:top w:val="nil"/>
              <w:left w:val="nil"/>
              <w:bottom w:val="single" w:color="auto" w:sz="4" w:space="0"/>
              <w:right w:val="single" w:color="auto" w:sz="4" w:space="0"/>
            </w:tcBorders>
            <w:noWrap w:val="0"/>
            <w:vAlign w:val="center"/>
          </w:tcPr>
          <w:p w14:paraId="108A7EE2">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300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X</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1000</w:t>
            </w:r>
          </w:p>
        </w:tc>
        <w:tc>
          <w:tcPr>
            <w:tcW w:w="1779" w:type="dxa"/>
            <w:tcBorders>
              <w:top w:val="nil"/>
              <w:left w:val="nil"/>
              <w:bottom w:val="single" w:color="auto" w:sz="4" w:space="0"/>
              <w:right w:val="single" w:color="auto" w:sz="4" w:space="0"/>
            </w:tcBorders>
            <w:noWrap w:val="0"/>
            <w:vAlign w:val="center"/>
          </w:tcPr>
          <w:p w14:paraId="134A3650">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3000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Y</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30000</w:t>
            </w:r>
          </w:p>
        </w:tc>
        <w:tc>
          <w:tcPr>
            <w:tcW w:w="1677" w:type="dxa"/>
            <w:tcBorders>
              <w:top w:val="nil"/>
              <w:left w:val="nil"/>
              <w:bottom w:val="single" w:color="auto" w:sz="4" w:space="0"/>
              <w:right w:val="single" w:color="auto" w:sz="8" w:space="0"/>
            </w:tcBorders>
            <w:noWrap w:val="0"/>
            <w:vAlign w:val="center"/>
          </w:tcPr>
          <w:p w14:paraId="1ABC949A">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252" w:type="dxa"/>
            <w:tcBorders>
              <w:top w:val="nil"/>
              <w:left w:val="nil"/>
              <w:bottom w:val="single" w:color="auto" w:sz="4" w:space="0"/>
              <w:right w:val="single" w:color="auto" w:sz="4" w:space="0"/>
            </w:tcBorders>
            <w:noWrap w:val="0"/>
            <w:vAlign w:val="center"/>
          </w:tcPr>
          <w:p w14:paraId="27C3CF11">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20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X</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300</w:t>
            </w:r>
          </w:p>
        </w:tc>
        <w:tc>
          <w:tcPr>
            <w:tcW w:w="1494" w:type="dxa"/>
            <w:tcBorders>
              <w:top w:val="nil"/>
              <w:left w:val="nil"/>
              <w:bottom w:val="single" w:color="auto" w:sz="4" w:space="0"/>
              <w:right w:val="single" w:color="auto" w:sz="4" w:space="0"/>
            </w:tcBorders>
            <w:noWrap w:val="0"/>
            <w:vAlign w:val="center"/>
          </w:tcPr>
          <w:p w14:paraId="6BA101A3">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200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Y</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3000</w:t>
            </w:r>
          </w:p>
        </w:tc>
        <w:tc>
          <w:tcPr>
            <w:tcW w:w="1536" w:type="dxa"/>
            <w:tcBorders>
              <w:top w:val="nil"/>
              <w:left w:val="nil"/>
              <w:bottom w:val="single" w:color="auto" w:sz="4" w:space="0"/>
              <w:right w:val="single" w:color="auto" w:sz="8" w:space="0"/>
            </w:tcBorders>
            <w:noWrap w:val="0"/>
            <w:vAlign w:val="center"/>
          </w:tcPr>
          <w:p w14:paraId="7E487795">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297" w:type="dxa"/>
            <w:tcBorders>
              <w:top w:val="nil"/>
              <w:left w:val="nil"/>
              <w:bottom w:val="single" w:color="auto" w:sz="4" w:space="0"/>
              <w:right w:val="single" w:color="auto" w:sz="4" w:space="0"/>
            </w:tcBorders>
            <w:noWrap w:val="0"/>
            <w:vAlign w:val="center"/>
          </w:tcPr>
          <w:p w14:paraId="5F151C02">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X</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20</w:t>
            </w:r>
          </w:p>
        </w:tc>
        <w:tc>
          <w:tcPr>
            <w:tcW w:w="1287" w:type="dxa"/>
            <w:tcBorders>
              <w:top w:val="nil"/>
              <w:left w:val="nil"/>
              <w:bottom w:val="single" w:color="auto" w:sz="4" w:space="0"/>
              <w:right w:val="single" w:color="auto" w:sz="4" w:space="0"/>
            </w:tcBorders>
            <w:noWrap w:val="0"/>
            <w:vAlign w:val="center"/>
          </w:tcPr>
          <w:p w14:paraId="01FBF05E">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V</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200</w:t>
            </w:r>
          </w:p>
        </w:tc>
        <w:tc>
          <w:tcPr>
            <w:tcW w:w="1234" w:type="dxa"/>
            <w:tcBorders>
              <w:top w:val="nil"/>
              <w:left w:val="nil"/>
              <w:bottom w:val="single" w:color="auto" w:sz="4" w:space="0"/>
              <w:right w:val="single" w:color="auto" w:sz="8" w:space="0"/>
            </w:tcBorders>
            <w:noWrap w:val="0"/>
            <w:vAlign w:val="center"/>
          </w:tcPr>
          <w:p w14:paraId="2324091F">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14:paraId="0620BC7F">
        <w:tblPrEx>
          <w:tblCellMar>
            <w:top w:w="0" w:type="dxa"/>
            <w:left w:w="108" w:type="dxa"/>
            <w:bottom w:w="0" w:type="dxa"/>
            <w:right w:w="108" w:type="dxa"/>
          </w:tblCellMar>
        </w:tblPrEx>
        <w:trPr>
          <w:trHeight w:val="355" w:hRule="atLeast"/>
          <w:jc w:val="center"/>
        </w:trPr>
        <w:tc>
          <w:tcPr>
            <w:tcW w:w="2003" w:type="dxa"/>
            <w:tcBorders>
              <w:top w:val="nil"/>
              <w:left w:val="single" w:color="auto" w:sz="8" w:space="0"/>
              <w:bottom w:val="single" w:color="auto" w:sz="4" w:space="0"/>
              <w:right w:val="single" w:color="auto" w:sz="8" w:space="0"/>
            </w:tcBorders>
            <w:noWrap w:val="0"/>
            <w:vAlign w:val="bottom"/>
          </w:tcPr>
          <w:p w14:paraId="55E9E7AD">
            <w:pPr>
              <w:widowControl/>
              <w:wordWrap w:val="0"/>
              <w:adjustRightInd/>
              <w:spacing w:line="240" w:lineRule="auto"/>
              <w:jc w:val="left"/>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 xml:space="preserve"> 7</w:t>
            </w:r>
            <w:r>
              <w:rPr>
                <w:rFonts w:hint="eastAsia" w:ascii="宋体" w:hAnsi="宋体" w:eastAsia="宋体" w:cs="宋体"/>
                <w:color w:val="auto"/>
                <w:kern w:val="0"/>
                <w:sz w:val="20"/>
                <w:szCs w:val="20"/>
                <w:highlight w:val="none"/>
              </w:rPr>
              <w:t>、仓储业</w:t>
            </w:r>
          </w:p>
        </w:tc>
        <w:tc>
          <w:tcPr>
            <w:tcW w:w="1512" w:type="dxa"/>
            <w:tcBorders>
              <w:top w:val="nil"/>
              <w:left w:val="nil"/>
              <w:bottom w:val="single" w:color="auto" w:sz="4" w:space="0"/>
              <w:right w:val="single" w:color="auto" w:sz="4" w:space="0"/>
            </w:tcBorders>
            <w:noWrap w:val="0"/>
            <w:vAlign w:val="center"/>
          </w:tcPr>
          <w:p w14:paraId="7B7F7CC3">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100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X</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200</w:t>
            </w:r>
          </w:p>
        </w:tc>
        <w:tc>
          <w:tcPr>
            <w:tcW w:w="1779" w:type="dxa"/>
            <w:tcBorders>
              <w:top w:val="nil"/>
              <w:left w:val="nil"/>
              <w:bottom w:val="single" w:color="auto" w:sz="4" w:space="0"/>
              <w:right w:val="single" w:color="auto" w:sz="4" w:space="0"/>
            </w:tcBorders>
            <w:noWrap w:val="0"/>
            <w:vAlign w:val="center"/>
          </w:tcPr>
          <w:p w14:paraId="08E7C343">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1000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Y</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30000</w:t>
            </w:r>
          </w:p>
        </w:tc>
        <w:tc>
          <w:tcPr>
            <w:tcW w:w="1677" w:type="dxa"/>
            <w:tcBorders>
              <w:top w:val="nil"/>
              <w:left w:val="nil"/>
              <w:bottom w:val="single" w:color="auto" w:sz="4" w:space="0"/>
              <w:right w:val="single" w:color="auto" w:sz="8" w:space="0"/>
            </w:tcBorders>
            <w:noWrap w:val="0"/>
            <w:vAlign w:val="center"/>
          </w:tcPr>
          <w:p w14:paraId="5447D123">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252" w:type="dxa"/>
            <w:tcBorders>
              <w:top w:val="nil"/>
              <w:left w:val="nil"/>
              <w:bottom w:val="single" w:color="auto" w:sz="4" w:space="0"/>
              <w:right w:val="single" w:color="auto" w:sz="4" w:space="0"/>
            </w:tcBorders>
            <w:noWrap w:val="0"/>
            <w:vAlign w:val="center"/>
          </w:tcPr>
          <w:p w14:paraId="770AD070">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20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X</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100</w:t>
            </w:r>
          </w:p>
        </w:tc>
        <w:tc>
          <w:tcPr>
            <w:tcW w:w="1494" w:type="dxa"/>
            <w:tcBorders>
              <w:top w:val="nil"/>
              <w:left w:val="nil"/>
              <w:bottom w:val="single" w:color="auto" w:sz="4" w:space="0"/>
              <w:right w:val="single" w:color="auto" w:sz="4" w:space="0"/>
            </w:tcBorders>
            <w:noWrap w:val="0"/>
            <w:vAlign w:val="center"/>
          </w:tcPr>
          <w:p w14:paraId="56AB06DC">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100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Y</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1000</w:t>
            </w:r>
          </w:p>
        </w:tc>
        <w:tc>
          <w:tcPr>
            <w:tcW w:w="1536" w:type="dxa"/>
            <w:tcBorders>
              <w:top w:val="nil"/>
              <w:left w:val="nil"/>
              <w:bottom w:val="single" w:color="auto" w:sz="4" w:space="0"/>
              <w:right w:val="single" w:color="auto" w:sz="8" w:space="0"/>
            </w:tcBorders>
            <w:noWrap w:val="0"/>
            <w:vAlign w:val="center"/>
          </w:tcPr>
          <w:p w14:paraId="4C52B40C">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297" w:type="dxa"/>
            <w:tcBorders>
              <w:top w:val="nil"/>
              <w:left w:val="nil"/>
              <w:bottom w:val="single" w:color="auto" w:sz="4" w:space="0"/>
              <w:right w:val="single" w:color="auto" w:sz="4" w:space="0"/>
            </w:tcBorders>
            <w:noWrap w:val="0"/>
            <w:vAlign w:val="center"/>
          </w:tcPr>
          <w:p w14:paraId="56F0BC3E">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X</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20</w:t>
            </w:r>
          </w:p>
        </w:tc>
        <w:tc>
          <w:tcPr>
            <w:tcW w:w="1287" w:type="dxa"/>
            <w:tcBorders>
              <w:top w:val="nil"/>
              <w:left w:val="nil"/>
              <w:bottom w:val="single" w:color="auto" w:sz="4" w:space="0"/>
              <w:right w:val="single" w:color="auto" w:sz="4" w:space="0"/>
            </w:tcBorders>
            <w:noWrap w:val="0"/>
            <w:vAlign w:val="center"/>
          </w:tcPr>
          <w:p w14:paraId="252F693A">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Y</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100</w:t>
            </w:r>
          </w:p>
        </w:tc>
        <w:tc>
          <w:tcPr>
            <w:tcW w:w="1234" w:type="dxa"/>
            <w:tcBorders>
              <w:top w:val="nil"/>
              <w:left w:val="nil"/>
              <w:bottom w:val="single" w:color="auto" w:sz="4" w:space="0"/>
              <w:right w:val="single" w:color="auto" w:sz="8" w:space="0"/>
            </w:tcBorders>
            <w:noWrap w:val="0"/>
            <w:vAlign w:val="center"/>
          </w:tcPr>
          <w:p w14:paraId="5F96D302">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14:paraId="2373515C">
        <w:tblPrEx>
          <w:tblCellMar>
            <w:top w:w="0" w:type="dxa"/>
            <w:left w:w="108" w:type="dxa"/>
            <w:bottom w:w="0" w:type="dxa"/>
            <w:right w:w="108" w:type="dxa"/>
          </w:tblCellMar>
        </w:tblPrEx>
        <w:trPr>
          <w:trHeight w:val="355" w:hRule="atLeast"/>
          <w:jc w:val="center"/>
        </w:trPr>
        <w:tc>
          <w:tcPr>
            <w:tcW w:w="2003" w:type="dxa"/>
            <w:tcBorders>
              <w:top w:val="nil"/>
              <w:left w:val="single" w:color="auto" w:sz="8" w:space="0"/>
              <w:bottom w:val="single" w:color="auto" w:sz="4" w:space="0"/>
              <w:right w:val="single" w:color="auto" w:sz="8" w:space="0"/>
            </w:tcBorders>
            <w:noWrap w:val="0"/>
            <w:vAlign w:val="bottom"/>
          </w:tcPr>
          <w:p w14:paraId="05A30C5A">
            <w:pPr>
              <w:widowControl/>
              <w:wordWrap w:val="0"/>
              <w:adjustRightInd/>
              <w:spacing w:line="240" w:lineRule="auto"/>
              <w:jc w:val="left"/>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 xml:space="preserve"> 8</w:t>
            </w:r>
            <w:r>
              <w:rPr>
                <w:rFonts w:hint="eastAsia" w:ascii="宋体" w:hAnsi="宋体" w:eastAsia="宋体" w:cs="宋体"/>
                <w:color w:val="auto"/>
                <w:kern w:val="0"/>
                <w:sz w:val="20"/>
                <w:szCs w:val="20"/>
                <w:highlight w:val="none"/>
              </w:rPr>
              <w:t>、邮政业</w:t>
            </w:r>
          </w:p>
        </w:tc>
        <w:tc>
          <w:tcPr>
            <w:tcW w:w="1512" w:type="dxa"/>
            <w:tcBorders>
              <w:top w:val="nil"/>
              <w:left w:val="nil"/>
              <w:bottom w:val="single" w:color="auto" w:sz="4" w:space="0"/>
              <w:right w:val="single" w:color="auto" w:sz="4" w:space="0"/>
            </w:tcBorders>
            <w:noWrap w:val="0"/>
            <w:vAlign w:val="center"/>
          </w:tcPr>
          <w:p w14:paraId="083C03B0">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300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X</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1000</w:t>
            </w:r>
          </w:p>
        </w:tc>
        <w:tc>
          <w:tcPr>
            <w:tcW w:w="1779" w:type="dxa"/>
            <w:tcBorders>
              <w:top w:val="nil"/>
              <w:left w:val="nil"/>
              <w:bottom w:val="single" w:color="auto" w:sz="4" w:space="0"/>
              <w:right w:val="single" w:color="auto" w:sz="4" w:space="0"/>
            </w:tcBorders>
            <w:noWrap w:val="0"/>
            <w:vAlign w:val="center"/>
          </w:tcPr>
          <w:p w14:paraId="611C9CB3">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2000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Y</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30000</w:t>
            </w:r>
          </w:p>
        </w:tc>
        <w:tc>
          <w:tcPr>
            <w:tcW w:w="1677" w:type="dxa"/>
            <w:tcBorders>
              <w:top w:val="nil"/>
              <w:left w:val="nil"/>
              <w:bottom w:val="single" w:color="auto" w:sz="4" w:space="0"/>
              <w:right w:val="single" w:color="auto" w:sz="8" w:space="0"/>
            </w:tcBorders>
            <w:noWrap w:val="0"/>
            <w:vAlign w:val="center"/>
          </w:tcPr>
          <w:p w14:paraId="70E8E8AD">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252" w:type="dxa"/>
            <w:tcBorders>
              <w:top w:val="nil"/>
              <w:left w:val="nil"/>
              <w:bottom w:val="single" w:color="auto" w:sz="4" w:space="0"/>
              <w:right w:val="single" w:color="auto" w:sz="4" w:space="0"/>
            </w:tcBorders>
            <w:noWrap w:val="0"/>
            <w:vAlign w:val="center"/>
          </w:tcPr>
          <w:p w14:paraId="0E4FD6C2">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20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X</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300</w:t>
            </w:r>
          </w:p>
        </w:tc>
        <w:tc>
          <w:tcPr>
            <w:tcW w:w="1494" w:type="dxa"/>
            <w:tcBorders>
              <w:top w:val="nil"/>
              <w:left w:val="nil"/>
              <w:bottom w:val="single" w:color="auto" w:sz="4" w:space="0"/>
              <w:right w:val="single" w:color="auto" w:sz="4" w:space="0"/>
            </w:tcBorders>
            <w:noWrap w:val="0"/>
            <w:vAlign w:val="center"/>
          </w:tcPr>
          <w:p w14:paraId="30998BAC">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100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Y</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2000</w:t>
            </w:r>
          </w:p>
        </w:tc>
        <w:tc>
          <w:tcPr>
            <w:tcW w:w="1536" w:type="dxa"/>
            <w:tcBorders>
              <w:top w:val="nil"/>
              <w:left w:val="nil"/>
              <w:bottom w:val="single" w:color="auto" w:sz="4" w:space="0"/>
              <w:right w:val="single" w:color="auto" w:sz="8" w:space="0"/>
            </w:tcBorders>
            <w:noWrap w:val="0"/>
            <w:vAlign w:val="center"/>
          </w:tcPr>
          <w:p w14:paraId="5E07F402">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297" w:type="dxa"/>
            <w:tcBorders>
              <w:top w:val="nil"/>
              <w:left w:val="nil"/>
              <w:bottom w:val="single" w:color="auto" w:sz="4" w:space="0"/>
              <w:right w:val="single" w:color="auto" w:sz="4" w:space="0"/>
            </w:tcBorders>
            <w:noWrap w:val="0"/>
            <w:vAlign w:val="center"/>
          </w:tcPr>
          <w:p w14:paraId="6D1D7168">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X</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20</w:t>
            </w:r>
          </w:p>
        </w:tc>
        <w:tc>
          <w:tcPr>
            <w:tcW w:w="1287" w:type="dxa"/>
            <w:tcBorders>
              <w:top w:val="nil"/>
              <w:left w:val="nil"/>
              <w:bottom w:val="single" w:color="auto" w:sz="4" w:space="0"/>
              <w:right w:val="single" w:color="auto" w:sz="4" w:space="0"/>
            </w:tcBorders>
            <w:noWrap w:val="0"/>
            <w:vAlign w:val="center"/>
          </w:tcPr>
          <w:p w14:paraId="511766AD">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Y</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100</w:t>
            </w:r>
          </w:p>
        </w:tc>
        <w:tc>
          <w:tcPr>
            <w:tcW w:w="1234" w:type="dxa"/>
            <w:tcBorders>
              <w:top w:val="nil"/>
              <w:left w:val="nil"/>
              <w:bottom w:val="single" w:color="auto" w:sz="4" w:space="0"/>
              <w:right w:val="single" w:color="auto" w:sz="8" w:space="0"/>
            </w:tcBorders>
            <w:noWrap w:val="0"/>
            <w:vAlign w:val="center"/>
          </w:tcPr>
          <w:p w14:paraId="281D640E">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14:paraId="431D0094">
        <w:tblPrEx>
          <w:tblCellMar>
            <w:top w:w="0" w:type="dxa"/>
            <w:left w:w="108" w:type="dxa"/>
            <w:bottom w:w="0" w:type="dxa"/>
            <w:right w:w="108" w:type="dxa"/>
          </w:tblCellMar>
        </w:tblPrEx>
        <w:trPr>
          <w:trHeight w:val="355" w:hRule="atLeast"/>
          <w:jc w:val="center"/>
        </w:trPr>
        <w:tc>
          <w:tcPr>
            <w:tcW w:w="2003" w:type="dxa"/>
            <w:tcBorders>
              <w:top w:val="nil"/>
              <w:left w:val="single" w:color="auto" w:sz="8" w:space="0"/>
              <w:bottom w:val="single" w:color="auto" w:sz="4" w:space="0"/>
              <w:right w:val="single" w:color="auto" w:sz="8" w:space="0"/>
            </w:tcBorders>
            <w:noWrap w:val="0"/>
            <w:vAlign w:val="bottom"/>
          </w:tcPr>
          <w:p w14:paraId="4057FA4B">
            <w:pPr>
              <w:widowControl/>
              <w:wordWrap w:val="0"/>
              <w:adjustRightInd/>
              <w:spacing w:line="240" w:lineRule="auto"/>
              <w:jc w:val="left"/>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 xml:space="preserve"> 9</w:t>
            </w:r>
            <w:r>
              <w:rPr>
                <w:rFonts w:hint="eastAsia" w:ascii="宋体" w:hAnsi="宋体" w:eastAsia="宋体" w:cs="宋体"/>
                <w:color w:val="auto"/>
                <w:kern w:val="0"/>
                <w:sz w:val="20"/>
                <w:szCs w:val="20"/>
                <w:highlight w:val="none"/>
              </w:rPr>
              <w:t>、住宿业</w:t>
            </w:r>
          </w:p>
        </w:tc>
        <w:tc>
          <w:tcPr>
            <w:tcW w:w="1512" w:type="dxa"/>
            <w:tcBorders>
              <w:top w:val="nil"/>
              <w:left w:val="nil"/>
              <w:bottom w:val="single" w:color="auto" w:sz="4" w:space="0"/>
              <w:right w:val="single" w:color="auto" w:sz="4" w:space="0"/>
            </w:tcBorders>
            <w:noWrap w:val="0"/>
            <w:vAlign w:val="center"/>
          </w:tcPr>
          <w:p w14:paraId="7A4FB25D">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100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X</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300</w:t>
            </w:r>
          </w:p>
        </w:tc>
        <w:tc>
          <w:tcPr>
            <w:tcW w:w="1779" w:type="dxa"/>
            <w:tcBorders>
              <w:top w:val="nil"/>
              <w:left w:val="nil"/>
              <w:bottom w:val="single" w:color="auto" w:sz="4" w:space="0"/>
              <w:right w:val="single" w:color="auto" w:sz="4" w:space="0"/>
            </w:tcBorders>
            <w:noWrap w:val="0"/>
            <w:vAlign w:val="center"/>
          </w:tcPr>
          <w:p w14:paraId="4E735AF1">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2000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Y</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10000</w:t>
            </w:r>
          </w:p>
        </w:tc>
        <w:tc>
          <w:tcPr>
            <w:tcW w:w="1677" w:type="dxa"/>
            <w:tcBorders>
              <w:top w:val="nil"/>
              <w:left w:val="nil"/>
              <w:bottom w:val="single" w:color="auto" w:sz="4" w:space="0"/>
              <w:right w:val="single" w:color="auto" w:sz="8" w:space="0"/>
            </w:tcBorders>
            <w:noWrap w:val="0"/>
            <w:vAlign w:val="center"/>
          </w:tcPr>
          <w:p w14:paraId="6CA219A7">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252" w:type="dxa"/>
            <w:tcBorders>
              <w:top w:val="nil"/>
              <w:left w:val="nil"/>
              <w:bottom w:val="single" w:color="auto" w:sz="4" w:space="0"/>
              <w:right w:val="single" w:color="auto" w:sz="4" w:space="0"/>
            </w:tcBorders>
            <w:noWrap w:val="0"/>
            <w:vAlign w:val="center"/>
          </w:tcPr>
          <w:p w14:paraId="2C46527A">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10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X</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100</w:t>
            </w:r>
          </w:p>
        </w:tc>
        <w:tc>
          <w:tcPr>
            <w:tcW w:w="1494" w:type="dxa"/>
            <w:tcBorders>
              <w:top w:val="nil"/>
              <w:left w:val="nil"/>
              <w:bottom w:val="single" w:color="auto" w:sz="4" w:space="0"/>
              <w:right w:val="single" w:color="auto" w:sz="4" w:space="0"/>
            </w:tcBorders>
            <w:noWrap w:val="0"/>
            <w:vAlign w:val="center"/>
          </w:tcPr>
          <w:p w14:paraId="0E7DA37E">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100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Y</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2000</w:t>
            </w:r>
          </w:p>
        </w:tc>
        <w:tc>
          <w:tcPr>
            <w:tcW w:w="1536" w:type="dxa"/>
            <w:tcBorders>
              <w:top w:val="nil"/>
              <w:left w:val="nil"/>
              <w:bottom w:val="single" w:color="auto" w:sz="4" w:space="0"/>
              <w:right w:val="single" w:color="auto" w:sz="8" w:space="0"/>
            </w:tcBorders>
            <w:noWrap w:val="0"/>
            <w:vAlign w:val="center"/>
          </w:tcPr>
          <w:p w14:paraId="2B647E15">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297" w:type="dxa"/>
            <w:tcBorders>
              <w:top w:val="nil"/>
              <w:left w:val="nil"/>
              <w:bottom w:val="single" w:color="auto" w:sz="4" w:space="0"/>
              <w:right w:val="single" w:color="auto" w:sz="4" w:space="0"/>
            </w:tcBorders>
            <w:noWrap w:val="0"/>
            <w:vAlign w:val="center"/>
          </w:tcPr>
          <w:p w14:paraId="7F46AA4B">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X</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10</w:t>
            </w:r>
          </w:p>
        </w:tc>
        <w:tc>
          <w:tcPr>
            <w:tcW w:w="1287" w:type="dxa"/>
            <w:tcBorders>
              <w:top w:val="nil"/>
              <w:left w:val="nil"/>
              <w:bottom w:val="single" w:color="auto" w:sz="4" w:space="0"/>
              <w:right w:val="single" w:color="auto" w:sz="4" w:space="0"/>
            </w:tcBorders>
            <w:noWrap w:val="0"/>
            <w:vAlign w:val="center"/>
          </w:tcPr>
          <w:p w14:paraId="21D58FBC">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Y</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100</w:t>
            </w:r>
          </w:p>
        </w:tc>
        <w:tc>
          <w:tcPr>
            <w:tcW w:w="1234" w:type="dxa"/>
            <w:tcBorders>
              <w:top w:val="nil"/>
              <w:left w:val="nil"/>
              <w:bottom w:val="single" w:color="auto" w:sz="4" w:space="0"/>
              <w:right w:val="single" w:color="auto" w:sz="8" w:space="0"/>
            </w:tcBorders>
            <w:noWrap w:val="0"/>
            <w:vAlign w:val="center"/>
          </w:tcPr>
          <w:p w14:paraId="4E459124">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14:paraId="36604941">
        <w:tblPrEx>
          <w:tblCellMar>
            <w:top w:w="0" w:type="dxa"/>
            <w:left w:w="108" w:type="dxa"/>
            <w:bottom w:w="0" w:type="dxa"/>
            <w:right w:w="108" w:type="dxa"/>
          </w:tblCellMar>
        </w:tblPrEx>
        <w:trPr>
          <w:trHeight w:val="355" w:hRule="atLeast"/>
          <w:jc w:val="center"/>
        </w:trPr>
        <w:tc>
          <w:tcPr>
            <w:tcW w:w="2003" w:type="dxa"/>
            <w:tcBorders>
              <w:top w:val="nil"/>
              <w:left w:val="single" w:color="auto" w:sz="8" w:space="0"/>
              <w:bottom w:val="single" w:color="auto" w:sz="4" w:space="0"/>
              <w:right w:val="single" w:color="auto" w:sz="8" w:space="0"/>
            </w:tcBorders>
            <w:noWrap w:val="0"/>
            <w:vAlign w:val="bottom"/>
          </w:tcPr>
          <w:p w14:paraId="2B7B26AD">
            <w:pPr>
              <w:widowControl/>
              <w:wordWrap w:val="0"/>
              <w:adjustRightInd/>
              <w:spacing w:line="240" w:lineRule="auto"/>
              <w:jc w:val="left"/>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10</w:t>
            </w:r>
            <w:r>
              <w:rPr>
                <w:rFonts w:hint="eastAsia" w:ascii="宋体" w:hAnsi="宋体" w:eastAsia="宋体" w:cs="宋体"/>
                <w:color w:val="auto"/>
                <w:kern w:val="0"/>
                <w:sz w:val="20"/>
                <w:szCs w:val="20"/>
                <w:highlight w:val="none"/>
              </w:rPr>
              <w:t>、餐饮业</w:t>
            </w:r>
          </w:p>
        </w:tc>
        <w:tc>
          <w:tcPr>
            <w:tcW w:w="1512" w:type="dxa"/>
            <w:tcBorders>
              <w:top w:val="nil"/>
              <w:left w:val="nil"/>
              <w:bottom w:val="single" w:color="auto" w:sz="4" w:space="0"/>
              <w:right w:val="single" w:color="auto" w:sz="4" w:space="0"/>
            </w:tcBorders>
            <w:noWrap w:val="0"/>
            <w:vAlign w:val="center"/>
          </w:tcPr>
          <w:p w14:paraId="22587DFA">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100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X</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300</w:t>
            </w:r>
          </w:p>
        </w:tc>
        <w:tc>
          <w:tcPr>
            <w:tcW w:w="1779" w:type="dxa"/>
            <w:tcBorders>
              <w:top w:val="nil"/>
              <w:left w:val="nil"/>
              <w:bottom w:val="single" w:color="auto" w:sz="4" w:space="0"/>
              <w:right w:val="single" w:color="auto" w:sz="4" w:space="0"/>
            </w:tcBorders>
            <w:noWrap w:val="0"/>
            <w:vAlign w:val="center"/>
          </w:tcPr>
          <w:p w14:paraId="43538D95">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2000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Y</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10000</w:t>
            </w:r>
          </w:p>
        </w:tc>
        <w:tc>
          <w:tcPr>
            <w:tcW w:w="1677" w:type="dxa"/>
            <w:tcBorders>
              <w:top w:val="nil"/>
              <w:left w:val="nil"/>
              <w:bottom w:val="single" w:color="auto" w:sz="4" w:space="0"/>
              <w:right w:val="single" w:color="auto" w:sz="8" w:space="0"/>
            </w:tcBorders>
            <w:noWrap w:val="0"/>
            <w:vAlign w:val="center"/>
          </w:tcPr>
          <w:p w14:paraId="2D0F365D">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252" w:type="dxa"/>
            <w:tcBorders>
              <w:top w:val="nil"/>
              <w:left w:val="nil"/>
              <w:bottom w:val="single" w:color="auto" w:sz="4" w:space="0"/>
              <w:right w:val="single" w:color="auto" w:sz="4" w:space="0"/>
            </w:tcBorders>
            <w:noWrap w:val="0"/>
            <w:vAlign w:val="center"/>
          </w:tcPr>
          <w:p w14:paraId="7486206F">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10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X</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100</w:t>
            </w:r>
          </w:p>
        </w:tc>
        <w:tc>
          <w:tcPr>
            <w:tcW w:w="1494" w:type="dxa"/>
            <w:tcBorders>
              <w:top w:val="nil"/>
              <w:left w:val="nil"/>
              <w:bottom w:val="single" w:color="auto" w:sz="4" w:space="0"/>
              <w:right w:val="single" w:color="auto" w:sz="4" w:space="0"/>
            </w:tcBorders>
            <w:noWrap w:val="0"/>
            <w:vAlign w:val="center"/>
          </w:tcPr>
          <w:p w14:paraId="437EFF66">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100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Y</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2000</w:t>
            </w:r>
          </w:p>
        </w:tc>
        <w:tc>
          <w:tcPr>
            <w:tcW w:w="1536" w:type="dxa"/>
            <w:tcBorders>
              <w:top w:val="nil"/>
              <w:left w:val="nil"/>
              <w:bottom w:val="single" w:color="auto" w:sz="4" w:space="0"/>
              <w:right w:val="single" w:color="auto" w:sz="8" w:space="0"/>
            </w:tcBorders>
            <w:noWrap w:val="0"/>
            <w:vAlign w:val="center"/>
          </w:tcPr>
          <w:p w14:paraId="7FAFF83F">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297" w:type="dxa"/>
            <w:tcBorders>
              <w:top w:val="nil"/>
              <w:left w:val="nil"/>
              <w:bottom w:val="single" w:color="auto" w:sz="4" w:space="0"/>
              <w:right w:val="single" w:color="auto" w:sz="4" w:space="0"/>
            </w:tcBorders>
            <w:noWrap w:val="0"/>
            <w:vAlign w:val="center"/>
          </w:tcPr>
          <w:p w14:paraId="0440479A">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X</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10</w:t>
            </w:r>
          </w:p>
        </w:tc>
        <w:tc>
          <w:tcPr>
            <w:tcW w:w="1287" w:type="dxa"/>
            <w:tcBorders>
              <w:top w:val="nil"/>
              <w:left w:val="nil"/>
              <w:bottom w:val="single" w:color="auto" w:sz="4" w:space="0"/>
              <w:right w:val="single" w:color="auto" w:sz="4" w:space="0"/>
            </w:tcBorders>
            <w:noWrap w:val="0"/>
            <w:vAlign w:val="center"/>
          </w:tcPr>
          <w:p w14:paraId="7F01926A">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V</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100</w:t>
            </w:r>
          </w:p>
        </w:tc>
        <w:tc>
          <w:tcPr>
            <w:tcW w:w="1234" w:type="dxa"/>
            <w:tcBorders>
              <w:top w:val="nil"/>
              <w:left w:val="nil"/>
              <w:bottom w:val="single" w:color="auto" w:sz="4" w:space="0"/>
              <w:right w:val="single" w:color="auto" w:sz="8" w:space="0"/>
            </w:tcBorders>
            <w:noWrap w:val="0"/>
            <w:vAlign w:val="center"/>
          </w:tcPr>
          <w:p w14:paraId="714BF429">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14:paraId="0292EBD1">
        <w:tblPrEx>
          <w:tblCellMar>
            <w:top w:w="0" w:type="dxa"/>
            <w:left w:w="108" w:type="dxa"/>
            <w:bottom w:w="0" w:type="dxa"/>
            <w:right w:w="108" w:type="dxa"/>
          </w:tblCellMar>
        </w:tblPrEx>
        <w:trPr>
          <w:trHeight w:val="355" w:hRule="atLeast"/>
          <w:jc w:val="center"/>
        </w:trPr>
        <w:tc>
          <w:tcPr>
            <w:tcW w:w="2003" w:type="dxa"/>
            <w:tcBorders>
              <w:top w:val="nil"/>
              <w:left w:val="single" w:color="auto" w:sz="8" w:space="0"/>
              <w:bottom w:val="single" w:color="auto" w:sz="4" w:space="0"/>
              <w:right w:val="single" w:color="auto" w:sz="8" w:space="0"/>
            </w:tcBorders>
            <w:noWrap w:val="0"/>
            <w:vAlign w:val="bottom"/>
          </w:tcPr>
          <w:p w14:paraId="49624C85">
            <w:pPr>
              <w:widowControl/>
              <w:wordWrap w:val="0"/>
              <w:adjustRightInd/>
              <w:spacing w:line="240" w:lineRule="auto"/>
              <w:jc w:val="left"/>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11</w:t>
            </w:r>
            <w:r>
              <w:rPr>
                <w:rFonts w:hint="eastAsia" w:ascii="宋体" w:hAnsi="宋体" w:eastAsia="宋体" w:cs="宋体"/>
                <w:color w:val="auto"/>
                <w:kern w:val="0"/>
                <w:sz w:val="20"/>
                <w:szCs w:val="20"/>
                <w:highlight w:val="none"/>
              </w:rPr>
              <w:t>、信息传输业</w:t>
            </w:r>
          </w:p>
        </w:tc>
        <w:tc>
          <w:tcPr>
            <w:tcW w:w="1512" w:type="dxa"/>
            <w:tcBorders>
              <w:top w:val="nil"/>
              <w:left w:val="nil"/>
              <w:bottom w:val="single" w:color="auto" w:sz="4" w:space="0"/>
              <w:right w:val="single" w:color="auto" w:sz="4" w:space="0"/>
            </w:tcBorders>
            <w:noWrap w:val="0"/>
            <w:vAlign w:val="center"/>
          </w:tcPr>
          <w:p w14:paraId="7898C11A">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100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X</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2000</w:t>
            </w:r>
          </w:p>
        </w:tc>
        <w:tc>
          <w:tcPr>
            <w:tcW w:w="1779" w:type="dxa"/>
            <w:tcBorders>
              <w:top w:val="nil"/>
              <w:left w:val="nil"/>
              <w:bottom w:val="single" w:color="auto" w:sz="4" w:space="0"/>
              <w:right w:val="single" w:color="auto" w:sz="4" w:space="0"/>
            </w:tcBorders>
            <w:noWrap w:val="0"/>
            <w:vAlign w:val="center"/>
          </w:tcPr>
          <w:p w14:paraId="6B17D59D">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1000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Y</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100000</w:t>
            </w:r>
          </w:p>
        </w:tc>
        <w:tc>
          <w:tcPr>
            <w:tcW w:w="1677" w:type="dxa"/>
            <w:tcBorders>
              <w:top w:val="nil"/>
              <w:left w:val="nil"/>
              <w:bottom w:val="single" w:color="auto" w:sz="4" w:space="0"/>
              <w:right w:val="single" w:color="auto" w:sz="8" w:space="0"/>
            </w:tcBorders>
            <w:noWrap w:val="0"/>
            <w:vAlign w:val="center"/>
          </w:tcPr>
          <w:p w14:paraId="7D4600A0">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252" w:type="dxa"/>
            <w:tcBorders>
              <w:top w:val="nil"/>
              <w:left w:val="nil"/>
              <w:bottom w:val="single" w:color="auto" w:sz="4" w:space="0"/>
              <w:right w:val="single" w:color="auto" w:sz="4" w:space="0"/>
            </w:tcBorders>
            <w:noWrap w:val="0"/>
            <w:vAlign w:val="center"/>
          </w:tcPr>
          <w:p w14:paraId="29F0F1A2">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10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X</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100</w:t>
            </w:r>
          </w:p>
        </w:tc>
        <w:tc>
          <w:tcPr>
            <w:tcW w:w="1494" w:type="dxa"/>
            <w:tcBorders>
              <w:top w:val="nil"/>
              <w:left w:val="nil"/>
              <w:bottom w:val="single" w:color="auto" w:sz="4" w:space="0"/>
              <w:right w:val="single" w:color="auto" w:sz="4" w:space="0"/>
            </w:tcBorders>
            <w:noWrap w:val="0"/>
            <w:vAlign w:val="center"/>
          </w:tcPr>
          <w:p w14:paraId="5DFEDB63">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100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Y</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1000</w:t>
            </w:r>
          </w:p>
        </w:tc>
        <w:tc>
          <w:tcPr>
            <w:tcW w:w="1536" w:type="dxa"/>
            <w:tcBorders>
              <w:top w:val="nil"/>
              <w:left w:val="nil"/>
              <w:bottom w:val="single" w:color="auto" w:sz="4" w:space="0"/>
              <w:right w:val="single" w:color="auto" w:sz="8" w:space="0"/>
            </w:tcBorders>
            <w:noWrap w:val="0"/>
            <w:vAlign w:val="center"/>
          </w:tcPr>
          <w:p w14:paraId="2526656A">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297" w:type="dxa"/>
            <w:tcBorders>
              <w:top w:val="nil"/>
              <w:left w:val="nil"/>
              <w:bottom w:val="single" w:color="auto" w:sz="4" w:space="0"/>
              <w:right w:val="single" w:color="auto" w:sz="4" w:space="0"/>
            </w:tcBorders>
            <w:noWrap w:val="0"/>
            <w:vAlign w:val="center"/>
          </w:tcPr>
          <w:p w14:paraId="07F1794E">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X</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10</w:t>
            </w:r>
          </w:p>
        </w:tc>
        <w:tc>
          <w:tcPr>
            <w:tcW w:w="1287" w:type="dxa"/>
            <w:tcBorders>
              <w:top w:val="nil"/>
              <w:left w:val="nil"/>
              <w:bottom w:val="single" w:color="auto" w:sz="4" w:space="0"/>
              <w:right w:val="single" w:color="auto" w:sz="4" w:space="0"/>
            </w:tcBorders>
            <w:noWrap w:val="0"/>
            <w:vAlign w:val="center"/>
          </w:tcPr>
          <w:p w14:paraId="589B1E57">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Y</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100</w:t>
            </w:r>
          </w:p>
        </w:tc>
        <w:tc>
          <w:tcPr>
            <w:tcW w:w="1234" w:type="dxa"/>
            <w:tcBorders>
              <w:top w:val="nil"/>
              <w:left w:val="nil"/>
              <w:bottom w:val="single" w:color="auto" w:sz="4" w:space="0"/>
              <w:right w:val="single" w:color="auto" w:sz="8" w:space="0"/>
            </w:tcBorders>
            <w:noWrap w:val="0"/>
            <w:vAlign w:val="center"/>
          </w:tcPr>
          <w:p w14:paraId="1A66FA03">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14:paraId="49EED804">
        <w:tblPrEx>
          <w:tblCellMar>
            <w:top w:w="0" w:type="dxa"/>
            <w:left w:w="108" w:type="dxa"/>
            <w:bottom w:w="0" w:type="dxa"/>
            <w:right w:w="108" w:type="dxa"/>
          </w:tblCellMar>
        </w:tblPrEx>
        <w:trPr>
          <w:trHeight w:val="355" w:hRule="atLeast"/>
          <w:jc w:val="center"/>
        </w:trPr>
        <w:tc>
          <w:tcPr>
            <w:tcW w:w="2003" w:type="dxa"/>
            <w:tcBorders>
              <w:top w:val="nil"/>
              <w:left w:val="single" w:color="auto" w:sz="8" w:space="0"/>
              <w:bottom w:val="single" w:color="auto" w:sz="4" w:space="0"/>
              <w:right w:val="single" w:color="auto" w:sz="8" w:space="0"/>
            </w:tcBorders>
            <w:noWrap w:val="0"/>
            <w:vAlign w:val="bottom"/>
          </w:tcPr>
          <w:p w14:paraId="2F2FCB38">
            <w:pPr>
              <w:widowControl/>
              <w:wordWrap w:val="0"/>
              <w:adjustRightInd/>
              <w:spacing w:line="240" w:lineRule="auto"/>
              <w:jc w:val="left"/>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12</w:t>
            </w:r>
            <w:r>
              <w:rPr>
                <w:rFonts w:hint="eastAsia" w:ascii="宋体" w:hAnsi="宋体" w:eastAsia="宋体" w:cs="宋体"/>
                <w:color w:val="auto"/>
                <w:kern w:val="0"/>
                <w:sz w:val="20"/>
                <w:szCs w:val="20"/>
                <w:highlight w:val="none"/>
              </w:rPr>
              <w:t>、软件和信息技术服务业</w:t>
            </w:r>
          </w:p>
        </w:tc>
        <w:tc>
          <w:tcPr>
            <w:tcW w:w="1512" w:type="dxa"/>
            <w:tcBorders>
              <w:top w:val="nil"/>
              <w:left w:val="nil"/>
              <w:bottom w:val="single" w:color="auto" w:sz="4" w:space="0"/>
              <w:right w:val="single" w:color="auto" w:sz="4" w:space="0"/>
            </w:tcBorders>
            <w:noWrap w:val="0"/>
            <w:vAlign w:val="center"/>
          </w:tcPr>
          <w:p w14:paraId="2AA37D13">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100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X</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300</w:t>
            </w:r>
          </w:p>
        </w:tc>
        <w:tc>
          <w:tcPr>
            <w:tcW w:w="1779" w:type="dxa"/>
            <w:tcBorders>
              <w:top w:val="nil"/>
              <w:left w:val="nil"/>
              <w:bottom w:val="single" w:color="auto" w:sz="4" w:space="0"/>
              <w:right w:val="single" w:color="auto" w:sz="4" w:space="0"/>
            </w:tcBorders>
            <w:noWrap w:val="0"/>
            <w:vAlign w:val="center"/>
          </w:tcPr>
          <w:p w14:paraId="5DF3C059">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1000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Y</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10000</w:t>
            </w:r>
          </w:p>
        </w:tc>
        <w:tc>
          <w:tcPr>
            <w:tcW w:w="1677" w:type="dxa"/>
            <w:tcBorders>
              <w:top w:val="nil"/>
              <w:left w:val="nil"/>
              <w:bottom w:val="single" w:color="auto" w:sz="4" w:space="0"/>
              <w:right w:val="single" w:color="auto" w:sz="8" w:space="0"/>
            </w:tcBorders>
            <w:noWrap w:val="0"/>
            <w:vAlign w:val="center"/>
          </w:tcPr>
          <w:p w14:paraId="7CD432E9">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252" w:type="dxa"/>
            <w:tcBorders>
              <w:top w:val="nil"/>
              <w:left w:val="nil"/>
              <w:bottom w:val="single" w:color="auto" w:sz="4" w:space="0"/>
              <w:right w:val="single" w:color="auto" w:sz="4" w:space="0"/>
            </w:tcBorders>
            <w:noWrap w:val="0"/>
            <w:vAlign w:val="center"/>
          </w:tcPr>
          <w:p w14:paraId="5E330DA8">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10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X</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100</w:t>
            </w:r>
          </w:p>
        </w:tc>
        <w:tc>
          <w:tcPr>
            <w:tcW w:w="1494" w:type="dxa"/>
            <w:tcBorders>
              <w:top w:val="nil"/>
              <w:left w:val="nil"/>
              <w:bottom w:val="single" w:color="auto" w:sz="4" w:space="0"/>
              <w:right w:val="single" w:color="auto" w:sz="4" w:space="0"/>
            </w:tcBorders>
            <w:noWrap w:val="0"/>
            <w:vAlign w:val="center"/>
          </w:tcPr>
          <w:p w14:paraId="1745F611">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 xml:space="preserve"> 50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Y</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1000</w:t>
            </w:r>
          </w:p>
        </w:tc>
        <w:tc>
          <w:tcPr>
            <w:tcW w:w="1536" w:type="dxa"/>
            <w:tcBorders>
              <w:top w:val="nil"/>
              <w:left w:val="nil"/>
              <w:bottom w:val="single" w:color="auto" w:sz="4" w:space="0"/>
              <w:right w:val="single" w:color="auto" w:sz="8" w:space="0"/>
            </w:tcBorders>
            <w:noWrap w:val="0"/>
            <w:vAlign w:val="center"/>
          </w:tcPr>
          <w:p w14:paraId="3886AFCB">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297" w:type="dxa"/>
            <w:tcBorders>
              <w:top w:val="nil"/>
              <w:left w:val="nil"/>
              <w:bottom w:val="single" w:color="auto" w:sz="4" w:space="0"/>
              <w:right w:val="single" w:color="auto" w:sz="4" w:space="0"/>
            </w:tcBorders>
            <w:noWrap w:val="0"/>
            <w:vAlign w:val="center"/>
          </w:tcPr>
          <w:p w14:paraId="593940B7">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X</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10</w:t>
            </w:r>
          </w:p>
        </w:tc>
        <w:tc>
          <w:tcPr>
            <w:tcW w:w="1287" w:type="dxa"/>
            <w:tcBorders>
              <w:top w:val="nil"/>
              <w:left w:val="nil"/>
              <w:bottom w:val="single" w:color="auto" w:sz="4" w:space="0"/>
              <w:right w:val="single" w:color="auto" w:sz="4" w:space="0"/>
            </w:tcBorders>
            <w:noWrap w:val="0"/>
            <w:vAlign w:val="center"/>
          </w:tcPr>
          <w:p w14:paraId="59CBDC5E">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Y</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50</w:t>
            </w:r>
          </w:p>
        </w:tc>
        <w:tc>
          <w:tcPr>
            <w:tcW w:w="1234" w:type="dxa"/>
            <w:tcBorders>
              <w:top w:val="nil"/>
              <w:left w:val="nil"/>
              <w:bottom w:val="single" w:color="auto" w:sz="4" w:space="0"/>
              <w:right w:val="single" w:color="auto" w:sz="8" w:space="0"/>
            </w:tcBorders>
            <w:noWrap w:val="0"/>
            <w:vAlign w:val="center"/>
          </w:tcPr>
          <w:p w14:paraId="25E41A0F">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14:paraId="23A2E2F8">
        <w:tblPrEx>
          <w:tblCellMar>
            <w:top w:w="0" w:type="dxa"/>
            <w:left w:w="108" w:type="dxa"/>
            <w:bottom w:w="0" w:type="dxa"/>
            <w:right w:w="108" w:type="dxa"/>
          </w:tblCellMar>
        </w:tblPrEx>
        <w:trPr>
          <w:trHeight w:val="355" w:hRule="atLeast"/>
          <w:jc w:val="center"/>
        </w:trPr>
        <w:tc>
          <w:tcPr>
            <w:tcW w:w="2003" w:type="dxa"/>
            <w:tcBorders>
              <w:top w:val="nil"/>
              <w:left w:val="single" w:color="auto" w:sz="8" w:space="0"/>
              <w:bottom w:val="single" w:color="auto" w:sz="4" w:space="0"/>
              <w:right w:val="single" w:color="auto" w:sz="8" w:space="0"/>
            </w:tcBorders>
            <w:noWrap w:val="0"/>
            <w:vAlign w:val="bottom"/>
          </w:tcPr>
          <w:p w14:paraId="4644EC1F">
            <w:pPr>
              <w:widowControl/>
              <w:wordWrap w:val="0"/>
              <w:adjustRightInd/>
              <w:spacing w:line="240" w:lineRule="auto"/>
              <w:jc w:val="left"/>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13</w:t>
            </w:r>
            <w:r>
              <w:rPr>
                <w:rFonts w:hint="eastAsia" w:ascii="宋体" w:hAnsi="宋体" w:eastAsia="宋体" w:cs="宋体"/>
                <w:color w:val="auto"/>
                <w:kern w:val="0"/>
                <w:sz w:val="20"/>
                <w:szCs w:val="20"/>
                <w:highlight w:val="none"/>
              </w:rPr>
              <w:t>、房地产开发经营</w:t>
            </w:r>
          </w:p>
        </w:tc>
        <w:tc>
          <w:tcPr>
            <w:tcW w:w="1512" w:type="dxa"/>
            <w:tcBorders>
              <w:top w:val="nil"/>
              <w:left w:val="nil"/>
              <w:bottom w:val="single" w:color="auto" w:sz="4" w:space="0"/>
              <w:right w:val="single" w:color="auto" w:sz="4" w:space="0"/>
            </w:tcBorders>
            <w:noWrap w:val="0"/>
            <w:vAlign w:val="center"/>
          </w:tcPr>
          <w:p w14:paraId="37391734">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779" w:type="dxa"/>
            <w:tcBorders>
              <w:top w:val="nil"/>
              <w:left w:val="nil"/>
              <w:bottom w:val="single" w:color="auto" w:sz="4" w:space="0"/>
              <w:right w:val="single" w:color="auto" w:sz="4" w:space="0"/>
            </w:tcBorders>
            <w:noWrap w:val="0"/>
            <w:vAlign w:val="center"/>
          </w:tcPr>
          <w:p w14:paraId="448DBAA5">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1000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Y</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200000</w:t>
            </w:r>
          </w:p>
        </w:tc>
        <w:tc>
          <w:tcPr>
            <w:tcW w:w="1677" w:type="dxa"/>
            <w:tcBorders>
              <w:top w:val="nil"/>
              <w:left w:val="nil"/>
              <w:bottom w:val="single" w:color="auto" w:sz="4" w:space="0"/>
              <w:right w:val="single" w:color="auto" w:sz="8" w:space="0"/>
            </w:tcBorders>
            <w:noWrap w:val="0"/>
            <w:vAlign w:val="center"/>
          </w:tcPr>
          <w:p w14:paraId="09B1A5C9">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5000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Z</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10000</w:t>
            </w:r>
          </w:p>
        </w:tc>
        <w:tc>
          <w:tcPr>
            <w:tcW w:w="1252" w:type="dxa"/>
            <w:tcBorders>
              <w:top w:val="nil"/>
              <w:left w:val="nil"/>
              <w:bottom w:val="single" w:color="auto" w:sz="4" w:space="0"/>
              <w:right w:val="single" w:color="auto" w:sz="4" w:space="0"/>
            </w:tcBorders>
            <w:noWrap w:val="0"/>
            <w:vAlign w:val="center"/>
          </w:tcPr>
          <w:p w14:paraId="6ACAF81A">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494" w:type="dxa"/>
            <w:tcBorders>
              <w:top w:val="nil"/>
              <w:left w:val="nil"/>
              <w:bottom w:val="single" w:color="auto" w:sz="4" w:space="0"/>
              <w:right w:val="single" w:color="auto" w:sz="4" w:space="0"/>
            </w:tcBorders>
            <w:noWrap w:val="0"/>
            <w:vAlign w:val="center"/>
          </w:tcPr>
          <w:p w14:paraId="385E353E">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100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Y</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1000</w:t>
            </w:r>
          </w:p>
        </w:tc>
        <w:tc>
          <w:tcPr>
            <w:tcW w:w="1536" w:type="dxa"/>
            <w:tcBorders>
              <w:top w:val="nil"/>
              <w:left w:val="nil"/>
              <w:bottom w:val="single" w:color="auto" w:sz="4" w:space="0"/>
              <w:right w:val="single" w:color="auto" w:sz="8" w:space="0"/>
            </w:tcBorders>
            <w:noWrap w:val="0"/>
            <w:vAlign w:val="center"/>
          </w:tcPr>
          <w:p w14:paraId="49860A3A">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2000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Z</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5000</w:t>
            </w:r>
          </w:p>
        </w:tc>
        <w:tc>
          <w:tcPr>
            <w:tcW w:w="1297" w:type="dxa"/>
            <w:tcBorders>
              <w:top w:val="nil"/>
              <w:left w:val="nil"/>
              <w:bottom w:val="single" w:color="auto" w:sz="4" w:space="0"/>
              <w:right w:val="single" w:color="auto" w:sz="4" w:space="0"/>
            </w:tcBorders>
            <w:noWrap w:val="0"/>
            <w:vAlign w:val="center"/>
          </w:tcPr>
          <w:p w14:paraId="7CD82E21">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287" w:type="dxa"/>
            <w:tcBorders>
              <w:top w:val="nil"/>
              <w:left w:val="nil"/>
              <w:bottom w:val="single" w:color="auto" w:sz="4" w:space="0"/>
              <w:right w:val="single" w:color="auto" w:sz="4" w:space="0"/>
            </w:tcBorders>
            <w:noWrap w:val="0"/>
            <w:vAlign w:val="center"/>
          </w:tcPr>
          <w:p w14:paraId="0D9D727D">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Y</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100</w:t>
            </w:r>
          </w:p>
        </w:tc>
        <w:tc>
          <w:tcPr>
            <w:tcW w:w="1234" w:type="dxa"/>
            <w:tcBorders>
              <w:top w:val="nil"/>
              <w:left w:val="nil"/>
              <w:bottom w:val="single" w:color="auto" w:sz="4" w:space="0"/>
              <w:right w:val="single" w:color="auto" w:sz="8" w:space="0"/>
            </w:tcBorders>
            <w:noWrap w:val="0"/>
            <w:vAlign w:val="center"/>
          </w:tcPr>
          <w:p w14:paraId="0E2A3A31">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Z</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2000</w:t>
            </w:r>
          </w:p>
        </w:tc>
      </w:tr>
      <w:tr w14:paraId="6607D8E2">
        <w:tblPrEx>
          <w:tblCellMar>
            <w:top w:w="0" w:type="dxa"/>
            <w:left w:w="108" w:type="dxa"/>
            <w:bottom w:w="0" w:type="dxa"/>
            <w:right w:w="108" w:type="dxa"/>
          </w:tblCellMar>
        </w:tblPrEx>
        <w:trPr>
          <w:trHeight w:val="355" w:hRule="atLeast"/>
          <w:jc w:val="center"/>
        </w:trPr>
        <w:tc>
          <w:tcPr>
            <w:tcW w:w="2003" w:type="dxa"/>
            <w:tcBorders>
              <w:top w:val="nil"/>
              <w:left w:val="single" w:color="auto" w:sz="8" w:space="0"/>
              <w:bottom w:val="single" w:color="auto" w:sz="4" w:space="0"/>
              <w:right w:val="single" w:color="auto" w:sz="8" w:space="0"/>
            </w:tcBorders>
            <w:noWrap w:val="0"/>
            <w:vAlign w:val="bottom"/>
          </w:tcPr>
          <w:p w14:paraId="670A8F0D">
            <w:pPr>
              <w:widowControl/>
              <w:wordWrap w:val="0"/>
              <w:adjustRightInd/>
              <w:spacing w:line="240" w:lineRule="auto"/>
              <w:jc w:val="left"/>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14</w:t>
            </w:r>
            <w:r>
              <w:rPr>
                <w:rFonts w:hint="eastAsia" w:ascii="宋体" w:hAnsi="宋体" w:eastAsia="宋体" w:cs="宋体"/>
                <w:color w:val="auto"/>
                <w:kern w:val="0"/>
                <w:sz w:val="20"/>
                <w:szCs w:val="20"/>
                <w:highlight w:val="none"/>
              </w:rPr>
              <w:t>、物业管理</w:t>
            </w:r>
          </w:p>
        </w:tc>
        <w:tc>
          <w:tcPr>
            <w:tcW w:w="1512" w:type="dxa"/>
            <w:tcBorders>
              <w:top w:val="nil"/>
              <w:left w:val="nil"/>
              <w:bottom w:val="single" w:color="auto" w:sz="4" w:space="0"/>
              <w:right w:val="single" w:color="auto" w:sz="4" w:space="0"/>
            </w:tcBorders>
            <w:noWrap w:val="0"/>
            <w:vAlign w:val="center"/>
          </w:tcPr>
          <w:p w14:paraId="4A9CE63D">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300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X</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1000</w:t>
            </w:r>
          </w:p>
        </w:tc>
        <w:tc>
          <w:tcPr>
            <w:tcW w:w="1779" w:type="dxa"/>
            <w:tcBorders>
              <w:top w:val="nil"/>
              <w:left w:val="nil"/>
              <w:bottom w:val="single" w:color="auto" w:sz="4" w:space="0"/>
              <w:right w:val="single" w:color="auto" w:sz="4" w:space="0"/>
            </w:tcBorders>
            <w:noWrap w:val="0"/>
            <w:vAlign w:val="center"/>
          </w:tcPr>
          <w:p w14:paraId="360826C6">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1000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Y</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5000</w:t>
            </w:r>
          </w:p>
        </w:tc>
        <w:tc>
          <w:tcPr>
            <w:tcW w:w="1677" w:type="dxa"/>
            <w:tcBorders>
              <w:top w:val="nil"/>
              <w:left w:val="nil"/>
              <w:bottom w:val="single" w:color="auto" w:sz="4" w:space="0"/>
              <w:right w:val="single" w:color="auto" w:sz="8" w:space="0"/>
            </w:tcBorders>
            <w:noWrap w:val="0"/>
            <w:vAlign w:val="center"/>
          </w:tcPr>
          <w:p w14:paraId="3CE17E7A">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252" w:type="dxa"/>
            <w:tcBorders>
              <w:top w:val="nil"/>
              <w:left w:val="nil"/>
              <w:bottom w:val="single" w:color="auto" w:sz="4" w:space="0"/>
              <w:right w:val="single" w:color="auto" w:sz="4" w:space="0"/>
            </w:tcBorders>
            <w:noWrap w:val="0"/>
            <w:vAlign w:val="center"/>
          </w:tcPr>
          <w:p w14:paraId="077F6CB0">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100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X</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300</w:t>
            </w:r>
          </w:p>
        </w:tc>
        <w:tc>
          <w:tcPr>
            <w:tcW w:w="1494" w:type="dxa"/>
            <w:tcBorders>
              <w:top w:val="nil"/>
              <w:left w:val="nil"/>
              <w:bottom w:val="single" w:color="auto" w:sz="4" w:space="0"/>
              <w:right w:val="single" w:color="auto" w:sz="4" w:space="0"/>
            </w:tcBorders>
            <w:noWrap w:val="0"/>
            <w:vAlign w:val="center"/>
          </w:tcPr>
          <w:p w14:paraId="6550E34D">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500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Y</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1000</w:t>
            </w:r>
          </w:p>
        </w:tc>
        <w:tc>
          <w:tcPr>
            <w:tcW w:w="1536" w:type="dxa"/>
            <w:tcBorders>
              <w:top w:val="nil"/>
              <w:left w:val="nil"/>
              <w:bottom w:val="single" w:color="auto" w:sz="4" w:space="0"/>
              <w:right w:val="single" w:color="auto" w:sz="8" w:space="0"/>
            </w:tcBorders>
            <w:noWrap w:val="0"/>
            <w:vAlign w:val="center"/>
          </w:tcPr>
          <w:p w14:paraId="332F7E86">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297" w:type="dxa"/>
            <w:tcBorders>
              <w:top w:val="nil"/>
              <w:left w:val="nil"/>
              <w:bottom w:val="single" w:color="auto" w:sz="4" w:space="0"/>
              <w:right w:val="single" w:color="auto" w:sz="4" w:space="0"/>
            </w:tcBorders>
            <w:noWrap w:val="0"/>
            <w:vAlign w:val="center"/>
          </w:tcPr>
          <w:p w14:paraId="2F83DCED">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X</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100</w:t>
            </w:r>
          </w:p>
        </w:tc>
        <w:tc>
          <w:tcPr>
            <w:tcW w:w="1287" w:type="dxa"/>
            <w:tcBorders>
              <w:top w:val="nil"/>
              <w:left w:val="nil"/>
              <w:bottom w:val="single" w:color="auto" w:sz="4" w:space="0"/>
              <w:right w:val="single" w:color="auto" w:sz="4" w:space="0"/>
            </w:tcBorders>
            <w:noWrap w:val="0"/>
            <w:vAlign w:val="center"/>
          </w:tcPr>
          <w:p w14:paraId="25836F72">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Y</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500</w:t>
            </w:r>
          </w:p>
        </w:tc>
        <w:tc>
          <w:tcPr>
            <w:tcW w:w="1234" w:type="dxa"/>
            <w:tcBorders>
              <w:top w:val="nil"/>
              <w:left w:val="nil"/>
              <w:bottom w:val="single" w:color="auto" w:sz="4" w:space="0"/>
              <w:right w:val="single" w:color="auto" w:sz="8" w:space="0"/>
            </w:tcBorders>
            <w:noWrap w:val="0"/>
            <w:vAlign w:val="center"/>
          </w:tcPr>
          <w:p w14:paraId="3FFC0D84">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14:paraId="0BEC550E">
        <w:tblPrEx>
          <w:tblCellMar>
            <w:top w:w="0" w:type="dxa"/>
            <w:left w:w="108" w:type="dxa"/>
            <w:bottom w:w="0" w:type="dxa"/>
            <w:right w:w="108" w:type="dxa"/>
          </w:tblCellMar>
        </w:tblPrEx>
        <w:trPr>
          <w:trHeight w:val="355" w:hRule="atLeast"/>
          <w:jc w:val="center"/>
        </w:trPr>
        <w:tc>
          <w:tcPr>
            <w:tcW w:w="2003" w:type="dxa"/>
            <w:tcBorders>
              <w:top w:val="nil"/>
              <w:left w:val="single" w:color="auto" w:sz="8" w:space="0"/>
              <w:bottom w:val="single" w:color="auto" w:sz="4" w:space="0"/>
              <w:right w:val="single" w:color="auto" w:sz="8" w:space="0"/>
            </w:tcBorders>
            <w:noWrap w:val="0"/>
            <w:vAlign w:val="bottom"/>
          </w:tcPr>
          <w:p w14:paraId="45EEE55E">
            <w:pPr>
              <w:widowControl/>
              <w:wordWrap w:val="0"/>
              <w:adjustRightInd/>
              <w:spacing w:line="240" w:lineRule="auto"/>
              <w:jc w:val="left"/>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15</w:t>
            </w:r>
            <w:r>
              <w:rPr>
                <w:rFonts w:hint="eastAsia" w:ascii="宋体" w:hAnsi="宋体" w:eastAsia="宋体" w:cs="宋体"/>
                <w:color w:val="auto"/>
                <w:kern w:val="0"/>
                <w:sz w:val="20"/>
                <w:szCs w:val="20"/>
                <w:highlight w:val="none"/>
              </w:rPr>
              <w:t>、租赁和商务服务业</w:t>
            </w:r>
          </w:p>
        </w:tc>
        <w:tc>
          <w:tcPr>
            <w:tcW w:w="1512" w:type="dxa"/>
            <w:tcBorders>
              <w:top w:val="nil"/>
              <w:left w:val="nil"/>
              <w:bottom w:val="single" w:color="auto" w:sz="4" w:space="0"/>
              <w:right w:val="single" w:color="auto" w:sz="4" w:space="0"/>
            </w:tcBorders>
            <w:noWrap w:val="0"/>
            <w:vAlign w:val="center"/>
          </w:tcPr>
          <w:p w14:paraId="5FFE75DE">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100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X</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300</w:t>
            </w:r>
          </w:p>
        </w:tc>
        <w:tc>
          <w:tcPr>
            <w:tcW w:w="1779" w:type="dxa"/>
            <w:tcBorders>
              <w:top w:val="nil"/>
              <w:left w:val="nil"/>
              <w:bottom w:val="single" w:color="auto" w:sz="4" w:space="0"/>
              <w:right w:val="single" w:color="auto" w:sz="4" w:space="0"/>
            </w:tcBorders>
            <w:noWrap w:val="0"/>
            <w:vAlign w:val="center"/>
          </w:tcPr>
          <w:p w14:paraId="3EF90635">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677" w:type="dxa"/>
            <w:tcBorders>
              <w:top w:val="nil"/>
              <w:left w:val="nil"/>
              <w:bottom w:val="single" w:color="auto" w:sz="4" w:space="0"/>
              <w:right w:val="single" w:color="auto" w:sz="8" w:space="0"/>
            </w:tcBorders>
            <w:noWrap w:val="0"/>
            <w:vAlign w:val="center"/>
          </w:tcPr>
          <w:p w14:paraId="15E1D735">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8000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Z</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120000</w:t>
            </w:r>
          </w:p>
        </w:tc>
        <w:tc>
          <w:tcPr>
            <w:tcW w:w="1252" w:type="dxa"/>
            <w:tcBorders>
              <w:top w:val="nil"/>
              <w:left w:val="nil"/>
              <w:bottom w:val="single" w:color="auto" w:sz="4" w:space="0"/>
              <w:right w:val="single" w:color="auto" w:sz="4" w:space="0"/>
            </w:tcBorders>
            <w:noWrap w:val="0"/>
            <w:vAlign w:val="center"/>
          </w:tcPr>
          <w:p w14:paraId="798869C6">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10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X</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100</w:t>
            </w:r>
          </w:p>
        </w:tc>
        <w:tc>
          <w:tcPr>
            <w:tcW w:w="1494" w:type="dxa"/>
            <w:tcBorders>
              <w:top w:val="nil"/>
              <w:left w:val="nil"/>
              <w:bottom w:val="single" w:color="auto" w:sz="4" w:space="0"/>
              <w:right w:val="single" w:color="auto" w:sz="4" w:space="0"/>
            </w:tcBorders>
            <w:noWrap w:val="0"/>
            <w:vAlign w:val="center"/>
          </w:tcPr>
          <w:p w14:paraId="61B5602B">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536" w:type="dxa"/>
            <w:tcBorders>
              <w:top w:val="nil"/>
              <w:left w:val="nil"/>
              <w:bottom w:val="single" w:color="auto" w:sz="4" w:space="0"/>
              <w:right w:val="single" w:color="auto" w:sz="8" w:space="0"/>
            </w:tcBorders>
            <w:noWrap w:val="0"/>
            <w:vAlign w:val="center"/>
          </w:tcPr>
          <w:p w14:paraId="139E7862">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 xml:space="preserve"> 100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Z</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8000</w:t>
            </w:r>
          </w:p>
        </w:tc>
        <w:tc>
          <w:tcPr>
            <w:tcW w:w="1297" w:type="dxa"/>
            <w:tcBorders>
              <w:top w:val="nil"/>
              <w:left w:val="nil"/>
              <w:bottom w:val="single" w:color="auto" w:sz="4" w:space="0"/>
              <w:right w:val="single" w:color="auto" w:sz="4" w:space="0"/>
            </w:tcBorders>
            <w:noWrap w:val="0"/>
            <w:vAlign w:val="center"/>
          </w:tcPr>
          <w:p w14:paraId="4C5F0415">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X</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10</w:t>
            </w:r>
          </w:p>
        </w:tc>
        <w:tc>
          <w:tcPr>
            <w:tcW w:w="1287" w:type="dxa"/>
            <w:tcBorders>
              <w:top w:val="nil"/>
              <w:left w:val="nil"/>
              <w:bottom w:val="single" w:color="auto" w:sz="4" w:space="0"/>
              <w:right w:val="single" w:color="auto" w:sz="4" w:space="0"/>
            </w:tcBorders>
            <w:noWrap w:val="0"/>
            <w:vAlign w:val="center"/>
          </w:tcPr>
          <w:p w14:paraId="42576285">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234" w:type="dxa"/>
            <w:tcBorders>
              <w:top w:val="nil"/>
              <w:left w:val="nil"/>
              <w:bottom w:val="single" w:color="auto" w:sz="4" w:space="0"/>
              <w:right w:val="single" w:color="auto" w:sz="8" w:space="0"/>
            </w:tcBorders>
            <w:noWrap w:val="0"/>
            <w:vAlign w:val="center"/>
          </w:tcPr>
          <w:p w14:paraId="3B18259F">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Z</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100</w:t>
            </w:r>
          </w:p>
        </w:tc>
      </w:tr>
      <w:tr w14:paraId="660B5DB6">
        <w:tblPrEx>
          <w:tblCellMar>
            <w:top w:w="0" w:type="dxa"/>
            <w:left w:w="108" w:type="dxa"/>
            <w:bottom w:w="0" w:type="dxa"/>
            <w:right w:w="108" w:type="dxa"/>
          </w:tblCellMar>
        </w:tblPrEx>
        <w:trPr>
          <w:trHeight w:val="355" w:hRule="atLeast"/>
          <w:jc w:val="center"/>
        </w:trPr>
        <w:tc>
          <w:tcPr>
            <w:tcW w:w="2003" w:type="dxa"/>
            <w:tcBorders>
              <w:top w:val="nil"/>
              <w:left w:val="single" w:color="auto" w:sz="8" w:space="0"/>
              <w:bottom w:val="single" w:color="auto" w:sz="8" w:space="0"/>
              <w:right w:val="single" w:color="auto" w:sz="8" w:space="0"/>
            </w:tcBorders>
            <w:noWrap w:val="0"/>
            <w:vAlign w:val="bottom"/>
          </w:tcPr>
          <w:p w14:paraId="5E4C6CCF">
            <w:pPr>
              <w:widowControl/>
              <w:wordWrap w:val="0"/>
              <w:adjustRightInd/>
              <w:spacing w:line="240" w:lineRule="auto"/>
              <w:jc w:val="left"/>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16</w:t>
            </w:r>
            <w:r>
              <w:rPr>
                <w:rFonts w:hint="eastAsia" w:ascii="宋体" w:hAnsi="宋体" w:eastAsia="宋体" w:cs="宋体"/>
                <w:color w:val="auto"/>
                <w:kern w:val="0"/>
                <w:sz w:val="20"/>
                <w:szCs w:val="20"/>
                <w:highlight w:val="none"/>
              </w:rPr>
              <w:t>、其他未列明行业</w:t>
            </w:r>
          </w:p>
        </w:tc>
        <w:tc>
          <w:tcPr>
            <w:tcW w:w="1512" w:type="dxa"/>
            <w:tcBorders>
              <w:top w:val="nil"/>
              <w:left w:val="nil"/>
              <w:bottom w:val="single" w:color="auto" w:sz="8" w:space="0"/>
              <w:right w:val="single" w:color="auto" w:sz="4" w:space="0"/>
            </w:tcBorders>
            <w:noWrap w:val="0"/>
            <w:vAlign w:val="center"/>
          </w:tcPr>
          <w:p w14:paraId="44EBB2F8">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100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X</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300</w:t>
            </w:r>
          </w:p>
        </w:tc>
        <w:tc>
          <w:tcPr>
            <w:tcW w:w="1779" w:type="dxa"/>
            <w:tcBorders>
              <w:top w:val="nil"/>
              <w:left w:val="nil"/>
              <w:bottom w:val="single" w:color="auto" w:sz="8" w:space="0"/>
              <w:right w:val="single" w:color="auto" w:sz="4" w:space="0"/>
            </w:tcBorders>
            <w:noWrap w:val="0"/>
            <w:vAlign w:val="center"/>
          </w:tcPr>
          <w:p w14:paraId="5B271725">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677" w:type="dxa"/>
            <w:tcBorders>
              <w:top w:val="nil"/>
              <w:left w:val="nil"/>
              <w:bottom w:val="single" w:color="auto" w:sz="8" w:space="0"/>
              <w:right w:val="single" w:color="auto" w:sz="8" w:space="0"/>
            </w:tcBorders>
            <w:noWrap w:val="0"/>
            <w:vAlign w:val="center"/>
          </w:tcPr>
          <w:p w14:paraId="0399FAD1">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252" w:type="dxa"/>
            <w:tcBorders>
              <w:top w:val="nil"/>
              <w:left w:val="nil"/>
              <w:bottom w:val="single" w:color="auto" w:sz="8" w:space="0"/>
              <w:right w:val="single" w:color="auto" w:sz="4" w:space="0"/>
            </w:tcBorders>
            <w:noWrap w:val="0"/>
            <w:vAlign w:val="center"/>
          </w:tcPr>
          <w:p w14:paraId="3CCABF72">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10</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X</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100</w:t>
            </w:r>
          </w:p>
        </w:tc>
        <w:tc>
          <w:tcPr>
            <w:tcW w:w="1494" w:type="dxa"/>
            <w:tcBorders>
              <w:top w:val="nil"/>
              <w:left w:val="nil"/>
              <w:bottom w:val="single" w:color="auto" w:sz="8" w:space="0"/>
              <w:right w:val="single" w:color="auto" w:sz="4" w:space="0"/>
            </w:tcBorders>
            <w:noWrap w:val="0"/>
            <w:vAlign w:val="center"/>
          </w:tcPr>
          <w:p w14:paraId="3F334655">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536" w:type="dxa"/>
            <w:tcBorders>
              <w:top w:val="nil"/>
              <w:left w:val="nil"/>
              <w:bottom w:val="single" w:color="auto" w:sz="8" w:space="0"/>
              <w:right w:val="single" w:color="auto" w:sz="8" w:space="0"/>
            </w:tcBorders>
            <w:noWrap w:val="0"/>
            <w:vAlign w:val="center"/>
          </w:tcPr>
          <w:p w14:paraId="3C873C4E">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297" w:type="dxa"/>
            <w:tcBorders>
              <w:top w:val="nil"/>
              <w:left w:val="nil"/>
              <w:bottom w:val="single" w:color="auto" w:sz="8" w:space="0"/>
              <w:right w:val="single" w:color="auto" w:sz="4" w:space="0"/>
            </w:tcBorders>
            <w:noWrap w:val="0"/>
            <w:vAlign w:val="center"/>
          </w:tcPr>
          <w:p w14:paraId="28321019">
            <w:pPr>
              <w:widowControl/>
              <w:wordWrap w:val="0"/>
              <w:adjustRightInd/>
              <w:spacing w:line="240" w:lineRule="auto"/>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X</w:t>
            </w:r>
            <w:r>
              <w:rPr>
                <w:rFonts w:hint="eastAsia" w:ascii="宋体" w:hAnsi="宋体" w:eastAsia="宋体" w:cs="宋体"/>
                <w:color w:val="auto"/>
                <w:kern w:val="0"/>
                <w:sz w:val="20"/>
                <w:szCs w:val="20"/>
                <w:highlight w:val="none"/>
              </w:rPr>
              <w:t>＜</w:t>
            </w:r>
            <w:r>
              <w:rPr>
                <w:rFonts w:ascii="宋体" w:hAnsi="宋体" w:eastAsia="宋体" w:cs="宋体"/>
                <w:color w:val="auto"/>
                <w:kern w:val="0"/>
                <w:sz w:val="20"/>
                <w:szCs w:val="20"/>
                <w:highlight w:val="none"/>
              </w:rPr>
              <w:t>10</w:t>
            </w:r>
          </w:p>
        </w:tc>
        <w:tc>
          <w:tcPr>
            <w:tcW w:w="1287" w:type="dxa"/>
            <w:tcBorders>
              <w:top w:val="nil"/>
              <w:left w:val="nil"/>
              <w:bottom w:val="single" w:color="auto" w:sz="8" w:space="0"/>
              <w:right w:val="single" w:color="auto" w:sz="4" w:space="0"/>
            </w:tcBorders>
            <w:noWrap w:val="0"/>
            <w:vAlign w:val="center"/>
          </w:tcPr>
          <w:p w14:paraId="5389F7DB">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234" w:type="dxa"/>
            <w:tcBorders>
              <w:top w:val="nil"/>
              <w:left w:val="nil"/>
              <w:bottom w:val="single" w:color="auto" w:sz="8" w:space="0"/>
              <w:right w:val="single" w:color="auto" w:sz="8" w:space="0"/>
            </w:tcBorders>
            <w:noWrap w:val="0"/>
            <w:vAlign w:val="center"/>
          </w:tcPr>
          <w:p w14:paraId="4FCF2C2D">
            <w:pPr>
              <w:widowControl/>
              <w:wordWrap w:val="0"/>
              <w:adjustRightInd/>
              <w:spacing w:line="240" w:lineRule="auto"/>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14:paraId="4048C6CE">
        <w:tblPrEx>
          <w:tblCellMar>
            <w:top w:w="0" w:type="dxa"/>
            <w:left w:w="108" w:type="dxa"/>
            <w:bottom w:w="0" w:type="dxa"/>
            <w:right w:w="108" w:type="dxa"/>
          </w:tblCellMar>
        </w:tblPrEx>
        <w:trPr>
          <w:trHeight w:val="1124" w:hRule="atLeast"/>
          <w:jc w:val="center"/>
        </w:trPr>
        <w:tc>
          <w:tcPr>
            <w:tcW w:w="15077" w:type="dxa"/>
            <w:gridSpan w:val="10"/>
            <w:tcBorders>
              <w:top w:val="nil"/>
              <w:left w:val="nil"/>
              <w:bottom w:val="nil"/>
              <w:right w:val="nil"/>
            </w:tcBorders>
            <w:noWrap w:val="0"/>
            <w:vAlign w:val="bottom"/>
          </w:tcPr>
          <w:p w14:paraId="7E1CCEB7">
            <w:pPr>
              <w:widowControl/>
              <w:wordWrap w:val="0"/>
              <w:adjustRightInd/>
              <w:spacing w:line="240" w:lineRule="auto"/>
              <w:jc w:val="left"/>
              <w:textAlignment w:val="auto"/>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说明　</w:t>
            </w:r>
            <w:r>
              <w:rPr>
                <w:rFonts w:ascii="宋体" w:hAnsi="宋体" w:eastAsia="宋体" w:cs="宋体"/>
                <w:color w:val="auto"/>
                <w:kern w:val="0"/>
                <w:sz w:val="20"/>
                <w:szCs w:val="20"/>
                <w:highlight w:val="none"/>
              </w:rPr>
              <w:t>1</w:t>
            </w:r>
            <w:r>
              <w:rPr>
                <w:rFonts w:hint="eastAsia" w:ascii="宋体" w:hAnsi="宋体" w:eastAsia="宋体" w:cs="宋体"/>
                <w:color w:val="auto"/>
                <w:kern w:val="0"/>
                <w:sz w:val="20"/>
                <w:szCs w:val="20"/>
                <w:highlight w:val="none"/>
              </w:rPr>
              <w:t>、企业类型的划分以统计部门的统计数据为依据。</w:t>
            </w:r>
          </w:p>
          <w:p w14:paraId="2609B158">
            <w:pPr>
              <w:widowControl/>
              <w:wordWrap w:val="0"/>
              <w:adjustRightInd/>
              <w:spacing w:line="240" w:lineRule="auto"/>
              <w:ind w:firstLine="600" w:firstLineChars="300"/>
              <w:jc w:val="left"/>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2</w:t>
            </w:r>
            <w:r>
              <w:rPr>
                <w:rFonts w:hint="eastAsia" w:ascii="宋体" w:hAnsi="宋体" w:eastAsia="宋体" w:cs="宋体"/>
                <w:color w:val="auto"/>
                <w:kern w:val="0"/>
                <w:sz w:val="20"/>
                <w:szCs w:val="20"/>
                <w:highlight w:val="none"/>
              </w:rPr>
              <w:t>、个体工商户和本规定以外的行业，参照本规定进行划型。</w:t>
            </w:r>
          </w:p>
          <w:p w14:paraId="1C2C66FF">
            <w:pPr>
              <w:widowControl/>
              <w:wordWrap w:val="0"/>
              <w:adjustRightInd/>
              <w:spacing w:line="240" w:lineRule="auto"/>
              <w:ind w:firstLine="600" w:firstLineChars="300"/>
              <w:jc w:val="left"/>
              <w:textAlignment w:val="auto"/>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3</w:t>
            </w:r>
            <w:r>
              <w:rPr>
                <w:rFonts w:hint="eastAsia" w:ascii="宋体" w:hAnsi="宋体" w:eastAsia="宋体" w:cs="宋体"/>
                <w:color w:val="auto"/>
                <w:kern w:val="0"/>
                <w:sz w:val="20"/>
                <w:szCs w:val="20"/>
                <w:highlight w:val="none"/>
              </w:rPr>
              <w:t>、本规定的中型企业标准上限即为大型企业标准的下限。</w:t>
            </w:r>
          </w:p>
        </w:tc>
      </w:tr>
    </w:tbl>
    <w:p w14:paraId="1C43228C">
      <w:pPr>
        <w:rPr>
          <w:color w:val="auto"/>
          <w:highlight w:val="none"/>
        </w:rPr>
        <w:sectPr>
          <w:headerReference r:id="rId17" w:type="default"/>
          <w:footerReference r:id="rId18" w:type="default"/>
          <w:pgSz w:w="16840" w:h="11907" w:orient="landscape"/>
          <w:pgMar w:top="1134" w:right="1276" w:bottom="1474" w:left="1242" w:header="720" w:footer="720" w:gutter="0"/>
          <w:pgBorders>
            <w:top w:val="none" w:sz="0" w:space="0"/>
            <w:left w:val="none" w:sz="0" w:space="0"/>
            <w:bottom w:val="none" w:sz="0" w:space="0"/>
            <w:right w:val="none" w:sz="0" w:space="0"/>
          </w:pgBorders>
          <w:cols w:space="720" w:num="1"/>
          <w:docGrid w:linePitch="285" w:charSpace="0"/>
        </w:sectPr>
      </w:pPr>
    </w:p>
    <w:p w14:paraId="15BE32B0">
      <w:pPr>
        <w:widowControl w:val="0"/>
        <w:spacing w:line="520" w:lineRule="exact"/>
        <w:ind w:firstLine="480"/>
        <w:jc w:val="center"/>
        <w:rPr>
          <w:rFonts w:ascii="Times New Roman" w:hAnsi="Times New Roman" w:eastAsia="方正书宋简体" w:cs="Times New Roman"/>
          <w:b/>
          <w:color w:val="auto"/>
          <w:kern w:val="2"/>
          <w:sz w:val="32"/>
          <w:szCs w:val="32"/>
          <w:highlight w:val="none"/>
          <w:lang w:val="en-US" w:eastAsia="zh-CN" w:bidi="ar-SA"/>
        </w:rPr>
      </w:pPr>
      <w:bookmarkStart w:id="127" w:name="OLE_LINK14"/>
      <w:bookmarkStart w:id="128" w:name="OLE_LINK13"/>
      <w:r>
        <w:rPr>
          <w:rFonts w:ascii="Times New Roman" w:hAnsi="Times New Roman" w:eastAsia="方正书宋简体" w:cs="Times New Roman"/>
          <w:b/>
          <w:color w:val="auto"/>
          <w:kern w:val="2"/>
          <w:sz w:val="32"/>
          <w:szCs w:val="32"/>
          <w:highlight w:val="none"/>
          <w:lang w:val="en-US" w:eastAsia="zh-CN" w:bidi="ar-SA"/>
        </w:rPr>
        <w:t>残疾人福利性单位声明函</w:t>
      </w:r>
    </w:p>
    <w:bookmarkEnd w:id="127"/>
    <w:bookmarkEnd w:id="128"/>
    <w:p w14:paraId="22145EC8">
      <w:pPr>
        <w:adjustRightInd/>
        <w:spacing w:line="588" w:lineRule="exact"/>
        <w:textAlignment w:val="auto"/>
        <w:rPr>
          <w:rFonts w:ascii="Times New Roman" w:hAnsi="Times New Roman" w:eastAsia="宋体" w:cs="Times New Roman"/>
          <w:b/>
          <w:color w:val="auto"/>
          <w:spacing w:val="6"/>
          <w:kern w:val="2"/>
          <w:sz w:val="21"/>
          <w:szCs w:val="21"/>
          <w:highlight w:val="none"/>
        </w:rPr>
      </w:pPr>
    </w:p>
    <w:p w14:paraId="51AC2442">
      <w:pPr>
        <w:adjustRightInd/>
        <w:spacing w:line="588" w:lineRule="exact"/>
        <w:ind w:firstLine="444" w:firstLineChars="200"/>
        <w:textAlignment w:val="auto"/>
        <w:rPr>
          <w:rFonts w:ascii="Times New Roman" w:hAnsi="Times New Roman" w:eastAsia="宋体" w:cs="Times New Roman"/>
          <w:color w:val="auto"/>
          <w:spacing w:val="6"/>
          <w:kern w:val="2"/>
          <w:sz w:val="21"/>
          <w:szCs w:val="21"/>
          <w:highlight w:val="none"/>
        </w:rPr>
      </w:pPr>
      <w:r>
        <w:rPr>
          <w:rFonts w:ascii="Times New Roman" w:hAnsi="Times New Roman" w:eastAsia="宋体" w:cs="Times New Roman"/>
          <w:color w:val="auto"/>
          <w:spacing w:val="6"/>
          <w:kern w:val="2"/>
          <w:sz w:val="21"/>
          <w:szCs w:val="21"/>
          <w:highlight w:val="none"/>
        </w:rPr>
        <w:t>本单位郑重声明，根据《财政部民政部中国残疾人联合会关于促进残疾人就业政府采购政策的通知》（财库</w:t>
      </w:r>
      <w:r>
        <w:rPr>
          <w:rFonts w:ascii="Times New Roman" w:hAnsi="Times New Roman" w:eastAsia="宋体" w:cs="Times New Roman"/>
          <w:color w:val="auto"/>
          <w:kern w:val="2"/>
          <w:sz w:val="21"/>
          <w:szCs w:val="21"/>
          <w:highlight w:val="none"/>
        </w:rPr>
        <w:t>〔2017〕 141</w:t>
      </w:r>
      <w:r>
        <w:rPr>
          <w:rFonts w:ascii="Times New Roman" w:hAnsi="Times New Roman" w:eastAsia="宋体" w:cs="Times New Roman"/>
          <w:color w:val="auto"/>
          <w:spacing w:val="6"/>
          <w:kern w:val="2"/>
          <w:sz w:val="21"/>
          <w:szCs w:val="21"/>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5C533D51">
      <w:pPr>
        <w:adjustRightInd/>
        <w:spacing w:line="588" w:lineRule="exact"/>
        <w:ind w:firstLine="444" w:firstLineChars="200"/>
        <w:textAlignment w:val="auto"/>
        <w:rPr>
          <w:rFonts w:ascii="Times New Roman" w:hAnsi="Times New Roman" w:eastAsia="宋体" w:cs="Times New Roman"/>
          <w:color w:val="auto"/>
          <w:spacing w:val="6"/>
          <w:kern w:val="2"/>
          <w:sz w:val="21"/>
          <w:szCs w:val="21"/>
          <w:highlight w:val="none"/>
        </w:rPr>
      </w:pPr>
      <w:r>
        <w:rPr>
          <w:rFonts w:ascii="Times New Roman" w:hAnsi="Times New Roman" w:eastAsia="宋体" w:cs="Times New Roman"/>
          <w:color w:val="auto"/>
          <w:spacing w:val="6"/>
          <w:kern w:val="2"/>
          <w:sz w:val="21"/>
          <w:szCs w:val="21"/>
          <w:highlight w:val="none"/>
        </w:rPr>
        <w:t>本单位对上述声明的真实性负责。如有虚假，将依法承担相应责任。</w:t>
      </w:r>
    </w:p>
    <w:p w14:paraId="2DA3122F">
      <w:pPr>
        <w:adjustRightInd/>
        <w:spacing w:line="588" w:lineRule="exact"/>
        <w:ind w:firstLine="444" w:firstLineChars="200"/>
        <w:textAlignment w:val="auto"/>
        <w:rPr>
          <w:rFonts w:ascii="Times New Roman" w:hAnsi="Times New Roman" w:eastAsia="宋体" w:cs="Times New Roman"/>
          <w:color w:val="auto"/>
          <w:spacing w:val="6"/>
          <w:kern w:val="2"/>
          <w:sz w:val="21"/>
          <w:szCs w:val="21"/>
          <w:highlight w:val="none"/>
        </w:rPr>
      </w:pPr>
    </w:p>
    <w:p w14:paraId="29B21427">
      <w:pPr>
        <w:adjustRightInd/>
        <w:spacing w:line="588" w:lineRule="exact"/>
        <w:ind w:firstLine="444" w:firstLineChars="200"/>
        <w:textAlignment w:val="auto"/>
        <w:rPr>
          <w:rFonts w:ascii="Times New Roman" w:hAnsi="Times New Roman" w:eastAsia="宋体" w:cs="Times New Roman"/>
          <w:color w:val="auto"/>
          <w:spacing w:val="6"/>
          <w:kern w:val="2"/>
          <w:sz w:val="21"/>
          <w:szCs w:val="21"/>
          <w:highlight w:val="none"/>
        </w:rPr>
      </w:pPr>
    </w:p>
    <w:p w14:paraId="62FC2AAA">
      <w:pPr>
        <w:tabs>
          <w:tab w:val="left" w:pos="4860"/>
        </w:tabs>
        <w:adjustRightInd/>
        <w:spacing w:line="588" w:lineRule="exact"/>
        <w:ind w:right="1560" w:firstLine="444" w:firstLineChars="200"/>
        <w:jc w:val="center"/>
        <w:textAlignment w:val="auto"/>
        <w:rPr>
          <w:rFonts w:ascii="Times New Roman" w:hAnsi="Times New Roman" w:eastAsia="宋体" w:cs="Times New Roman"/>
          <w:color w:val="auto"/>
          <w:spacing w:val="6"/>
          <w:kern w:val="2"/>
          <w:sz w:val="21"/>
          <w:szCs w:val="21"/>
          <w:highlight w:val="none"/>
        </w:rPr>
      </w:pPr>
      <w:r>
        <w:rPr>
          <w:rFonts w:hint="eastAsia" w:ascii="Times New Roman" w:hAnsi="Times New Roman" w:eastAsia="宋体" w:cs="Times New Roman"/>
          <w:color w:val="auto"/>
          <w:spacing w:val="6"/>
          <w:kern w:val="2"/>
          <w:sz w:val="21"/>
          <w:szCs w:val="21"/>
          <w:highlight w:val="none"/>
        </w:rPr>
        <w:t xml:space="preserve">                       </w:t>
      </w:r>
      <w:r>
        <w:rPr>
          <w:rFonts w:ascii="Times New Roman" w:hAnsi="Times New Roman" w:eastAsia="宋体" w:cs="Times New Roman"/>
          <w:color w:val="auto"/>
          <w:spacing w:val="6"/>
          <w:kern w:val="2"/>
          <w:sz w:val="21"/>
          <w:szCs w:val="21"/>
          <w:highlight w:val="none"/>
        </w:rPr>
        <w:t>单位名称（盖章）：</w:t>
      </w:r>
    </w:p>
    <w:p w14:paraId="72A80638">
      <w:pPr>
        <w:tabs>
          <w:tab w:val="left" w:pos="4860"/>
        </w:tabs>
        <w:adjustRightInd/>
        <w:spacing w:line="588" w:lineRule="exact"/>
        <w:ind w:right="1560" w:firstLine="444" w:firstLineChars="200"/>
        <w:jc w:val="center"/>
        <w:textAlignment w:val="auto"/>
        <w:rPr>
          <w:rFonts w:ascii="Times New Roman" w:hAnsi="Times New Roman" w:eastAsia="宋体" w:cs="Times New Roman"/>
          <w:color w:val="auto"/>
          <w:spacing w:val="6"/>
          <w:kern w:val="2"/>
          <w:sz w:val="21"/>
          <w:szCs w:val="21"/>
          <w:highlight w:val="none"/>
        </w:rPr>
      </w:pPr>
      <w:r>
        <w:rPr>
          <w:rFonts w:hint="eastAsia" w:ascii="Times New Roman" w:hAnsi="Times New Roman" w:eastAsia="宋体" w:cs="Times New Roman"/>
          <w:color w:val="auto"/>
          <w:spacing w:val="6"/>
          <w:kern w:val="2"/>
          <w:sz w:val="21"/>
          <w:szCs w:val="21"/>
          <w:highlight w:val="none"/>
        </w:rPr>
        <w:t xml:space="preserve">               </w:t>
      </w:r>
      <w:r>
        <w:rPr>
          <w:rFonts w:ascii="Times New Roman" w:hAnsi="Times New Roman" w:eastAsia="宋体" w:cs="Times New Roman"/>
          <w:color w:val="auto"/>
          <w:spacing w:val="6"/>
          <w:kern w:val="2"/>
          <w:sz w:val="21"/>
          <w:szCs w:val="21"/>
          <w:highlight w:val="none"/>
        </w:rPr>
        <w:t>日</w:t>
      </w:r>
      <w:r>
        <w:rPr>
          <w:rFonts w:hint="eastAsia" w:ascii="Times New Roman" w:hAnsi="Times New Roman" w:eastAsia="宋体" w:cs="Times New Roman"/>
          <w:color w:val="auto"/>
          <w:spacing w:val="6"/>
          <w:kern w:val="2"/>
          <w:sz w:val="21"/>
          <w:szCs w:val="21"/>
          <w:highlight w:val="none"/>
        </w:rPr>
        <w:t xml:space="preserve">    </w:t>
      </w:r>
      <w:r>
        <w:rPr>
          <w:rFonts w:ascii="Times New Roman" w:hAnsi="Times New Roman" w:eastAsia="宋体" w:cs="Times New Roman"/>
          <w:color w:val="auto"/>
          <w:spacing w:val="6"/>
          <w:kern w:val="2"/>
          <w:sz w:val="21"/>
          <w:szCs w:val="21"/>
          <w:highlight w:val="none"/>
        </w:rPr>
        <w:t>期：</w:t>
      </w:r>
    </w:p>
    <w:p w14:paraId="5CCCF875">
      <w:pPr>
        <w:widowControl w:val="0"/>
        <w:adjustRightInd/>
        <w:ind w:firstLine="504" w:firstLineChars="200"/>
        <w:jc w:val="both"/>
        <w:rPr>
          <w:rFonts w:ascii="Times New Roman" w:hAnsi="Times New Roman" w:eastAsia="仿宋_GB2312" w:cs="Times New Roman"/>
          <w:color w:val="auto"/>
          <w:spacing w:val="6"/>
          <w:kern w:val="2"/>
          <w:sz w:val="24"/>
          <w:highlight w:val="none"/>
          <w:lang w:val="en-US" w:eastAsia="zh-CN" w:bidi="ar-SA"/>
        </w:rPr>
      </w:pPr>
    </w:p>
    <w:p w14:paraId="6D0028FE">
      <w:pPr>
        <w:widowControl w:val="0"/>
        <w:adjustRightInd/>
        <w:ind w:firstLine="504" w:firstLineChars="200"/>
        <w:jc w:val="both"/>
        <w:rPr>
          <w:rFonts w:ascii="Times New Roman" w:hAnsi="Times New Roman" w:eastAsia="仿宋_GB2312" w:cs="Times New Roman"/>
          <w:color w:val="auto"/>
          <w:spacing w:val="6"/>
          <w:kern w:val="2"/>
          <w:sz w:val="24"/>
          <w:highlight w:val="none"/>
          <w:lang w:val="en-US" w:eastAsia="zh-CN" w:bidi="ar-SA"/>
        </w:rPr>
      </w:pPr>
    </w:p>
    <w:p w14:paraId="51A4077E">
      <w:pPr>
        <w:widowControl w:val="0"/>
        <w:adjustRightInd/>
        <w:jc w:val="both"/>
        <w:rPr>
          <w:rFonts w:ascii="Times New Roman" w:hAnsi="Times New Roman" w:eastAsia="仿宋_GB2312" w:cs="Times New Roman"/>
          <w:color w:val="auto"/>
          <w:spacing w:val="6"/>
          <w:kern w:val="2"/>
          <w:sz w:val="24"/>
          <w:highlight w:val="none"/>
          <w:lang w:val="en-US" w:eastAsia="zh-CN" w:bidi="ar-SA"/>
        </w:rPr>
      </w:pPr>
    </w:p>
    <w:p w14:paraId="13E00595">
      <w:pPr>
        <w:widowControl w:val="0"/>
        <w:adjustRightInd/>
        <w:ind w:firstLine="504" w:firstLineChars="200"/>
        <w:jc w:val="both"/>
        <w:rPr>
          <w:rFonts w:ascii="Times New Roman" w:hAnsi="Times New Roman" w:eastAsia="仿宋_GB2312" w:cs="Times New Roman"/>
          <w:color w:val="auto"/>
          <w:spacing w:val="6"/>
          <w:kern w:val="2"/>
          <w:sz w:val="24"/>
          <w:highlight w:val="none"/>
          <w:lang w:val="en-US" w:eastAsia="zh-CN" w:bidi="ar-SA"/>
        </w:rPr>
      </w:pPr>
    </w:p>
    <w:p w14:paraId="49150E5B">
      <w:pPr>
        <w:widowControl w:val="0"/>
        <w:adjustRightInd/>
        <w:ind w:firstLine="504" w:firstLineChars="200"/>
        <w:jc w:val="both"/>
        <w:rPr>
          <w:rFonts w:ascii="Times New Roman" w:hAnsi="Times New Roman" w:eastAsia="仿宋_GB2312" w:cs="Times New Roman"/>
          <w:color w:val="auto"/>
          <w:spacing w:val="6"/>
          <w:kern w:val="2"/>
          <w:sz w:val="24"/>
          <w:highlight w:val="none"/>
          <w:lang w:val="en-US" w:eastAsia="zh-CN" w:bidi="ar-SA"/>
        </w:rPr>
      </w:pPr>
    </w:p>
    <w:p w14:paraId="62A99B85">
      <w:pPr>
        <w:adjustRightInd/>
        <w:spacing w:line="240" w:lineRule="auto"/>
        <w:textAlignment w:val="auto"/>
        <w:rPr>
          <w:rFonts w:ascii="Times New Roman" w:hAnsi="Times New Roman" w:eastAsia="宋体" w:cs="Times New Roman"/>
          <w:color w:val="auto"/>
          <w:kern w:val="2"/>
          <w:sz w:val="24"/>
          <w:szCs w:val="20"/>
          <w:highlight w:val="none"/>
        </w:rPr>
      </w:pPr>
    </w:p>
    <w:p w14:paraId="239E0297">
      <w:pPr>
        <w:adjustRightInd/>
        <w:spacing w:line="240" w:lineRule="auto"/>
        <w:textAlignment w:val="auto"/>
        <w:rPr>
          <w:rFonts w:ascii="Times New Roman" w:hAnsi="Times New Roman" w:eastAsia="宋体" w:cs="Times New Roman"/>
          <w:color w:val="auto"/>
          <w:kern w:val="2"/>
          <w:sz w:val="21"/>
          <w:szCs w:val="20"/>
          <w:highlight w:val="none"/>
        </w:rPr>
      </w:pPr>
      <w:bookmarkStart w:id="129" w:name="_Toc12969"/>
      <w:r>
        <w:rPr>
          <w:rFonts w:ascii="Times New Roman" w:hAnsi="Times New Roman" w:eastAsia="宋体" w:cs="Times New Roman"/>
          <w:color w:val="auto"/>
          <w:kern w:val="2"/>
          <w:sz w:val="21"/>
          <w:szCs w:val="20"/>
          <w:highlight w:val="none"/>
        </w:rPr>
        <w:t>享受政府采购支持政策的残疾人福利性单位应当同时满足以下条件：</w:t>
      </w:r>
      <w:bookmarkEnd w:id="129"/>
    </w:p>
    <w:p w14:paraId="58535B7C">
      <w:pPr>
        <w:adjustRightInd/>
        <w:spacing w:line="240" w:lineRule="auto"/>
        <w:textAlignment w:val="auto"/>
        <w:rPr>
          <w:rFonts w:ascii="Times New Roman" w:hAnsi="Times New Roman" w:eastAsia="宋体" w:cs="Times New Roman"/>
          <w:color w:val="auto"/>
          <w:kern w:val="2"/>
          <w:sz w:val="21"/>
          <w:szCs w:val="20"/>
          <w:highlight w:val="none"/>
        </w:rPr>
      </w:pPr>
      <w:bookmarkStart w:id="130" w:name="_Toc25652"/>
      <w:r>
        <w:rPr>
          <w:rFonts w:ascii="Times New Roman" w:hAnsi="Times New Roman" w:eastAsia="宋体" w:cs="Times New Roman"/>
          <w:color w:val="auto"/>
          <w:kern w:val="2"/>
          <w:sz w:val="21"/>
          <w:szCs w:val="20"/>
          <w:highlight w:val="none"/>
        </w:rPr>
        <w:t>（一）安置的残疾人占本单位在职职工人数的比例不低于25%（含25%），并且安置的残疾人人数不少于10人（含10人）；</w:t>
      </w:r>
      <w:bookmarkEnd w:id="130"/>
    </w:p>
    <w:p w14:paraId="28CC402B">
      <w:pPr>
        <w:adjustRightInd/>
        <w:spacing w:line="240" w:lineRule="auto"/>
        <w:textAlignment w:val="auto"/>
        <w:rPr>
          <w:rFonts w:ascii="Times New Roman" w:hAnsi="Times New Roman" w:eastAsia="宋体" w:cs="Times New Roman"/>
          <w:color w:val="auto"/>
          <w:kern w:val="2"/>
          <w:sz w:val="21"/>
          <w:szCs w:val="20"/>
          <w:highlight w:val="none"/>
        </w:rPr>
      </w:pPr>
      <w:bookmarkStart w:id="131" w:name="_Toc9051"/>
      <w:r>
        <w:rPr>
          <w:rFonts w:ascii="Times New Roman" w:hAnsi="Times New Roman" w:eastAsia="宋体" w:cs="Times New Roman"/>
          <w:color w:val="auto"/>
          <w:kern w:val="2"/>
          <w:sz w:val="21"/>
          <w:szCs w:val="20"/>
          <w:highlight w:val="none"/>
        </w:rPr>
        <w:t>（二）依法与安置的每位残疾人签订了一年以上（含一年）的劳动合同或服务协议；</w:t>
      </w:r>
      <w:bookmarkEnd w:id="131"/>
    </w:p>
    <w:p w14:paraId="4E8F75FC">
      <w:pPr>
        <w:adjustRightInd/>
        <w:spacing w:line="240" w:lineRule="auto"/>
        <w:textAlignment w:val="auto"/>
        <w:rPr>
          <w:rFonts w:ascii="Times New Roman" w:hAnsi="Times New Roman" w:eastAsia="宋体" w:cs="Times New Roman"/>
          <w:color w:val="auto"/>
          <w:kern w:val="2"/>
          <w:sz w:val="21"/>
          <w:szCs w:val="20"/>
          <w:highlight w:val="none"/>
        </w:rPr>
      </w:pPr>
      <w:bookmarkStart w:id="132" w:name="_Toc16065"/>
      <w:r>
        <w:rPr>
          <w:rFonts w:ascii="Times New Roman" w:hAnsi="Times New Roman" w:eastAsia="宋体" w:cs="Times New Roman"/>
          <w:color w:val="auto"/>
          <w:kern w:val="2"/>
          <w:sz w:val="21"/>
          <w:szCs w:val="20"/>
          <w:highlight w:val="none"/>
        </w:rPr>
        <w:t>（三）为安置的每位残疾人按月足额缴纳了基本养老保险、基本医疗保险、失业保险、工伤保险和生育保险等社会保险费；</w:t>
      </w:r>
      <w:bookmarkEnd w:id="132"/>
    </w:p>
    <w:p w14:paraId="2B91E3CC">
      <w:pPr>
        <w:adjustRightInd/>
        <w:spacing w:line="240" w:lineRule="auto"/>
        <w:textAlignment w:val="auto"/>
        <w:rPr>
          <w:rFonts w:ascii="Times New Roman" w:hAnsi="Times New Roman" w:eastAsia="宋体" w:cs="Times New Roman"/>
          <w:color w:val="auto"/>
          <w:kern w:val="2"/>
          <w:sz w:val="21"/>
          <w:szCs w:val="20"/>
          <w:highlight w:val="none"/>
        </w:rPr>
      </w:pPr>
      <w:bookmarkStart w:id="133" w:name="_Toc9585"/>
      <w:r>
        <w:rPr>
          <w:rFonts w:ascii="Times New Roman" w:hAnsi="Times New Roman" w:eastAsia="宋体" w:cs="Times New Roman"/>
          <w:color w:val="auto"/>
          <w:kern w:val="2"/>
          <w:sz w:val="21"/>
          <w:szCs w:val="20"/>
          <w:highlight w:val="none"/>
        </w:rPr>
        <w:t>（四）通过银行等金融机构向安置的每位残疾人，按月支付了不低于单位所在区县适用的经省级人民政府批准的月最低工资标准的工资；</w:t>
      </w:r>
      <w:bookmarkEnd w:id="133"/>
    </w:p>
    <w:p w14:paraId="0711A195">
      <w:pPr>
        <w:adjustRightInd/>
        <w:spacing w:line="240" w:lineRule="auto"/>
        <w:textAlignment w:val="auto"/>
        <w:rPr>
          <w:rFonts w:ascii="Times New Roman" w:hAnsi="Times New Roman" w:eastAsia="宋体" w:cs="Times New Roman"/>
          <w:color w:val="auto"/>
          <w:kern w:val="2"/>
          <w:sz w:val="21"/>
          <w:szCs w:val="20"/>
          <w:highlight w:val="none"/>
        </w:rPr>
      </w:pPr>
      <w:bookmarkStart w:id="134" w:name="_Toc15466"/>
      <w:r>
        <w:rPr>
          <w:rFonts w:ascii="Times New Roman" w:hAnsi="Times New Roman" w:eastAsia="宋体" w:cs="Times New Roman"/>
          <w:color w:val="auto"/>
          <w:kern w:val="2"/>
          <w:sz w:val="21"/>
          <w:szCs w:val="20"/>
          <w:highlight w:val="none"/>
        </w:rPr>
        <w:t>（五）提供本单位制造的货物、承担的工程或者服务（以下简称产品），或者提供其他残疾人福利性单位制造的货物（不包括使用非残疾人福利性单位注册商标的货物）。</w:t>
      </w:r>
      <w:bookmarkEnd w:id="134"/>
    </w:p>
    <w:p w14:paraId="43C02C0B">
      <w:pPr>
        <w:adjustRightInd/>
        <w:spacing w:line="240" w:lineRule="auto"/>
        <w:textAlignment w:val="auto"/>
        <w:rPr>
          <w:rFonts w:ascii="Times New Roman" w:hAnsi="Times New Roman" w:eastAsia="宋体" w:cs="Times New Roman"/>
          <w:color w:val="auto"/>
          <w:kern w:val="2"/>
          <w:sz w:val="24"/>
          <w:szCs w:val="44"/>
          <w:highlight w:val="none"/>
        </w:rPr>
      </w:pPr>
      <w:bookmarkStart w:id="135" w:name="_Toc30032"/>
      <w:r>
        <w:rPr>
          <w:rFonts w:ascii="Times New Roman" w:hAnsi="Times New Roman" w:eastAsia="宋体" w:cs="Times New Roman"/>
          <w:color w:val="auto"/>
          <w:kern w:val="2"/>
          <w:sz w:val="21"/>
          <w:szCs w:val="20"/>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bookmarkEnd w:id="135"/>
    </w:p>
    <w:p w14:paraId="0BF5B1E1">
      <w:pPr>
        <w:pStyle w:val="5"/>
        <w:numPr>
          <w:ilvl w:val="0"/>
          <w:numId w:val="0"/>
        </w:numPr>
        <w:shd w:val="clear" w:color="auto" w:fill="auto"/>
        <w:tabs>
          <w:tab w:val="left" w:pos="720"/>
        </w:tabs>
        <w:snapToGrid w:val="0"/>
        <w:rPr>
          <w:rFonts w:hint="eastAsia" w:ascii="宋体" w:hAnsi="宋体" w:cs="宋体"/>
          <w:color w:val="auto"/>
          <w:sz w:val="21"/>
          <w:highlight w:val="none"/>
        </w:rPr>
      </w:pPr>
      <w:r>
        <w:rPr>
          <w:rFonts w:hint="eastAsia" w:ascii="宋体" w:hAnsi="宋体" w:cs="宋体"/>
          <w:color w:val="auto"/>
          <w:highlight w:val="none"/>
        </w:rPr>
        <w:br w:type="page"/>
      </w:r>
    </w:p>
    <w:p w14:paraId="4ACD7517">
      <w:pPr>
        <w:pStyle w:val="5"/>
        <w:numPr>
          <w:ilvl w:val="0"/>
          <w:numId w:val="0"/>
        </w:numPr>
        <w:shd w:val="clear" w:color="auto" w:fill="auto"/>
        <w:tabs>
          <w:tab w:val="left" w:pos="720"/>
        </w:tabs>
        <w:snapToGrid w:val="0"/>
        <w:spacing w:before="156" w:beforeLines="50"/>
        <w:rPr>
          <w:rFonts w:hint="eastAsia" w:ascii="宋体" w:hAnsi="宋体" w:eastAsia="宋体" w:cs="宋体"/>
          <w:b/>
          <w:bCs/>
          <w:color w:val="auto"/>
          <w:sz w:val="21"/>
          <w:highlight w:val="none"/>
        </w:rPr>
      </w:pPr>
      <w:r>
        <w:rPr>
          <w:rFonts w:hint="eastAsia" w:ascii="宋体" w:hAnsi="宋体" w:eastAsia="宋体" w:cs="宋体"/>
          <w:b/>
          <w:bCs/>
          <w:color w:val="auto"/>
          <w:sz w:val="21"/>
          <w:highlight w:val="none"/>
          <w:lang w:val="en-US" w:eastAsia="zh-CN"/>
        </w:rPr>
        <w:t>4.</w:t>
      </w:r>
      <w:r>
        <w:rPr>
          <w:rFonts w:hint="eastAsia" w:ascii="宋体" w:hAnsi="宋体" w:eastAsia="宋体" w:cs="宋体"/>
          <w:b/>
          <w:bCs/>
          <w:color w:val="auto"/>
          <w:sz w:val="21"/>
          <w:highlight w:val="none"/>
        </w:rPr>
        <w:t>商务技术文件内容包括：</w:t>
      </w:r>
    </w:p>
    <w:p w14:paraId="09E159C1">
      <w:pPr>
        <w:pStyle w:val="5"/>
        <w:numPr>
          <w:ilvl w:val="0"/>
          <w:numId w:val="0"/>
        </w:numPr>
        <w:shd w:val="clear" w:color="auto" w:fill="auto"/>
        <w:tabs>
          <w:tab w:val="left" w:pos="720"/>
        </w:tabs>
        <w:adjustRightInd/>
        <w:spacing w:line="348" w:lineRule="auto"/>
        <w:ind w:firstLine="420" w:firstLineChars="200"/>
        <w:rPr>
          <w:rFonts w:hint="eastAsia" w:ascii="宋体" w:hAnsi="宋体" w:eastAsia="宋体" w:cs="宋体"/>
          <w:bCs/>
          <w:color w:val="auto"/>
          <w:sz w:val="21"/>
          <w:highlight w:val="none"/>
        </w:rPr>
      </w:pPr>
      <w:r>
        <w:rPr>
          <w:rFonts w:hint="eastAsia" w:ascii="宋体" w:hAnsi="宋体" w:eastAsia="宋体" w:cs="宋体"/>
          <w:bCs/>
          <w:color w:val="auto"/>
          <w:sz w:val="21"/>
          <w:highlight w:val="none"/>
        </w:rPr>
        <w:t>（1）符合性自查表（格式详见第六章 响应文件格式）；</w:t>
      </w:r>
    </w:p>
    <w:p w14:paraId="2A4DC353">
      <w:pPr>
        <w:pStyle w:val="5"/>
        <w:numPr>
          <w:ilvl w:val="0"/>
          <w:numId w:val="0"/>
        </w:numPr>
        <w:shd w:val="clear" w:color="auto" w:fill="auto"/>
        <w:tabs>
          <w:tab w:val="left" w:pos="720"/>
        </w:tabs>
        <w:adjustRightInd/>
        <w:spacing w:line="348" w:lineRule="auto"/>
        <w:ind w:firstLine="420" w:firstLineChars="200"/>
        <w:rPr>
          <w:rFonts w:hint="eastAsia" w:ascii="宋体" w:hAnsi="宋体" w:eastAsia="宋体" w:cs="宋体"/>
          <w:bCs/>
          <w:color w:val="auto"/>
          <w:sz w:val="21"/>
          <w:highlight w:val="none"/>
        </w:rPr>
      </w:pPr>
      <w:r>
        <w:rPr>
          <w:rFonts w:hint="eastAsia" w:ascii="宋体" w:hAnsi="宋体" w:eastAsia="宋体" w:cs="宋体"/>
          <w:bCs/>
          <w:color w:val="auto"/>
          <w:sz w:val="21"/>
          <w:highlight w:val="none"/>
        </w:rPr>
        <w:t>（2）投标函（格式详见第六章 响应文件格式）；</w:t>
      </w:r>
    </w:p>
    <w:p w14:paraId="3DF7262E">
      <w:pPr>
        <w:pStyle w:val="5"/>
        <w:numPr>
          <w:ilvl w:val="0"/>
          <w:numId w:val="0"/>
        </w:numPr>
        <w:shd w:val="clear" w:color="auto" w:fill="auto"/>
        <w:tabs>
          <w:tab w:val="left" w:pos="720"/>
        </w:tabs>
        <w:adjustRightInd/>
        <w:spacing w:line="348" w:lineRule="auto"/>
        <w:ind w:firstLine="420" w:firstLineChars="200"/>
        <w:rPr>
          <w:rFonts w:hint="eastAsia" w:ascii="宋体" w:hAnsi="宋体" w:eastAsia="宋体" w:cs="宋体"/>
          <w:bCs/>
          <w:color w:val="auto"/>
          <w:sz w:val="21"/>
          <w:highlight w:val="none"/>
        </w:rPr>
      </w:pPr>
      <w:r>
        <w:rPr>
          <w:rFonts w:hint="eastAsia" w:ascii="宋体" w:hAnsi="宋体" w:eastAsia="宋体" w:cs="宋体"/>
          <w:bCs/>
          <w:color w:val="auto"/>
          <w:sz w:val="21"/>
          <w:highlight w:val="none"/>
        </w:rPr>
        <w:t>（3）法定代表人身份证明及授权委托书（格式详见第六章 响应文件格式）；</w:t>
      </w:r>
    </w:p>
    <w:p w14:paraId="26CE38E6">
      <w:pPr>
        <w:pStyle w:val="5"/>
        <w:numPr>
          <w:ilvl w:val="0"/>
          <w:numId w:val="0"/>
        </w:numPr>
        <w:shd w:val="clear" w:color="auto" w:fill="auto"/>
        <w:tabs>
          <w:tab w:val="left" w:pos="720"/>
        </w:tabs>
        <w:adjustRightInd/>
        <w:spacing w:line="348" w:lineRule="auto"/>
        <w:ind w:firstLine="420" w:firstLineChars="200"/>
        <w:rPr>
          <w:rFonts w:hint="eastAsia" w:ascii="宋体" w:hAnsi="宋体" w:eastAsia="宋体" w:cs="宋体"/>
          <w:bCs/>
          <w:color w:val="auto"/>
          <w:sz w:val="21"/>
          <w:highlight w:val="none"/>
        </w:rPr>
      </w:pPr>
      <w:r>
        <w:rPr>
          <w:rFonts w:hint="eastAsia" w:ascii="宋体" w:hAnsi="宋体" w:eastAsia="宋体" w:cs="宋体"/>
          <w:bCs/>
          <w:color w:val="auto"/>
          <w:sz w:val="21"/>
          <w:highlight w:val="none"/>
        </w:rPr>
        <w:t>（4）技术条款响应（偏离）表（格式详见第六章 响应文件格式）；</w:t>
      </w:r>
    </w:p>
    <w:p w14:paraId="58CEFF27">
      <w:pPr>
        <w:pStyle w:val="5"/>
        <w:numPr>
          <w:ilvl w:val="0"/>
          <w:numId w:val="0"/>
        </w:numPr>
        <w:shd w:val="clear" w:color="auto" w:fill="auto"/>
        <w:tabs>
          <w:tab w:val="left" w:pos="720"/>
        </w:tabs>
        <w:adjustRightInd/>
        <w:spacing w:line="348" w:lineRule="auto"/>
        <w:ind w:firstLine="420" w:firstLineChars="200"/>
        <w:rPr>
          <w:rFonts w:hint="eastAsia" w:ascii="宋体" w:hAnsi="宋体" w:eastAsia="宋体" w:cs="宋体"/>
          <w:bCs/>
          <w:color w:val="auto"/>
          <w:sz w:val="21"/>
          <w:highlight w:val="none"/>
        </w:rPr>
      </w:pPr>
      <w:r>
        <w:rPr>
          <w:rFonts w:hint="eastAsia" w:ascii="宋体" w:hAnsi="宋体" w:eastAsia="宋体" w:cs="宋体"/>
          <w:bCs/>
          <w:color w:val="auto"/>
          <w:sz w:val="21"/>
          <w:highlight w:val="none"/>
        </w:rPr>
        <w:t>（5）商务条款响应（偏离）表（格式详见第六章 响应文件格式）；</w:t>
      </w:r>
    </w:p>
    <w:p w14:paraId="574407C4">
      <w:pPr>
        <w:pStyle w:val="5"/>
        <w:numPr>
          <w:ilvl w:val="0"/>
          <w:numId w:val="0"/>
        </w:numPr>
        <w:shd w:val="clear" w:color="auto" w:fill="auto"/>
        <w:tabs>
          <w:tab w:val="left" w:pos="720"/>
        </w:tabs>
        <w:adjustRightInd/>
        <w:spacing w:line="348" w:lineRule="auto"/>
        <w:ind w:firstLine="420" w:firstLineChars="200"/>
        <w:rPr>
          <w:rFonts w:hint="eastAsia" w:ascii="宋体" w:hAnsi="宋体" w:eastAsia="宋体" w:cs="宋体"/>
          <w:bCs/>
          <w:color w:val="auto"/>
          <w:sz w:val="21"/>
          <w:highlight w:val="none"/>
        </w:rPr>
      </w:pPr>
      <w:r>
        <w:rPr>
          <w:rFonts w:hint="eastAsia" w:ascii="宋体" w:hAnsi="宋体" w:eastAsia="宋体" w:cs="宋体"/>
          <w:bCs/>
          <w:color w:val="auto"/>
          <w:sz w:val="21"/>
          <w:highlight w:val="none"/>
        </w:rPr>
        <w:t>（6）技术部分：针对本项目第</w:t>
      </w:r>
      <w:r>
        <w:rPr>
          <w:rFonts w:hint="eastAsia" w:hAnsi="宋体" w:eastAsia="宋体" w:cs="宋体"/>
          <w:bCs/>
          <w:color w:val="auto"/>
          <w:sz w:val="21"/>
          <w:highlight w:val="none"/>
          <w:lang w:val="en-US" w:eastAsia="zh-CN"/>
        </w:rPr>
        <w:t>三</w:t>
      </w:r>
      <w:r>
        <w:rPr>
          <w:rFonts w:hint="eastAsia" w:ascii="宋体" w:hAnsi="宋体" w:eastAsia="宋体" w:cs="宋体"/>
          <w:bCs/>
          <w:color w:val="auto"/>
          <w:sz w:val="21"/>
          <w:highlight w:val="none"/>
        </w:rPr>
        <w:t>章项目需求和第</w:t>
      </w:r>
      <w:r>
        <w:rPr>
          <w:rFonts w:hint="eastAsia" w:hAnsi="宋体" w:eastAsia="宋体" w:cs="宋体"/>
          <w:bCs/>
          <w:color w:val="auto"/>
          <w:sz w:val="21"/>
          <w:highlight w:val="none"/>
          <w:lang w:val="en-US" w:eastAsia="zh-CN"/>
        </w:rPr>
        <w:t>四</w:t>
      </w:r>
      <w:r>
        <w:rPr>
          <w:rFonts w:hint="eastAsia" w:ascii="宋体" w:hAnsi="宋体" w:eastAsia="宋体" w:cs="宋体"/>
          <w:bCs/>
          <w:color w:val="auto"/>
          <w:sz w:val="21"/>
          <w:highlight w:val="none"/>
        </w:rPr>
        <w:t>章评审标准中的条款拟定完整方案，格式自拟；</w:t>
      </w:r>
    </w:p>
    <w:p w14:paraId="516A8212">
      <w:pPr>
        <w:pStyle w:val="5"/>
        <w:numPr>
          <w:ilvl w:val="0"/>
          <w:numId w:val="0"/>
        </w:numPr>
        <w:shd w:val="clear" w:color="auto" w:fill="auto"/>
        <w:tabs>
          <w:tab w:val="left" w:pos="720"/>
        </w:tabs>
        <w:adjustRightInd/>
        <w:spacing w:line="348" w:lineRule="auto"/>
        <w:ind w:firstLine="420" w:firstLineChars="200"/>
        <w:rPr>
          <w:rFonts w:hint="eastAsia" w:ascii="宋体" w:hAnsi="宋体" w:eastAsia="宋体" w:cs="宋体"/>
          <w:bCs/>
          <w:color w:val="auto"/>
          <w:sz w:val="21"/>
          <w:highlight w:val="none"/>
        </w:rPr>
      </w:pPr>
      <w:r>
        <w:rPr>
          <w:rFonts w:hint="eastAsia" w:ascii="宋体" w:hAnsi="宋体" w:eastAsia="宋体" w:cs="宋体"/>
          <w:bCs/>
          <w:color w:val="auto"/>
          <w:sz w:val="21"/>
          <w:highlight w:val="none"/>
        </w:rPr>
        <w:t>（7）业绩一览表（格式详见第六章 响应文件格式）；</w:t>
      </w:r>
    </w:p>
    <w:p w14:paraId="243B865B">
      <w:pPr>
        <w:pStyle w:val="5"/>
        <w:numPr>
          <w:ilvl w:val="0"/>
          <w:numId w:val="0"/>
        </w:numPr>
        <w:shd w:val="clear" w:color="auto" w:fill="auto"/>
        <w:tabs>
          <w:tab w:val="left" w:pos="720"/>
        </w:tabs>
        <w:adjustRightInd/>
        <w:spacing w:line="348" w:lineRule="auto"/>
        <w:ind w:firstLine="420" w:firstLineChars="200"/>
        <w:rPr>
          <w:rFonts w:hint="eastAsia" w:ascii="宋体" w:hAnsi="宋体" w:eastAsia="宋体" w:cs="宋体"/>
          <w:bCs/>
          <w:color w:val="auto"/>
          <w:sz w:val="21"/>
          <w:highlight w:val="none"/>
        </w:rPr>
      </w:pPr>
      <w:r>
        <w:rPr>
          <w:rFonts w:hint="eastAsia" w:ascii="宋体" w:hAnsi="宋体" w:eastAsia="宋体" w:cs="宋体"/>
          <w:bCs/>
          <w:color w:val="auto"/>
          <w:sz w:val="21"/>
          <w:highlight w:val="none"/>
        </w:rPr>
        <w:t>（8）供应商认为有需要提供的其它有关证明资料。</w:t>
      </w:r>
    </w:p>
    <w:p w14:paraId="5062CD01">
      <w:pPr>
        <w:shd w:val="clear" w:color="auto" w:fill="auto"/>
        <w:snapToGrid w:val="0"/>
        <w:rPr>
          <w:rFonts w:hint="eastAsia" w:hAnsi="宋体" w:cs="宋体"/>
          <w:b/>
          <w:color w:val="auto"/>
          <w:highlight w:val="none"/>
          <w:lang w:bidi="ar"/>
        </w:rPr>
      </w:pPr>
      <w:r>
        <w:rPr>
          <w:rFonts w:hint="eastAsia" w:hAnsi="宋体" w:eastAsia="宋体" w:cs="宋体"/>
          <w:color w:val="auto"/>
          <w:sz w:val="21"/>
          <w:highlight w:val="none"/>
        </w:rPr>
        <w:br w:type="page"/>
      </w:r>
      <w:r>
        <w:rPr>
          <w:rFonts w:hint="eastAsia" w:hAnsi="宋体" w:eastAsia="宋体" w:cs="宋体"/>
          <w:b/>
          <w:color w:val="auto"/>
          <w:kern w:val="2"/>
          <w:sz w:val="21"/>
          <w:highlight w:val="none"/>
          <w:lang w:bidi="ar"/>
        </w:rPr>
        <w:t>（1）符合性自查表</w:t>
      </w:r>
    </w:p>
    <w:p w14:paraId="505D5791">
      <w:pPr>
        <w:shd w:val="clear" w:color="auto" w:fill="auto"/>
        <w:adjustRightInd/>
        <w:spacing w:line="240" w:lineRule="auto"/>
        <w:jc w:val="center"/>
        <w:textAlignment w:val="auto"/>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符合性自查表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0" w:type="dxa"/>
          <w:left w:w="150" w:type="dxa"/>
          <w:bottom w:w="150" w:type="dxa"/>
          <w:right w:w="150" w:type="dxa"/>
        </w:tblCellMar>
      </w:tblPr>
      <w:tblGrid>
        <w:gridCol w:w="1067"/>
        <w:gridCol w:w="4175"/>
        <w:gridCol w:w="1410"/>
        <w:gridCol w:w="2192"/>
      </w:tblGrid>
      <w:tr w14:paraId="5FCF6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0" w:type="dxa"/>
            <w:left w:w="150" w:type="dxa"/>
            <w:bottom w:w="150" w:type="dxa"/>
            <w:right w:w="150" w:type="dxa"/>
          </w:tblCellMar>
        </w:tblPrEx>
        <w:trPr>
          <w:trHeight w:val="23" w:hRule="atLeast"/>
          <w:jc w:val="center"/>
        </w:trPr>
        <w:tc>
          <w:tcPr>
            <w:tcW w:w="1067" w:type="dxa"/>
            <w:noWrap w:val="0"/>
            <w:vAlign w:val="center"/>
          </w:tcPr>
          <w:p w14:paraId="58FFE68C">
            <w:pPr>
              <w:shd w:val="clear" w:color="auto" w:fill="auto"/>
              <w:adjustRightInd/>
              <w:spacing w:line="280" w:lineRule="exact"/>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评审内容</w:t>
            </w:r>
          </w:p>
        </w:tc>
        <w:tc>
          <w:tcPr>
            <w:tcW w:w="4175" w:type="dxa"/>
            <w:noWrap w:val="0"/>
            <w:vAlign w:val="center"/>
          </w:tcPr>
          <w:p w14:paraId="62A36CCB">
            <w:pPr>
              <w:shd w:val="clear" w:color="auto" w:fill="auto"/>
              <w:adjustRightInd/>
              <w:spacing w:line="280" w:lineRule="exact"/>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磋商文件要求</w:t>
            </w:r>
          </w:p>
        </w:tc>
        <w:tc>
          <w:tcPr>
            <w:tcW w:w="1410" w:type="dxa"/>
            <w:noWrap w:val="0"/>
            <w:vAlign w:val="center"/>
          </w:tcPr>
          <w:p w14:paraId="6CC18176">
            <w:pPr>
              <w:shd w:val="clear" w:color="auto" w:fill="auto"/>
              <w:adjustRightInd/>
              <w:spacing w:line="280" w:lineRule="exact"/>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自查结论</w:t>
            </w:r>
          </w:p>
        </w:tc>
        <w:tc>
          <w:tcPr>
            <w:tcW w:w="2192" w:type="dxa"/>
            <w:noWrap w:val="0"/>
            <w:vAlign w:val="center"/>
          </w:tcPr>
          <w:p w14:paraId="01460847">
            <w:pPr>
              <w:shd w:val="clear" w:color="auto" w:fill="auto"/>
              <w:adjustRightInd/>
              <w:spacing w:line="280" w:lineRule="exact"/>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证明资料</w:t>
            </w:r>
          </w:p>
        </w:tc>
      </w:tr>
      <w:tr w14:paraId="37F4D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0" w:type="dxa"/>
            <w:left w:w="150" w:type="dxa"/>
            <w:bottom w:w="150" w:type="dxa"/>
            <w:right w:w="150" w:type="dxa"/>
          </w:tblCellMar>
        </w:tblPrEx>
        <w:trPr>
          <w:trHeight w:val="23" w:hRule="atLeast"/>
          <w:jc w:val="center"/>
        </w:trPr>
        <w:tc>
          <w:tcPr>
            <w:tcW w:w="1067" w:type="dxa"/>
            <w:vMerge w:val="restart"/>
            <w:noWrap w:val="0"/>
            <w:vAlign w:val="center"/>
          </w:tcPr>
          <w:p w14:paraId="6383E648">
            <w:pPr>
              <w:shd w:val="clear" w:color="auto" w:fill="auto"/>
              <w:adjustRightInd/>
              <w:spacing w:line="280" w:lineRule="exact"/>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符合性审</w:t>
            </w:r>
          </w:p>
          <w:p w14:paraId="7A2FF9DA">
            <w:pPr>
              <w:shd w:val="clear" w:color="auto" w:fill="auto"/>
              <w:adjustRightInd/>
              <w:spacing w:line="280" w:lineRule="exact"/>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查（商务技术文件）</w:t>
            </w:r>
          </w:p>
        </w:tc>
        <w:tc>
          <w:tcPr>
            <w:tcW w:w="4175" w:type="dxa"/>
            <w:noWrap w:val="0"/>
            <w:vAlign w:val="center"/>
          </w:tcPr>
          <w:p w14:paraId="778A0B51">
            <w:pPr>
              <w:shd w:val="clear" w:color="auto" w:fill="auto"/>
              <w:adjustRightInd/>
              <w:spacing w:line="280" w:lineRule="exact"/>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（一）投标函已提交并符合磋商文件要求；</w:t>
            </w:r>
          </w:p>
        </w:tc>
        <w:tc>
          <w:tcPr>
            <w:tcW w:w="1410" w:type="dxa"/>
            <w:noWrap w:val="0"/>
            <w:vAlign w:val="center"/>
          </w:tcPr>
          <w:p w14:paraId="159A39FF">
            <w:pPr>
              <w:shd w:val="clear" w:color="auto" w:fill="auto"/>
              <w:adjustRightInd/>
              <w:spacing w:line="280" w:lineRule="exact"/>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 xml:space="preserve">□通过 </w:t>
            </w:r>
          </w:p>
          <w:p w14:paraId="576A4AB9">
            <w:pPr>
              <w:shd w:val="clear" w:color="auto" w:fill="auto"/>
              <w:adjustRightInd/>
              <w:spacing w:line="280" w:lineRule="exact"/>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□不通过</w:t>
            </w:r>
          </w:p>
        </w:tc>
        <w:tc>
          <w:tcPr>
            <w:tcW w:w="2192" w:type="dxa"/>
            <w:noWrap w:val="0"/>
            <w:vAlign w:val="center"/>
          </w:tcPr>
          <w:p w14:paraId="5716046D">
            <w:pPr>
              <w:shd w:val="clear" w:color="auto" w:fill="auto"/>
              <w:adjustRightInd/>
              <w:spacing w:line="280" w:lineRule="exact"/>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第（ ）页</w:t>
            </w:r>
          </w:p>
        </w:tc>
      </w:tr>
      <w:tr w14:paraId="3673A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0" w:type="dxa"/>
            <w:left w:w="150" w:type="dxa"/>
            <w:bottom w:w="150" w:type="dxa"/>
            <w:right w:w="150" w:type="dxa"/>
          </w:tblCellMar>
        </w:tblPrEx>
        <w:trPr>
          <w:trHeight w:val="23" w:hRule="atLeast"/>
          <w:jc w:val="center"/>
        </w:trPr>
        <w:tc>
          <w:tcPr>
            <w:tcW w:w="1067" w:type="dxa"/>
            <w:vMerge w:val="continue"/>
            <w:noWrap w:val="0"/>
            <w:vAlign w:val="center"/>
          </w:tcPr>
          <w:p w14:paraId="7BAC242A">
            <w:pPr>
              <w:shd w:val="clear" w:color="auto" w:fill="auto"/>
              <w:adjustRightInd/>
              <w:spacing w:line="280" w:lineRule="exact"/>
              <w:jc w:val="center"/>
              <w:textAlignment w:val="auto"/>
              <w:rPr>
                <w:rFonts w:hint="eastAsia" w:ascii="宋体" w:hAnsi="宋体" w:eastAsia="宋体" w:cs="宋体"/>
                <w:color w:val="auto"/>
                <w:kern w:val="2"/>
                <w:sz w:val="21"/>
                <w:szCs w:val="21"/>
                <w:highlight w:val="none"/>
              </w:rPr>
            </w:pPr>
          </w:p>
        </w:tc>
        <w:tc>
          <w:tcPr>
            <w:tcW w:w="4175" w:type="dxa"/>
            <w:noWrap w:val="0"/>
            <w:vAlign w:val="center"/>
          </w:tcPr>
          <w:p w14:paraId="36CB5527">
            <w:pPr>
              <w:shd w:val="clear" w:color="auto" w:fill="auto"/>
              <w:adjustRightInd/>
              <w:spacing w:line="280" w:lineRule="exact"/>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（二）按照磋商文件规定要求签署或盖章；</w:t>
            </w:r>
          </w:p>
        </w:tc>
        <w:tc>
          <w:tcPr>
            <w:tcW w:w="1410" w:type="dxa"/>
            <w:noWrap w:val="0"/>
            <w:vAlign w:val="center"/>
          </w:tcPr>
          <w:p w14:paraId="5934E2C3">
            <w:pPr>
              <w:shd w:val="clear" w:color="auto" w:fill="auto"/>
              <w:adjustRightInd/>
              <w:spacing w:line="280" w:lineRule="exact"/>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 xml:space="preserve">□通过 </w:t>
            </w:r>
          </w:p>
          <w:p w14:paraId="7CB6823A">
            <w:pPr>
              <w:shd w:val="clear" w:color="auto" w:fill="auto"/>
              <w:adjustRightInd/>
              <w:spacing w:line="280" w:lineRule="exact"/>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□不通过</w:t>
            </w:r>
          </w:p>
        </w:tc>
        <w:tc>
          <w:tcPr>
            <w:tcW w:w="2192" w:type="dxa"/>
            <w:noWrap w:val="0"/>
            <w:vAlign w:val="center"/>
          </w:tcPr>
          <w:p w14:paraId="42F9173D">
            <w:pPr>
              <w:shd w:val="clear" w:color="auto" w:fill="auto"/>
              <w:adjustRightInd/>
              <w:spacing w:line="280" w:lineRule="exact"/>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第（ ）页</w:t>
            </w:r>
          </w:p>
        </w:tc>
      </w:tr>
      <w:tr w14:paraId="28D2F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0" w:type="dxa"/>
            <w:left w:w="150" w:type="dxa"/>
            <w:bottom w:w="150" w:type="dxa"/>
            <w:right w:w="150" w:type="dxa"/>
          </w:tblCellMar>
        </w:tblPrEx>
        <w:trPr>
          <w:trHeight w:val="23" w:hRule="atLeast"/>
          <w:jc w:val="center"/>
        </w:trPr>
        <w:tc>
          <w:tcPr>
            <w:tcW w:w="1067" w:type="dxa"/>
            <w:vMerge w:val="continue"/>
            <w:noWrap w:val="0"/>
            <w:vAlign w:val="center"/>
          </w:tcPr>
          <w:p w14:paraId="6FDEC465">
            <w:pPr>
              <w:shd w:val="clear" w:color="auto" w:fill="auto"/>
              <w:adjustRightInd/>
              <w:spacing w:line="280" w:lineRule="exact"/>
              <w:jc w:val="center"/>
              <w:textAlignment w:val="auto"/>
              <w:rPr>
                <w:rFonts w:hint="eastAsia" w:ascii="宋体" w:hAnsi="宋体" w:eastAsia="宋体" w:cs="宋体"/>
                <w:color w:val="auto"/>
                <w:kern w:val="2"/>
                <w:sz w:val="21"/>
                <w:szCs w:val="21"/>
                <w:highlight w:val="none"/>
              </w:rPr>
            </w:pPr>
          </w:p>
        </w:tc>
        <w:tc>
          <w:tcPr>
            <w:tcW w:w="4175" w:type="dxa"/>
            <w:noWrap w:val="0"/>
            <w:vAlign w:val="center"/>
          </w:tcPr>
          <w:p w14:paraId="1863D288">
            <w:pPr>
              <w:shd w:val="clear" w:color="auto" w:fill="auto"/>
              <w:adjustRightInd/>
              <w:spacing w:line="280" w:lineRule="exact"/>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（三）响应文件规定部分有法定代表人签署本人姓名（或印盖本人姓名章），或签署人提供有效的法定代表人授权委托书且授权委托书填写项目齐全的；</w:t>
            </w:r>
          </w:p>
        </w:tc>
        <w:tc>
          <w:tcPr>
            <w:tcW w:w="1410" w:type="dxa"/>
            <w:noWrap w:val="0"/>
            <w:vAlign w:val="center"/>
          </w:tcPr>
          <w:p w14:paraId="74DD9A9D">
            <w:pPr>
              <w:shd w:val="clear" w:color="auto" w:fill="auto"/>
              <w:adjustRightInd/>
              <w:spacing w:line="280" w:lineRule="exact"/>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 xml:space="preserve">□通过 </w:t>
            </w:r>
          </w:p>
          <w:p w14:paraId="4C4A7164">
            <w:pPr>
              <w:shd w:val="clear" w:color="auto" w:fill="auto"/>
              <w:adjustRightInd/>
              <w:spacing w:line="280" w:lineRule="exact"/>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□不通过</w:t>
            </w:r>
          </w:p>
        </w:tc>
        <w:tc>
          <w:tcPr>
            <w:tcW w:w="2192" w:type="dxa"/>
            <w:noWrap w:val="0"/>
            <w:vAlign w:val="center"/>
          </w:tcPr>
          <w:p w14:paraId="62BABDC6">
            <w:pPr>
              <w:shd w:val="clear" w:color="auto" w:fill="auto"/>
              <w:adjustRightInd/>
              <w:spacing w:line="280" w:lineRule="exact"/>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第（ ）页</w:t>
            </w:r>
          </w:p>
        </w:tc>
      </w:tr>
      <w:tr w14:paraId="004F9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0" w:type="dxa"/>
            <w:left w:w="150" w:type="dxa"/>
            <w:bottom w:w="150" w:type="dxa"/>
            <w:right w:w="150" w:type="dxa"/>
          </w:tblCellMar>
        </w:tblPrEx>
        <w:trPr>
          <w:trHeight w:val="23" w:hRule="atLeast"/>
          <w:jc w:val="center"/>
        </w:trPr>
        <w:tc>
          <w:tcPr>
            <w:tcW w:w="1067" w:type="dxa"/>
            <w:vMerge w:val="continue"/>
            <w:noWrap w:val="0"/>
            <w:vAlign w:val="center"/>
          </w:tcPr>
          <w:p w14:paraId="4E2E55D5">
            <w:pPr>
              <w:shd w:val="clear" w:color="auto" w:fill="auto"/>
              <w:adjustRightInd/>
              <w:spacing w:line="280" w:lineRule="exact"/>
              <w:jc w:val="center"/>
              <w:textAlignment w:val="auto"/>
              <w:rPr>
                <w:rFonts w:hint="eastAsia" w:ascii="宋体" w:hAnsi="宋体" w:eastAsia="宋体" w:cs="宋体"/>
                <w:color w:val="auto"/>
                <w:kern w:val="2"/>
                <w:sz w:val="21"/>
                <w:szCs w:val="21"/>
                <w:highlight w:val="none"/>
              </w:rPr>
            </w:pPr>
          </w:p>
        </w:tc>
        <w:tc>
          <w:tcPr>
            <w:tcW w:w="4175" w:type="dxa"/>
            <w:noWrap w:val="0"/>
            <w:vAlign w:val="center"/>
          </w:tcPr>
          <w:p w14:paraId="2386245A">
            <w:pPr>
              <w:shd w:val="clear" w:color="auto" w:fill="auto"/>
              <w:adjustRightInd/>
              <w:spacing w:line="280" w:lineRule="exact"/>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hAnsi="宋体" w:eastAsia="宋体" w:cs="宋体"/>
                <w:color w:val="auto"/>
                <w:kern w:val="2"/>
                <w:sz w:val="21"/>
                <w:szCs w:val="21"/>
                <w:highlight w:val="none"/>
                <w:lang w:val="en-US" w:eastAsia="zh-CN"/>
              </w:rPr>
              <w:t>四</w:t>
            </w:r>
            <w:r>
              <w:rPr>
                <w:rFonts w:hint="eastAsia" w:ascii="宋体" w:hAnsi="宋体" w:eastAsia="宋体" w:cs="宋体"/>
                <w:color w:val="auto"/>
                <w:kern w:val="2"/>
                <w:sz w:val="21"/>
                <w:szCs w:val="21"/>
                <w:highlight w:val="none"/>
              </w:rPr>
              <w:t>）响应文件标明的响应或偏离与事实相符且无虚假投标的；</w:t>
            </w:r>
          </w:p>
        </w:tc>
        <w:tc>
          <w:tcPr>
            <w:tcW w:w="1410" w:type="dxa"/>
            <w:noWrap w:val="0"/>
            <w:vAlign w:val="center"/>
          </w:tcPr>
          <w:p w14:paraId="742B3FBA">
            <w:pPr>
              <w:shd w:val="clear" w:color="auto" w:fill="auto"/>
              <w:adjustRightInd/>
              <w:spacing w:line="280" w:lineRule="exact"/>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 xml:space="preserve">□通过 </w:t>
            </w:r>
          </w:p>
          <w:p w14:paraId="15A507F3">
            <w:pPr>
              <w:shd w:val="clear" w:color="auto" w:fill="auto"/>
              <w:adjustRightInd/>
              <w:spacing w:line="280" w:lineRule="exact"/>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□不通过</w:t>
            </w:r>
          </w:p>
        </w:tc>
        <w:tc>
          <w:tcPr>
            <w:tcW w:w="2192" w:type="dxa"/>
            <w:noWrap w:val="0"/>
            <w:vAlign w:val="center"/>
          </w:tcPr>
          <w:p w14:paraId="367C63CE">
            <w:pPr>
              <w:shd w:val="clear" w:color="auto" w:fill="auto"/>
              <w:adjustRightInd/>
              <w:spacing w:line="280" w:lineRule="exact"/>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第（ ）页</w:t>
            </w:r>
          </w:p>
        </w:tc>
      </w:tr>
      <w:tr w14:paraId="1F11A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0" w:type="dxa"/>
            <w:left w:w="150" w:type="dxa"/>
            <w:bottom w:w="150" w:type="dxa"/>
            <w:right w:w="150" w:type="dxa"/>
          </w:tblCellMar>
        </w:tblPrEx>
        <w:trPr>
          <w:trHeight w:val="23" w:hRule="atLeast"/>
          <w:jc w:val="center"/>
        </w:trPr>
        <w:tc>
          <w:tcPr>
            <w:tcW w:w="1067" w:type="dxa"/>
            <w:vMerge w:val="continue"/>
            <w:noWrap w:val="0"/>
            <w:vAlign w:val="center"/>
          </w:tcPr>
          <w:p w14:paraId="45CA2E69">
            <w:pPr>
              <w:shd w:val="clear" w:color="auto" w:fill="auto"/>
              <w:adjustRightInd/>
              <w:spacing w:line="280" w:lineRule="exact"/>
              <w:jc w:val="center"/>
              <w:textAlignment w:val="auto"/>
              <w:rPr>
                <w:rFonts w:hint="eastAsia" w:ascii="宋体" w:hAnsi="宋体" w:eastAsia="宋体" w:cs="宋体"/>
                <w:color w:val="auto"/>
                <w:kern w:val="2"/>
                <w:sz w:val="21"/>
                <w:szCs w:val="21"/>
                <w:highlight w:val="none"/>
              </w:rPr>
            </w:pPr>
          </w:p>
        </w:tc>
        <w:tc>
          <w:tcPr>
            <w:tcW w:w="4175" w:type="dxa"/>
            <w:noWrap w:val="0"/>
            <w:vAlign w:val="center"/>
          </w:tcPr>
          <w:p w14:paraId="11018DD4">
            <w:pPr>
              <w:shd w:val="clear" w:color="auto" w:fill="auto"/>
              <w:adjustRightInd/>
              <w:spacing w:line="280" w:lineRule="exact"/>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hAnsi="宋体" w:eastAsia="宋体" w:cs="宋体"/>
                <w:color w:val="auto"/>
                <w:kern w:val="2"/>
                <w:sz w:val="21"/>
                <w:szCs w:val="21"/>
                <w:highlight w:val="none"/>
                <w:lang w:val="en-US" w:eastAsia="zh-CN"/>
              </w:rPr>
              <w:t>五</w:t>
            </w:r>
            <w:r>
              <w:rPr>
                <w:rFonts w:hint="eastAsia" w:ascii="宋体" w:hAnsi="宋体" w:eastAsia="宋体" w:cs="宋体"/>
                <w:color w:val="auto"/>
                <w:kern w:val="2"/>
                <w:sz w:val="21"/>
                <w:szCs w:val="21"/>
                <w:highlight w:val="none"/>
              </w:rPr>
              <w:t>）响应文件的实质性内容使用中文表述且意思表述明确，前后无矛盾且使用计量单位符合磋商文件要求的；</w:t>
            </w:r>
          </w:p>
        </w:tc>
        <w:tc>
          <w:tcPr>
            <w:tcW w:w="1410" w:type="dxa"/>
            <w:noWrap w:val="0"/>
            <w:vAlign w:val="center"/>
          </w:tcPr>
          <w:p w14:paraId="5EE7DE9D">
            <w:pPr>
              <w:shd w:val="clear" w:color="auto" w:fill="auto"/>
              <w:adjustRightInd/>
              <w:spacing w:line="280" w:lineRule="exact"/>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 xml:space="preserve">□通过 </w:t>
            </w:r>
          </w:p>
          <w:p w14:paraId="6787ED99">
            <w:pPr>
              <w:shd w:val="clear" w:color="auto" w:fill="auto"/>
              <w:adjustRightInd/>
              <w:spacing w:line="280" w:lineRule="exact"/>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□不通过</w:t>
            </w:r>
          </w:p>
        </w:tc>
        <w:tc>
          <w:tcPr>
            <w:tcW w:w="2192" w:type="dxa"/>
            <w:noWrap w:val="0"/>
            <w:vAlign w:val="center"/>
          </w:tcPr>
          <w:p w14:paraId="5DEE21C9">
            <w:pPr>
              <w:shd w:val="clear" w:color="auto" w:fill="auto"/>
              <w:adjustRightInd/>
              <w:spacing w:line="280" w:lineRule="exact"/>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第（ ）页</w:t>
            </w:r>
          </w:p>
        </w:tc>
      </w:tr>
      <w:tr w14:paraId="75CAF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0" w:type="dxa"/>
            <w:left w:w="150" w:type="dxa"/>
            <w:bottom w:w="150" w:type="dxa"/>
            <w:right w:w="150" w:type="dxa"/>
          </w:tblCellMar>
        </w:tblPrEx>
        <w:trPr>
          <w:trHeight w:val="955" w:hRule="atLeast"/>
          <w:jc w:val="center"/>
        </w:trPr>
        <w:tc>
          <w:tcPr>
            <w:tcW w:w="1067" w:type="dxa"/>
            <w:vMerge w:val="continue"/>
            <w:noWrap w:val="0"/>
            <w:vAlign w:val="center"/>
          </w:tcPr>
          <w:p w14:paraId="047307C0">
            <w:pPr>
              <w:shd w:val="clear" w:color="auto" w:fill="auto"/>
              <w:adjustRightInd/>
              <w:spacing w:line="280" w:lineRule="exact"/>
              <w:jc w:val="center"/>
              <w:textAlignment w:val="auto"/>
              <w:rPr>
                <w:rFonts w:hint="eastAsia" w:ascii="宋体" w:hAnsi="宋体" w:eastAsia="宋体" w:cs="宋体"/>
                <w:color w:val="auto"/>
                <w:kern w:val="2"/>
                <w:sz w:val="21"/>
                <w:szCs w:val="21"/>
                <w:highlight w:val="none"/>
              </w:rPr>
            </w:pPr>
          </w:p>
        </w:tc>
        <w:tc>
          <w:tcPr>
            <w:tcW w:w="4175" w:type="dxa"/>
            <w:noWrap w:val="0"/>
            <w:vAlign w:val="center"/>
          </w:tcPr>
          <w:p w14:paraId="1CA35267">
            <w:pPr>
              <w:shd w:val="clear" w:color="auto" w:fill="auto"/>
              <w:adjustRightInd/>
              <w:spacing w:line="280" w:lineRule="exact"/>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hAnsi="宋体" w:eastAsia="宋体" w:cs="宋体"/>
                <w:color w:val="auto"/>
                <w:kern w:val="2"/>
                <w:sz w:val="21"/>
                <w:szCs w:val="21"/>
                <w:highlight w:val="none"/>
                <w:lang w:val="en-US" w:eastAsia="zh-CN"/>
              </w:rPr>
              <w:t>六</w:t>
            </w:r>
            <w:r>
              <w:rPr>
                <w:rFonts w:hint="eastAsia" w:ascii="宋体" w:hAnsi="宋体" w:eastAsia="宋体" w:cs="宋体"/>
                <w:color w:val="auto"/>
                <w:kern w:val="2"/>
                <w:sz w:val="21"/>
                <w:szCs w:val="21"/>
                <w:highlight w:val="none"/>
              </w:rPr>
              <w:t>）带“★”的条款满足磋商文件要求、已实质性响应磋商文件要求且响应文件无采购人不能接受的附加条件的；</w:t>
            </w:r>
          </w:p>
        </w:tc>
        <w:tc>
          <w:tcPr>
            <w:tcW w:w="1410" w:type="dxa"/>
            <w:noWrap w:val="0"/>
            <w:vAlign w:val="center"/>
          </w:tcPr>
          <w:p w14:paraId="62313DCA">
            <w:pPr>
              <w:shd w:val="clear" w:color="auto" w:fill="auto"/>
              <w:adjustRightInd/>
              <w:spacing w:line="280" w:lineRule="exact"/>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 xml:space="preserve">□通过 </w:t>
            </w:r>
          </w:p>
          <w:p w14:paraId="2685D619">
            <w:pPr>
              <w:shd w:val="clear" w:color="auto" w:fill="auto"/>
              <w:adjustRightInd/>
              <w:spacing w:line="280" w:lineRule="exact"/>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□不通过</w:t>
            </w:r>
          </w:p>
        </w:tc>
        <w:tc>
          <w:tcPr>
            <w:tcW w:w="2192" w:type="dxa"/>
            <w:noWrap w:val="0"/>
            <w:vAlign w:val="center"/>
          </w:tcPr>
          <w:p w14:paraId="794F79DD">
            <w:pPr>
              <w:shd w:val="clear" w:color="auto" w:fill="auto"/>
              <w:adjustRightInd/>
              <w:spacing w:line="280" w:lineRule="exact"/>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第（ ）页</w:t>
            </w:r>
          </w:p>
        </w:tc>
      </w:tr>
      <w:tr w14:paraId="57645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0" w:type="dxa"/>
            <w:left w:w="150" w:type="dxa"/>
            <w:bottom w:w="150" w:type="dxa"/>
            <w:right w:w="150" w:type="dxa"/>
          </w:tblCellMar>
        </w:tblPrEx>
        <w:trPr>
          <w:trHeight w:val="23" w:hRule="atLeast"/>
          <w:jc w:val="center"/>
        </w:trPr>
        <w:tc>
          <w:tcPr>
            <w:tcW w:w="1067" w:type="dxa"/>
            <w:vMerge w:val="continue"/>
            <w:noWrap w:val="0"/>
            <w:vAlign w:val="center"/>
          </w:tcPr>
          <w:p w14:paraId="078A9137">
            <w:pPr>
              <w:shd w:val="clear" w:color="auto" w:fill="auto"/>
              <w:adjustRightInd/>
              <w:spacing w:line="280" w:lineRule="exact"/>
              <w:jc w:val="center"/>
              <w:textAlignment w:val="auto"/>
              <w:rPr>
                <w:rFonts w:hint="eastAsia" w:ascii="宋体" w:hAnsi="宋体" w:eastAsia="宋体" w:cs="宋体"/>
                <w:color w:val="auto"/>
                <w:kern w:val="2"/>
                <w:sz w:val="21"/>
                <w:szCs w:val="21"/>
                <w:highlight w:val="none"/>
              </w:rPr>
            </w:pPr>
          </w:p>
        </w:tc>
        <w:tc>
          <w:tcPr>
            <w:tcW w:w="4175" w:type="dxa"/>
            <w:noWrap w:val="0"/>
            <w:vAlign w:val="center"/>
          </w:tcPr>
          <w:p w14:paraId="54CC03C1">
            <w:pPr>
              <w:shd w:val="clear" w:color="auto" w:fill="auto"/>
              <w:adjustRightInd/>
              <w:spacing w:line="280" w:lineRule="exact"/>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hAnsi="宋体" w:eastAsia="宋体" w:cs="宋体"/>
                <w:color w:val="auto"/>
                <w:kern w:val="2"/>
                <w:sz w:val="21"/>
                <w:szCs w:val="21"/>
                <w:highlight w:val="none"/>
                <w:lang w:val="en-US" w:eastAsia="zh-CN"/>
              </w:rPr>
              <w:t>七</w:t>
            </w:r>
            <w:r>
              <w:rPr>
                <w:rFonts w:hint="eastAsia" w:ascii="宋体" w:hAnsi="宋体" w:eastAsia="宋体" w:cs="宋体"/>
                <w:color w:val="auto"/>
                <w:kern w:val="2"/>
                <w:sz w:val="21"/>
                <w:szCs w:val="21"/>
                <w:highlight w:val="none"/>
              </w:rPr>
              <w:t>）投标技术方案明确，不存在一个或一个以上备选（替代）投标方案的；</w:t>
            </w:r>
          </w:p>
        </w:tc>
        <w:tc>
          <w:tcPr>
            <w:tcW w:w="1410" w:type="dxa"/>
            <w:noWrap w:val="0"/>
            <w:vAlign w:val="center"/>
          </w:tcPr>
          <w:p w14:paraId="34EA2C7F">
            <w:pPr>
              <w:shd w:val="clear" w:color="auto" w:fill="auto"/>
              <w:adjustRightInd/>
              <w:spacing w:line="280" w:lineRule="exact"/>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 xml:space="preserve">□通过 </w:t>
            </w:r>
          </w:p>
          <w:p w14:paraId="3162042F">
            <w:pPr>
              <w:shd w:val="clear" w:color="auto" w:fill="auto"/>
              <w:adjustRightInd/>
              <w:spacing w:line="280" w:lineRule="exact"/>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□不通过</w:t>
            </w:r>
          </w:p>
        </w:tc>
        <w:tc>
          <w:tcPr>
            <w:tcW w:w="2192" w:type="dxa"/>
            <w:noWrap w:val="0"/>
            <w:vAlign w:val="center"/>
          </w:tcPr>
          <w:p w14:paraId="4DF434E7">
            <w:pPr>
              <w:shd w:val="clear" w:color="auto" w:fill="auto"/>
              <w:adjustRightInd/>
              <w:spacing w:line="280" w:lineRule="exact"/>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第（ ）页</w:t>
            </w:r>
          </w:p>
        </w:tc>
      </w:tr>
      <w:tr w14:paraId="23220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0" w:type="dxa"/>
            <w:left w:w="150" w:type="dxa"/>
            <w:bottom w:w="150" w:type="dxa"/>
            <w:right w:w="150" w:type="dxa"/>
          </w:tblCellMar>
        </w:tblPrEx>
        <w:trPr>
          <w:trHeight w:val="23" w:hRule="atLeast"/>
          <w:jc w:val="center"/>
        </w:trPr>
        <w:tc>
          <w:tcPr>
            <w:tcW w:w="1067" w:type="dxa"/>
            <w:vMerge w:val="continue"/>
            <w:noWrap w:val="0"/>
            <w:vAlign w:val="center"/>
          </w:tcPr>
          <w:p w14:paraId="371185DB">
            <w:pPr>
              <w:shd w:val="clear" w:color="auto" w:fill="auto"/>
              <w:adjustRightInd/>
              <w:spacing w:line="280" w:lineRule="exact"/>
              <w:jc w:val="center"/>
              <w:textAlignment w:val="auto"/>
              <w:rPr>
                <w:rFonts w:hint="eastAsia" w:ascii="宋体" w:hAnsi="宋体" w:eastAsia="宋体" w:cs="宋体"/>
                <w:color w:val="auto"/>
                <w:kern w:val="2"/>
                <w:sz w:val="21"/>
                <w:szCs w:val="21"/>
                <w:highlight w:val="none"/>
              </w:rPr>
            </w:pPr>
          </w:p>
        </w:tc>
        <w:tc>
          <w:tcPr>
            <w:tcW w:w="4175" w:type="dxa"/>
            <w:noWrap w:val="0"/>
            <w:vAlign w:val="center"/>
          </w:tcPr>
          <w:p w14:paraId="3EB8D778">
            <w:pPr>
              <w:shd w:val="clear" w:color="auto" w:fill="auto"/>
              <w:adjustRightInd/>
              <w:spacing w:line="280" w:lineRule="exact"/>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hAnsi="宋体" w:eastAsia="宋体" w:cs="宋体"/>
                <w:color w:val="auto"/>
                <w:kern w:val="2"/>
                <w:sz w:val="21"/>
                <w:szCs w:val="21"/>
                <w:highlight w:val="none"/>
                <w:lang w:val="en-US" w:eastAsia="zh-CN"/>
              </w:rPr>
              <w:t>八</w:t>
            </w:r>
            <w:r>
              <w:rPr>
                <w:rFonts w:hint="eastAsia" w:ascii="宋体" w:hAnsi="宋体" w:eastAsia="宋体" w:cs="宋体"/>
                <w:color w:val="auto"/>
                <w:kern w:val="2"/>
                <w:sz w:val="21"/>
                <w:szCs w:val="21"/>
                <w:highlight w:val="none"/>
              </w:rPr>
              <w:t>）不存在法律、法规和磋商文件规定的其他无效情形；</w:t>
            </w:r>
          </w:p>
        </w:tc>
        <w:tc>
          <w:tcPr>
            <w:tcW w:w="1410" w:type="dxa"/>
            <w:noWrap w:val="0"/>
            <w:vAlign w:val="center"/>
          </w:tcPr>
          <w:p w14:paraId="31063F9A">
            <w:pPr>
              <w:shd w:val="clear" w:color="auto" w:fill="auto"/>
              <w:adjustRightInd/>
              <w:spacing w:line="280" w:lineRule="exact"/>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 xml:space="preserve">□通过 </w:t>
            </w:r>
          </w:p>
          <w:p w14:paraId="21485C7E">
            <w:pPr>
              <w:shd w:val="clear" w:color="auto" w:fill="auto"/>
              <w:adjustRightInd/>
              <w:spacing w:line="280" w:lineRule="exact"/>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□不通过</w:t>
            </w:r>
          </w:p>
        </w:tc>
        <w:tc>
          <w:tcPr>
            <w:tcW w:w="2192" w:type="dxa"/>
            <w:noWrap w:val="0"/>
            <w:vAlign w:val="center"/>
          </w:tcPr>
          <w:p w14:paraId="4CBDC96D">
            <w:pPr>
              <w:shd w:val="clear" w:color="auto" w:fill="auto"/>
              <w:adjustRightInd/>
              <w:spacing w:line="280" w:lineRule="exact"/>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第（ ）页</w:t>
            </w:r>
          </w:p>
        </w:tc>
      </w:tr>
      <w:tr w14:paraId="5BD99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0" w:type="dxa"/>
            <w:left w:w="150" w:type="dxa"/>
            <w:bottom w:w="150" w:type="dxa"/>
            <w:right w:w="150" w:type="dxa"/>
          </w:tblCellMar>
        </w:tblPrEx>
        <w:trPr>
          <w:trHeight w:val="23" w:hRule="atLeast"/>
          <w:jc w:val="center"/>
        </w:trPr>
        <w:tc>
          <w:tcPr>
            <w:tcW w:w="1067" w:type="dxa"/>
            <w:vMerge w:val="continue"/>
            <w:noWrap w:val="0"/>
            <w:vAlign w:val="center"/>
          </w:tcPr>
          <w:p w14:paraId="4072CF78">
            <w:pPr>
              <w:shd w:val="clear" w:color="auto" w:fill="auto"/>
              <w:adjustRightInd/>
              <w:spacing w:line="280" w:lineRule="exact"/>
              <w:jc w:val="center"/>
              <w:textAlignment w:val="auto"/>
              <w:rPr>
                <w:rFonts w:hint="eastAsia" w:ascii="宋体" w:hAnsi="宋体" w:eastAsia="宋体" w:cs="宋体"/>
                <w:color w:val="auto"/>
                <w:kern w:val="2"/>
                <w:sz w:val="21"/>
                <w:szCs w:val="21"/>
                <w:highlight w:val="none"/>
              </w:rPr>
            </w:pPr>
          </w:p>
        </w:tc>
        <w:tc>
          <w:tcPr>
            <w:tcW w:w="4175" w:type="dxa"/>
            <w:noWrap w:val="0"/>
            <w:vAlign w:val="center"/>
          </w:tcPr>
          <w:p w14:paraId="2459F974">
            <w:pPr>
              <w:shd w:val="clear" w:color="auto" w:fill="auto"/>
              <w:adjustRightInd/>
              <w:spacing w:line="280" w:lineRule="exact"/>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hAnsi="宋体" w:eastAsia="宋体" w:cs="宋体"/>
                <w:color w:val="auto"/>
                <w:kern w:val="2"/>
                <w:sz w:val="21"/>
                <w:szCs w:val="21"/>
                <w:highlight w:val="none"/>
                <w:lang w:val="en-US" w:eastAsia="zh-CN"/>
              </w:rPr>
              <w:t>九</w:t>
            </w:r>
            <w:r>
              <w:rPr>
                <w:rFonts w:hint="eastAsia" w:ascii="宋体" w:hAnsi="宋体" w:eastAsia="宋体" w:cs="宋体"/>
                <w:color w:val="auto"/>
                <w:kern w:val="2"/>
                <w:sz w:val="21"/>
                <w:szCs w:val="21"/>
                <w:highlight w:val="none"/>
              </w:rPr>
              <w:t>）不存在响应文件的有效期不满足磋商文件要求情形；</w:t>
            </w:r>
          </w:p>
        </w:tc>
        <w:tc>
          <w:tcPr>
            <w:tcW w:w="1410" w:type="dxa"/>
            <w:noWrap w:val="0"/>
            <w:vAlign w:val="center"/>
          </w:tcPr>
          <w:p w14:paraId="7A105EBA">
            <w:pPr>
              <w:shd w:val="clear" w:color="auto" w:fill="auto"/>
              <w:adjustRightInd/>
              <w:spacing w:line="280" w:lineRule="exact"/>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 xml:space="preserve">□通过 </w:t>
            </w:r>
          </w:p>
          <w:p w14:paraId="60B57384">
            <w:pPr>
              <w:shd w:val="clear" w:color="auto" w:fill="auto"/>
              <w:adjustRightInd/>
              <w:spacing w:line="280" w:lineRule="exact"/>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□不通过</w:t>
            </w:r>
          </w:p>
        </w:tc>
        <w:tc>
          <w:tcPr>
            <w:tcW w:w="2192" w:type="dxa"/>
            <w:noWrap w:val="0"/>
            <w:vAlign w:val="center"/>
          </w:tcPr>
          <w:p w14:paraId="37D00886">
            <w:pPr>
              <w:shd w:val="clear" w:color="auto" w:fill="auto"/>
              <w:adjustRightInd/>
              <w:spacing w:line="280" w:lineRule="exact"/>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第（ ）页</w:t>
            </w:r>
          </w:p>
        </w:tc>
      </w:tr>
    </w:tbl>
    <w:p w14:paraId="14CBEA79">
      <w:pPr>
        <w:shd w:val="clear" w:color="auto" w:fill="auto"/>
        <w:adjustRightInd/>
        <w:snapToGrid w:val="0"/>
        <w:spacing w:line="240" w:lineRule="auto"/>
        <w:textAlignment w:val="auto"/>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 xml:space="preserve">备注：符合性自查表将作为供应商有效性审查的重要内容之一，供应商必须严格按照其内容及序列要求在响应文件中对应如实提供，对证明文件的任何缺漏和不符合项将会直接导致投标无效！ </w:t>
      </w:r>
    </w:p>
    <w:p w14:paraId="66BC2B4B">
      <w:pPr>
        <w:shd w:val="clear" w:color="auto" w:fill="auto"/>
        <w:snapToGrid w:val="0"/>
        <w:rPr>
          <w:rFonts w:hint="eastAsia" w:hAnsi="宋体" w:eastAsia="宋体" w:cs="宋体"/>
          <w:color w:val="auto"/>
          <w:highlight w:val="none"/>
        </w:rPr>
      </w:pPr>
      <w:r>
        <w:rPr>
          <w:rFonts w:hint="eastAsia" w:ascii="宋体" w:hAnsi="宋体" w:eastAsia="宋体" w:cs="宋体"/>
          <w:b/>
          <w:color w:val="auto"/>
          <w:sz w:val="21"/>
          <w:szCs w:val="21"/>
          <w:highlight w:val="none"/>
        </w:rPr>
        <w:br w:type="page"/>
      </w:r>
      <w:r>
        <w:rPr>
          <w:rFonts w:hint="eastAsia" w:hAnsi="宋体" w:eastAsia="宋体" w:cs="宋体"/>
          <w:b/>
          <w:bCs/>
          <w:color w:val="auto"/>
          <w:kern w:val="2"/>
          <w:sz w:val="21"/>
          <w:highlight w:val="none"/>
        </w:rPr>
        <w:t>（2）投标函</w:t>
      </w:r>
    </w:p>
    <w:p w14:paraId="55C972CA">
      <w:pPr>
        <w:keepNext w:val="0"/>
        <w:keepLines w:val="0"/>
        <w:pageBreakBefore w:val="0"/>
        <w:widowControl w:val="0"/>
        <w:shd w:val="clear" w:color="auto" w:fill="auto"/>
        <w:kinsoku/>
        <w:wordWrap/>
        <w:overflowPunct/>
        <w:topLinePunct w:val="0"/>
        <w:autoSpaceDE/>
        <w:autoSpaceDN/>
        <w:bidi w:val="0"/>
        <w:adjustRightInd/>
        <w:spacing w:line="400" w:lineRule="exact"/>
        <w:jc w:val="center"/>
        <w:textAlignment w:val="auto"/>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投 标 函</w:t>
      </w:r>
    </w:p>
    <w:p w14:paraId="4588EF92">
      <w:pPr>
        <w:keepNext w:val="0"/>
        <w:keepLines w:val="0"/>
        <w:pageBreakBefore w:val="0"/>
        <w:widowControl w:val="0"/>
        <w:shd w:val="clear" w:color="auto" w:fill="auto"/>
        <w:kinsoku/>
        <w:wordWrap/>
        <w:overflowPunct/>
        <w:topLinePunct w:val="0"/>
        <w:autoSpaceDE/>
        <w:autoSpaceDN/>
        <w:bidi w:val="0"/>
        <w:snapToGrid w:val="0"/>
        <w:spacing w:before="156" w:beforeLines="50" w:after="50" w:line="400" w:lineRule="exact"/>
        <w:jc w:val="center"/>
        <w:rPr>
          <w:rFonts w:hint="eastAsia" w:ascii="宋体" w:hAnsi="宋体" w:eastAsia="宋体" w:cs="宋体"/>
          <w:b/>
          <w:color w:val="auto"/>
          <w:sz w:val="21"/>
          <w:szCs w:val="21"/>
          <w:highlight w:val="none"/>
        </w:rPr>
      </w:pPr>
    </w:p>
    <w:p w14:paraId="60E09A30">
      <w:pPr>
        <w:keepNext w:val="0"/>
        <w:keepLines w:val="0"/>
        <w:pageBreakBefore w:val="0"/>
        <w:widowControl w:val="0"/>
        <w:shd w:val="clear" w:color="auto" w:fill="auto"/>
        <w:kinsoku/>
        <w:wordWrap/>
        <w:overflowPunct/>
        <w:topLinePunct w:val="0"/>
        <w:autoSpaceDE/>
        <w:autoSpaceDN/>
        <w:bidi w:val="0"/>
        <w:snapToGrid w:val="0"/>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（采购单位名称）：</w:t>
      </w:r>
    </w:p>
    <w:p w14:paraId="1DC6370E">
      <w:pPr>
        <w:keepNext w:val="0"/>
        <w:keepLines w:val="0"/>
        <w:pageBreakBefore w:val="0"/>
        <w:widowControl w:val="0"/>
        <w:shd w:val="clear" w:color="auto" w:fill="auto"/>
        <w:kinsoku/>
        <w:wordWrap/>
        <w:overflowPunct/>
        <w:topLinePunct w:val="0"/>
        <w:autoSpaceDE/>
        <w:autoSpaceDN/>
        <w:bidi w:val="0"/>
        <w:snapToGrid w:val="0"/>
        <w:spacing w:line="400" w:lineRule="exact"/>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根据贵方为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lang w:val="en-US" w:eastAsia="zh-CN"/>
        </w:rPr>
        <w:t>项目名称</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项目的</w:t>
      </w:r>
      <w:r>
        <w:rPr>
          <w:rFonts w:hint="eastAsia" w:ascii="宋体" w:hAnsi="宋体" w:eastAsia="宋体" w:cs="宋体"/>
          <w:color w:val="auto"/>
          <w:sz w:val="21"/>
          <w:szCs w:val="21"/>
          <w:highlight w:val="none"/>
          <w:lang w:val="en-US" w:eastAsia="zh-CN"/>
        </w:rPr>
        <w:t>竞争性磋商</w:t>
      </w:r>
      <w:r>
        <w:rPr>
          <w:rFonts w:hint="eastAsia" w:ascii="宋体" w:hAnsi="宋体" w:eastAsia="宋体" w:cs="宋体"/>
          <w:color w:val="auto"/>
          <w:sz w:val="21"/>
          <w:szCs w:val="21"/>
          <w:highlight w:val="none"/>
        </w:rPr>
        <w:t>公告（项目编号：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），签字代表</w:t>
      </w:r>
      <w:r>
        <w:rPr>
          <w:rFonts w:hint="eastAsia" w:ascii="宋体" w:hAnsi="宋体" w:eastAsia="宋体" w:cs="宋体"/>
          <w:color w:val="auto"/>
          <w:sz w:val="21"/>
          <w:szCs w:val="21"/>
          <w:highlight w:val="none"/>
          <w:u w:val="single"/>
        </w:rPr>
        <w:t xml:space="preserve">         （全名）</w:t>
      </w:r>
      <w:r>
        <w:rPr>
          <w:rFonts w:hint="eastAsia" w:ascii="宋体" w:hAnsi="宋体" w:eastAsia="宋体" w:cs="宋体"/>
          <w:color w:val="auto"/>
          <w:sz w:val="21"/>
          <w:szCs w:val="21"/>
          <w:highlight w:val="none"/>
        </w:rPr>
        <w:t>经正式授权并代表供应商</w:t>
      </w:r>
      <w:r>
        <w:rPr>
          <w:rFonts w:hint="eastAsia" w:ascii="宋体" w:hAnsi="宋体" w:eastAsia="宋体" w:cs="宋体"/>
          <w:color w:val="auto"/>
          <w:sz w:val="21"/>
          <w:szCs w:val="21"/>
          <w:highlight w:val="none"/>
          <w:u w:val="single"/>
        </w:rPr>
        <w:t xml:space="preserve">       （供应商名称）</w:t>
      </w:r>
      <w:r>
        <w:rPr>
          <w:rFonts w:hint="eastAsia" w:ascii="宋体" w:hAnsi="宋体" w:eastAsia="宋体" w:cs="宋体"/>
          <w:color w:val="auto"/>
          <w:sz w:val="21"/>
          <w:szCs w:val="21"/>
          <w:highlight w:val="none"/>
        </w:rPr>
        <w:t>提交响应文件。</w:t>
      </w:r>
    </w:p>
    <w:p w14:paraId="6DC74A52">
      <w:pPr>
        <w:keepNext w:val="0"/>
        <w:keepLines w:val="0"/>
        <w:pageBreakBefore w:val="0"/>
        <w:widowControl w:val="0"/>
        <w:shd w:val="clear" w:color="auto" w:fill="auto"/>
        <w:kinsoku/>
        <w:wordWrap/>
        <w:overflowPunct/>
        <w:topLinePunct w:val="0"/>
        <w:autoSpaceDE/>
        <w:autoSpaceDN/>
        <w:bidi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据此函，签字代表宣布同意如下：</w:t>
      </w:r>
    </w:p>
    <w:p w14:paraId="5A6E2661">
      <w:pPr>
        <w:keepNext w:val="0"/>
        <w:keepLines w:val="0"/>
        <w:pageBreakBefore w:val="0"/>
        <w:widowControl w:val="0"/>
        <w:shd w:val="clear" w:color="auto" w:fill="auto"/>
        <w:kinsoku/>
        <w:wordWrap/>
        <w:overflowPunct/>
        <w:topLinePunct w:val="0"/>
        <w:autoSpaceDE/>
        <w:autoSpaceDN/>
        <w:bidi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1.供应商已详细审查全部“磋商文件”，包括修改文件（如有的话）以及全部参考资料和有关附件，已经了解我方对于磋商文件、采购过程、采购结果有依法进行询问、质疑、投诉的权利及相关渠道和要求。</w:t>
      </w:r>
    </w:p>
    <w:p w14:paraId="513803E5">
      <w:pPr>
        <w:keepNext w:val="0"/>
        <w:keepLines w:val="0"/>
        <w:pageBreakBefore w:val="0"/>
        <w:widowControl w:val="0"/>
        <w:shd w:val="clear" w:color="auto" w:fill="auto"/>
        <w:kinsoku/>
        <w:wordWrap/>
        <w:overflowPunct/>
        <w:topLinePunct w:val="0"/>
        <w:autoSpaceDE/>
        <w:autoSpaceDN/>
        <w:bidi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2.供应商在投标之前已经与贵方进行了充分的沟通，完全理解并接受磋商文件的各项规定和要求，对磋商文件的合理性、合法性不再有异议。</w:t>
      </w:r>
    </w:p>
    <w:p w14:paraId="255F5518">
      <w:pPr>
        <w:keepNext w:val="0"/>
        <w:keepLines w:val="0"/>
        <w:pageBreakBefore w:val="0"/>
        <w:widowControl w:val="0"/>
        <w:shd w:val="clear" w:color="auto" w:fill="auto"/>
        <w:kinsoku/>
        <w:wordWrap/>
        <w:overflowPunct/>
        <w:topLinePunct w:val="0"/>
        <w:autoSpaceDE/>
        <w:autoSpaceDN/>
        <w:bidi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3.本投标有效期自开标日起</w:t>
      </w:r>
      <w:r>
        <w:rPr>
          <w:rFonts w:hint="eastAsia" w:hAnsi="宋体" w:eastAsia="宋体" w:cs="宋体"/>
          <w:color w:val="auto"/>
          <w:sz w:val="21"/>
          <w:szCs w:val="21"/>
          <w:highlight w:val="none"/>
          <w:lang w:val="en-US" w:eastAsia="zh-CN"/>
        </w:rPr>
        <w:t>60</w:t>
      </w:r>
      <w:r>
        <w:rPr>
          <w:rFonts w:hint="eastAsia" w:hAnsi="宋体" w:eastAsia="宋体" w:cs="宋体"/>
          <w:color w:val="auto"/>
          <w:sz w:val="21"/>
          <w:szCs w:val="21"/>
          <w:highlight w:val="none"/>
          <w:lang w:eastAsia="zh-CN"/>
        </w:rPr>
        <w:t>天</w:t>
      </w:r>
      <w:r>
        <w:rPr>
          <w:rFonts w:hint="eastAsia" w:ascii="宋体" w:hAnsi="宋体" w:eastAsia="宋体" w:cs="宋体"/>
          <w:color w:val="auto"/>
          <w:sz w:val="21"/>
          <w:szCs w:val="21"/>
          <w:highlight w:val="none"/>
        </w:rPr>
        <w:t>。</w:t>
      </w:r>
    </w:p>
    <w:p w14:paraId="0AC801C5">
      <w:pPr>
        <w:keepNext w:val="0"/>
        <w:keepLines w:val="0"/>
        <w:pageBreakBefore w:val="0"/>
        <w:widowControl w:val="0"/>
        <w:shd w:val="clear" w:color="auto" w:fill="auto"/>
        <w:kinsoku/>
        <w:wordWrap/>
        <w:overflowPunct/>
        <w:topLinePunct w:val="0"/>
        <w:autoSpaceDE/>
        <w:autoSpaceDN/>
        <w:bidi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4.如中标，本响应文件至本项目合同履行完毕止均保持有效，本供应商将按“磋商文件”及政府采购法律、法规的规定履行合同责任和义务。</w:t>
      </w:r>
    </w:p>
    <w:p w14:paraId="05878081">
      <w:pPr>
        <w:keepNext w:val="0"/>
        <w:keepLines w:val="0"/>
        <w:pageBreakBefore w:val="0"/>
        <w:widowControl w:val="0"/>
        <w:shd w:val="clear" w:color="auto" w:fill="auto"/>
        <w:kinsoku/>
        <w:wordWrap/>
        <w:overflowPunct/>
        <w:topLinePunct w:val="0"/>
        <w:autoSpaceDE/>
        <w:autoSpaceDN/>
        <w:bidi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5.供应商同意按照贵方要求提供与投标有关的一切数据或资料。</w:t>
      </w:r>
    </w:p>
    <w:p w14:paraId="263B543C">
      <w:pPr>
        <w:keepNext w:val="0"/>
        <w:keepLines w:val="0"/>
        <w:pageBreakBefore w:val="0"/>
        <w:widowControl w:val="0"/>
        <w:shd w:val="clear" w:color="auto" w:fill="auto"/>
        <w:kinsoku/>
        <w:wordWrap/>
        <w:overflowPunct/>
        <w:topLinePunct w:val="0"/>
        <w:autoSpaceDE/>
        <w:autoSpaceDN/>
        <w:bidi w:val="0"/>
        <w:snapToGrid w:val="0"/>
        <w:spacing w:line="400" w:lineRule="exact"/>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lang w:val="zh-CN"/>
        </w:rPr>
        <w:t>我们郑重声明：本响应文件提供的情况和文件完全是真实的。</w:t>
      </w:r>
    </w:p>
    <w:p w14:paraId="7969BD51">
      <w:pPr>
        <w:keepNext w:val="0"/>
        <w:keepLines w:val="0"/>
        <w:pageBreakBefore w:val="0"/>
        <w:widowControl w:val="0"/>
        <w:shd w:val="clear" w:color="auto" w:fill="auto"/>
        <w:kinsoku/>
        <w:wordWrap/>
        <w:overflowPunct/>
        <w:topLinePunct w:val="0"/>
        <w:autoSpaceDE/>
        <w:autoSpaceDN/>
        <w:bidi w:val="0"/>
        <w:snapToGrid w:val="0"/>
        <w:spacing w:line="400" w:lineRule="exact"/>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lang w:val="zh-CN"/>
        </w:rPr>
        <w:t>按照</w:t>
      </w:r>
      <w:r>
        <w:rPr>
          <w:rFonts w:hint="eastAsia" w:ascii="宋体" w:hAnsi="宋体" w:eastAsia="宋体" w:cs="宋体"/>
          <w:color w:val="auto"/>
          <w:sz w:val="21"/>
          <w:szCs w:val="21"/>
          <w:highlight w:val="none"/>
        </w:rPr>
        <w:t>磋商</w:t>
      </w:r>
      <w:r>
        <w:rPr>
          <w:rFonts w:hint="eastAsia" w:ascii="宋体" w:hAnsi="宋体" w:eastAsia="宋体" w:cs="宋体"/>
          <w:color w:val="auto"/>
          <w:sz w:val="21"/>
          <w:szCs w:val="21"/>
          <w:highlight w:val="none"/>
          <w:lang w:val="zh-CN"/>
        </w:rPr>
        <w:t>文件的规定，在中标后向</w:t>
      </w:r>
      <w:r>
        <w:rPr>
          <w:rFonts w:hint="eastAsia" w:ascii="宋体" w:hAnsi="宋体" w:eastAsia="宋体" w:cs="宋体"/>
          <w:color w:val="auto"/>
          <w:sz w:val="21"/>
          <w:szCs w:val="21"/>
          <w:highlight w:val="none"/>
        </w:rPr>
        <w:t>采购代理机构</w:t>
      </w:r>
      <w:r>
        <w:rPr>
          <w:rFonts w:hint="eastAsia" w:ascii="宋体" w:hAnsi="宋体" w:eastAsia="宋体" w:cs="宋体"/>
          <w:color w:val="auto"/>
          <w:sz w:val="21"/>
          <w:szCs w:val="21"/>
          <w:highlight w:val="none"/>
          <w:lang w:val="zh-CN"/>
        </w:rPr>
        <w:t>一次性支付招标代理</w:t>
      </w:r>
      <w:r>
        <w:rPr>
          <w:rFonts w:hint="eastAsia" w:ascii="宋体" w:hAnsi="宋体" w:eastAsia="宋体" w:cs="宋体"/>
          <w:color w:val="auto"/>
          <w:sz w:val="21"/>
          <w:szCs w:val="21"/>
          <w:highlight w:val="none"/>
        </w:rPr>
        <w:t>服务</w:t>
      </w:r>
      <w:r>
        <w:rPr>
          <w:rFonts w:hint="eastAsia" w:ascii="宋体" w:hAnsi="宋体" w:eastAsia="宋体" w:cs="宋体"/>
          <w:color w:val="auto"/>
          <w:sz w:val="21"/>
          <w:szCs w:val="21"/>
          <w:highlight w:val="none"/>
          <w:lang w:val="zh-CN"/>
        </w:rPr>
        <w:t>费。</w:t>
      </w:r>
    </w:p>
    <w:p w14:paraId="79599402">
      <w:pPr>
        <w:keepNext w:val="0"/>
        <w:keepLines w:val="0"/>
        <w:pageBreakBefore w:val="0"/>
        <w:widowControl w:val="0"/>
        <w:shd w:val="clear" w:color="auto" w:fill="auto"/>
        <w:kinsoku/>
        <w:wordWrap/>
        <w:overflowPunct/>
        <w:topLinePunct w:val="0"/>
        <w:autoSpaceDE/>
        <w:autoSpaceDN/>
        <w:bidi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8.与本投标有关的一切正式往来信函请寄：</w:t>
      </w:r>
    </w:p>
    <w:p w14:paraId="115C3CFF">
      <w:pPr>
        <w:keepNext w:val="0"/>
        <w:keepLines w:val="0"/>
        <w:pageBreakBefore w:val="0"/>
        <w:widowControl w:val="0"/>
        <w:shd w:val="clear" w:color="auto" w:fill="auto"/>
        <w:kinsoku/>
        <w:wordWrap/>
        <w:overflowPunct/>
        <w:topLinePunct w:val="0"/>
        <w:autoSpaceDE/>
        <w:autoSpaceDN/>
        <w:bidi w:val="0"/>
        <w:snapToGrid w:val="0"/>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邮编：__________   电话：______________</w:t>
      </w:r>
    </w:p>
    <w:p w14:paraId="720D029A">
      <w:pPr>
        <w:keepNext w:val="0"/>
        <w:keepLines w:val="0"/>
        <w:pageBreakBefore w:val="0"/>
        <w:widowControl w:val="0"/>
        <w:shd w:val="clear" w:color="auto" w:fill="auto"/>
        <w:kinsoku/>
        <w:wordWrap/>
        <w:overflowPunct/>
        <w:topLinePunct w:val="0"/>
        <w:autoSpaceDE/>
        <w:autoSpaceDN/>
        <w:bidi w:val="0"/>
        <w:snapToGrid w:val="0"/>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传真：______________供应商代表姓名 ___________  职务：_____________</w:t>
      </w:r>
    </w:p>
    <w:p w14:paraId="5CA1605E">
      <w:pPr>
        <w:keepNext w:val="0"/>
        <w:keepLines w:val="0"/>
        <w:pageBreakBefore w:val="0"/>
        <w:widowControl w:val="0"/>
        <w:shd w:val="clear" w:color="auto" w:fill="auto"/>
        <w:kinsoku/>
        <w:wordWrap/>
        <w:overflowPunct/>
        <w:topLinePunct w:val="0"/>
        <w:autoSpaceDE/>
        <w:autoSpaceDN/>
        <w:bidi w:val="0"/>
        <w:snapToGrid w:val="0"/>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供应商名称(公章):___________________</w:t>
      </w:r>
    </w:p>
    <w:p w14:paraId="633759A3">
      <w:pPr>
        <w:rPr>
          <w:rFonts w:hint="eastAsia" w:hAnsi="宋体" w:eastAsia="宋体" w:cs="宋体"/>
          <w:b/>
          <w:bCs/>
          <w:color w:val="auto"/>
          <w:sz w:val="21"/>
          <w:highlight w:val="none"/>
        </w:rPr>
      </w:pPr>
      <w:r>
        <w:rPr>
          <w:rFonts w:hint="eastAsia" w:hAnsi="宋体" w:eastAsia="宋体" w:cs="宋体"/>
          <w:b/>
          <w:bCs/>
          <w:color w:val="auto"/>
          <w:sz w:val="21"/>
          <w:highlight w:val="none"/>
        </w:rPr>
        <w:br w:type="page"/>
      </w:r>
    </w:p>
    <w:p w14:paraId="35CC38AD">
      <w:pPr>
        <w:keepNext w:val="0"/>
        <w:keepLines w:val="0"/>
        <w:pageBreakBefore w:val="0"/>
        <w:widowControl w:val="0"/>
        <w:shd w:val="clear" w:color="auto" w:fill="auto"/>
        <w:kinsoku/>
        <w:wordWrap/>
        <w:overflowPunct/>
        <w:topLinePunct w:val="0"/>
        <w:autoSpaceDE/>
        <w:autoSpaceDN/>
        <w:bidi w:val="0"/>
        <w:spacing w:line="400" w:lineRule="exact"/>
        <w:rPr>
          <w:rFonts w:hint="eastAsia" w:hAnsi="宋体" w:eastAsia="宋体" w:cs="宋体"/>
          <w:b/>
          <w:bCs/>
          <w:color w:val="auto"/>
          <w:sz w:val="21"/>
          <w:highlight w:val="none"/>
        </w:rPr>
      </w:pPr>
      <w:r>
        <w:rPr>
          <w:rFonts w:hint="eastAsia" w:hAnsi="宋体" w:eastAsia="宋体" w:cs="宋体"/>
          <w:b/>
          <w:bCs/>
          <w:color w:val="auto"/>
          <w:sz w:val="21"/>
          <w:highlight w:val="none"/>
        </w:rPr>
        <w:t>（3）法定代表人身份证明及授权委托书</w:t>
      </w:r>
    </w:p>
    <w:p w14:paraId="738DDE99">
      <w:pPr>
        <w:pStyle w:val="12"/>
        <w:shd w:val="clear" w:color="auto" w:fill="auto"/>
        <w:ind w:left="560"/>
        <w:rPr>
          <w:rFonts w:hint="eastAsia" w:ascii="宋体" w:hAnsi="宋体" w:cs="宋体"/>
          <w:color w:val="auto"/>
          <w:sz w:val="21"/>
          <w:highlight w:val="none"/>
        </w:rPr>
      </w:pPr>
    </w:p>
    <w:p w14:paraId="4D1A7388">
      <w:pPr>
        <w:shd w:val="clear" w:color="auto" w:fill="auto"/>
        <w:jc w:val="center"/>
        <w:rPr>
          <w:rFonts w:hint="eastAsia" w:hAnsi="宋体" w:eastAsia="宋体" w:cs="宋体"/>
          <w:bCs/>
          <w:color w:val="auto"/>
          <w:sz w:val="21"/>
          <w:szCs w:val="21"/>
          <w:highlight w:val="none"/>
        </w:rPr>
      </w:pPr>
      <w:r>
        <w:rPr>
          <w:rFonts w:hint="eastAsia" w:hAnsi="宋体" w:eastAsia="宋体" w:cs="宋体"/>
          <w:b/>
          <w:color w:val="auto"/>
          <w:sz w:val="21"/>
          <w:szCs w:val="21"/>
          <w:highlight w:val="none"/>
        </w:rPr>
        <w:t>法定代表人身份证明</w:t>
      </w:r>
    </w:p>
    <w:p w14:paraId="40B9BAD5">
      <w:pPr>
        <w:shd w:val="clear" w:color="auto" w:fill="auto"/>
        <w:spacing w:line="480" w:lineRule="auto"/>
        <w:ind w:firstLine="420" w:firstLineChars="200"/>
        <w:rPr>
          <w:rFonts w:hint="eastAsia" w:hAnsi="宋体" w:eastAsia="宋体" w:cs="宋体"/>
          <w:color w:val="auto"/>
          <w:sz w:val="21"/>
          <w:szCs w:val="21"/>
          <w:highlight w:val="none"/>
        </w:rPr>
      </w:pPr>
      <w:r>
        <w:rPr>
          <w:rFonts w:hint="eastAsia" w:hAnsi="宋体" w:eastAsia="宋体" w:cs="宋体"/>
          <w:color w:val="auto"/>
          <w:sz w:val="21"/>
          <w:szCs w:val="21"/>
          <w:highlight w:val="none"/>
        </w:rPr>
        <w:t>供应商名称：</w:t>
      </w:r>
      <w:r>
        <w:rPr>
          <w:rFonts w:hint="eastAsia" w:hAnsi="宋体" w:eastAsia="宋体" w:cs="宋体"/>
          <w:color w:val="auto"/>
          <w:sz w:val="21"/>
          <w:szCs w:val="21"/>
          <w:highlight w:val="none"/>
          <w:u w:val="single"/>
        </w:rPr>
        <w:t xml:space="preserve">                                      </w:t>
      </w:r>
    </w:p>
    <w:p w14:paraId="7DCB72AF">
      <w:pPr>
        <w:shd w:val="clear" w:color="auto" w:fill="auto"/>
        <w:spacing w:line="480" w:lineRule="auto"/>
        <w:ind w:firstLine="420" w:firstLineChars="200"/>
        <w:rPr>
          <w:rFonts w:hint="eastAsia" w:hAnsi="宋体" w:eastAsia="宋体" w:cs="宋体"/>
          <w:color w:val="auto"/>
          <w:sz w:val="21"/>
          <w:szCs w:val="21"/>
          <w:highlight w:val="none"/>
        </w:rPr>
      </w:pPr>
      <w:r>
        <w:rPr>
          <w:rFonts w:hint="eastAsia" w:hAnsi="宋体" w:eastAsia="宋体" w:cs="宋体"/>
          <w:color w:val="auto"/>
          <w:sz w:val="21"/>
          <w:szCs w:val="21"/>
          <w:highlight w:val="none"/>
        </w:rPr>
        <w:t>单位性质：</w:t>
      </w:r>
      <w:r>
        <w:rPr>
          <w:rFonts w:hint="eastAsia" w:hAnsi="宋体" w:eastAsia="宋体" w:cs="宋体"/>
          <w:color w:val="auto"/>
          <w:sz w:val="21"/>
          <w:szCs w:val="21"/>
          <w:highlight w:val="none"/>
          <w:u w:val="single"/>
        </w:rPr>
        <w:t xml:space="preserve">                                         </w:t>
      </w:r>
      <w:r>
        <w:rPr>
          <w:rFonts w:hint="eastAsia" w:hAnsi="宋体" w:eastAsia="宋体" w:cs="宋体"/>
          <w:color w:val="auto"/>
          <w:sz w:val="21"/>
          <w:szCs w:val="21"/>
          <w:highlight w:val="none"/>
        </w:rPr>
        <w:t xml:space="preserve"> </w:t>
      </w:r>
    </w:p>
    <w:p w14:paraId="16886685">
      <w:pPr>
        <w:shd w:val="clear" w:color="auto" w:fill="auto"/>
        <w:spacing w:line="480" w:lineRule="auto"/>
        <w:ind w:firstLine="420" w:firstLineChars="200"/>
        <w:rPr>
          <w:rFonts w:hint="eastAsia" w:hAnsi="宋体" w:eastAsia="宋体" w:cs="宋体"/>
          <w:color w:val="auto"/>
          <w:sz w:val="21"/>
          <w:szCs w:val="21"/>
          <w:highlight w:val="none"/>
        </w:rPr>
      </w:pPr>
      <w:r>
        <w:rPr>
          <w:rFonts w:hint="eastAsia" w:hAnsi="宋体" w:eastAsia="宋体" w:cs="宋体"/>
          <w:color w:val="auto"/>
          <w:sz w:val="21"/>
          <w:szCs w:val="21"/>
          <w:highlight w:val="none"/>
        </w:rPr>
        <w:t>地址：</w:t>
      </w:r>
      <w:r>
        <w:rPr>
          <w:rFonts w:hint="eastAsia" w:hAnsi="宋体" w:eastAsia="宋体" w:cs="宋体"/>
          <w:color w:val="auto"/>
          <w:sz w:val="21"/>
          <w:szCs w:val="21"/>
          <w:highlight w:val="none"/>
          <w:u w:val="single"/>
        </w:rPr>
        <w:t xml:space="preserve">                                              </w:t>
      </w:r>
    </w:p>
    <w:p w14:paraId="21CDF2DE">
      <w:pPr>
        <w:shd w:val="clear" w:color="auto" w:fill="auto"/>
        <w:spacing w:line="480" w:lineRule="auto"/>
        <w:ind w:firstLine="420" w:firstLineChars="200"/>
        <w:rPr>
          <w:rFonts w:hint="eastAsia" w:hAnsi="宋体" w:eastAsia="宋体" w:cs="宋体"/>
          <w:color w:val="auto"/>
          <w:sz w:val="21"/>
          <w:szCs w:val="21"/>
          <w:highlight w:val="none"/>
        </w:rPr>
      </w:pPr>
      <w:r>
        <w:rPr>
          <w:rFonts w:hint="eastAsia" w:hAnsi="宋体" w:eastAsia="宋体" w:cs="宋体"/>
          <w:color w:val="auto"/>
          <w:sz w:val="21"/>
          <w:szCs w:val="21"/>
          <w:highlight w:val="none"/>
        </w:rPr>
        <w:t>成立时间：</w:t>
      </w:r>
      <w:r>
        <w:rPr>
          <w:rFonts w:hint="eastAsia" w:hAnsi="宋体" w:eastAsia="宋体" w:cs="宋体"/>
          <w:color w:val="auto"/>
          <w:sz w:val="21"/>
          <w:szCs w:val="21"/>
          <w:highlight w:val="none"/>
          <w:u w:val="single"/>
        </w:rPr>
        <w:t xml:space="preserve">         </w:t>
      </w:r>
      <w:r>
        <w:rPr>
          <w:rFonts w:hint="eastAsia" w:hAnsi="宋体" w:eastAsia="宋体" w:cs="宋体"/>
          <w:color w:val="auto"/>
          <w:sz w:val="21"/>
          <w:szCs w:val="21"/>
          <w:highlight w:val="none"/>
        </w:rPr>
        <w:t>年</w:t>
      </w:r>
      <w:r>
        <w:rPr>
          <w:rFonts w:hint="eastAsia" w:hAnsi="宋体" w:eastAsia="宋体" w:cs="宋体"/>
          <w:color w:val="auto"/>
          <w:sz w:val="21"/>
          <w:szCs w:val="21"/>
          <w:highlight w:val="none"/>
          <w:u w:val="single"/>
        </w:rPr>
        <w:t xml:space="preserve">       </w:t>
      </w:r>
      <w:r>
        <w:rPr>
          <w:rFonts w:hint="eastAsia" w:hAnsi="宋体" w:eastAsia="宋体" w:cs="宋体"/>
          <w:color w:val="auto"/>
          <w:sz w:val="21"/>
          <w:szCs w:val="21"/>
          <w:highlight w:val="none"/>
        </w:rPr>
        <w:t>月</w:t>
      </w:r>
      <w:r>
        <w:rPr>
          <w:rFonts w:hint="eastAsia" w:hAnsi="宋体" w:eastAsia="宋体" w:cs="宋体"/>
          <w:color w:val="auto"/>
          <w:sz w:val="21"/>
          <w:szCs w:val="21"/>
          <w:highlight w:val="none"/>
          <w:u w:val="single"/>
        </w:rPr>
        <w:t xml:space="preserve">    </w:t>
      </w:r>
      <w:r>
        <w:rPr>
          <w:rFonts w:hint="eastAsia" w:hAnsi="宋体" w:eastAsia="宋体" w:cs="宋体"/>
          <w:color w:val="auto"/>
          <w:sz w:val="21"/>
          <w:szCs w:val="21"/>
          <w:highlight w:val="none"/>
        </w:rPr>
        <w:t>日</w:t>
      </w:r>
    </w:p>
    <w:p w14:paraId="46D05C47">
      <w:pPr>
        <w:shd w:val="clear" w:color="auto" w:fill="auto"/>
        <w:spacing w:line="480" w:lineRule="auto"/>
        <w:ind w:firstLine="420" w:firstLineChars="200"/>
        <w:rPr>
          <w:rFonts w:hint="eastAsia" w:hAnsi="宋体" w:eastAsia="宋体" w:cs="宋体"/>
          <w:color w:val="auto"/>
          <w:sz w:val="21"/>
          <w:szCs w:val="21"/>
          <w:highlight w:val="none"/>
        </w:rPr>
      </w:pPr>
      <w:r>
        <w:rPr>
          <w:rFonts w:hint="eastAsia" w:hAnsi="宋体" w:eastAsia="宋体" w:cs="宋体"/>
          <w:color w:val="auto"/>
          <w:sz w:val="21"/>
          <w:szCs w:val="21"/>
          <w:highlight w:val="none"/>
        </w:rPr>
        <w:t>经营期限：</w:t>
      </w:r>
      <w:r>
        <w:rPr>
          <w:rFonts w:hint="eastAsia" w:hAnsi="宋体" w:eastAsia="宋体" w:cs="宋体"/>
          <w:color w:val="auto"/>
          <w:sz w:val="21"/>
          <w:szCs w:val="21"/>
          <w:highlight w:val="none"/>
          <w:u w:val="single"/>
        </w:rPr>
        <w:t xml:space="preserve">                                </w:t>
      </w:r>
      <w:r>
        <w:rPr>
          <w:rFonts w:hint="eastAsia" w:hAnsi="宋体" w:eastAsia="宋体" w:cs="宋体"/>
          <w:color w:val="auto"/>
          <w:sz w:val="21"/>
          <w:szCs w:val="21"/>
          <w:highlight w:val="none"/>
        </w:rPr>
        <w:t xml:space="preserve"> </w:t>
      </w:r>
    </w:p>
    <w:p w14:paraId="70942CD4">
      <w:pPr>
        <w:shd w:val="clear" w:color="auto" w:fill="auto"/>
        <w:spacing w:line="480" w:lineRule="auto"/>
        <w:ind w:firstLine="420" w:firstLineChars="200"/>
        <w:rPr>
          <w:rFonts w:hint="eastAsia" w:hAnsi="宋体" w:eastAsia="宋体" w:cs="宋体"/>
          <w:color w:val="auto"/>
          <w:sz w:val="21"/>
          <w:szCs w:val="21"/>
          <w:highlight w:val="none"/>
        </w:rPr>
      </w:pPr>
      <w:r>
        <w:rPr>
          <w:rFonts w:hint="eastAsia" w:hAnsi="宋体" w:eastAsia="宋体" w:cs="宋体"/>
          <w:color w:val="auto"/>
          <w:sz w:val="21"/>
          <w:szCs w:val="21"/>
          <w:highlight w:val="none"/>
        </w:rPr>
        <w:t>姓名：</w:t>
      </w:r>
      <w:r>
        <w:rPr>
          <w:rFonts w:hint="eastAsia" w:hAnsi="宋体" w:eastAsia="宋体" w:cs="宋体"/>
          <w:color w:val="auto"/>
          <w:sz w:val="21"/>
          <w:szCs w:val="21"/>
          <w:highlight w:val="none"/>
          <w:u w:val="single"/>
        </w:rPr>
        <w:t xml:space="preserve">       </w:t>
      </w:r>
      <w:r>
        <w:rPr>
          <w:rFonts w:hint="eastAsia" w:hAnsi="宋体" w:eastAsia="宋体" w:cs="宋体"/>
          <w:color w:val="auto"/>
          <w:sz w:val="21"/>
          <w:szCs w:val="21"/>
          <w:highlight w:val="none"/>
        </w:rPr>
        <w:t>性别：</w:t>
      </w:r>
      <w:r>
        <w:rPr>
          <w:rFonts w:hint="eastAsia" w:hAnsi="宋体" w:eastAsia="宋体" w:cs="宋体"/>
          <w:color w:val="auto"/>
          <w:sz w:val="21"/>
          <w:szCs w:val="21"/>
          <w:highlight w:val="none"/>
          <w:u w:val="single"/>
        </w:rPr>
        <w:t xml:space="preserve">      </w:t>
      </w:r>
      <w:r>
        <w:rPr>
          <w:rFonts w:hint="eastAsia" w:hAnsi="宋体" w:eastAsia="宋体" w:cs="宋体"/>
          <w:color w:val="auto"/>
          <w:sz w:val="21"/>
          <w:szCs w:val="21"/>
          <w:highlight w:val="none"/>
        </w:rPr>
        <w:t>年龄：</w:t>
      </w:r>
      <w:r>
        <w:rPr>
          <w:rFonts w:hint="eastAsia" w:hAnsi="宋体" w:eastAsia="宋体" w:cs="宋体"/>
          <w:color w:val="auto"/>
          <w:sz w:val="21"/>
          <w:szCs w:val="21"/>
          <w:highlight w:val="none"/>
          <w:u w:val="single"/>
        </w:rPr>
        <w:t xml:space="preserve">    周岁  </w:t>
      </w:r>
      <w:r>
        <w:rPr>
          <w:rFonts w:hint="eastAsia" w:hAnsi="宋体" w:eastAsia="宋体" w:cs="宋体"/>
          <w:color w:val="auto"/>
          <w:sz w:val="21"/>
          <w:szCs w:val="21"/>
          <w:highlight w:val="none"/>
        </w:rPr>
        <w:t>职务：</w:t>
      </w:r>
      <w:r>
        <w:rPr>
          <w:rFonts w:hint="eastAsia" w:hAnsi="宋体" w:eastAsia="宋体" w:cs="宋体"/>
          <w:color w:val="auto"/>
          <w:sz w:val="21"/>
          <w:szCs w:val="21"/>
          <w:highlight w:val="none"/>
          <w:u w:val="single"/>
        </w:rPr>
        <w:t xml:space="preserve">        </w:t>
      </w:r>
      <w:r>
        <w:rPr>
          <w:rFonts w:hint="eastAsia" w:hAnsi="宋体" w:eastAsia="宋体" w:cs="宋体"/>
          <w:color w:val="auto"/>
          <w:sz w:val="21"/>
          <w:szCs w:val="21"/>
          <w:highlight w:val="none"/>
        </w:rPr>
        <w:t xml:space="preserve"> </w:t>
      </w:r>
      <w:r>
        <w:rPr>
          <w:rFonts w:hint="eastAsia" w:hAnsi="宋体" w:eastAsia="宋体" w:cs="宋体"/>
          <w:color w:val="auto"/>
          <w:sz w:val="21"/>
          <w:szCs w:val="21"/>
          <w:highlight w:val="none"/>
          <w:u w:val="single"/>
        </w:rPr>
        <w:t xml:space="preserve">  </w:t>
      </w:r>
    </w:p>
    <w:p w14:paraId="6C55D11E">
      <w:pPr>
        <w:shd w:val="clear" w:color="auto" w:fill="auto"/>
        <w:spacing w:line="480" w:lineRule="auto"/>
        <w:ind w:firstLine="420" w:firstLineChars="200"/>
        <w:rPr>
          <w:rFonts w:hint="eastAsia" w:hAnsi="宋体" w:eastAsia="宋体" w:cs="宋体"/>
          <w:color w:val="auto"/>
          <w:sz w:val="21"/>
          <w:szCs w:val="21"/>
          <w:highlight w:val="none"/>
          <w:u w:val="single"/>
        </w:rPr>
      </w:pPr>
      <w:r>
        <w:rPr>
          <w:rFonts w:hint="eastAsia" w:hAnsi="宋体" w:eastAsia="宋体" w:cs="宋体"/>
          <w:color w:val="auto"/>
          <w:sz w:val="21"/>
          <w:szCs w:val="21"/>
          <w:highlight w:val="none"/>
        </w:rPr>
        <w:t>身份证号码：</w:t>
      </w:r>
      <w:r>
        <w:rPr>
          <w:rFonts w:hint="eastAsia" w:hAnsi="宋体" w:eastAsia="宋体" w:cs="宋体"/>
          <w:color w:val="auto"/>
          <w:sz w:val="21"/>
          <w:szCs w:val="21"/>
          <w:highlight w:val="none"/>
          <w:u w:val="single"/>
        </w:rPr>
        <w:t xml:space="preserve">                   </w:t>
      </w:r>
    </w:p>
    <w:p w14:paraId="3B57D81B">
      <w:pPr>
        <w:shd w:val="clear" w:color="auto" w:fill="auto"/>
        <w:spacing w:line="480" w:lineRule="auto"/>
        <w:ind w:firstLine="420" w:firstLineChars="200"/>
        <w:rPr>
          <w:rFonts w:hint="eastAsia" w:hAnsi="宋体" w:eastAsia="宋体" w:cs="宋体"/>
          <w:color w:val="auto"/>
          <w:sz w:val="21"/>
          <w:szCs w:val="21"/>
          <w:highlight w:val="none"/>
        </w:rPr>
      </w:pPr>
      <w:r>
        <w:rPr>
          <w:rFonts w:hint="eastAsia" w:hAnsi="宋体" w:eastAsia="宋体" w:cs="宋体"/>
          <w:color w:val="auto"/>
          <w:sz w:val="21"/>
          <w:szCs w:val="21"/>
          <w:highlight w:val="none"/>
        </w:rPr>
        <w:t>系</w:t>
      </w:r>
      <w:r>
        <w:rPr>
          <w:rFonts w:hint="eastAsia" w:hAnsi="宋体" w:eastAsia="宋体" w:cs="宋体"/>
          <w:color w:val="auto"/>
          <w:sz w:val="21"/>
          <w:szCs w:val="21"/>
          <w:highlight w:val="none"/>
          <w:u w:val="single"/>
        </w:rPr>
        <w:t xml:space="preserve">                                      </w:t>
      </w:r>
      <w:r>
        <w:rPr>
          <w:rFonts w:hint="eastAsia" w:hAnsi="宋体" w:eastAsia="宋体" w:cs="宋体"/>
          <w:color w:val="auto"/>
          <w:sz w:val="21"/>
          <w:szCs w:val="21"/>
          <w:highlight w:val="none"/>
        </w:rPr>
        <w:t>（供应商名称）的法定代表人。</w:t>
      </w:r>
    </w:p>
    <w:p w14:paraId="183AFC48">
      <w:pPr>
        <w:shd w:val="clear" w:color="auto" w:fill="auto"/>
        <w:ind w:firstLine="420" w:firstLineChars="200"/>
        <w:rPr>
          <w:rFonts w:hint="eastAsia" w:hAnsi="宋体" w:eastAsia="宋体" w:cs="宋体"/>
          <w:bCs/>
          <w:color w:val="auto"/>
          <w:sz w:val="21"/>
          <w:szCs w:val="21"/>
          <w:highlight w:val="none"/>
        </w:rPr>
      </w:pPr>
      <w:r>
        <w:rPr>
          <w:rFonts w:hint="eastAsia" w:hAnsi="宋体" w:eastAsia="宋体" w:cs="宋体"/>
          <w:color w:val="auto"/>
          <w:sz w:val="21"/>
          <w:szCs w:val="21"/>
          <w:highlight w:val="none"/>
        </w:rPr>
        <w:t>特此证明。</w:t>
      </w:r>
    </w:p>
    <w:p w14:paraId="2CF74FAE">
      <w:pPr>
        <w:shd w:val="clear" w:color="auto" w:fill="auto"/>
        <w:rPr>
          <w:rFonts w:hint="eastAsia" w:hAnsi="宋体" w:eastAsia="宋体" w:cs="宋体"/>
          <w:bCs/>
          <w:color w:val="auto"/>
          <w:sz w:val="21"/>
          <w:szCs w:val="21"/>
          <w:highlight w:val="none"/>
        </w:rPr>
      </w:pPr>
    </w:p>
    <w:p w14:paraId="4458AE16">
      <w:pPr>
        <w:shd w:val="clear" w:color="auto" w:fill="auto"/>
        <w:rPr>
          <w:rFonts w:hint="eastAsia" w:hAnsi="宋体" w:eastAsia="宋体" w:cs="宋体"/>
          <w:bCs/>
          <w:color w:val="auto"/>
          <w:sz w:val="21"/>
          <w:szCs w:val="21"/>
          <w:highlight w:val="none"/>
        </w:rPr>
      </w:pPr>
    </w:p>
    <w:p w14:paraId="3C531E8C">
      <w:pPr>
        <w:shd w:val="clear" w:color="auto" w:fill="auto"/>
        <w:rPr>
          <w:rFonts w:hint="eastAsia" w:hAnsi="宋体" w:eastAsia="宋体" w:cs="宋体"/>
          <w:bCs/>
          <w:color w:val="auto"/>
          <w:sz w:val="21"/>
          <w:szCs w:val="21"/>
          <w:highlight w:val="none"/>
        </w:rPr>
      </w:pPr>
      <w:r>
        <w:rPr>
          <w:rFonts w:hint="eastAsia" w:hAnsi="宋体" w:eastAsia="宋体" w:cs="宋体"/>
          <w:bCs/>
          <w:color w:val="auto"/>
          <w:sz w:val="21"/>
          <w:szCs w:val="21"/>
          <w:highlight w:val="none"/>
        </w:rPr>
        <w:t>供应商名称（公章）：</w:t>
      </w:r>
    </w:p>
    <w:p w14:paraId="6591AA3C">
      <w:pPr>
        <w:shd w:val="clear" w:color="auto" w:fill="auto"/>
        <w:rPr>
          <w:rFonts w:hint="eastAsia" w:hAnsi="宋体" w:eastAsia="宋体" w:cs="宋体"/>
          <w:bCs/>
          <w:color w:val="auto"/>
          <w:sz w:val="21"/>
          <w:szCs w:val="21"/>
          <w:highlight w:val="none"/>
        </w:rPr>
      </w:pPr>
      <w:r>
        <w:rPr>
          <w:rFonts w:hint="eastAsia" w:hAnsi="宋体" w:eastAsia="宋体" w:cs="宋体"/>
          <w:bCs/>
          <w:color w:val="auto"/>
          <w:sz w:val="21"/>
          <w:szCs w:val="21"/>
          <w:highlight w:val="none"/>
        </w:rPr>
        <w:t xml:space="preserve">供应商法定代表人（签名或印章）：                       </w:t>
      </w:r>
    </w:p>
    <w:p w14:paraId="28AC5829">
      <w:pPr>
        <w:pStyle w:val="14"/>
        <w:shd w:val="clear" w:color="auto" w:fill="auto"/>
        <w:snapToGrid w:val="0"/>
        <w:rPr>
          <w:rFonts w:hint="eastAsia" w:ascii="宋体" w:hAnsi="宋体" w:cs="宋体"/>
          <w:color w:val="auto"/>
          <w:sz w:val="21"/>
          <w:szCs w:val="21"/>
          <w:highlight w:val="none"/>
        </w:rPr>
      </w:pPr>
      <w:r>
        <w:rPr>
          <w:rFonts w:hint="eastAsia" w:ascii="宋体" w:hAnsi="宋体" w:cs="宋体"/>
          <w:bCs/>
          <w:color w:val="auto"/>
          <w:sz w:val="21"/>
          <w:szCs w:val="21"/>
          <w:highlight w:val="none"/>
        </w:rPr>
        <w:t>日期：</w:t>
      </w:r>
      <w:r>
        <w:rPr>
          <w:rFonts w:hint="eastAsia" w:ascii="宋体" w:hAnsi="宋体" w:cs="宋体"/>
          <w:bCs/>
          <w:color w:val="auto"/>
          <w:sz w:val="21"/>
          <w:szCs w:val="21"/>
          <w:highlight w:val="none"/>
          <w:lang w:eastAsia="zh-CN"/>
        </w:rPr>
        <w:t>2025年</w:t>
      </w:r>
      <w:r>
        <w:rPr>
          <w:rFonts w:hint="eastAsia" w:ascii="宋体" w:hAnsi="宋体" w:cs="宋体"/>
          <w:bCs/>
          <w:color w:val="auto"/>
          <w:sz w:val="21"/>
          <w:szCs w:val="21"/>
          <w:highlight w:val="none"/>
        </w:rPr>
        <w:t xml:space="preserve">  月  日</w:t>
      </w:r>
    </w:p>
    <w:p w14:paraId="6E216B82">
      <w:pPr>
        <w:pStyle w:val="14"/>
        <w:shd w:val="clear" w:color="auto" w:fill="auto"/>
        <w:snapToGrid w:val="0"/>
        <w:ind w:left="403"/>
        <w:rPr>
          <w:rFonts w:hint="eastAsia" w:ascii="宋体" w:hAnsi="宋体" w:cs="宋体"/>
          <w:color w:val="auto"/>
          <w:sz w:val="21"/>
          <w:szCs w:val="21"/>
          <w:highlight w:val="none"/>
        </w:rPr>
      </w:pPr>
    </w:p>
    <w:p w14:paraId="0A6CD514">
      <w:pPr>
        <w:shd w:val="clear" w:color="auto" w:fill="auto"/>
        <w:jc w:val="center"/>
        <w:rPr>
          <w:rFonts w:hint="eastAsia" w:hAnsi="宋体" w:eastAsia="宋体" w:cs="宋体"/>
          <w:b/>
          <w:bCs/>
          <w:color w:val="auto"/>
          <w:sz w:val="21"/>
          <w:szCs w:val="21"/>
          <w:highlight w:val="none"/>
        </w:rPr>
      </w:pPr>
    </w:p>
    <w:p w14:paraId="43F54EA0">
      <w:pPr>
        <w:shd w:val="clear" w:color="auto" w:fill="auto"/>
        <w:jc w:val="both"/>
        <w:rPr>
          <w:rFonts w:hint="eastAsia" w:hAnsi="宋体" w:eastAsia="宋体" w:cs="宋体"/>
          <w:b/>
          <w:bCs/>
          <w:color w:val="auto"/>
          <w:sz w:val="21"/>
          <w:szCs w:val="21"/>
          <w:highlight w:val="none"/>
        </w:rPr>
      </w:pPr>
      <w:r>
        <w:rPr>
          <w:rFonts w:hint="eastAsia" w:hAnsi="宋体" w:eastAsia="宋体" w:cs="宋体"/>
          <w:b/>
          <w:bCs/>
          <w:color w:val="auto"/>
          <w:sz w:val="21"/>
          <w:szCs w:val="21"/>
          <w:highlight w:val="none"/>
        </w:rPr>
        <w:t>附法定代表人身份证复印件（正反面）：</w:t>
      </w:r>
    </w:p>
    <w:p w14:paraId="3A1D3A72">
      <w:pPr>
        <w:shd w:val="clear" w:color="auto" w:fill="auto"/>
        <w:jc w:val="center"/>
        <w:rPr>
          <w:rFonts w:hint="eastAsia" w:hAnsi="宋体" w:eastAsia="宋体" w:cs="宋体"/>
          <w:b/>
          <w:bCs/>
          <w:color w:val="auto"/>
          <w:sz w:val="21"/>
          <w:szCs w:val="21"/>
          <w:highlight w:val="none"/>
        </w:rPr>
      </w:pPr>
    </w:p>
    <w:p w14:paraId="1C4100F5">
      <w:pPr>
        <w:shd w:val="clear" w:color="auto" w:fill="auto"/>
        <w:jc w:val="center"/>
        <w:rPr>
          <w:rFonts w:hint="eastAsia" w:ascii="宋体" w:hAnsi="宋体" w:eastAsia="宋体" w:cs="宋体"/>
          <w:b/>
          <w:color w:val="auto"/>
          <w:sz w:val="21"/>
          <w:szCs w:val="21"/>
          <w:highlight w:val="none"/>
        </w:rPr>
      </w:pPr>
      <w:r>
        <w:rPr>
          <w:rFonts w:hint="eastAsia" w:hAnsi="宋体" w:eastAsia="宋体" w:cs="宋体"/>
          <w:color w:val="auto"/>
          <w:sz w:val="21"/>
          <w:highlight w:val="none"/>
        </w:rPr>
        <w:br w:type="page"/>
      </w:r>
      <w:r>
        <w:rPr>
          <w:rFonts w:hint="eastAsia" w:ascii="宋体" w:hAnsi="宋体" w:eastAsia="宋体" w:cs="宋体"/>
          <w:b/>
          <w:color w:val="auto"/>
          <w:sz w:val="21"/>
          <w:szCs w:val="21"/>
          <w:highlight w:val="none"/>
        </w:rPr>
        <w:t>法定代表人授权委托书</w:t>
      </w:r>
    </w:p>
    <w:p w14:paraId="47A31C3A">
      <w:pPr>
        <w:shd w:val="clear" w:color="auto" w:fill="auto"/>
        <w:snapToGrid w:val="0"/>
        <w:rPr>
          <w:rFonts w:hint="eastAsia" w:ascii="宋体" w:hAnsi="宋体" w:eastAsia="宋体" w:cs="宋体"/>
          <w:bCs/>
          <w:color w:val="auto"/>
          <w:sz w:val="21"/>
          <w:szCs w:val="21"/>
          <w:highlight w:val="none"/>
        </w:rPr>
      </w:pPr>
    </w:p>
    <w:p w14:paraId="1D06AADF">
      <w:pPr>
        <w:shd w:val="clear" w:color="auto" w:fill="auto"/>
        <w:snapToGrid w:val="0"/>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（采购单位名称）</w:t>
      </w:r>
      <w:r>
        <w:rPr>
          <w:rFonts w:hint="eastAsia" w:ascii="宋体" w:hAnsi="宋体" w:eastAsia="宋体" w:cs="宋体"/>
          <w:b/>
          <w:bCs/>
          <w:color w:val="auto"/>
          <w:sz w:val="21"/>
          <w:szCs w:val="21"/>
          <w:highlight w:val="none"/>
        </w:rPr>
        <w:t xml:space="preserve"> </w:t>
      </w:r>
      <w:r>
        <w:rPr>
          <w:rFonts w:hint="eastAsia" w:ascii="宋体" w:hAnsi="宋体" w:eastAsia="宋体" w:cs="宋体"/>
          <w:color w:val="auto"/>
          <w:sz w:val="21"/>
          <w:szCs w:val="21"/>
          <w:highlight w:val="none"/>
        </w:rPr>
        <w:t>：</w:t>
      </w:r>
    </w:p>
    <w:p w14:paraId="3A29D159">
      <w:pPr>
        <w:shd w:val="clear" w:color="auto" w:fill="auto"/>
        <w:snapToGrid w:val="0"/>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我</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法人</w:t>
      </w:r>
      <w:r>
        <w:rPr>
          <w:rFonts w:hint="eastAsia" w:ascii="宋体" w:hAnsi="宋体" w:eastAsia="宋体" w:cs="宋体"/>
          <w:color w:val="auto"/>
          <w:sz w:val="21"/>
          <w:szCs w:val="21"/>
          <w:highlight w:val="none"/>
        </w:rPr>
        <w:t>姓名）系</w:t>
      </w:r>
      <w:r>
        <w:rPr>
          <w:rFonts w:hint="eastAsia" w:ascii="宋体" w:hAnsi="宋体" w:eastAsia="宋体" w:cs="宋体"/>
          <w:color w:val="auto"/>
          <w:sz w:val="21"/>
          <w:szCs w:val="21"/>
          <w:highlight w:val="none"/>
          <w:u w:val="single"/>
        </w:rPr>
        <w:t xml:space="preserve">           （供应商名称）</w:t>
      </w:r>
      <w:r>
        <w:rPr>
          <w:rFonts w:hint="eastAsia" w:ascii="宋体" w:hAnsi="宋体" w:eastAsia="宋体" w:cs="宋体"/>
          <w:color w:val="auto"/>
          <w:sz w:val="21"/>
          <w:szCs w:val="21"/>
          <w:highlight w:val="none"/>
        </w:rPr>
        <w:t xml:space="preserve">的法定代表人，现授权委托本单位在职职工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被委托人</w:t>
      </w:r>
      <w:r>
        <w:rPr>
          <w:rFonts w:hint="eastAsia" w:ascii="宋体" w:hAnsi="宋体" w:eastAsia="宋体" w:cs="宋体"/>
          <w:color w:val="auto"/>
          <w:sz w:val="21"/>
          <w:szCs w:val="21"/>
          <w:highlight w:val="none"/>
        </w:rPr>
        <w:t>姓名）以我方的名义参加</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lang w:val="en-US" w:eastAsia="zh-CN"/>
        </w:rPr>
        <w:t>项目名称</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项目的投标活动，并代表我方全权办理针对上述项目的投标、开标、评标、签约等具体事务和签署相关文件。</w:t>
      </w:r>
    </w:p>
    <w:p w14:paraId="59B91243">
      <w:pPr>
        <w:shd w:val="clear" w:color="auto" w:fill="auto"/>
        <w:snapToGrid w:val="0"/>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我方对授权代表的签名事项负全部责任。</w:t>
      </w:r>
    </w:p>
    <w:p w14:paraId="748E5C0D">
      <w:pPr>
        <w:shd w:val="clear" w:color="auto" w:fill="auto"/>
        <w:snapToGrid w:val="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在撤销授权的书面通知以前，本授权书一直有效。授权代表人在授权书有效期内签署的所有文件不因授权的撤销而失效。</w:t>
      </w:r>
    </w:p>
    <w:p w14:paraId="2CB17999">
      <w:pPr>
        <w:shd w:val="clear" w:color="auto" w:fill="auto"/>
        <w:snapToGrid w:val="0"/>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授权代表无转委托权，特此委托。</w:t>
      </w:r>
    </w:p>
    <w:p w14:paraId="2C5EB8A9">
      <w:pPr>
        <w:shd w:val="clear" w:color="auto" w:fill="auto"/>
        <w:snapToGrid w:val="0"/>
        <w:rPr>
          <w:rFonts w:hint="eastAsia" w:ascii="宋体" w:hAnsi="宋体" w:eastAsia="宋体" w:cs="宋体"/>
          <w:color w:val="auto"/>
          <w:sz w:val="21"/>
          <w:szCs w:val="21"/>
          <w:highlight w:val="none"/>
        </w:rPr>
      </w:pPr>
    </w:p>
    <w:p w14:paraId="6676AEFF">
      <w:pPr>
        <w:shd w:val="clear" w:color="auto" w:fill="auto"/>
        <w:snapToGrid w:val="0"/>
        <w:rPr>
          <w:rFonts w:hint="eastAsia" w:ascii="宋体" w:hAnsi="宋体" w:eastAsia="宋体" w:cs="宋体"/>
          <w:color w:val="auto"/>
          <w:sz w:val="21"/>
          <w:szCs w:val="21"/>
          <w:highlight w:val="none"/>
        </w:rPr>
      </w:pPr>
    </w:p>
    <w:p w14:paraId="1BE53B68">
      <w:pPr>
        <w:shd w:val="clear" w:color="auto" w:fill="auto"/>
        <w:snapToGrid w:val="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授权代表（签名或印章）：                         法定代表人（签名或印章）：</w:t>
      </w:r>
    </w:p>
    <w:p w14:paraId="241EEBBF">
      <w:pPr>
        <w:shd w:val="clear" w:color="auto" w:fill="auto"/>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职务：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职务：           </w:t>
      </w:r>
    </w:p>
    <w:p w14:paraId="13F26B83">
      <w:pPr>
        <w:shd w:val="clear" w:color="auto" w:fill="auto"/>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授权代表身份证号码：</w:t>
      </w:r>
    </w:p>
    <w:p w14:paraId="2171D952">
      <w:pPr>
        <w:shd w:val="clear" w:color="auto" w:fill="auto"/>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14:paraId="132DC1CD">
      <w:pPr>
        <w:shd w:val="clear" w:color="auto" w:fill="auto"/>
        <w:snapToGrid w:val="0"/>
        <w:rPr>
          <w:rFonts w:hint="eastAsia" w:ascii="宋体" w:hAnsi="宋体" w:eastAsia="宋体" w:cs="宋体"/>
          <w:color w:val="auto"/>
          <w:sz w:val="21"/>
          <w:szCs w:val="21"/>
          <w:highlight w:val="none"/>
        </w:rPr>
      </w:pPr>
    </w:p>
    <w:p w14:paraId="64690E7C">
      <w:pPr>
        <w:shd w:val="clear" w:color="auto" w:fill="auto"/>
        <w:snapToGrid w:val="0"/>
        <w:ind w:firstLine="4830" w:firstLineChars="23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供应商名称（公章）：</w:t>
      </w:r>
    </w:p>
    <w:p w14:paraId="25DBCBA6">
      <w:pPr>
        <w:shd w:val="clear" w:color="auto" w:fill="auto"/>
        <w:snapToGrid w:val="0"/>
        <w:ind w:firstLine="4830" w:firstLineChars="2300"/>
        <w:rPr>
          <w:rFonts w:hint="eastAsia" w:ascii="宋体" w:hAnsi="宋体" w:eastAsia="宋体" w:cs="宋体"/>
          <w:color w:val="auto"/>
          <w:sz w:val="21"/>
          <w:szCs w:val="21"/>
          <w:highlight w:val="none"/>
        </w:rPr>
      </w:pPr>
    </w:p>
    <w:p w14:paraId="2770C8E1">
      <w:pPr>
        <w:shd w:val="clear" w:color="auto" w:fill="auto"/>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年    月    日</w:t>
      </w:r>
    </w:p>
    <w:p w14:paraId="4E396D2A">
      <w:pPr>
        <w:shd w:val="clear" w:color="auto" w:fill="auto"/>
        <w:rPr>
          <w:rFonts w:hint="eastAsia" w:ascii="宋体" w:hAnsi="宋体" w:eastAsia="宋体" w:cs="宋体"/>
          <w:b/>
          <w:color w:val="auto"/>
          <w:sz w:val="21"/>
          <w:szCs w:val="21"/>
          <w:highlight w:val="none"/>
        </w:rPr>
      </w:pPr>
    </w:p>
    <w:p w14:paraId="03835425">
      <w:pPr>
        <w:shd w:val="clear" w:color="auto" w:fill="auto"/>
        <w:rPr>
          <w:rFonts w:hint="eastAsia" w:ascii="宋体" w:hAnsi="宋体" w:eastAsia="宋体" w:cs="宋体"/>
          <w:b/>
          <w:color w:val="auto"/>
          <w:sz w:val="21"/>
          <w:szCs w:val="21"/>
          <w:highlight w:val="none"/>
        </w:rPr>
      </w:pPr>
    </w:p>
    <w:p w14:paraId="2447E528">
      <w:pPr>
        <w:shd w:val="clear" w:color="auto" w:fill="auto"/>
        <w:snapToGrid w:val="0"/>
        <w:spacing w:before="50" w:after="50" w:line="360" w:lineRule="atLeas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附：</w:t>
      </w:r>
    </w:p>
    <w:p w14:paraId="5CECD3EA">
      <w:pPr>
        <w:shd w:val="clear" w:color="auto" w:fill="auto"/>
        <w:snapToGrid w:val="0"/>
        <w:spacing w:before="50" w:after="50" w:line="360" w:lineRule="atLeast"/>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val="en-US" w:eastAsia="zh-CN"/>
        </w:rPr>
        <w:t>1.</w:t>
      </w:r>
      <w:r>
        <w:rPr>
          <w:rFonts w:hint="eastAsia" w:ascii="宋体" w:hAnsi="宋体" w:eastAsia="宋体" w:cs="宋体"/>
          <w:b/>
          <w:color w:val="auto"/>
          <w:sz w:val="21"/>
          <w:szCs w:val="21"/>
          <w:highlight w:val="none"/>
        </w:rPr>
        <w:t>法定代表人身份证复印件（正反面）</w:t>
      </w:r>
      <w:r>
        <w:rPr>
          <w:rFonts w:hint="eastAsia" w:ascii="宋体" w:hAnsi="宋体" w:eastAsia="宋体" w:cs="宋体"/>
          <w:b/>
          <w:color w:val="auto"/>
          <w:sz w:val="21"/>
          <w:szCs w:val="21"/>
          <w:highlight w:val="none"/>
          <w:lang w:eastAsia="zh-CN"/>
        </w:rPr>
        <w:t>；</w:t>
      </w:r>
    </w:p>
    <w:p w14:paraId="23C5A563">
      <w:pPr>
        <w:shd w:val="clear" w:color="auto" w:fill="auto"/>
        <w:snapToGrid w:val="0"/>
        <w:spacing w:before="50" w:after="50" w:line="360" w:lineRule="atLeast"/>
        <w:rPr>
          <w:rFonts w:hint="eastAsia" w:ascii="宋体" w:hAnsi="宋体" w:eastAsia="宋体" w:cs="宋体"/>
          <w:b/>
          <w:color w:val="auto"/>
          <w:kern w:val="2"/>
          <w:sz w:val="21"/>
          <w:szCs w:val="21"/>
          <w:highlight w:val="none"/>
        </w:rPr>
      </w:pPr>
      <w:r>
        <w:rPr>
          <w:rFonts w:hint="eastAsia" w:ascii="宋体" w:hAnsi="宋体" w:eastAsia="宋体" w:cs="宋体"/>
          <w:b/>
          <w:color w:val="auto"/>
          <w:sz w:val="21"/>
          <w:szCs w:val="21"/>
          <w:highlight w:val="none"/>
          <w:lang w:val="en-US" w:eastAsia="zh-CN"/>
        </w:rPr>
        <w:t>2.</w:t>
      </w:r>
      <w:r>
        <w:rPr>
          <w:rFonts w:hint="eastAsia" w:ascii="宋体" w:hAnsi="宋体" w:eastAsia="宋体" w:cs="宋体"/>
          <w:b/>
          <w:color w:val="auto"/>
          <w:sz w:val="21"/>
          <w:szCs w:val="21"/>
          <w:highlight w:val="none"/>
        </w:rPr>
        <w:t>授权代表身份证复印件（正反面）及授权代表开标日前近100天（任意一个月）当地相关部门出具的社保证明。</w:t>
      </w:r>
    </w:p>
    <w:p w14:paraId="52F35C27">
      <w:pPr>
        <w:shd w:val="clear" w:color="auto" w:fill="auto"/>
        <w:snapToGrid w:val="0"/>
        <w:spacing w:before="50"/>
        <w:rPr>
          <w:rFonts w:hint="eastAsia" w:hAnsi="宋体" w:eastAsia="宋体" w:cs="宋体"/>
          <w:color w:val="auto"/>
          <w:sz w:val="21"/>
          <w:highlight w:val="none"/>
        </w:rPr>
      </w:pPr>
      <w:r>
        <w:rPr>
          <w:rFonts w:hint="eastAsia" w:hAnsi="宋体" w:cs="宋体"/>
          <w:b/>
          <w:color w:val="auto"/>
          <w:highlight w:val="none"/>
        </w:rPr>
        <w:br w:type="page"/>
      </w:r>
      <w:r>
        <w:rPr>
          <w:rFonts w:hint="eastAsia" w:hAnsi="宋体" w:eastAsia="宋体" w:cs="宋体"/>
          <w:b/>
          <w:bCs/>
          <w:color w:val="auto"/>
          <w:sz w:val="21"/>
          <w:highlight w:val="none"/>
        </w:rPr>
        <w:t>（4）技术条款响应（偏离）表；</w:t>
      </w:r>
    </w:p>
    <w:p w14:paraId="374EF926">
      <w:pPr>
        <w:shd w:val="clear" w:color="auto" w:fill="auto"/>
        <w:snapToGrid w:val="0"/>
        <w:spacing w:before="50" w:after="156" w:afterLines="50"/>
        <w:jc w:val="center"/>
        <w:rPr>
          <w:rFonts w:hint="eastAsia" w:hAnsi="宋体" w:eastAsia="宋体" w:cs="宋体"/>
          <w:b/>
          <w:bCs/>
          <w:color w:val="auto"/>
          <w:sz w:val="21"/>
          <w:highlight w:val="none"/>
        </w:rPr>
      </w:pPr>
      <w:r>
        <w:rPr>
          <w:rFonts w:hint="eastAsia" w:hAnsi="宋体" w:eastAsia="宋体" w:cs="宋体"/>
          <w:b/>
          <w:bCs/>
          <w:color w:val="auto"/>
          <w:sz w:val="21"/>
          <w:highlight w:val="none"/>
        </w:rPr>
        <w:t>技术条款响应（偏离）表</w:t>
      </w:r>
    </w:p>
    <w:p w14:paraId="5E4F3E1C">
      <w:pPr>
        <w:shd w:val="clear" w:color="auto" w:fill="auto"/>
        <w:snapToGrid w:val="0"/>
        <w:spacing w:before="50"/>
        <w:rPr>
          <w:rFonts w:hint="eastAsia" w:hAnsi="宋体" w:eastAsia="宋体" w:cs="宋体"/>
          <w:color w:val="auto"/>
          <w:sz w:val="21"/>
          <w:highlight w:val="none"/>
          <w:u w:val="single"/>
        </w:rPr>
      </w:pPr>
      <w:r>
        <w:rPr>
          <w:rFonts w:hint="eastAsia" w:hAnsi="宋体" w:eastAsia="宋体" w:cs="宋体"/>
          <w:color w:val="auto"/>
          <w:sz w:val="21"/>
          <w:highlight w:val="none"/>
        </w:rPr>
        <w:t xml:space="preserve">项目编号：                   </w:t>
      </w:r>
      <w:r>
        <w:rPr>
          <w:rFonts w:hint="eastAsia" w:hAnsi="宋体" w:eastAsia="宋体" w:cs="宋体"/>
          <w:color w:val="auto"/>
          <w:sz w:val="21"/>
          <w:highlight w:val="none"/>
          <w:lang w:val="en-US" w:eastAsia="zh-CN"/>
        </w:rPr>
        <w:t xml:space="preserve">           </w:t>
      </w:r>
      <w:r>
        <w:rPr>
          <w:rFonts w:hint="eastAsia" w:hAnsi="宋体" w:eastAsia="宋体" w:cs="宋体"/>
          <w:color w:val="auto"/>
          <w:sz w:val="21"/>
          <w:highlight w:val="none"/>
        </w:rPr>
        <w:t xml:space="preserve">项目名称：                      </w:t>
      </w:r>
    </w:p>
    <w:tbl>
      <w:tblPr>
        <w:tblStyle w:val="2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4647"/>
        <w:gridCol w:w="1575"/>
        <w:gridCol w:w="1185"/>
      </w:tblGrid>
      <w:tr w14:paraId="20E53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026" w:type="dxa"/>
            <w:noWrap w:val="0"/>
            <w:vAlign w:val="center"/>
          </w:tcPr>
          <w:p w14:paraId="5D4125C2">
            <w:pPr>
              <w:shd w:val="clear" w:color="auto" w:fill="auto"/>
              <w:jc w:val="center"/>
              <w:rPr>
                <w:rFonts w:hint="eastAsia" w:hAnsi="宋体" w:eastAsia="宋体" w:cs="宋体"/>
                <w:color w:val="auto"/>
                <w:sz w:val="21"/>
                <w:highlight w:val="none"/>
              </w:rPr>
            </w:pPr>
            <w:r>
              <w:rPr>
                <w:rFonts w:hint="eastAsia" w:hAnsi="宋体" w:eastAsia="宋体" w:cs="宋体"/>
                <w:color w:val="auto"/>
                <w:sz w:val="21"/>
                <w:highlight w:val="none"/>
              </w:rPr>
              <w:t>序号</w:t>
            </w:r>
          </w:p>
        </w:tc>
        <w:tc>
          <w:tcPr>
            <w:tcW w:w="4647" w:type="dxa"/>
            <w:noWrap w:val="0"/>
            <w:vAlign w:val="center"/>
          </w:tcPr>
          <w:p w14:paraId="3A52BEC9">
            <w:pPr>
              <w:shd w:val="clear" w:color="auto" w:fill="auto"/>
              <w:jc w:val="center"/>
              <w:rPr>
                <w:rFonts w:hint="eastAsia" w:hAnsi="宋体" w:eastAsia="宋体" w:cs="宋体"/>
                <w:color w:val="auto"/>
                <w:sz w:val="21"/>
                <w:highlight w:val="none"/>
              </w:rPr>
            </w:pPr>
            <w:r>
              <w:rPr>
                <w:rFonts w:hint="eastAsia" w:hAnsi="宋体" w:eastAsia="宋体" w:cs="宋体"/>
                <w:color w:val="auto"/>
                <w:sz w:val="21"/>
                <w:highlight w:val="none"/>
              </w:rPr>
              <w:t>磋商文件的技术条款</w:t>
            </w:r>
          </w:p>
        </w:tc>
        <w:tc>
          <w:tcPr>
            <w:tcW w:w="1575" w:type="dxa"/>
            <w:noWrap w:val="0"/>
            <w:vAlign w:val="center"/>
          </w:tcPr>
          <w:p w14:paraId="1D8F60A6">
            <w:pPr>
              <w:shd w:val="clear" w:color="auto" w:fill="auto"/>
              <w:jc w:val="center"/>
              <w:rPr>
                <w:rFonts w:hint="eastAsia" w:hAnsi="宋体" w:eastAsia="宋体" w:cs="宋体"/>
                <w:color w:val="auto"/>
                <w:sz w:val="21"/>
                <w:highlight w:val="none"/>
              </w:rPr>
            </w:pPr>
            <w:r>
              <w:rPr>
                <w:rFonts w:hint="eastAsia" w:hAnsi="宋体" w:eastAsia="宋体" w:cs="宋体"/>
                <w:color w:val="auto"/>
                <w:sz w:val="21"/>
                <w:highlight w:val="none"/>
              </w:rPr>
              <w:t>响应文件的</w:t>
            </w:r>
          </w:p>
          <w:p w14:paraId="54D6B459">
            <w:pPr>
              <w:shd w:val="clear" w:color="auto" w:fill="auto"/>
              <w:jc w:val="center"/>
              <w:rPr>
                <w:rFonts w:hint="eastAsia" w:hAnsi="宋体" w:eastAsia="宋体" w:cs="宋体"/>
                <w:color w:val="auto"/>
                <w:sz w:val="21"/>
                <w:highlight w:val="none"/>
              </w:rPr>
            </w:pPr>
            <w:r>
              <w:rPr>
                <w:rFonts w:hint="eastAsia" w:hAnsi="宋体" w:eastAsia="宋体" w:cs="宋体"/>
                <w:color w:val="auto"/>
                <w:sz w:val="21"/>
                <w:highlight w:val="none"/>
              </w:rPr>
              <w:t>响应情况</w:t>
            </w:r>
          </w:p>
        </w:tc>
        <w:tc>
          <w:tcPr>
            <w:tcW w:w="1185" w:type="dxa"/>
            <w:noWrap w:val="0"/>
            <w:vAlign w:val="center"/>
          </w:tcPr>
          <w:p w14:paraId="70FCFDE9">
            <w:pPr>
              <w:shd w:val="clear" w:color="auto" w:fill="auto"/>
              <w:jc w:val="center"/>
              <w:rPr>
                <w:rFonts w:hint="eastAsia" w:hAnsi="宋体" w:eastAsia="宋体" w:cs="宋体"/>
                <w:color w:val="auto"/>
                <w:sz w:val="21"/>
                <w:highlight w:val="none"/>
              </w:rPr>
            </w:pPr>
            <w:r>
              <w:rPr>
                <w:rFonts w:hint="eastAsia" w:hAnsi="宋体" w:eastAsia="宋体" w:cs="宋体"/>
                <w:color w:val="auto"/>
                <w:sz w:val="21"/>
                <w:highlight w:val="none"/>
              </w:rPr>
              <w:t>说明（偏离/响应）</w:t>
            </w:r>
          </w:p>
        </w:tc>
      </w:tr>
      <w:tr w14:paraId="1BD19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noWrap w:val="0"/>
            <w:vAlign w:val="center"/>
          </w:tcPr>
          <w:p w14:paraId="7A4967D0">
            <w:pPr>
              <w:shd w:val="clear" w:color="auto" w:fill="auto"/>
              <w:jc w:val="center"/>
              <w:rPr>
                <w:rFonts w:hint="eastAsia" w:hAnsi="宋体" w:eastAsia="宋体" w:cs="宋体"/>
                <w:color w:val="auto"/>
                <w:sz w:val="21"/>
                <w:highlight w:val="none"/>
              </w:rPr>
            </w:pPr>
          </w:p>
        </w:tc>
        <w:tc>
          <w:tcPr>
            <w:tcW w:w="4647" w:type="dxa"/>
            <w:noWrap w:val="0"/>
            <w:vAlign w:val="center"/>
          </w:tcPr>
          <w:p w14:paraId="4CC3B06F">
            <w:pPr>
              <w:shd w:val="clear" w:color="auto" w:fill="auto"/>
              <w:rPr>
                <w:rFonts w:hint="eastAsia" w:hAnsi="宋体" w:eastAsia="宋体" w:cs="宋体"/>
                <w:b/>
                <w:bCs/>
                <w:color w:val="auto"/>
                <w:sz w:val="21"/>
                <w:highlight w:val="none"/>
              </w:rPr>
            </w:pPr>
          </w:p>
        </w:tc>
        <w:tc>
          <w:tcPr>
            <w:tcW w:w="1575" w:type="dxa"/>
            <w:noWrap w:val="0"/>
            <w:vAlign w:val="center"/>
          </w:tcPr>
          <w:p w14:paraId="28AAD24B">
            <w:pPr>
              <w:shd w:val="clear" w:color="auto" w:fill="auto"/>
              <w:jc w:val="center"/>
              <w:rPr>
                <w:rFonts w:hint="eastAsia" w:hAnsi="宋体" w:eastAsia="宋体" w:cs="宋体"/>
                <w:color w:val="auto"/>
                <w:sz w:val="21"/>
                <w:highlight w:val="none"/>
              </w:rPr>
            </w:pPr>
          </w:p>
        </w:tc>
        <w:tc>
          <w:tcPr>
            <w:tcW w:w="1185" w:type="dxa"/>
            <w:noWrap w:val="0"/>
            <w:vAlign w:val="center"/>
          </w:tcPr>
          <w:p w14:paraId="3B94D183">
            <w:pPr>
              <w:shd w:val="clear" w:color="auto" w:fill="auto"/>
              <w:jc w:val="center"/>
              <w:rPr>
                <w:rFonts w:hint="eastAsia" w:hAnsi="宋体" w:eastAsia="宋体" w:cs="宋体"/>
                <w:color w:val="auto"/>
                <w:sz w:val="21"/>
                <w:highlight w:val="none"/>
              </w:rPr>
            </w:pPr>
          </w:p>
        </w:tc>
      </w:tr>
      <w:tr w14:paraId="1CE2F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noWrap w:val="0"/>
            <w:vAlign w:val="center"/>
          </w:tcPr>
          <w:p w14:paraId="37EAC512">
            <w:pPr>
              <w:shd w:val="clear" w:color="auto" w:fill="auto"/>
              <w:jc w:val="center"/>
              <w:rPr>
                <w:rFonts w:hint="eastAsia" w:hAnsi="宋体" w:eastAsia="宋体" w:cs="宋体"/>
                <w:color w:val="auto"/>
                <w:sz w:val="21"/>
                <w:highlight w:val="none"/>
              </w:rPr>
            </w:pPr>
          </w:p>
        </w:tc>
        <w:tc>
          <w:tcPr>
            <w:tcW w:w="4647" w:type="dxa"/>
            <w:noWrap w:val="0"/>
            <w:vAlign w:val="center"/>
          </w:tcPr>
          <w:p w14:paraId="55B7315A">
            <w:pPr>
              <w:shd w:val="clear" w:color="auto" w:fill="auto"/>
              <w:rPr>
                <w:rFonts w:hint="eastAsia" w:hAnsi="宋体" w:eastAsia="宋体" w:cs="宋体"/>
                <w:b/>
                <w:bCs/>
                <w:color w:val="auto"/>
                <w:sz w:val="21"/>
                <w:highlight w:val="none"/>
              </w:rPr>
            </w:pPr>
          </w:p>
        </w:tc>
        <w:tc>
          <w:tcPr>
            <w:tcW w:w="1575" w:type="dxa"/>
            <w:noWrap w:val="0"/>
            <w:vAlign w:val="center"/>
          </w:tcPr>
          <w:p w14:paraId="6F55B359">
            <w:pPr>
              <w:shd w:val="clear" w:color="auto" w:fill="auto"/>
              <w:jc w:val="center"/>
              <w:rPr>
                <w:rFonts w:hint="eastAsia" w:hAnsi="宋体" w:eastAsia="宋体" w:cs="宋体"/>
                <w:color w:val="auto"/>
                <w:sz w:val="21"/>
                <w:highlight w:val="none"/>
              </w:rPr>
            </w:pPr>
          </w:p>
        </w:tc>
        <w:tc>
          <w:tcPr>
            <w:tcW w:w="1185" w:type="dxa"/>
            <w:noWrap w:val="0"/>
            <w:vAlign w:val="center"/>
          </w:tcPr>
          <w:p w14:paraId="367619F9">
            <w:pPr>
              <w:shd w:val="clear" w:color="auto" w:fill="auto"/>
              <w:jc w:val="center"/>
              <w:rPr>
                <w:rFonts w:hint="eastAsia" w:hAnsi="宋体" w:eastAsia="宋体" w:cs="宋体"/>
                <w:color w:val="auto"/>
                <w:sz w:val="21"/>
                <w:highlight w:val="none"/>
              </w:rPr>
            </w:pPr>
          </w:p>
        </w:tc>
      </w:tr>
      <w:tr w14:paraId="4CC8B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noWrap w:val="0"/>
            <w:vAlign w:val="center"/>
          </w:tcPr>
          <w:p w14:paraId="5FEB5AB9">
            <w:pPr>
              <w:shd w:val="clear" w:color="auto" w:fill="auto"/>
              <w:jc w:val="center"/>
              <w:rPr>
                <w:rFonts w:hint="eastAsia" w:hAnsi="宋体" w:eastAsia="宋体" w:cs="宋体"/>
                <w:color w:val="auto"/>
                <w:sz w:val="21"/>
                <w:highlight w:val="none"/>
              </w:rPr>
            </w:pPr>
          </w:p>
        </w:tc>
        <w:tc>
          <w:tcPr>
            <w:tcW w:w="4647" w:type="dxa"/>
            <w:noWrap w:val="0"/>
            <w:vAlign w:val="center"/>
          </w:tcPr>
          <w:p w14:paraId="08FDB480">
            <w:pPr>
              <w:shd w:val="clear" w:color="auto" w:fill="auto"/>
              <w:rPr>
                <w:rFonts w:hint="eastAsia" w:hAnsi="宋体" w:eastAsia="宋体" w:cs="宋体"/>
                <w:b/>
                <w:bCs/>
                <w:color w:val="auto"/>
                <w:sz w:val="21"/>
                <w:highlight w:val="none"/>
              </w:rPr>
            </w:pPr>
          </w:p>
        </w:tc>
        <w:tc>
          <w:tcPr>
            <w:tcW w:w="1575" w:type="dxa"/>
            <w:noWrap w:val="0"/>
            <w:vAlign w:val="center"/>
          </w:tcPr>
          <w:p w14:paraId="116D2FD1">
            <w:pPr>
              <w:shd w:val="clear" w:color="auto" w:fill="auto"/>
              <w:jc w:val="center"/>
              <w:rPr>
                <w:rFonts w:hint="eastAsia" w:hAnsi="宋体" w:eastAsia="宋体" w:cs="宋体"/>
                <w:color w:val="auto"/>
                <w:sz w:val="21"/>
                <w:highlight w:val="none"/>
              </w:rPr>
            </w:pPr>
          </w:p>
        </w:tc>
        <w:tc>
          <w:tcPr>
            <w:tcW w:w="1185" w:type="dxa"/>
            <w:noWrap w:val="0"/>
            <w:vAlign w:val="center"/>
          </w:tcPr>
          <w:p w14:paraId="674D6262">
            <w:pPr>
              <w:shd w:val="clear" w:color="auto" w:fill="auto"/>
              <w:jc w:val="center"/>
              <w:rPr>
                <w:rFonts w:hint="eastAsia" w:hAnsi="宋体" w:eastAsia="宋体" w:cs="宋体"/>
                <w:color w:val="auto"/>
                <w:sz w:val="21"/>
                <w:highlight w:val="none"/>
              </w:rPr>
            </w:pPr>
          </w:p>
        </w:tc>
      </w:tr>
      <w:tr w14:paraId="26085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noWrap w:val="0"/>
            <w:vAlign w:val="center"/>
          </w:tcPr>
          <w:p w14:paraId="38DCE6E0">
            <w:pPr>
              <w:shd w:val="clear" w:color="auto" w:fill="auto"/>
              <w:jc w:val="center"/>
              <w:rPr>
                <w:rFonts w:hint="eastAsia" w:hAnsi="宋体" w:eastAsia="宋体" w:cs="宋体"/>
                <w:color w:val="auto"/>
                <w:sz w:val="21"/>
                <w:highlight w:val="none"/>
              </w:rPr>
            </w:pPr>
          </w:p>
        </w:tc>
        <w:tc>
          <w:tcPr>
            <w:tcW w:w="4647" w:type="dxa"/>
            <w:noWrap w:val="0"/>
            <w:vAlign w:val="center"/>
          </w:tcPr>
          <w:p w14:paraId="7F168600">
            <w:pPr>
              <w:shd w:val="clear" w:color="auto" w:fill="auto"/>
              <w:rPr>
                <w:rFonts w:hint="eastAsia" w:hAnsi="宋体" w:eastAsia="宋体" w:cs="宋体"/>
                <w:b/>
                <w:bCs/>
                <w:color w:val="auto"/>
                <w:sz w:val="21"/>
                <w:highlight w:val="none"/>
              </w:rPr>
            </w:pPr>
          </w:p>
        </w:tc>
        <w:tc>
          <w:tcPr>
            <w:tcW w:w="1575" w:type="dxa"/>
            <w:noWrap w:val="0"/>
            <w:vAlign w:val="center"/>
          </w:tcPr>
          <w:p w14:paraId="6E0ECCBD">
            <w:pPr>
              <w:shd w:val="clear" w:color="auto" w:fill="auto"/>
              <w:jc w:val="center"/>
              <w:rPr>
                <w:rFonts w:hint="eastAsia" w:hAnsi="宋体" w:eastAsia="宋体" w:cs="宋体"/>
                <w:color w:val="auto"/>
                <w:sz w:val="21"/>
                <w:highlight w:val="none"/>
              </w:rPr>
            </w:pPr>
          </w:p>
        </w:tc>
        <w:tc>
          <w:tcPr>
            <w:tcW w:w="1185" w:type="dxa"/>
            <w:noWrap w:val="0"/>
            <w:vAlign w:val="center"/>
          </w:tcPr>
          <w:p w14:paraId="366260B3">
            <w:pPr>
              <w:shd w:val="clear" w:color="auto" w:fill="auto"/>
              <w:jc w:val="center"/>
              <w:rPr>
                <w:rFonts w:hint="eastAsia" w:hAnsi="宋体" w:eastAsia="宋体" w:cs="宋体"/>
                <w:color w:val="auto"/>
                <w:sz w:val="21"/>
                <w:highlight w:val="none"/>
              </w:rPr>
            </w:pPr>
          </w:p>
        </w:tc>
      </w:tr>
      <w:tr w14:paraId="11224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noWrap w:val="0"/>
            <w:vAlign w:val="center"/>
          </w:tcPr>
          <w:p w14:paraId="2B289F47">
            <w:pPr>
              <w:shd w:val="clear" w:color="auto" w:fill="auto"/>
              <w:jc w:val="center"/>
              <w:rPr>
                <w:rFonts w:hint="eastAsia" w:hAnsi="宋体" w:eastAsia="宋体" w:cs="宋体"/>
                <w:color w:val="auto"/>
                <w:sz w:val="21"/>
                <w:highlight w:val="none"/>
              </w:rPr>
            </w:pPr>
          </w:p>
        </w:tc>
        <w:tc>
          <w:tcPr>
            <w:tcW w:w="4647" w:type="dxa"/>
            <w:noWrap w:val="0"/>
            <w:vAlign w:val="center"/>
          </w:tcPr>
          <w:p w14:paraId="1A0D82DB">
            <w:pPr>
              <w:shd w:val="clear" w:color="auto" w:fill="auto"/>
              <w:rPr>
                <w:rFonts w:hint="eastAsia" w:hAnsi="宋体" w:eastAsia="宋体" w:cs="宋体"/>
                <w:color w:val="auto"/>
                <w:sz w:val="21"/>
                <w:highlight w:val="none"/>
              </w:rPr>
            </w:pPr>
          </w:p>
        </w:tc>
        <w:tc>
          <w:tcPr>
            <w:tcW w:w="1575" w:type="dxa"/>
            <w:noWrap w:val="0"/>
            <w:vAlign w:val="center"/>
          </w:tcPr>
          <w:p w14:paraId="12076E0D">
            <w:pPr>
              <w:shd w:val="clear" w:color="auto" w:fill="auto"/>
              <w:jc w:val="center"/>
              <w:rPr>
                <w:rFonts w:hint="eastAsia" w:hAnsi="宋体" w:eastAsia="宋体" w:cs="宋体"/>
                <w:color w:val="auto"/>
                <w:sz w:val="21"/>
                <w:highlight w:val="none"/>
              </w:rPr>
            </w:pPr>
          </w:p>
        </w:tc>
        <w:tc>
          <w:tcPr>
            <w:tcW w:w="1185" w:type="dxa"/>
            <w:noWrap w:val="0"/>
            <w:vAlign w:val="center"/>
          </w:tcPr>
          <w:p w14:paraId="34397D00">
            <w:pPr>
              <w:shd w:val="clear" w:color="auto" w:fill="auto"/>
              <w:jc w:val="center"/>
              <w:rPr>
                <w:rFonts w:hint="eastAsia" w:hAnsi="宋体" w:eastAsia="宋体" w:cs="宋体"/>
                <w:color w:val="auto"/>
                <w:sz w:val="21"/>
                <w:highlight w:val="none"/>
              </w:rPr>
            </w:pPr>
          </w:p>
        </w:tc>
      </w:tr>
      <w:tr w14:paraId="3308F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noWrap w:val="0"/>
            <w:vAlign w:val="center"/>
          </w:tcPr>
          <w:p w14:paraId="3F682F6D">
            <w:pPr>
              <w:shd w:val="clear" w:color="auto" w:fill="auto"/>
              <w:jc w:val="center"/>
              <w:rPr>
                <w:rFonts w:hint="eastAsia" w:hAnsi="宋体" w:eastAsia="宋体" w:cs="宋体"/>
                <w:color w:val="auto"/>
                <w:sz w:val="21"/>
                <w:highlight w:val="none"/>
              </w:rPr>
            </w:pPr>
          </w:p>
        </w:tc>
        <w:tc>
          <w:tcPr>
            <w:tcW w:w="4647" w:type="dxa"/>
            <w:noWrap w:val="0"/>
            <w:vAlign w:val="center"/>
          </w:tcPr>
          <w:p w14:paraId="67E746E7">
            <w:pPr>
              <w:shd w:val="clear" w:color="auto" w:fill="auto"/>
              <w:rPr>
                <w:rFonts w:hint="eastAsia" w:hAnsi="宋体" w:eastAsia="宋体" w:cs="宋体"/>
                <w:color w:val="auto"/>
                <w:sz w:val="21"/>
                <w:highlight w:val="none"/>
              </w:rPr>
            </w:pPr>
          </w:p>
        </w:tc>
        <w:tc>
          <w:tcPr>
            <w:tcW w:w="1575" w:type="dxa"/>
            <w:noWrap w:val="0"/>
            <w:vAlign w:val="center"/>
          </w:tcPr>
          <w:p w14:paraId="126DD33D">
            <w:pPr>
              <w:shd w:val="clear" w:color="auto" w:fill="auto"/>
              <w:jc w:val="center"/>
              <w:rPr>
                <w:rFonts w:hint="eastAsia" w:hAnsi="宋体" w:eastAsia="宋体" w:cs="宋体"/>
                <w:color w:val="auto"/>
                <w:sz w:val="21"/>
                <w:highlight w:val="none"/>
              </w:rPr>
            </w:pPr>
          </w:p>
        </w:tc>
        <w:tc>
          <w:tcPr>
            <w:tcW w:w="1185" w:type="dxa"/>
            <w:noWrap w:val="0"/>
            <w:vAlign w:val="center"/>
          </w:tcPr>
          <w:p w14:paraId="00DB65B5">
            <w:pPr>
              <w:shd w:val="clear" w:color="auto" w:fill="auto"/>
              <w:jc w:val="center"/>
              <w:rPr>
                <w:rFonts w:hint="eastAsia" w:hAnsi="宋体" w:eastAsia="宋体" w:cs="宋体"/>
                <w:color w:val="auto"/>
                <w:sz w:val="21"/>
                <w:highlight w:val="none"/>
              </w:rPr>
            </w:pPr>
          </w:p>
        </w:tc>
      </w:tr>
      <w:tr w14:paraId="365B7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noWrap w:val="0"/>
            <w:vAlign w:val="center"/>
          </w:tcPr>
          <w:p w14:paraId="681FE32D">
            <w:pPr>
              <w:shd w:val="clear" w:color="auto" w:fill="auto"/>
              <w:jc w:val="center"/>
              <w:rPr>
                <w:rFonts w:hint="eastAsia" w:hAnsi="宋体" w:eastAsia="宋体" w:cs="宋体"/>
                <w:color w:val="auto"/>
                <w:sz w:val="21"/>
                <w:highlight w:val="none"/>
              </w:rPr>
            </w:pPr>
          </w:p>
        </w:tc>
        <w:tc>
          <w:tcPr>
            <w:tcW w:w="4647" w:type="dxa"/>
            <w:noWrap w:val="0"/>
            <w:vAlign w:val="center"/>
          </w:tcPr>
          <w:p w14:paraId="0F6576C4">
            <w:pPr>
              <w:shd w:val="clear" w:color="auto" w:fill="auto"/>
              <w:rPr>
                <w:rFonts w:hint="eastAsia" w:hAnsi="宋体" w:eastAsia="宋体" w:cs="宋体"/>
                <w:color w:val="auto"/>
                <w:sz w:val="21"/>
                <w:highlight w:val="none"/>
              </w:rPr>
            </w:pPr>
          </w:p>
        </w:tc>
        <w:tc>
          <w:tcPr>
            <w:tcW w:w="1575" w:type="dxa"/>
            <w:noWrap w:val="0"/>
            <w:vAlign w:val="center"/>
          </w:tcPr>
          <w:p w14:paraId="5642C67C">
            <w:pPr>
              <w:shd w:val="clear" w:color="auto" w:fill="auto"/>
              <w:jc w:val="center"/>
              <w:rPr>
                <w:rFonts w:hint="eastAsia" w:hAnsi="宋体" w:eastAsia="宋体" w:cs="宋体"/>
                <w:color w:val="auto"/>
                <w:sz w:val="21"/>
                <w:highlight w:val="none"/>
              </w:rPr>
            </w:pPr>
          </w:p>
        </w:tc>
        <w:tc>
          <w:tcPr>
            <w:tcW w:w="1185" w:type="dxa"/>
            <w:noWrap w:val="0"/>
            <w:vAlign w:val="center"/>
          </w:tcPr>
          <w:p w14:paraId="3D858148">
            <w:pPr>
              <w:shd w:val="clear" w:color="auto" w:fill="auto"/>
              <w:jc w:val="center"/>
              <w:rPr>
                <w:rFonts w:hint="eastAsia" w:hAnsi="宋体" w:eastAsia="宋体" w:cs="宋体"/>
                <w:color w:val="auto"/>
                <w:sz w:val="21"/>
                <w:highlight w:val="none"/>
              </w:rPr>
            </w:pPr>
          </w:p>
        </w:tc>
      </w:tr>
      <w:tr w14:paraId="495EE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noWrap w:val="0"/>
            <w:vAlign w:val="center"/>
          </w:tcPr>
          <w:p w14:paraId="0FEC46DE">
            <w:pPr>
              <w:shd w:val="clear" w:color="auto" w:fill="auto"/>
              <w:jc w:val="center"/>
              <w:rPr>
                <w:rFonts w:hint="eastAsia" w:hAnsi="宋体" w:eastAsia="宋体" w:cs="宋体"/>
                <w:color w:val="auto"/>
                <w:sz w:val="21"/>
                <w:highlight w:val="none"/>
              </w:rPr>
            </w:pPr>
          </w:p>
        </w:tc>
        <w:tc>
          <w:tcPr>
            <w:tcW w:w="4647" w:type="dxa"/>
            <w:noWrap w:val="0"/>
            <w:vAlign w:val="center"/>
          </w:tcPr>
          <w:p w14:paraId="710A8797">
            <w:pPr>
              <w:shd w:val="clear" w:color="auto" w:fill="auto"/>
              <w:rPr>
                <w:rFonts w:hint="eastAsia" w:hAnsi="宋体" w:eastAsia="宋体" w:cs="宋体"/>
                <w:color w:val="auto"/>
                <w:sz w:val="21"/>
                <w:highlight w:val="none"/>
              </w:rPr>
            </w:pPr>
          </w:p>
        </w:tc>
        <w:tc>
          <w:tcPr>
            <w:tcW w:w="1575" w:type="dxa"/>
            <w:noWrap w:val="0"/>
            <w:vAlign w:val="center"/>
          </w:tcPr>
          <w:p w14:paraId="740DE10C">
            <w:pPr>
              <w:shd w:val="clear" w:color="auto" w:fill="auto"/>
              <w:jc w:val="center"/>
              <w:rPr>
                <w:rFonts w:hint="eastAsia" w:hAnsi="宋体" w:eastAsia="宋体" w:cs="宋体"/>
                <w:color w:val="auto"/>
                <w:sz w:val="21"/>
                <w:highlight w:val="none"/>
              </w:rPr>
            </w:pPr>
          </w:p>
        </w:tc>
        <w:tc>
          <w:tcPr>
            <w:tcW w:w="1185" w:type="dxa"/>
            <w:noWrap w:val="0"/>
            <w:vAlign w:val="center"/>
          </w:tcPr>
          <w:p w14:paraId="18620BFA">
            <w:pPr>
              <w:shd w:val="clear" w:color="auto" w:fill="auto"/>
              <w:jc w:val="center"/>
              <w:rPr>
                <w:rFonts w:hint="eastAsia" w:hAnsi="宋体" w:eastAsia="宋体" w:cs="宋体"/>
                <w:color w:val="auto"/>
                <w:sz w:val="21"/>
                <w:highlight w:val="none"/>
              </w:rPr>
            </w:pPr>
          </w:p>
        </w:tc>
      </w:tr>
      <w:tr w14:paraId="309F0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noWrap w:val="0"/>
            <w:vAlign w:val="center"/>
          </w:tcPr>
          <w:p w14:paraId="1C07AE8B">
            <w:pPr>
              <w:shd w:val="clear" w:color="auto" w:fill="auto"/>
              <w:jc w:val="center"/>
              <w:rPr>
                <w:rFonts w:hint="eastAsia" w:hAnsi="宋体" w:eastAsia="宋体" w:cs="宋体"/>
                <w:color w:val="auto"/>
                <w:sz w:val="21"/>
                <w:highlight w:val="none"/>
              </w:rPr>
            </w:pPr>
          </w:p>
        </w:tc>
        <w:tc>
          <w:tcPr>
            <w:tcW w:w="4647" w:type="dxa"/>
            <w:noWrap w:val="0"/>
            <w:vAlign w:val="center"/>
          </w:tcPr>
          <w:p w14:paraId="14213CFB">
            <w:pPr>
              <w:shd w:val="clear" w:color="auto" w:fill="auto"/>
              <w:rPr>
                <w:rFonts w:hint="eastAsia" w:hAnsi="宋体" w:eastAsia="宋体" w:cs="宋体"/>
                <w:color w:val="auto"/>
                <w:sz w:val="21"/>
                <w:highlight w:val="none"/>
              </w:rPr>
            </w:pPr>
          </w:p>
        </w:tc>
        <w:tc>
          <w:tcPr>
            <w:tcW w:w="1575" w:type="dxa"/>
            <w:noWrap w:val="0"/>
            <w:vAlign w:val="center"/>
          </w:tcPr>
          <w:p w14:paraId="6CAB546D">
            <w:pPr>
              <w:shd w:val="clear" w:color="auto" w:fill="auto"/>
              <w:jc w:val="center"/>
              <w:rPr>
                <w:rFonts w:hint="eastAsia" w:hAnsi="宋体" w:eastAsia="宋体" w:cs="宋体"/>
                <w:color w:val="auto"/>
                <w:sz w:val="21"/>
                <w:highlight w:val="none"/>
              </w:rPr>
            </w:pPr>
          </w:p>
        </w:tc>
        <w:tc>
          <w:tcPr>
            <w:tcW w:w="1185" w:type="dxa"/>
            <w:noWrap w:val="0"/>
            <w:vAlign w:val="center"/>
          </w:tcPr>
          <w:p w14:paraId="759908E3">
            <w:pPr>
              <w:shd w:val="clear" w:color="auto" w:fill="auto"/>
              <w:jc w:val="center"/>
              <w:rPr>
                <w:rFonts w:hint="eastAsia" w:hAnsi="宋体" w:eastAsia="宋体" w:cs="宋体"/>
                <w:color w:val="auto"/>
                <w:sz w:val="21"/>
                <w:highlight w:val="none"/>
              </w:rPr>
            </w:pPr>
          </w:p>
        </w:tc>
      </w:tr>
      <w:tr w14:paraId="621D8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noWrap w:val="0"/>
            <w:vAlign w:val="center"/>
          </w:tcPr>
          <w:p w14:paraId="7C5B1A66">
            <w:pPr>
              <w:shd w:val="clear" w:color="auto" w:fill="auto"/>
              <w:jc w:val="center"/>
              <w:rPr>
                <w:rFonts w:hint="eastAsia" w:hAnsi="宋体" w:eastAsia="宋体" w:cs="宋体"/>
                <w:color w:val="auto"/>
                <w:sz w:val="21"/>
                <w:highlight w:val="none"/>
              </w:rPr>
            </w:pPr>
          </w:p>
        </w:tc>
        <w:tc>
          <w:tcPr>
            <w:tcW w:w="4647" w:type="dxa"/>
            <w:noWrap w:val="0"/>
            <w:vAlign w:val="center"/>
          </w:tcPr>
          <w:p w14:paraId="0F85884A">
            <w:pPr>
              <w:shd w:val="clear" w:color="auto" w:fill="auto"/>
              <w:rPr>
                <w:rFonts w:hint="eastAsia" w:hAnsi="宋体" w:eastAsia="宋体" w:cs="宋体"/>
                <w:color w:val="auto"/>
                <w:sz w:val="21"/>
                <w:highlight w:val="none"/>
              </w:rPr>
            </w:pPr>
          </w:p>
        </w:tc>
        <w:tc>
          <w:tcPr>
            <w:tcW w:w="1575" w:type="dxa"/>
            <w:noWrap w:val="0"/>
            <w:vAlign w:val="center"/>
          </w:tcPr>
          <w:p w14:paraId="11FD6F03">
            <w:pPr>
              <w:shd w:val="clear" w:color="auto" w:fill="auto"/>
              <w:jc w:val="center"/>
              <w:rPr>
                <w:rFonts w:hint="eastAsia" w:hAnsi="宋体" w:eastAsia="宋体" w:cs="宋体"/>
                <w:color w:val="auto"/>
                <w:sz w:val="21"/>
                <w:highlight w:val="none"/>
              </w:rPr>
            </w:pPr>
          </w:p>
        </w:tc>
        <w:tc>
          <w:tcPr>
            <w:tcW w:w="1185" w:type="dxa"/>
            <w:noWrap w:val="0"/>
            <w:vAlign w:val="center"/>
          </w:tcPr>
          <w:p w14:paraId="3F496926">
            <w:pPr>
              <w:shd w:val="clear" w:color="auto" w:fill="auto"/>
              <w:jc w:val="center"/>
              <w:rPr>
                <w:rFonts w:hint="eastAsia" w:hAnsi="宋体" w:eastAsia="宋体" w:cs="宋体"/>
                <w:color w:val="auto"/>
                <w:sz w:val="21"/>
                <w:highlight w:val="none"/>
              </w:rPr>
            </w:pPr>
          </w:p>
        </w:tc>
      </w:tr>
      <w:tr w14:paraId="7DEF3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noWrap w:val="0"/>
            <w:vAlign w:val="center"/>
          </w:tcPr>
          <w:p w14:paraId="4937083E">
            <w:pPr>
              <w:shd w:val="clear" w:color="auto" w:fill="auto"/>
              <w:jc w:val="center"/>
              <w:rPr>
                <w:rFonts w:hint="eastAsia" w:hAnsi="宋体" w:eastAsia="宋体" w:cs="宋体"/>
                <w:color w:val="auto"/>
                <w:sz w:val="21"/>
                <w:highlight w:val="none"/>
              </w:rPr>
            </w:pPr>
          </w:p>
        </w:tc>
        <w:tc>
          <w:tcPr>
            <w:tcW w:w="4647" w:type="dxa"/>
            <w:noWrap w:val="0"/>
            <w:vAlign w:val="center"/>
          </w:tcPr>
          <w:p w14:paraId="5B5CC2B8">
            <w:pPr>
              <w:shd w:val="clear" w:color="auto" w:fill="auto"/>
              <w:rPr>
                <w:rFonts w:hint="eastAsia" w:hAnsi="宋体" w:eastAsia="宋体" w:cs="宋体"/>
                <w:color w:val="auto"/>
                <w:sz w:val="21"/>
                <w:highlight w:val="none"/>
              </w:rPr>
            </w:pPr>
          </w:p>
        </w:tc>
        <w:tc>
          <w:tcPr>
            <w:tcW w:w="1575" w:type="dxa"/>
            <w:noWrap w:val="0"/>
            <w:vAlign w:val="center"/>
          </w:tcPr>
          <w:p w14:paraId="50F635B7">
            <w:pPr>
              <w:shd w:val="clear" w:color="auto" w:fill="auto"/>
              <w:jc w:val="center"/>
              <w:rPr>
                <w:rFonts w:hint="eastAsia" w:hAnsi="宋体" w:eastAsia="宋体" w:cs="宋体"/>
                <w:color w:val="auto"/>
                <w:sz w:val="21"/>
                <w:highlight w:val="none"/>
              </w:rPr>
            </w:pPr>
          </w:p>
        </w:tc>
        <w:tc>
          <w:tcPr>
            <w:tcW w:w="1185" w:type="dxa"/>
            <w:noWrap w:val="0"/>
            <w:vAlign w:val="center"/>
          </w:tcPr>
          <w:p w14:paraId="58055CA8">
            <w:pPr>
              <w:shd w:val="clear" w:color="auto" w:fill="auto"/>
              <w:jc w:val="center"/>
              <w:rPr>
                <w:rFonts w:hint="eastAsia" w:hAnsi="宋体" w:eastAsia="宋体" w:cs="宋体"/>
                <w:color w:val="auto"/>
                <w:sz w:val="21"/>
                <w:highlight w:val="none"/>
              </w:rPr>
            </w:pPr>
          </w:p>
        </w:tc>
      </w:tr>
      <w:tr w14:paraId="0A58E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noWrap w:val="0"/>
            <w:vAlign w:val="center"/>
          </w:tcPr>
          <w:p w14:paraId="506F99F7">
            <w:pPr>
              <w:shd w:val="clear" w:color="auto" w:fill="auto"/>
              <w:jc w:val="center"/>
              <w:rPr>
                <w:rFonts w:hint="eastAsia" w:hAnsi="宋体" w:eastAsia="宋体" w:cs="宋体"/>
                <w:color w:val="auto"/>
                <w:sz w:val="21"/>
                <w:highlight w:val="none"/>
              </w:rPr>
            </w:pPr>
          </w:p>
        </w:tc>
        <w:tc>
          <w:tcPr>
            <w:tcW w:w="4647" w:type="dxa"/>
            <w:noWrap w:val="0"/>
            <w:vAlign w:val="center"/>
          </w:tcPr>
          <w:p w14:paraId="61BCE018">
            <w:pPr>
              <w:shd w:val="clear" w:color="auto" w:fill="auto"/>
              <w:rPr>
                <w:rFonts w:hint="eastAsia" w:hAnsi="宋体" w:eastAsia="宋体" w:cs="宋体"/>
                <w:color w:val="auto"/>
                <w:sz w:val="21"/>
                <w:highlight w:val="none"/>
              </w:rPr>
            </w:pPr>
          </w:p>
        </w:tc>
        <w:tc>
          <w:tcPr>
            <w:tcW w:w="1575" w:type="dxa"/>
            <w:noWrap w:val="0"/>
            <w:vAlign w:val="center"/>
          </w:tcPr>
          <w:p w14:paraId="169ABBBF">
            <w:pPr>
              <w:shd w:val="clear" w:color="auto" w:fill="auto"/>
              <w:jc w:val="center"/>
              <w:rPr>
                <w:rFonts w:hint="eastAsia" w:hAnsi="宋体" w:eastAsia="宋体" w:cs="宋体"/>
                <w:color w:val="auto"/>
                <w:sz w:val="21"/>
                <w:highlight w:val="none"/>
              </w:rPr>
            </w:pPr>
          </w:p>
        </w:tc>
        <w:tc>
          <w:tcPr>
            <w:tcW w:w="1185" w:type="dxa"/>
            <w:noWrap w:val="0"/>
            <w:vAlign w:val="center"/>
          </w:tcPr>
          <w:p w14:paraId="419C8086">
            <w:pPr>
              <w:shd w:val="clear" w:color="auto" w:fill="auto"/>
              <w:jc w:val="center"/>
              <w:rPr>
                <w:rFonts w:hint="eastAsia" w:hAnsi="宋体" w:eastAsia="宋体" w:cs="宋体"/>
                <w:color w:val="auto"/>
                <w:sz w:val="21"/>
                <w:highlight w:val="none"/>
              </w:rPr>
            </w:pPr>
          </w:p>
        </w:tc>
      </w:tr>
      <w:tr w14:paraId="08FB0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noWrap w:val="0"/>
            <w:vAlign w:val="center"/>
          </w:tcPr>
          <w:p w14:paraId="3517F8BB">
            <w:pPr>
              <w:shd w:val="clear" w:color="auto" w:fill="auto"/>
              <w:jc w:val="center"/>
              <w:rPr>
                <w:rFonts w:hint="eastAsia" w:hAnsi="宋体" w:eastAsia="宋体" w:cs="宋体"/>
                <w:color w:val="auto"/>
                <w:sz w:val="21"/>
                <w:highlight w:val="none"/>
              </w:rPr>
            </w:pPr>
          </w:p>
        </w:tc>
        <w:tc>
          <w:tcPr>
            <w:tcW w:w="4647" w:type="dxa"/>
            <w:noWrap w:val="0"/>
            <w:vAlign w:val="center"/>
          </w:tcPr>
          <w:p w14:paraId="5CE35835">
            <w:pPr>
              <w:shd w:val="clear" w:color="auto" w:fill="auto"/>
              <w:rPr>
                <w:rFonts w:hint="eastAsia" w:hAnsi="宋体" w:eastAsia="宋体" w:cs="宋体"/>
                <w:color w:val="auto"/>
                <w:sz w:val="21"/>
                <w:highlight w:val="none"/>
              </w:rPr>
            </w:pPr>
          </w:p>
        </w:tc>
        <w:tc>
          <w:tcPr>
            <w:tcW w:w="1575" w:type="dxa"/>
            <w:noWrap w:val="0"/>
            <w:vAlign w:val="center"/>
          </w:tcPr>
          <w:p w14:paraId="347B1558">
            <w:pPr>
              <w:shd w:val="clear" w:color="auto" w:fill="auto"/>
              <w:jc w:val="center"/>
              <w:rPr>
                <w:rFonts w:hint="eastAsia" w:hAnsi="宋体" w:eastAsia="宋体" w:cs="宋体"/>
                <w:color w:val="auto"/>
                <w:sz w:val="21"/>
                <w:highlight w:val="none"/>
              </w:rPr>
            </w:pPr>
          </w:p>
        </w:tc>
        <w:tc>
          <w:tcPr>
            <w:tcW w:w="1185" w:type="dxa"/>
            <w:noWrap w:val="0"/>
            <w:vAlign w:val="center"/>
          </w:tcPr>
          <w:p w14:paraId="5500015B">
            <w:pPr>
              <w:shd w:val="clear" w:color="auto" w:fill="auto"/>
              <w:jc w:val="center"/>
              <w:rPr>
                <w:rFonts w:hint="eastAsia" w:hAnsi="宋体" w:eastAsia="宋体" w:cs="宋体"/>
                <w:color w:val="auto"/>
                <w:sz w:val="21"/>
                <w:highlight w:val="none"/>
              </w:rPr>
            </w:pPr>
          </w:p>
        </w:tc>
      </w:tr>
      <w:tr w14:paraId="1A0F1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noWrap w:val="0"/>
            <w:vAlign w:val="center"/>
          </w:tcPr>
          <w:p w14:paraId="51F8803C">
            <w:pPr>
              <w:shd w:val="clear" w:color="auto" w:fill="auto"/>
              <w:jc w:val="center"/>
              <w:rPr>
                <w:rFonts w:hint="eastAsia" w:hAnsi="宋体" w:eastAsia="宋体" w:cs="宋体"/>
                <w:color w:val="auto"/>
                <w:sz w:val="21"/>
                <w:highlight w:val="none"/>
              </w:rPr>
            </w:pPr>
          </w:p>
        </w:tc>
        <w:tc>
          <w:tcPr>
            <w:tcW w:w="4647" w:type="dxa"/>
            <w:noWrap w:val="0"/>
            <w:vAlign w:val="center"/>
          </w:tcPr>
          <w:p w14:paraId="7AA7BE33">
            <w:pPr>
              <w:shd w:val="clear" w:color="auto" w:fill="auto"/>
              <w:rPr>
                <w:rFonts w:hint="eastAsia" w:hAnsi="宋体" w:eastAsia="宋体" w:cs="宋体"/>
                <w:color w:val="auto"/>
                <w:sz w:val="21"/>
                <w:highlight w:val="none"/>
              </w:rPr>
            </w:pPr>
          </w:p>
        </w:tc>
        <w:tc>
          <w:tcPr>
            <w:tcW w:w="1575" w:type="dxa"/>
            <w:noWrap w:val="0"/>
            <w:vAlign w:val="center"/>
          </w:tcPr>
          <w:p w14:paraId="4F0A63A6">
            <w:pPr>
              <w:shd w:val="clear" w:color="auto" w:fill="auto"/>
              <w:jc w:val="center"/>
              <w:rPr>
                <w:rFonts w:hint="eastAsia" w:hAnsi="宋体" w:eastAsia="宋体" w:cs="宋体"/>
                <w:color w:val="auto"/>
                <w:sz w:val="21"/>
                <w:highlight w:val="none"/>
              </w:rPr>
            </w:pPr>
          </w:p>
        </w:tc>
        <w:tc>
          <w:tcPr>
            <w:tcW w:w="1185" w:type="dxa"/>
            <w:noWrap w:val="0"/>
            <w:vAlign w:val="center"/>
          </w:tcPr>
          <w:p w14:paraId="7177A7ED">
            <w:pPr>
              <w:shd w:val="clear" w:color="auto" w:fill="auto"/>
              <w:jc w:val="center"/>
              <w:rPr>
                <w:rFonts w:hint="eastAsia" w:hAnsi="宋体" w:eastAsia="宋体" w:cs="宋体"/>
                <w:color w:val="auto"/>
                <w:sz w:val="21"/>
                <w:highlight w:val="none"/>
              </w:rPr>
            </w:pPr>
          </w:p>
        </w:tc>
      </w:tr>
    </w:tbl>
    <w:p w14:paraId="4AA5DDE5">
      <w:pPr>
        <w:shd w:val="clear" w:color="auto" w:fill="auto"/>
        <w:snapToGrid w:val="0"/>
        <w:spacing w:before="50"/>
        <w:rPr>
          <w:rFonts w:hint="eastAsia" w:hAnsi="宋体" w:eastAsia="宋体" w:cs="宋体"/>
          <w:color w:val="auto"/>
          <w:sz w:val="21"/>
          <w:highlight w:val="none"/>
        </w:rPr>
      </w:pPr>
      <w:r>
        <w:rPr>
          <w:rFonts w:hint="eastAsia" w:hAnsi="宋体" w:eastAsia="宋体" w:cs="宋体"/>
          <w:color w:val="auto"/>
          <w:sz w:val="21"/>
          <w:highlight w:val="none"/>
        </w:rPr>
        <w:t>注：无偏离应在本表空白处醒目地注明“无技术（服务）条款偏离”的字样。</w:t>
      </w:r>
    </w:p>
    <w:p w14:paraId="3C653011">
      <w:pPr>
        <w:shd w:val="clear" w:color="auto" w:fill="auto"/>
        <w:snapToGrid w:val="0"/>
        <w:spacing w:before="50"/>
        <w:ind w:firstLine="4200" w:firstLineChars="2000"/>
        <w:rPr>
          <w:rFonts w:hint="eastAsia" w:hAnsi="宋体" w:eastAsia="宋体" w:cs="宋体"/>
          <w:color w:val="auto"/>
          <w:sz w:val="21"/>
          <w:highlight w:val="none"/>
        </w:rPr>
      </w:pPr>
      <w:r>
        <w:rPr>
          <w:rFonts w:hint="eastAsia" w:hAnsi="宋体" w:eastAsia="宋体" w:cs="宋体"/>
          <w:color w:val="auto"/>
          <w:sz w:val="21"/>
          <w:highlight w:val="none"/>
        </w:rPr>
        <w:t>供应商名称（公章）：</w:t>
      </w:r>
    </w:p>
    <w:p w14:paraId="4E12E5FF">
      <w:pPr>
        <w:shd w:val="clear" w:color="auto" w:fill="auto"/>
        <w:snapToGrid w:val="0"/>
        <w:spacing w:before="50"/>
        <w:ind w:firstLine="4410" w:firstLineChars="2100"/>
        <w:rPr>
          <w:rFonts w:hint="eastAsia" w:hAnsi="宋体" w:eastAsia="宋体" w:cs="宋体"/>
          <w:color w:val="auto"/>
          <w:sz w:val="21"/>
          <w:highlight w:val="none"/>
        </w:rPr>
      </w:pPr>
      <w:r>
        <w:rPr>
          <w:rFonts w:hint="eastAsia" w:hAnsi="宋体" w:eastAsia="宋体" w:cs="宋体"/>
          <w:color w:val="auto"/>
          <w:sz w:val="21"/>
          <w:highlight w:val="none"/>
        </w:rPr>
        <w:t xml:space="preserve">年    月    日  </w:t>
      </w:r>
    </w:p>
    <w:p w14:paraId="306B7383">
      <w:pPr>
        <w:shd w:val="clear" w:color="auto" w:fill="auto"/>
        <w:snapToGrid w:val="0"/>
        <w:spacing w:before="50"/>
        <w:rPr>
          <w:rFonts w:hint="eastAsia" w:hAnsi="宋体" w:eastAsia="宋体" w:cs="宋体"/>
          <w:b/>
          <w:bCs/>
          <w:color w:val="auto"/>
          <w:sz w:val="21"/>
          <w:highlight w:val="none"/>
        </w:rPr>
      </w:pPr>
      <w:r>
        <w:rPr>
          <w:rFonts w:hint="eastAsia" w:hAnsi="宋体" w:eastAsia="宋体" w:cs="宋体"/>
          <w:b/>
          <w:bCs/>
          <w:color w:val="auto"/>
          <w:sz w:val="21"/>
          <w:highlight w:val="none"/>
        </w:rPr>
        <w:br w:type="page"/>
      </w:r>
      <w:r>
        <w:rPr>
          <w:rFonts w:hint="eastAsia" w:hAnsi="宋体" w:eastAsia="宋体" w:cs="宋体"/>
          <w:b/>
          <w:bCs/>
          <w:color w:val="auto"/>
          <w:sz w:val="21"/>
          <w:highlight w:val="none"/>
        </w:rPr>
        <w:t>（5）商务条款响应（偏离）表；</w:t>
      </w:r>
    </w:p>
    <w:p w14:paraId="19348BF8">
      <w:pPr>
        <w:shd w:val="clear" w:color="auto" w:fill="auto"/>
        <w:snapToGrid w:val="0"/>
        <w:spacing w:before="50" w:after="156" w:afterLines="50"/>
        <w:jc w:val="center"/>
        <w:rPr>
          <w:rFonts w:hint="eastAsia" w:hAnsi="宋体" w:eastAsia="宋体" w:cs="宋体"/>
          <w:b/>
          <w:bCs/>
          <w:color w:val="auto"/>
          <w:sz w:val="21"/>
          <w:highlight w:val="none"/>
        </w:rPr>
      </w:pPr>
      <w:r>
        <w:rPr>
          <w:rFonts w:hint="eastAsia" w:hAnsi="宋体" w:eastAsia="宋体" w:cs="宋体"/>
          <w:b/>
          <w:bCs/>
          <w:color w:val="auto"/>
          <w:sz w:val="21"/>
          <w:highlight w:val="none"/>
        </w:rPr>
        <w:t>商务条款响应（偏离）表</w:t>
      </w:r>
    </w:p>
    <w:p w14:paraId="4DFD5531">
      <w:pPr>
        <w:shd w:val="clear" w:color="auto" w:fill="auto"/>
        <w:snapToGrid w:val="0"/>
        <w:spacing w:before="50"/>
        <w:rPr>
          <w:rFonts w:hint="eastAsia" w:hAnsi="宋体" w:eastAsia="宋体" w:cs="宋体"/>
          <w:color w:val="auto"/>
          <w:sz w:val="21"/>
          <w:highlight w:val="none"/>
          <w:u w:val="single"/>
        </w:rPr>
      </w:pPr>
      <w:r>
        <w:rPr>
          <w:rFonts w:hint="eastAsia" w:hAnsi="宋体" w:eastAsia="宋体" w:cs="宋体"/>
          <w:color w:val="auto"/>
          <w:sz w:val="21"/>
          <w:highlight w:val="none"/>
        </w:rPr>
        <w:t xml:space="preserve">项目编号：                  </w:t>
      </w:r>
      <w:r>
        <w:rPr>
          <w:rFonts w:hint="eastAsia" w:hAnsi="宋体" w:eastAsia="宋体" w:cs="宋体"/>
          <w:color w:val="auto"/>
          <w:sz w:val="21"/>
          <w:highlight w:val="none"/>
          <w:lang w:val="en-US" w:eastAsia="zh-CN"/>
        </w:rPr>
        <w:t xml:space="preserve">           </w:t>
      </w:r>
      <w:r>
        <w:rPr>
          <w:rFonts w:hint="eastAsia" w:hAnsi="宋体" w:eastAsia="宋体" w:cs="宋体"/>
          <w:color w:val="auto"/>
          <w:sz w:val="21"/>
          <w:highlight w:val="none"/>
        </w:rPr>
        <w:t xml:space="preserve"> 项目名称：                      </w:t>
      </w:r>
    </w:p>
    <w:tbl>
      <w:tblPr>
        <w:tblStyle w:val="2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4647"/>
        <w:gridCol w:w="1575"/>
        <w:gridCol w:w="1185"/>
      </w:tblGrid>
      <w:tr w14:paraId="3D802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026" w:type="dxa"/>
            <w:noWrap w:val="0"/>
            <w:vAlign w:val="center"/>
          </w:tcPr>
          <w:p w14:paraId="27A2F48F">
            <w:pPr>
              <w:shd w:val="clear" w:color="auto" w:fill="auto"/>
              <w:jc w:val="center"/>
              <w:rPr>
                <w:rFonts w:hint="eastAsia" w:hAnsi="宋体" w:eastAsia="宋体" w:cs="宋体"/>
                <w:color w:val="auto"/>
                <w:sz w:val="21"/>
                <w:highlight w:val="none"/>
              </w:rPr>
            </w:pPr>
            <w:r>
              <w:rPr>
                <w:rFonts w:hint="eastAsia" w:hAnsi="宋体" w:eastAsia="宋体" w:cs="宋体"/>
                <w:color w:val="auto"/>
                <w:sz w:val="21"/>
                <w:highlight w:val="none"/>
              </w:rPr>
              <w:t>序号</w:t>
            </w:r>
          </w:p>
        </w:tc>
        <w:tc>
          <w:tcPr>
            <w:tcW w:w="4647" w:type="dxa"/>
            <w:noWrap w:val="0"/>
            <w:vAlign w:val="center"/>
          </w:tcPr>
          <w:p w14:paraId="5E9C80CF">
            <w:pPr>
              <w:shd w:val="clear" w:color="auto" w:fill="auto"/>
              <w:jc w:val="center"/>
              <w:rPr>
                <w:rFonts w:hint="eastAsia" w:hAnsi="宋体" w:eastAsia="宋体" w:cs="宋体"/>
                <w:color w:val="auto"/>
                <w:sz w:val="21"/>
                <w:highlight w:val="none"/>
              </w:rPr>
            </w:pPr>
            <w:r>
              <w:rPr>
                <w:rFonts w:hint="eastAsia" w:hAnsi="宋体" w:eastAsia="宋体" w:cs="宋体"/>
                <w:color w:val="auto"/>
                <w:sz w:val="21"/>
                <w:highlight w:val="none"/>
              </w:rPr>
              <w:t>磋商文件的商务条款</w:t>
            </w:r>
          </w:p>
        </w:tc>
        <w:tc>
          <w:tcPr>
            <w:tcW w:w="1575" w:type="dxa"/>
            <w:noWrap w:val="0"/>
            <w:vAlign w:val="center"/>
          </w:tcPr>
          <w:p w14:paraId="79EA2E2D">
            <w:pPr>
              <w:shd w:val="clear" w:color="auto" w:fill="auto"/>
              <w:jc w:val="center"/>
              <w:rPr>
                <w:rFonts w:hint="eastAsia" w:hAnsi="宋体" w:eastAsia="宋体" w:cs="宋体"/>
                <w:color w:val="auto"/>
                <w:sz w:val="21"/>
                <w:highlight w:val="none"/>
              </w:rPr>
            </w:pPr>
            <w:r>
              <w:rPr>
                <w:rFonts w:hint="eastAsia" w:hAnsi="宋体" w:eastAsia="宋体" w:cs="宋体"/>
                <w:color w:val="auto"/>
                <w:sz w:val="21"/>
                <w:highlight w:val="none"/>
              </w:rPr>
              <w:t>响应文件的</w:t>
            </w:r>
          </w:p>
          <w:p w14:paraId="789A6E1A">
            <w:pPr>
              <w:shd w:val="clear" w:color="auto" w:fill="auto"/>
              <w:jc w:val="center"/>
              <w:rPr>
                <w:rFonts w:hint="eastAsia" w:hAnsi="宋体" w:eastAsia="宋体" w:cs="宋体"/>
                <w:color w:val="auto"/>
                <w:sz w:val="21"/>
                <w:highlight w:val="none"/>
              </w:rPr>
            </w:pPr>
            <w:r>
              <w:rPr>
                <w:rFonts w:hint="eastAsia" w:hAnsi="宋体" w:eastAsia="宋体" w:cs="宋体"/>
                <w:color w:val="auto"/>
                <w:sz w:val="21"/>
                <w:highlight w:val="none"/>
              </w:rPr>
              <w:t>响应情况</w:t>
            </w:r>
          </w:p>
        </w:tc>
        <w:tc>
          <w:tcPr>
            <w:tcW w:w="1185" w:type="dxa"/>
            <w:noWrap w:val="0"/>
            <w:vAlign w:val="center"/>
          </w:tcPr>
          <w:p w14:paraId="5A30F5B5">
            <w:pPr>
              <w:shd w:val="clear" w:color="auto" w:fill="auto"/>
              <w:jc w:val="center"/>
              <w:rPr>
                <w:rFonts w:hint="eastAsia" w:hAnsi="宋体" w:eastAsia="宋体" w:cs="宋体"/>
                <w:color w:val="auto"/>
                <w:sz w:val="21"/>
                <w:highlight w:val="none"/>
              </w:rPr>
            </w:pPr>
            <w:r>
              <w:rPr>
                <w:rFonts w:hint="eastAsia" w:hAnsi="宋体" w:eastAsia="宋体" w:cs="宋体"/>
                <w:color w:val="auto"/>
                <w:sz w:val="21"/>
                <w:highlight w:val="none"/>
              </w:rPr>
              <w:t>说明（偏离/响应）</w:t>
            </w:r>
          </w:p>
        </w:tc>
      </w:tr>
      <w:tr w14:paraId="77DF3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noWrap w:val="0"/>
            <w:vAlign w:val="center"/>
          </w:tcPr>
          <w:p w14:paraId="3CE0E962">
            <w:pPr>
              <w:shd w:val="clear" w:color="auto" w:fill="auto"/>
              <w:jc w:val="center"/>
              <w:rPr>
                <w:rFonts w:hint="eastAsia" w:hAnsi="宋体" w:eastAsia="宋体" w:cs="宋体"/>
                <w:color w:val="auto"/>
                <w:sz w:val="21"/>
                <w:highlight w:val="none"/>
              </w:rPr>
            </w:pPr>
          </w:p>
        </w:tc>
        <w:tc>
          <w:tcPr>
            <w:tcW w:w="4647" w:type="dxa"/>
            <w:noWrap w:val="0"/>
            <w:vAlign w:val="center"/>
          </w:tcPr>
          <w:p w14:paraId="58B90B72">
            <w:pPr>
              <w:shd w:val="clear" w:color="auto" w:fill="auto"/>
              <w:rPr>
                <w:rFonts w:hint="eastAsia" w:hAnsi="宋体" w:eastAsia="宋体" w:cs="宋体"/>
                <w:b/>
                <w:bCs/>
                <w:color w:val="auto"/>
                <w:sz w:val="21"/>
                <w:highlight w:val="none"/>
              </w:rPr>
            </w:pPr>
          </w:p>
        </w:tc>
        <w:tc>
          <w:tcPr>
            <w:tcW w:w="1575" w:type="dxa"/>
            <w:noWrap w:val="0"/>
            <w:vAlign w:val="center"/>
          </w:tcPr>
          <w:p w14:paraId="2BF44F8B">
            <w:pPr>
              <w:shd w:val="clear" w:color="auto" w:fill="auto"/>
              <w:jc w:val="center"/>
              <w:rPr>
                <w:rFonts w:hint="eastAsia" w:hAnsi="宋体" w:eastAsia="宋体" w:cs="宋体"/>
                <w:color w:val="auto"/>
                <w:sz w:val="21"/>
                <w:highlight w:val="none"/>
              </w:rPr>
            </w:pPr>
          </w:p>
        </w:tc>
        <w:tc>
          <w:tcPr>
            <w:tcW w:w="1185" w:type="dxa"/>
            <w:noWrap w:val="0"/>
            <w:vAlign w:val="center"/>
          </w:tcPr>
          <w:p w14:paraId="7EDE19AA">
            <w:pPr>
              <w:shd w:val="clear" w:color="auto" w:fill="auto"/>
              <w:jc w:val="center"/>
              <w:rPr>
                <w:rFonts w:hint="eastAsia" w:hAnsi="宋体" w:eastAsia="宋体" w:cs="宋体"/>
                <w:color w:val="auto"/>
                <w:sz w:val="21"/>
                <w:highlight w:val="none"/>
              </w:rPr>
            </w:pPr>
          </w:p>
        </w:tc>
      </w:tr>
      <w:tr w14:paraId="69F8D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noWrap w:val="0"/>
            <w:vAlign w:val="center"/>
          </w:tcPr>
          <w:p w14:paraId="3B1B494D">
            <w:pPr>
              <w:shd w:val="clear" w:color="auto" w:fill="auto"/>
              <w:jc w:val="center"/>
              <w:rPr>
                <w:rFonts w:hint="eastAsia" w:hAnsi="宋体" w:eastAsia="宋体" w:cs="宋体"/>
                <w:color w:val="auto"/>
                <w:sz w:val="21"/>
                <w:highlight w:val="none"/>
              </w:rPr>
            </w:pPr>
          </w:p>
        </w:tc>
        <w:tc>
          <w:tcPr>
            <w:tcW w:w="4647" w:type="dxa"/>
            <w:noWrap w:val="0"/>
            <w:vAlign w:val="center"/>
          </w:tcPr>
          <w:p w14:paraId="3E8F5297">
            <w:pPr>
              <w:shd w:val="clear" w:color="auto" w:fill="auto"/>
              <w:rPr>
                <w:rFonts w:hint="eastAsia" w:hAnsi="宋体" w:eastAsia="宋体" w:cs="宋体"/>
                <w:b/>
                <w:bCs/>
                <w:color w:val="auto"/>
                <w:sz w:val="21"/>
                <w:highlight w:val="none"/>
              </w:rPr>
            </w:pPr>
          </w:p>
        </w:tc>
        <w:tc>
          <w:tcPr>
            <w:tcW w:w="1575" w:type="dxa"/>
            <w:noWrap w:val="0"/>
            <w:vAlign w:val="center"/>
          </w:tcPr>
          <w:p w14:paraId="5F6147F2">
            <w:pPr>
              <w:shd w:val="clear" w:color="auto" w:fill="auto"/>
              <w:jc w:val="center"/>
              <w:rPr>
                <w:rFonts w:hint="eastAsia" w:hAnsi="宋体" w:eastAsia="宋体" w:cs="宋体"/>
                <w:color w:val="auto"/>
                <w:sz w:val="21"/>
                <w:highlight w:val="none"/>
              </w:rPr>
            </w:pPr>
          </w:p>
        </w:tc>
        <w:tc>
          <w:tcPr>
            <w:tcW w:w="1185" w:type="dxa"/>
            <w:noWrap w:val="0"/>
            <w:vAlign w:val="center"/>
          </w:tcPr>
          <w:p w14:paraId="5F4BFCDC">
            <w:pPr>
              <w:shd w:val="clear" w:color="auto" w:fill="auto"/>
              <w:jc w:val="center"/>
              <w:rPr>
                <w:rFonts w:hint="eastAsia" w:hAnsi="宋体" w:eastAsia="宋体" w:cs="宋体"/>
                <w:color w:val="auto"/>
                <w:sz w:val="21"/>
                <w:highlight w:val="none"/>
              </w:rPr>
            </w:pPr>
          </w:p>
        </w:tc>
      </w:tr>
      <w:tr w14:paraId="1B10E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noWrap w:val="0"/>
            <w:vAlign w:val="center"/>
          </w:tcPr>
          <w:p w14:paraId="66A732B9">
            <w:pPr>
              <w:shd w:val="clear" w:color="auto" w:fill="auto"/>
              <w:jc w:val="center"/>
              <w:rPr>
                <w:rFonts w:hint="eastAsia" w:hAnsi="宋体" w:eastAsia="宋体" w:cs="宋体"/>
                <w:color w:val="auto"/>
                <w:sz w:val="21"/>
                <w:highlight w:val="none"/>
              </w:rPr>
            </w:pPr>
          </w:p>
        </w:tc>
        <w:tc>
          <w:tcPr>
            <w:tcW w:w="4647" w:type="dxa"/>
            <w:noWrap w:val="0"/>
            <w:vAlign w:val="center"/>
          </w:tcPr>
          <w:p w14:paraId="3DDC281F">
            <w:pPr>
              <w:shd w:val="clear" w:color="auto" w:fill="auto"/>
              <w:rPr>
                <w:rFonts w:hint="eastAsia" w:hAnsi="宋体" w:eastAsia="宋体" w:cs="宋体"/>
                <w:b/>
                <w:bCs/>
                <w:color w:val="auto"/>
                <w:sz w:val="21"/>
                <w:highlight w:val="none"/>
              </w:rPr>
            </w:pPr>
          </w:p>
        </w:tc>
        <w:tc>
          <w:tcPr>
            <w:tcW w:w="1575" w:type="dxa"/>
            <w:noWrap w:val="0"/>
            <w:vAlign w:val="center"/>
          </w:tcPr>
          <w:p w14:paraId="0BD586FA">
            <w:pPr>
              <w:shd w:val="clear" w:color="auto" w:fill="auto"/>
              <w:jc w:val="center"/>
              <w:rPr>
                <w:rFonts w:hint="eastAsia" w:hAnsi="宋体" w:eastAsia="宋体" w:cs="宋体"/>
                <w:color w:val="auto"/>
                <w:sz w:val="21"/>
                <w:highlight w:val="none"/>
              </w:rPr>
            </w:pPr>
          </w:p>
        </w:tc>
        <w:tc>
          <w:tcPr>
            <w:tcW w:w="1185" w:type="dxa"/>
            <w:noWrap w:val="0"/>
            <w:vAlign w:val="center"/>
          </w:tcPr>
          <w:p w14:paraId="7A531BD7">
            <w:pPr>
              <w:shd w:val="clear" w:color="auto" w:fill="auto"/>
              <w:jc w:val="center"/>
              <w:rPr>
                <w:rFonts w:hint="eastAsia" w:hAnsi="宋体" w:eastAsia="宋体" w:cs="宋体"/>
                <w:color w:val="auto"/>
                <w:sz w:val="21"/>
                <w:highlight w:val="none"/>
              </w:rPr>
            </w:pPr>
          </w:p>
        </w:tc>
      </w:tr>
      <w:tr w14:paraId="3FCBC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noWrap w:val="0"/>
            <w:vAlign w:val="center"/>
          </w:tcPr>
          <w:p w14:paraId="69982FAB">
            <w:pPr>
              <w:shd w:val="clear" w:color="auto" w:fill="auto"/>
              <w:jc w:val="center"/>
              <w:rPr>
                <w:rFonts w:hint="eastAsia" w:hAnsi="宋体" w:eastAsia="宋体" w:cs="宋体"/>
                <w:color w:val="auto"/>
                <w:sz w:val="21"/>
                <w:highlight w:val="none"/>
              </w:rPr>
            </w:pPr>
          </w:p>
        </w:tc>
        <w:tc>
          <w:tcPr>
            <w:tcW w:w="4647" w:type="dxa"/>
            <w:noWrap w:val="0"/>
            <w:vAlign w:val="center"/>
          </w:tcPr>
          <w:p w14:paraId="5BC7885B">
            <w:pPr>
              <w:shd w:val="clear" w:color="auto" w:fill="auto"/>
              <w:rPr>
                <w:rFonts w:hint="eastAsia" w:hAnsi="宋体" w:eastAsia="宋体" w:cs="宋体"/>
                <w:b/>
                <w:bCs/>
                <w:color w:val="auto"/>
                <w:sz w:val="21"/>
                <w:highlight w:val="none"/>
              </w:rPr>
            </w:pPr>
          </w:p>
        </w:tc>
        <w:tc>
          <w:tcPr>
            <w:tcW w:w="1575" w:type="dxa"/>
            <w:noWrap w:val="0"/>
            <w:vAlign w:val="center"/>
          </w:tcPr>
          <w:p w14:paraId="69DEFFC1">
            <w:pPr>
              <w:shd w:val="clear" w:color="auto" w:fill="auto"/>
              <w:jc w:val="center"/>
              <w:rPr>
                <w:rFonts w:hint="eastAsia" w:hAnsi="宋体" w:eastAsia="宋体" w:cs="宋体"/>
                <w:color w:val="auto"/>
                <w:sz w:val="21"/>
                <w:highlight w:val="none"/>
              </w:rPr>
            </w:pPr>
          </w:p>
        </w:tc>
        <w:tc>
          <w:tcPr>
            <w:tcW w:w="1185" w:type="dxa"/>
            <w:noWrap w:val="0"/>
            <w:vAlign w:val="center"/>
          </w:tcPr>
          <w:p w14:paraId="1044206D">
            <w:pPr>
              <w:shd w:val="clear" w:color="auto" w:fill="auto"/>
              <w:jc w:val="center"/>
              <w:rPr>
                <w:rFonts w:hint="eastAsia" w:hAnsi="宋体" w:eastAsia="宋体" w:cs="宋体"/>
                <w:color w:val="auto"/>
                <w:sz w:val="21"/>
                <w:highlight w:val="none"/>
              </w:rPr>
            </w:pPr>
          </w:p>
        </w:tc>
      </w:tr>
      <w:tr w14:paraId="1551F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noWrap w:val="0"/>
            <w:vAlign w:val="center"/>
          </w:tcPr>
          <w:p w14:paraId="00CD611B">
            <w:pPr>
              <w:shd w:val="clear" w:color="auto" w:fill="auto"/>
              <w:jc w:val="center"/>
              <w:rPr>
                <w:rFonts w:hint="eastAsia" w:hAnsi="宋体" w:eastAsia="宋体" w:cs="宋体"/>
                <w:color w:val="auto"/>
                <w:sz w:val="21"/>
                <w:highlight w:val="none"/>
              </w:rPr>
            </w:pPr>
          </w:p>
        </w:tc>
        <w:tc>
          <w:tcPr>
            <w:tcW w:w="4647" w:type="dxa"/>
            <w:noWrap w:val="0"/>
            <w:vAlign w:val="center"/>
          </w:tcPr>
          <w:p w14:paraId="57A11B7B">
            <w:pPr>
              <w:shd w:val="clear" w:color="auto" w:fill="auto"/>
              <w:rPr>
                <w:rFonts w:hint="eastAsia" w:hAnsi="宋体" w:eastAsia="宋体" w:cs="宋体"/>
                <w:color w:val="auto"/>
                <w:sz w:val="21"/>
                <w:highlight w:val="none"/>
              </w:rPr>
            </w:pPr>
          </w:p>
        </w:tc>
        <w:tc>
          <w:tcPr>
            <w:tcW w:w="1575" w:type="dxa"/>
            <w:noWrap w:val="0"/>
            <w:vAlign w:val="center"/>
          </w:tcPr>
          <w:p w14:paraId="2EF87634">
            <w:pPr>
              <w:shd w:val="clear" w:color="auto" w:fill="auto"/>
              <w:jc w:val="center"/>
              <w:rPr>
                <w:rFonts w:hint="eastAsia" w:hAnsi="宋体" w:eastAsia="宋体" w:cs="宋体"/>
                <w:color w:val="auto"/>
                <w:sz w:val="21"/>
                <w:highlight w:val="none"/>
              </w:rPr>
            </w:pPr>
          </w:p>
        </w:tc>
        <w:tc>
          <w:tcPr>
            <w:tcW w:w="1185" w:type="dxa"/>
            <w:noWrap w:val="0"/>
            <w:vAlign w:val="center"/>
          </w:tcPr>
          <w:p w14:paraId="11E5BDE8">
            <w:pPr>
              <w:shd w:val="clear" w:color="auto" w:fill="auto"/>
              <w:jc w:val="center"/>
              <w:rPr>
                <w:rFonts w:hint="eastAsia" w:hAnsi="宋体" w:eastAsia="宋体" w:cs="宋体"/>
                <w:color w:val="auto"/>
                <w:sz w:val="21"/>
                <w:highlight w:val="none"/>
              </w:rPr>
            </w:pPr>
          </w:p>
        </w:tc>
      </w:tr>
      <w:tr w14:paraId="0C712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noWrap w:val="0"/>
            <w:vAlign w:val="center"/>
          </w:tcPr>
          <w:p w14:paraId="4F12079F">
            <w:pPr>
              <w:shd w:val="clear" w:color="auto" w:fill="auto"/>
              <w:jc w:val="center"/>
              <w:rPr>
                <w:rFonts w:hint="eastAsia" w:hAnsi="宋体" w:eastAsia="宋体" w:cs="宋体"/>
                <w:color w:val="auto"/>
                <w:sz w:val="21"/>
                <w:highlight w:val="none"/>
              </w:rPr>
            </w:pPr>
          </w:p>
        </w:tc>
        <w:tc>
          <w:tcPr>
            <w:tcW w:w="4647" w:type="dxa"/>
            <w:noWrap w:val="0"/>
            <w:vAlign w:val="center"/>
          </w:tcPr>
          <w:p w14:paraId="32264D26">
            <w:pPr>
              <w:shd w:val="clear" w:color="auto" w:fill="auto"/>
              <w:rPr>
                <w:rFonts w:hint="eastAsia" w:hAnsi="宋体" w:eastAsia="宋体" w:cs="宋体"/>
                <w:color w:val="auto"/>
                <w:sz w:val="21"/>
                <w:highlight w:val="none"/>
              </w:rPr>
            </w:pPr>
          </w:p>
        </w:tc>
        <w:tc>
          <w:tcPr>
            <w:tcW w:w="1575" w:type="dxa"/>
            <w:noWrap w:val="0"/>
            <w:vAlign w:val="center"/>
          </w:tcPr>
          <w:p w14:paraId="365169E7">
            <w:pPr>
              <w:shd w:val="clear" w:color="auto" w:fill="auto"/>
              <w:jc w:val="center"/>
              <w:rPr>
                <w:rFonts w:hint="eastAsia" w:hAnsi="宋体" w:eastAsia="宋体" w:cs="宋体"/>
                <w:color w:val="auto"/>
                <w:sz w:val="21"/>
                <w:highlight w:val="none"/>
              </w:rPr>
            </w:pPr>
          </w:p>
        </w:tc>
        <w:tc>
          <w:tcPr>
            <w:tcW w:w="1185" w:type="dxa"/>
            <w:noWrap w:val="0"/>
            <w:vAlign w:val="center"/>
          </w:tcPr>
          <w:p w14:paraId="6170B48E">
            <w:pPr>
              <w:shd w:val="clear" w:color="auto" w:fill="auto"/>
              <w:jc w:val="center"/>
              <w:rPr>
                <w:rFonts w:hint="eastAsia" w:hAnsi="宋体" w:eastAsia="宋体" w:cs="宋体"/>
                <w:color w:val="auto"/>
                <w:sz w:val="21"/>
                <w:highlight w:val="none"/>
              </w:rPr>
            </w:pPr>
          </w:p>
        </w:tc>
      </w:tr>
      <w:tr w14:paraId="51B5C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noWrap w:val="0"/>
            <w:vAlign w:val="center"/>
          </w:tcPr>
          <w:p w14:paraId="7B18117E">
            <w:pPr>
              <w:shd w:val="clear" w:color="auto" w:fill="auto"/>
              <w:jc w:val="center"/>
              <w:rPr>
                <w:rFonts w:hint="eastAsia" w:hAnsi="宋体" w:eastAsia="宋体" w:cs="宋体"/>
                <w:color w:val="auto"/>
                <w:sz w:val="21"/>
                <w:highlight w:val="none"/>
              </w:rPr>
            </w:pPr>
          </w:p>
        </w:tc>
        <w:tc>
          <w:tcPr>
            <w:tcW w:w="4647" w:type="dxa"/>
            <w:noWrap w:val="0"/>
            <w:vAlign w:val="center"/>
          </w:tcPr>
          <w:p w14:paraId="4702F174">
            <w:pPr>
              <w:shd w:val="clear" w:color="auto" w:fill="auto"/>
              <w:rPr>
                <w:rFonts w:hint="eastAsia" w:hAnsi="宋体" w:eastAsia="宋体" w:cs="宋体"/>
                <w:color w:val="auto"/>
                <w:sz w:val="21"/>
                <w:highlight w:val="none"/>
              </w:rPr>
            </w:pPr>
          </w:p>
        </w:tc>
        <w:tc>
          <w:tcPr>
            <w:tcW w:w="1575" w:type="dxa"/>
            <w:noWrap w:val="0"/>
            <w:vAlign w:val="center"/>
          </w:tcPr>
          <w:p w14:paraId="2C40F4D3">
            <w:pPr>
              <w:shd w:val="clear" w:color="auto" w:fill="auto"/>
              <w:jc w:val="center"/>
              <w:rPr>
                <w:rFonts w:hint="eastAsia" w:hAnsi="宋体" w:eastAsia="宋体" w:cs="宋体"/>
                <w:color w:val="auto"/>
                <w:sz w:val="21"/>
                <w:highlight w:val="none"/>
              </w:rPr>
            </w:pPr>
          </w:p>
        </w:tc>
        <w:tc>
          <w:tcPr>
            <w:tcW w:w="1185" w:type="dxa"/>
            <w:noWrap w:val="0"/>
            <w:vAlign w:val="center"/>
          </w:tcPr>
          <w:p w14:paraId="6516E840">
            <w:pPr>
              <w:shd w:val="clear" w:color="auto" w:fill="auto"/>
              <w:jc w:val="center"/>
              <w:rPr>
                <w:rFonts w:hint="eastAsia" w:hAnsi="宋体" w:eastAsia="宋体" w:cs="宋体"/>
                <w:color w:val="auto"/>
                <w:sz w:val="21"/>
                <w:highlight w:val="none"/>
              </w:rPr>
            </w:pPr>
          </w:p>
        </w:tc>
      </w:tr>
      <w:tr w14:paraId="3BBB5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noWrap w:val="0"/>
            <w:vAlign w:val="center"/>
          </w:tcPr>
          <w:p w14:paraId="3ED26E5E">
            <w:pPr>
              <w:shd w:val="clear" w:color="auto" w:fill="auto"/>
              <w:jc w:val="center"/>
              <w:rPr>
                <w:rFonts w:hint="eastAsia" w:hAnsi="宋体" w:eastAsia="宋体" w:cs="宋体"/>
                <w:color w:val="auto"/>
                <w:sz w:val="21"/>
                <w:highlight w:val="none"/>
              </w:rPr>
            </w:pPr>
          </w:p>
        </w:tc>
        <w:tc>
          <w:tcPr>
            <w:tcW w:w="4647" w:type="dxa"/>
            <w:noWrap w:val="0"/>
            <w:vAlign w:val="center"/>
          </w:tcPr>
          <w:p w14:paraId="64041242">
            <w:pPr>
              <w:shd w:val="clear" w:color="auto" w:fill="auto"/>
              <w:rPr>
                <w:rFonts w:hint="eastAsia" w:hAnsi="宋体" w:eastAsia="宋体" w:cs="宋体"/>
                <w:color w:val="auto"/>
                <w:sz w:val="21"/>
                <w:highlight w:val="none"/>
              </w:rPr>
            </w:pPr>
          </w:p>
        </w:tc>
        <w:tc>
          <w:tcPr>
            <w:tcW w:w="1575" w:type="dxa"/>
            <w:noWrap w:val="0"/>
            <w:vAlign w:val="center"/>
          </w:tcPr>
          <w:p w14:paraId="41E9BBC1">
            <w:pPr>
              <w:shd w:val="clear" w:color="auto" w:fill="auto"/>
              <w:jc w:val="center"/>
              <w:rPr>
                <w:rFonts w:hint="eastAsia" w:hAnsi="宋体" w:eastAsia="宋体" w:cs="宋体"/>
                <w:color w:val="auto"/>
                <w:sz w:val="21"/>
                <w:highlight w:val="none"/>
              </w:rPr>
            </w:pPr>
          </w:p>
        </w:tc>
        <w:tc>
          <w:tcPr>
            <w:tcW w:w="1185" w:type="dxa"/>
            <w:noWrap w:val="0"/>
            <w:vAlign w:val="center"/>
          </w:tcPr>
          <w:p w14:paraId="4DC4D57E">
            <w:pPr>
              <w:shd w:val="clear" w:color="auto" w:fill="auto"/>
              <w:jc w:val="center"/>
              <w:rPr>
                <w:rFonts w:hint="eastAsia" w:hAnsi="宋体" w:eastAsia="宋体" w:cs="宋体"/>
                <w:color w:val="auto"/>
                <w:sz w:val="21"/>
                <w:highlight w:val="none"/>
              </w:rPr>
            </w:pPr>
          </w:p>
        </w:tc>
      </w:tr>
      <w:tr w14:paraId="79CB0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noWrap w:val="0"/>
            <w:vAlign w:val="center"/>
          </w:tcPr>
          <w:p w14:paraId="529FAA21">
            <w:pPr>
              <w:shd w:val="clear" w:color="auto" w:fill="auto"/>
              <w:jc w:val="center"/>
              <w:rPr>
                <w:rFonts w:hint="eastAsia" w:hAnsi="宋体" w:eastAsia="宋体" w:cs="宋体"/>
                <w:color w:val="auto"/>
                <w:sz w:val="21"/>
                <w:highlight w:val="none"/>
              </w:rPr>
            </w:pPr>
          </w:p>
        </w:tc>
        <w:tc>
          <w:tcPr>
            <w:tcW w:w="4647" w:type="dxa"/>
            <w:noWrap w:val="0"/>
            <w:vAlign w:val="center"/>
          </w:tcPr>
          <w:p w14:paraId="23856A69">
            <w:pPr>
              <w:shd w:val="clear" w:color="auto" w:fill="auto"/>
              <w:rPr>
                <w:rFonts w:hint="eastAsia" w:hAnsi="宋体" w:eastAsia="宋体" w:cs="宋体"/>
                <w:color w:val="auto"/>
                <w:sz w:val="21"/>
                <w:highlight w:val="none"/>
              </w:rPr>
            </w:pPr>
          </w:p>
        </w:tc>
        <w:tc>
          <w:tcPr>
            <w:tcW w:w="1575" w:type="dxa"/>
            <w:noWrap w:val="0"/>
            <w:vAlign w:val="center"/>
          </w:tcPr>
          <w:p w14:paraId="310C4E9D">
            <w:pPr>
              <w:shd w:val="clear" w:color="auto" w:fill="auto"/>
              <w:jc w:val="center"/>
              <w:rPr>
                <w:rFonts w:hint="eastAsia" w:hAnsi="宋体" w:eastAsia="宋体" w:cs="宋体"/>
                <w:color w:val="auto"/>
                <w:sz w:val="21"/>
                <w:highlight w:val="none"/>
              </w:rPr>
            </w:pPr>
          </w:p>
        </w:tc>
        <w:tc>
          <w:tcPr>
            <w:tcW w:w="1185" w:type="dxa"/>
            <w:noWrap w:val="0"/>
            <w:vAlign w:val="center"/>
          </w:tcPr>
          <w:p w14:paraId="65AA623F">
            <w:pPr>
              <w:shd w:val="clear" w:color="auto" w:fill="auto"/>
              <w:jc w:val="center"/>
              <w:rPr>
                <w:rFonts w:hint="eastAsia" w:hAnsi="宋体" w:eastAsia="宋体" w:cs="宋体"/>
                <w:color w:val="auto"/>
                <w:sz w:val="21"/>
                <w:highlight w:val="none"/>
              </w:rPr>
            </w:pPr>
          </w:p>
        </w:tc>
      </w:tr>
      <w:tr w14:paraId="731F1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noWrap w:val="0"/>
            <w:vAlign w:val="center"/>
          </w:tcPr>
          <w:p w14:paraId="46D07BB8">
            <w:pPr>
              <w:shd w:val="clear" w:color="auto" w:fill="auto"/>
              <w:jc w:val="center"/>
              <w:rPr>
                <w:rFonts w:hint="eastAsia" w:hAnsi="宋体" w:eastAsia="宋体" w:cs="宋体"/>
                <w:color w:val="auto"/>
                <w:sz w:val="21"/>
                <w:highlight w:val="none"/>
              </w:rPr>
            </w:pPr>
          </w:p>
        </w:tc>
        <w:tc>
          <w:tcPr>
            <w:tcW w:w="4647" w:type="dxa"/>
            <w:noWrap w:val="0"/>
            <w:vAlign w:val="center"/>
          </w:tcPr>
          <w:p w14:paraId="71A278C8">
            <w:pPr>
              <w:shd w:val="clear" w:color="auto" w:fill="auto"/>
              <w:rPr>
                <w:rFonts w:hint="eastAsia" w:hAnsi="宋体" w:eastAsia="宋体" w:cs="宋体"/>
                <w:color w:val="auto"/>
                <w:sz w:val="21"/>
                <w:highlight w:val="none"/>
              </w:rPr>
            </w:pPr>
          </w:p>
        </w:tc>
        <w:tc>
          <w:tcPr>
            <w:tcW w:w="1575" w:type="dxa"/>
            <w:noWrap w:val="0"/>
            <w:vAlign w:val="center"/>
          </w:tcPr>
          <w:p w14:paraId="114CF3B0">
            <w:pPr>
              <w:shd w:val="clear" w:color="auto" w:fill="auto"/>
              <w:jc w:val="center"/>
              <w:rPr>
                <w:rFonts w:hint="eastAsia" w:hAnsi="宋体" w:eastAsia="宋体" w:cs="宋体"/>
                <w:color w:val="auto"/>
                <w:sz w:val="21"/>
                <w:highlight w:val="none"/>
              </w:rPr>
            </w:pPr>
          </w:p>
        </w:tc>
        <w:tc>
          <w:tcPr>
            <w:tcW w:w="1185" w:type="dxa"/>
            <w:noWrap w:val="0"/>
            <w:vAlign w:val="center"/>
          </w:tcPr>
          <w:p w14:paraId="18450DFB">
            <w:pPr>
              <w:shd w:val="clear" w:color="auto" w:fill="auto"/>
              <w:jc w:val="center"/>
              <w:rPr>
                <w:rFonts w:hint="eastAsia" w:hAnsi="宋体" w:eastAsia="宋体" w:cs="宋体"/>
                <w:color w:val="auto"/>
                <w:sz w:val="21"/>
                <w:highlight w:val="none"/>
              </w:rPr>
            </w:pPr>
          </w:p>
        </w:tc>
      </w:tr>
      <w:tr w14:paraId="07216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noWrap w:val="0"/>
            <w:vAlign w:val="center"/>
          </w:tcPr>
          <w:p w14:paraId="3DF567BD">
            <w:pPr>
              <w:shd w:val="clear" w:color="auto" w:fill="auto"/>
              <w:jc w:val="center"/>
              <w:rPr>
                <w:rFonts w:hint="eastAsia" w:hAnsi="宋体" w:eastAsia="宋体" w:cs="宋体"/>
                <w:color w:val="auto"/>
                <w:sz w:val="21"/>
                <w:highlight w:val="none"/>
              </w:rPr>
            </w:pPr>
          </w:p>
        </w:tc>
        <w:tc>
          <w:tcPr>
            <w:tcW w:w="4647" w:type="dxa"/>
            <w:noWrap w:val="0"/>
            <w:vAlign w:val="center"/>
          </w:tcPr>
          <w:p w14:paraId="1782DFC0">
            <w:pPr>
              <w:shd w:val="clear" w:color="auto" w:fill="auto"/>
              <w:rPr>
                <w:rFonts w:hint="eastAsia" w:hAnsi="宋体" w:eastAsia="宋体" w:cs="宋体"/>
                <w:color w:val="auto"/>
                <w:sz w:val="21"/>
                <w:highlight w:val="none"/>
              </w:rPr>
            </w:pPr>
          </w:p>
        </w:tc>
        <w:tc>
          <w:tcPr>
            <w:tcW w:w="1575" w:type="dxa"/>
            <w:noWrap w:val="0"/>
            <w:vAlign w:val="center"/>
          </w:tcPr>
          <w:p w14:paraId="16AB2488">
            <w:pPr>
              <w:shd w:val="clear" w:color="auto" w:fill="auto"/>
              <w:jc w:val="center"/>
              <w:rPr>
                <w:rFonts w:hint="eastAsia" w:hAnsi="宋体" w:eastAsia="宋体" w:cs="宋体"/>
                <w:color w:val="auto"/>
                <w:sz w:val="21"/>
                <w:highlight w:val="none"/>
              </w:rPr>
            </w:pPr>
          </w:p>
        </w:tc>
        <w:tc>
          <w:tcPr>
            <w:tcW w:w="1185" w:type="dxa"/>
            <w:noWrap w:val="0"/>
            <w:vAlign w:val="center"/>
          </w:tcPr>
          <w:p w14:paraId="5B9DC230">
            <w:pPr>
              <w:shd w:val="clear" w:color="auto" w:fill="auto"/>
              <w:jc w:val="center"/>
              <w:rPr>
                <w:rFonts w:hint="eastAsia" w:hAnsi="宋体" w:eastAsia="宋体" w:cs="宋体"/>
                <w:color w:val="auto"/>
                <w:sz w:val="21"/>
                <w:highlight w:val="none"/>
              </w:rPr>
            </w:pPr>
          </w:p>
        </w:tc>
      </w:tr>
      <w:tr w14:paraId="43395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noWrap w:val="0"/>
            <w:vAlign w:val="center"/>
          </w:tcPr>
          <w:p w14:paraId="1E266E92">
            <w:pPr>
              <w:shd w:val="clear" w:color="auto" w:fill="auto"/>
              <w:jc w:val="center"/>
              <w:rPr>
                <w:rFonts w:hint="eastAsia" w:hAnsi="宋体" w:eastAsia="宋体" w:cs="宋体"/>
                <w:color w:val="auto"/>
                <w:sz w:val="21"/>
                <w:highlight w:val="none"/>
              </w:rPr>
            </w:pPr>
          </w:p>
        </w:tc>
        <w:tc>
          <w:tcPr>
            <w:tcW w:w="4647" w:type="dxa"/>
            <w:noWrap w:val="0"/>
            <w:vAlign w:val="center"/>
          </w:tcPr>
          <w:p w14:paraId="2A7750EC">
            <w:pPr>
              <w:shd w:val="clear" w:color="auto" w:fill="auto"/>
              <w:rPr>
                <w:rFonts w:hint="eastAsia" w:hAnsi="宋体" w:eastAsia="宋体" w:cs="宋体"/>
                <w:color w:val="auto"/>
                <w:sz w:val="21"/>
                <w:highlight w:val="none"/>
              </w:rPr>
            </w:pPr>
          </w:p>
        </w:tc>
        <w:tc>
          <w:tcPr>
            <w:tcW w:w="1575" w:type="dxa"/>
            <w:noWrap w:val="0"/>
            <w:vAlign w:val="center"/>
          </w:tcPr>
          <w:p w14:paraId="663C8CCF">
            <w:pPr>
              <w:shd w:val="clear" w:color="auto" w:fill="auto"/>
              <w:jc w:val="center"/>
              <w:rPr>
                <w:rFonts w:hint="eastAsia" w:hAnsi="宋体" w:eastAsia="宋体" w:cs="宋体"/>
                <w:color w:val="auto"/>
                <w:sz w:val="21"/>
                <w:highlight w:val="none"/>
              </w:rPr>
            </w:pPr>
          </w:p>
        </w:tc>
        <w:tc>
          <w:tcPr>
            <w:tcW w:w="1185" w:type="dxa"/>
            <w:noWrap w:val="0"/>
            <w:vAlign w:val="center"/>
          </w:tcPr>
          <w:p w14:paraId="7F5F0EDB">
            <w:pPr>
              <w:shd w:val="clear" w:color="auto" w:fill="auto"/>
              <w:jc w:val="center"/>
              <w:rPr>
                <w:rFonts w:hint="eastAsia" w:hAnsi="宋体" w:eastAsia="宋体" w:cs="宋体"/>
                <w:color w:val="auto"/>
                <w:sz w:val="21"/>
                <w:highlight w:val="none"/>
              </w:rPr>
            </w:pPr>
          </w:p>
        </w:tc>
      </w:tr>
    </w:tbl>
    <w:p w14:paraId="7E58B726">
      <w:pPr>
        <w:shd w:val="clear" w:color="auto" w:fill="auto"/>
        <w:snapToGrid w:val="0"/>
        <w:spacing w:before="50"/>
        <w:rPr>
          <w:rFonts w:hAnsi="宋体" w:eastAsia="宋体" w:cs="宋体"/>
          <w:color w:val="auto"/>
          <w:sz w:val="21"/>
          <w:highlight w:val="none"/>
        </w:rPr>
      </w:pPr>
      <w:r>
        <w:rPr>
          <w:rFonts w:hint="eastAsia" w:hAnsi="宋体" w:eastAsia="宋体" w:cs="宋体"/>
          <w:color w:val="auto"/>
          <w:sz w:val="21"/>
          <w:highlight w:val="none"/>
        </w:rPr>
        <w:t>注：供应商须按“第</w:t>
      </w:r>
      <w:r>
        <w:rPr>
          <w:rFonts w:hint="eastAsia" w:hAnsi="宋体" w:eastAsia="宋体" w:cs="宋体"/>
          <w:color w:val="auto"/>
          <w:sz w:val="21"/>
          <w:highlight w:val="none"/>
          <w:lang w:val="en-US" w:eastAsia="zh-CN"/>
        </w:rPr>
        <w:t>三</w:t>
      </w:r>
      <w:r>
        <w:rPr>
          <w:rFonts w:hint="eastAsia" w:hAnsi="宋体" w:eastAsia="宋体" w:cs="宋体"/>
          <w:color w:val="auto"/>
          <w:sz w:val="21"/>
          <w:highlight w:val="none"/>
        </w:rPr>
        <w:t>章 项目需求商务要求逐项填写，并根据“第</w:t>
      </w:r>
      <w:r>
        <w:rPr>
          <w:rFonts w:hint="eastAsia" w:hAnsi="宋体" w:eastAsia="宋体" w:cs="宋体"/>
          <w:color w:val="auto"/>
          <w:sz w:val="21"/>
          <w:highlight w:val="none"/>
          <w:lang w:val="en-US" w:eastAsia="zh-CN"/>
        </w:rPr>
        <w:t>五</w:t>
      </w:r>
      <w:r>
        <w:rPr>
          <w:rFonts w:hint="eastAsia" w:hAnsi="宋体" w:eastAsia="宋体" w:cs="宋体"/>
          <w:color w:val="auto"/>
          <w:sz w:val="21"/>
          <w:highlight w:val="none"/>
        </w:rPr>
        <w:t>章 合同条款及格式”内容自行补充。无偏离应在本表空白处醒目地注明“无商务条款偏离”的字样。</w:t>
      </w:r>
    </w:p>
    <w:p w14:paraId="5C1036A5">
      <w:pPr>
        <w:shd w:val="clear" w:color="auto" w:fill="auto"/>
        <w:snapToGrid w:val="0"/>
        <w:spacing w:before="50"/>
        <w:rPr>
          <w:rFonts w:hint="eastAsia" w:hAnsi="宋体" w:eastAsia="宋体" w:cs="宋体"/>
          <w:color w:val="auto"/>
          <w:sz w:val="21"/>
          <w:highlight w:val="none"/>
        </w:rPr>
      </w:pPr>
    </w:p>
    <w:p w14:paraId="4F1ADE73">
      <w:pPr>
        <w:shd w:val="clear" w:color="auto" w:fill="auto"/>
        <w:snapToGrid w:val="0"/>
        <w:spacing w:before="50"/>
        <w:ind w:firstLine="4200" w:firstLineChars="2000"/>
        <w:rPr>
          <w:rFonts w:hint="eastAsia" w:ascii="宋体" w:hAnsi="宋体" w:eastAsia="宋体" w:cs="宋体"/>
          <w:color w:val="auto"/>
          <w:sz w:val="21"/>
          <w:highlight w:val="none"/>
        </w:rPr>
      </w:pPr>
      <w:r>
        <w:rPr>
          <w:rFonts w:hint="eastAsia" w:ascii="宋体" w:hAnsi="宋体" w:eastAsia="宋体" w:cs="宋体"/>
          <w:color w:val="auto"/>
          <w:sz w:val="21"/>
          <w:highlight w:val="none"/>
        </w:rPr>
        <w:t>供应商名称（公章）：</w:t>
      </w:r>
    </w:p>
    <w:p w14:paraId="1062CE86">
      <w:pPr>
        <w:shd w:val="clear" w:color="auto" w:fill="auto"/>
        <w:snapToGrid w:val="0"/>
        <w:spacing w:before="50"/>
        <w:ind w:firstLine="4200" w:firstLineChars="200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 年    月    日</w:t>
      </w:r>
    </w:p>
    <w:p w14:paraId="557AF893">
      <w:pPr>
        <w:shd w:val="clear" w:color="auto" w:fill="auto"/>
        <w:adjustRightInd/>
        <w:jc w:val="left"/>
        <w:textAlignment w:val="auto"/>
        <w:rPr>
          <w:rFonts w:hint="eastAsia" w:hAnsi="宋体" w:eastAsia="宋体" w:cs="宋体"/>
          <w:b/>
          <w:color w:val="auto"/>
          <w:sz w:val="21"/>
          <w:highlight w:val="none"/>
          <w:lang w:bidi="ar"/>
        </w:rPr>
      </w:pPr>
    </w:p>
    <w:p w14:paraId="41B9DE13">
      <w:pPr>
        <w:shd w:val="clear" w:color="auto" w:fill="auto"/>
        <w:adjustRightInd/>
        <w:jc w:val="left"/>
        <w:textAlignment w:val="auto"/>
        <w:rPr>
          <w:rFonts w:hint="eastAsia" w:hAnsi="宋体" w:eastAsia="宋体" w:cs="宋体"/>
          <w:b/>
          <w:color w:val="auto"/>
          <w:sz w:val="21"/>
          <w:highlight w:val="none"/>
          <w:lang w:bidi="ar"/>
        </w:rPr>
      </w:pPr>
    </w:p>
    <w:p w14:paraId="589C4E08">
      <w:pPr>
        <w:shd w:val="clear" w:color="auto" w:fill="auto"/>
        <w:adjustRightInd/>
        <w:jc w:val="left"/>
        <w:textAlignment w:val="auto"/>
        <w:rPr>
          <w:rFonts w:hint="eastAsia" w:hAnsi="宋体" w:eastAsia="宋体" w:cs="宋体"/>
          <w:b/>
          <w:color w:val="auto"/>
          <w:sz w:val="21"/>
          <w:highlight w:val="none"/>
          <w:lang w:bidi="ar"/>
        </w:rPr>
      </w:pPr>
    </w:p>
    <w:p w14:paraId="26D233C5">
      <w:pPr>
        <w:shd w:val="clear" w:color="auto" w:fill="auto"/>
        <w:adjustRightInd/>
        <w:jc w:val="left"/>
        <w:textAlignment w:val="auto"/>
        <w:rPr>
          <w:rFonts w:hint="eastAsia" w:hAnsi="宋体" w:eastAsia="宋体" w:cs="宋体"/>
          <w:b/>
          <w:color w:val="auto"/>
          <w:sz w:val="21"/>
          <w:highlight w:val="none"/>
          <w:lang w:bidi="ar"/>
        </w:rPr>
      </w:pPr>
    </w:p>
    <w:p w14:paraId="0A7D04AD">
      <w:pPr>
        <w:shd w:val="clear" w:color="auto" w:fill="auto"/>
        <w:adjustRightInd/>
        <w:jc w:val="left"/>
        <w:textAlignment w:val="auto"/>
        <w:rPr>
          <w:rFonts w:hint="eastAsia" w:hAnsi="宋体" w:eastAsia="宋体" w:cs="宋体"/>
          <w:b/>
          <w:color w:val="auto"/>
          <w:sz w:val="21"/>
          <w:highlight w:val="none"/>
          <w:lang w:bidi="ar"/>
        </w:rPr>
      </w:pPr>
      <w:r>
        <w:rPr>
          <w:rFonts w:hint="eastAsia" w:hAnsi="宋体" w:eastAsia="宋体" w:cs="宋体"/>
          <w:b/>
          <w:color w:val="auto"/>
          <w:sz w:val="21"/>
          <w:highlight w:val="none"/>
          <w:lang w:bidi="ar"/>
        </w:rPr>
        <w:t>（6）技术部分：针对本项目第</w:t>
      </w:r>
      <w:r>
        <w:rPr>
          <w:rFonts w:hint="eastAsia" w:hAnsi="宋体" w:eastAsia="宋体" w:cs="宋体"/>
          <w:b/>
          <w:color w:val="auto"/>
          <w:sz w:val="21"/>
          <w:highlight w:val="none"/>
          <w:lang w:val="en-US" w:eastAsia="zh-CN" w:bidi="ar"/>
        </w:rPr>
        <w:t>三</w:t>
      </w:r>
      <w:r>
        <w:rPr>
          <w:rFonts w:hint="eastAsia" w:hAnsi="宋体" w:eastAsia="宋体" w:cs="宋体"/>
          <w:b/>
          <w:color w:val="auto"/>
          <w:sz w:val="21"/>
          <w:highlight w:val="none"/>
          <w:lang w:bidi="ar"/>
        </w:rPr>
        <w:t>章项目需求和第</w:t>
      </w:r>
      <w:r>
        <w:rPr>
          <w:rFonts w:hint="eastAsia" w:hAnsi="宋体" w:eastAsia="宋体" w:cs="宋体"/>
          <w:b/>
          <w:color w:val="auto"/>
          <w:sz w:val="21"/>
          <w:highlight w:val="none"/>
          <w:lang w:val="en-US" w:eastAsia="zh-CN" w:bidi="ar"/>
        </w:rPr>
        <w:t>四</w:t>
      </w:r>
      <w:r>
        <w:rPr>
          <w:rFonts w:hint="eastAsia" w:hAnsi="宋体" w:eastAsia="宋体" w:cs="宋体"/>
          <w:b/>
          <w:color w:val="auto"/>
          <w:sz w:val="21"/>
          <w:highlight w:val="none"/>
          <w:lang w:bidi="ar"/>
        </w:rPr>
        <w:t>章评审标准中的条款拟定完整方案，格式自拟；</w:t>
      </w:r>
    </w:p>
    <w:p w14:paraId="0EE2790E">
      <w:pPr>
        <w:shd w:val="clear" w:color="auto" w:fill="auto"/>
        <w:adjustRightInd/>
        <w:jc w:val="left"/>
        <w:textAlignment w:val="auto"/>
        <w:rPr>
          <w:rFonts w:hint="eastAsia" w:hAnsi="宋体" w:eastAsia="宋体" w:cs="宋体"/>
          <w:b/>
          <w:color w:val="auto"/>
          <w:sz w:val="21"/>
          <w:highlight w:val="none"/>
          <w:lang w:bidi="ar"/>
        </w:rPr>
      </w:pPr>
    </w:p>
    <w:p w14:paraId="7C280C45">
      <w:pPr>
        <w:shd w:val="clear" w:color="auto" w:fill="auto"/>
        <w:adjustRightInd/>
        <w:jc w:val="left"/>
        <w:textAlignment w:val="auto"/>
        <w:rPr>
          <w:rFonts w:hint="eastAsia" w:hAnsi="宋体" w:eastAsia="宋体" w:cs="宋体"/>
          <w:b/>
          <w:bCs/>
          <w:color w:val="auto"/>
          <w:sz w:val="21"/>
          <w:highlight w:val="none"/>
          <w:lang w:bidi="ar"/>
        </w:rPr>
      </w:pPr>
      <w:r>
        <w:rPr>
          <w:rFonts w:hint="eastAsia" w:hAnsi="宋体" w:eastAsia="宋体" w:cs="宋体"/>
          <w:b/>
          <w:color w:val="auto"/>
          <w:sz w:val="21"/>
          <w:highlight w:val="none"/>
          <w:lang w:bidi="ar"/>
        </w:rPr>
        <w:t>（7）业绩一览表</w:t>
      </w:r>
    </w:p>
    <w:p w14:paraId="472EA50E">
      <w:pPr>
        <w:pStyle w:val="14"/>
        <w:shd w:val="clear" w:color="auto" w:fill="auto"/>
        <w:snapToGrid w:val="0"/>
        <w:ind w:left="420"/>
        <w:jc w:val="center"/>
        <w:rPr>
          <w:rFonts w:hint="eastAsia" w:ascii="宋体" w:hAnsi="宋体" w:cs="宋体"/>
          <w:b/>
          <w:bCs/>
          <w:color w:val="auto"/>
          <w:highlight w:val="none"/>
          <w:lang w:bidi="ar"/>
        </w:rPr>
      </w:pPr>
      <w:r>
        <w:rPr>
          <w:rFonts w:hint="eastAsia" w:ascii="宋体" w:hAnsi="宋体" w:cs="宋体"/>
          <w:b/>
          <w:bCs/>
          <w:color w:val="auto"/>
          <w:highlight w:val="none"/>
          <w:lang w:bidi="ar"/>
        </w:rPr>
        <w:t>业绩一览表</w:t>
      </w:r>
    </w:p>
    <w:p w14:paraId="280C5D4E">
      <w:pPr>
        <w:shd w:val="clear" w:color="auto" w:fill="auto"/>
        <w:tabs>
          <w:tab w:val="left" w:pos="3165"/>
        </w:tabs>
        <w:rPr>
          <w:rFonts w:hint="eastAsia" w:hAnsi="宋体" w:eastAsia="宋体" w:cs="宋体"/>
          <w:color w:val="auto"/>
          <w:sz w:val="21"/>
          <w:highlight w:val="none"/>
        </w:rPr>
      </w:pPr>
      <w:r>
        <w:rPr>
          <w:rFonts w:hint="eastAsia" w:hAnsi="宋体" w:eastAsia="宋体" w:cs="宋体"/>
          <w:color w:val="auto"/>
          <w:sz w:val="21"/>
          <w:highlight w:val="none"/>
        </w:rPr>
        <w:t>项目编号</w:t>
      </w:r>
      <w:r>
        <w:rPr>
          <w:rFonts w:hint="eastAsia" w:hAnsi="宋体" w:eastAsia="宋体" w:cs="宋体"/>
          <w:color w:val="auto"/>
          <w:sz w:val="21"/>
          <w:highlight w:val="none"/>
          <w:u w:val="none"/>
        </w:rPr>
        <w:t xml:space="preserve">：                         </w:t>
      </w:r>
      <w:r>
        <w:rPr>
          <w:rFonts w:hint="eastAsia" w:hAnsi="宋体" w:eastAsia="宋体" w:cs="宋体"/>
          <w:color w:val="auto"/>
          <w:sz w:val="21"/>
          <w:highlight w:val="none"/>
        </w:rPr>
        <w:t xml:space="preserve">项目名称：                    </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1895"/>
        <w:gridCol w:w="1267"/>
        <w:gridCol w:w="1267"/>
        <w:gridCol w:w="1741"/>
        <w:gridCol w:w="1986"/>
      </w:tblGrid>
      <w:tr w14:paraId="2DFF5698">
        <w:tblPrEx>
          <w:tblCellMar>
            <w:top w:w="0" w:type="dxa"/>
            <w:left w:w="108" w:type="dxa"/>
            <w:bottom w:w="0" w:type="dxa"/>
            <w:right w:w="108" w:type="dxa"/>
          </w:tblCellMar>
        </w:tblPrEx>
        <w:tc>
          <w:tcPr>
            <w:tcW w:w="791" w:type="dxa"/>
            <w:noWrap w:val="0"/>
            <w:vAlign w:val="center"/>
          </w:tcPr>
          <w:p w14:paraId="6D6E4292">
            <w:pPr>
              <w:shd w:val="clear" w:color="auto" w:fill="auto"/>
              <w:tabs>
                <w:tab w:val="left" w:pos="3165"/>
              </w:tabs>
              <w:rPr>
                <w:rFonts w:hint="eastAsia" w:hAnsi="宋体" w:eastAsia="宋体" w:cs="宋体"/>
                <w:color w:val="auto"/>
                <w:sz w:val="21"/>
                <w:highlight w:val="none"/>
              </w:rPr>
            </w:pPr>
            <w:r>
              <w:rPr>
                <w:rFonts w:hint="eastAsia" w:hAnsi="宋体" w:eastAsia="宋体" w:cs="宋体"/>
                <w:color w:val="auto"/>
                <w:sz w:val="21"/>
                <w:highlight w:val="none"/>
              </w:rPr>
              <w:t>序号</w:t>
            </w:r>
          </w:p>
        </w:tc>
        <w:tc>
          <w:tcPr>
            <w:tcW w:w="1895" w:type="dxa"/>
            <w:noWrap w:val="0"/>
            <w:vAlign w:val="center"/>
          </w:tcPr>
          <w:p w14:paraId="3D2FB762">
            <w:pPr>
              <w:shd w:val="clear" w:color="auto" w:fill="auto"/>
              <w:tabs>
                <w:tab w:val="left" w:pos="3165"/>
              </w:tabs>
              <w:jc w:val="center"/>
              <w:rPr>
                <w:rFonts w:hint="eastAsia" w:hAnsi="宋体" w:eastAsia="宋体" w:cs="宋体"/>
                <w:color w:val="auto"/>
                <w:sz w:val="21"/>
                <w:highlight w:val="none"/>
              </w:rPr>
            </w:pPr>
            <w:r>
              <w:rPr>
                <w:rFonts w:hint="eastAsia" w:hAnsi="宋体" w:eastAsia="宋体" w:cs="宋体"/>
                <w:color w:val="auto"/>
                <w:sz w:val="21"/>
                <w:highlight w:val="none"/>
              </w:rPr>
              <w:t>项目名称</w:t>
            </w:r>
          </w:p>
        </w:tc>
        <w:tc>
          <w:tcPr>
            <w:tcW w:w="1267" w:type="dxa"/>
            <w:noWrap w:val="0"/>
            <w:vAlign w:val="center"/>
          </w:tcPr>
          <w:p w14:paraId="56634E29">
            <w:pPr>
              <w:shd w:val="clear" w:color="auto" w:fill="auto"/>
              <w:tabs>
                <w:tab w:val="left" w:pos="3165"/>
              </w:tabs>
              <w:rPr>
                <w:rFonts w:hint="eastAsia" w:hAnsi="宋体" w:eastAsia="宋体" w:cs="宋体"/>
                <w:color w:val="auto"/>
                <w:sz w:val="21"/>
                <w:highlight w:val="none"/>
              </w:rPr>
            </w:pPr>
            <w:r>
              <w:rPr>
                <w:rFonts w:hint="eastAsia" w:hAnsi="宋体" w:eastAsia="宋体" w:cs="宋体"/>
                <w:color w:val="auto"/>
                <w:sz w:val="21"/>
                <w:highlight w:val="none"/>
              </w:rPr>
              <w:t>业主单位</w:t>
            </w:r>
          </w:p>
        </w:tc>
        <w:tc>
          <w:tcPr>
            <w:tcW w:w="1267" w:type="dxa"/>
            <w:noWrap w:val="0"/>
            <w:vAlign w:val="center"/>
          </w:tcPr>
          <w:p w14:paraId="49F27CE2">
            <w:pPr>
              <w:shd w:val="clear" w:color="auto" w:fill="auto"/>
              <w:tabs>
                <w:tab w:val="left" w:pos="3165"/>
              </w:tabs>
              <w:rPr>
                <w:rFonts w:hint="eastAsia" w:hAnsi="宋体" w:eastAsia="宋体" w:cs="宋体"/>
                <w:color w:val="auto"/>
                <w:sz w:val="21"/>
                <w:highlight w:val="none"/>
              </w:rPr>
            </w:pPr>
            <w:r>
              <w:rPr>
                <w:rFonts w:hint="eastAsia" w:hAnsi="宋体" w:eastAsia="宋体" w:cs="宋体"/>
                <w:color w:val="auto"/>
                <w:sz w:val="21"/>
                <w:highlight w:val="none"/>
              </w:rPr>
              <w:t>合同金额</w:t>
            </w:r>
          </w:p>
        </w:tc>
        <w:tc>
          <w:tcPr>
            <w:tcW w:w="1741" w:type="dxa"/>
            <w:noWrap w:val="0"/>
            <w:vAlign w:val="center"/>
          </w:tcPr>
          <w:p w14:paraId="203E5E62">
            <w:pPr>
              <w:shd w:val="clear" w:color="auto" w:fill="auto"/>
              <w:tabs>
                <w:tab w:val="left" w:pos="3165"/>
              </w:tabs>
              <w:rPr>
                <w:rFonts w:hint="eastAsia" w:hAnsi="宋体" w:eastAsia="宋体" w:cs="宋体"/>
                <w:color w:val="auto"/>
                <w:sz w:val="21"/>
                <w:highlight w:val="none"/>
              </w:rPr>
            </w:pPr>
            <w:r>
              <w:rPr>
                <w:rFonts w:hint="eastAsia" w:hAnsi="宋体" w:eastAsia="宋体" w:cs="宋体"/>
                <w:color w:val="auto"/>
                <w:sz w:val="21"/>
                <w:highlight w:val="none"/>
              </w:rPr>
              <w:t>合同签订日期</w:t>
            </w:r>
          </w:p>
        </w:tc>
        <w:tc>
          <w:tcPr>
            <w:tcW w:w="1986" w:type="dxa"/>
            <w:noWrap w:val="0"/>
            <w:vAlign w:val="center"/>
          </w:tcPr>
          <w:p w14:paraId="2274A072">
            <w:pPr>
              <w:shd w:val="clear" w:color="auto" w:fill="auto"/>
              <w:tabs>
                <w:tab w:val="left" w:pos="3165"/>
              </w:tabs>
              <w:jc w:val="center"/>
              <w:rPr>
                <w:rFonts w:hint="eastAsia" w:hAnsi="宋体" w:eastAsia="宋体" w:cs="宋体"/>
                <w:color w:val="auto"/>
                <w:sz w:val="21"/>
                <w:highlight w:val="none"/>
              </w:rPr>
            </w:pPr>
            <w:r>
              <w:rPr>
                <w:rFonts w:hint="eastAsia" w:hAnsi="宋体" w:eastAsia="宋体" w:cs="宋体"/>
                <w:color w:val="auto"/>
                <w:sz w:val="21"/>
                <w:highlight w:val="none"/>
              </w:rPr>
              <w:t>联系人/电话</w:t>
            </w:r>
          </w:p>
        </w:tc>
      </w:tr>
      <w:tr w14:paraId="07EFA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noWrap w:val="0"/>
            <w:vAlign w:val="top"/>
          </w:tcPr>
          <w:p w14:paraId="276A1F7F">
            <w:pPr>
              <w:shd w:val="clear" w:color="auto" w:fill="auto"/>
              <w:tabs>
                <w:tab w:val="left" w:pos="3165"/>
              </w:tabs>
              <w:ind w:firstLine="420"/>
              <w:rPr>
                <w:rFonts w:hint="eastAsia" w:hAnsi="宋体" w:eastAsia="宋体" w:cs="宋体"/>
                <w:color w:val="auto"/>
                <w:sz w:val="21"/>
                <w:highlight w:val="none"/>
              </w:rPr>
            </w:pPr>
          </w:p>
        </w:tc>
        <w:tc>
          <w:tcPr>
            <w:tcW w:w="1895" w:type="dxa"/>
            <w:noWrap w:val="0"/>
            <w:vAlign w:val="top"/>
          </w:tcPr>
          <w:p w14:paraId="2827ED53">
            <w:pPr>
              <w:shd w:val="clear" w:color="auto" w:fill="auto"/>
              <w:tabs>
                <w:tab w:val="left" w:pos="3165"/>
              </w:tabs>
              <w:ind w:firstLine="420"/>
              <w:rPr>
                <w:rFonts w:hint="eastAsia" w:hAnsi="宋体" w:eastAsia="宋体" w:cs="宋体"/>
                <w:color w:val="auto"/>
                <w:sz w:val="21"/>
                <w:highlight w:val="none"/>
              </w:rPr>
            </w:pPr>
          </w:p>
        </w:tc>
        <w:tc>
          <w:tcPr>
            <w:tcW w:w="1267" w:type="dxa"/>
            <w:noWrap w:val="0"/>
            <w:vAlign w:val="top"/>
          </w:tcPr>
          <w:p w14:paraId="3BDF5B24">
            <w:pPr>
              <w:shd w:val="clear" w:color="auto" w:fill="auto"/>
              <w:tabs>
                <w:tab w:val="left" w:pos="3165"/>
              </w:tabs>
              <w:ind w:firstLine="420"/>
              <w:rPr>
                <w:rFonts w:hint="eastAsia" w:hAnsi="宋体" w:eastAsia="宋体" w:cs="宋体"/>
                <w:color w:val="auto"/>
                <w:sz w:val="21"/>
                <w:highlight w:val="none"/>
              </w:rPr>
            </w:pPr>
          </w:p>
        </w:tc>
        <w:tc>
          <w:tcPr>
            <w:tcW w:w="1267" w:type="dxa"/>
            <w:noWrap w:val="0"/>
            <w:vAlign w:val="top"/>
          </w:tcPr>
          <w:p w14:paraId="2D4F4A1C">
            <w:pPr>
              <w:shd w:val="clear" w:color="auto" w:fill="auto"/>
              <w:tabs>
                <w:tab w:val="left" w:pos="3165"/>
              </w:tabs>
              <w:ind w:firstLine="420"/>
              <w:rPr>
                <w:rFonts w:hint="eastAsia" w:hAnsi="宋体" w:eastAsia="宋体" w:cs="宋体"/>
                <w:color w:val="auto"/>
                <w:sz w:val="21"/>
                <w:highlight w:val="none"/>
              </w:rPr>
            </w:pPr>
          </w:p>
        </w:tc>
        <w:tc>
          <w:tcPr>
            <w:tcW w:w="1741" w:type="dxa"/>
            <w:noWrap w:val="0"/>
            <w:vAlign w:val="top"/>
          </w:tcPr>
          <w:p w14:paraId="56CAC0EF">
            <w:pPr>
              <w:shd w:val="clear" w:color="auto" w:fill="auto"/>
              <w:tabs>
                <w:tab w:val="left" w:pos="3165"/>
              </w:tabs>
              <w:ind w:firstLine="420"/>
              <w:rPr>
                <w:rFonts w:hint="eastAsia" w:hAnsi="宋体" w:eastAsia="宋体" w:cs="宋体"/>
                <w:color w:val="auto"/>
                <w:sz w:val="21"/>
                <w:highlight w:val="none"/>
              </w:rPr>
            </w:pPr>
          </w:p>
        </w:tc>
        <w:tc>
          <w:tcPr>
            <w:tcW w:w="1986" w:type="dxa"/>
            <w:noWrap w:val="0"/>
            <w:vAlign w:val="top"/>
          </w:tcPr>
          <w:p w14:paraId="4B418C2F">
            <w:pPr>
              <w:shd w:val="clear" w:color="auto" w:fill="auto"/>
              <w:tabs>
                <w:tab w:val="left" w:pos="3165"/>
              </w:tabs>
              <w:ind w:firstLine="420"/>
              <w:rPr>
                <w:rFonts w:hint="eastAsia" w:hAnsi="宋体" w:eastAsia="宋体" w:cs="宋体"/>
                <w:color w:val="auto"/>
                <w:sz w:val="21"/>
                <w:highlight w:val="none"/>
              </w:rPr>
            </w:pPr>
          </w:p>
        </w:tc>
      </w:tr>
      <w:tr w14:paraId="6EEA5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noWrap w:val="0"/>
            <w:vAlign w:val="top"/>
          </w:tcPr>
          <w:p w14:paraId="3387D530">
            <w:pPr>
              <w:shd w:val="clear" w:color="auto" w:fill="auto"/>
              <w:tabs>
                <w:tab w:val="left" w:pos="3165"/>
              </w:tabs>
              <w:ind w:firstLine="420"/>
              <w:rPr>
                <w:rFonts w:hint="eastAsia" w:hAnsi="宋体" w:eastAsia="宋体" w:cs="宋体"/>
                <w:color w:val="auto"/>
                <w:sz w:val="21"/>
                <w:highlight w:val="none"/>
              </w:rPr>
            </w:pPr>
          </w:p>
        </w:tc>
        <w:tc>
          <w:tcPr>
            <w:tcW w:w="1895" w:type="dxa"/>
            <w:noWrap w:val="0"/>
            <w:vAlign w:val="top"/>
          </w:tcPr>
          <w:p w14:paraId="4519EF7F">
            <w:pPr>
              <w:shd w:val="clear" w:color="auto" w:fill="auto"/>
              <w:tabs>
                <w:tab w:val="left" w:pos="3165"/>
              </w:tabs>
              <w:ind w:firstLine="420"/>
              <w:rPr>
                <w:rFonts w:hint="eastAsia" w:hAnsi="宋体" w:eastAsia="宋体" w:cs="宋体"/>
                <w:color w:val="auto"/>
                <w:sz w:val="21"/>
                <w:highlight w:val="none"/>
              </w:rPr>
            </w:pPr>
          </w:p>
        </w:tc>
        <w:tc>
          <w:tcPr>
            <w:tcW w:w="1267" w:type="dxa"/>
            <w:noWrap w:val="0"/>
            <w:vAlign w:val="top"/>
          </w:tcPr>
          <w:p w14:paraId="33F89506">
            <w:pPr>
              <w:shd w:val="clear" w:color="auto" w:fill="auto"/>
              <w:tabs>
                <w:tab w:val="left" w:pos="3165"/>
              </w:tabs>
              <w:ind w:firstLine="420"/>
              <w:rPr>
                <w:rFonts w:hint="eastAsia" w:hAnsi="宋体" w:eastAsia="宋体" w:cs="宋体"/>
                <w:color w:val="auto"/>
                <w:sz w:val="21"/>
                <w:highlight w:val="none"/>
              </w:rPr>
            </w:pPr>
          </w:p>
        </w:tc>
        <w:tc>
          <w:tcPr>
            <w:tcW w:w="1267" w:type="dxa"/>
            <w:noWrap w:val="0"/>
            <w:vAlign w:val="top"/>
          </w:tcPr>
          <w:p w14:paraId="242860B6">
            <w:pPr>
              <w:shd w:val="clear" w:color="auto" w:fill="auto"/>
              <w:tabs>
                <w:tab w:val="left" w:pos="3165"/>
              </w:tabs>
              <w:ind w:firstLine="420"/>
              <w:rPr>
                <w:rFonts w:hint="eastAsia" w:hAnsi="宋体" w:eastAsia="宋体" w:cs="宋体"/>
                <w:color w:val="auto"/>
                <w:sz w:val="21"/>
                <w:highlight w:val="none"/>
              </w:rPr>
            </w:pPr>
          </w:p>
        </w:tc>
        <w:tc>
          <w:tcPr>
            <w:tcW w:w="1741" w:type="dxa"/>
            <w:noWrap w:val="0"/>
            <w:vAlign w:val="top"/>
          </w:tcPr>
          <w:p w14:paraId="526E5CF9">
            <w:pPr>
              <w:shd w:val="clear" w:color="auto" w:fill="auto"/>
              <w:tabs>
                <w:tab w:val="left" w:pos="3165"/>
              </w:tabs>
              <w:ind w:firstLine="420"/>
              <w:rPr>
                <w:rFonts w:hint="eastAsia" w:hAnsi="宋体" w:eastAsia="宋体" w:cs="宋体"/>
                <w:color w:val="auto"/>
                <w:sz w:val="21"/>
                <w:highlight w:val="none"/>
              </w:rPr>
            </w:pPr>
          </w:p>
        </w:tc>
        <w:tc>
          <w:tcPr>
            <w:tcW w:w="1986" w:type="dxa"/>
            <w:noWrap w:val="0"/>
            <w:vAlign w:val="top"/>
          </w:tcPr>
          <w:p w14:paraId="00A57244">
            <w:pPr>
              <w:shd w:val="clear" w:color="auto" w:fill="auto"/>
              <w:tabs>
                <w:tab w:val="left" w:pos="3165"/>
              </w:tabs>
              <w:ind w:firstLine="420"/>
              <w:rPr>
                <w:rFonts w:hint="eastAsia" w:hAnsi="宋体" w:eastAsia="宋体" w:cs="宋体"/>
                <w:color w:val="auto"/>
                <w:sz w:val="21"/>
                <w:highlight w:val="none"/>
              </w:rPr>
            </w:pPr>
          </w:p>
        </w:tc>
      </w:tr>
      <w:tr w14:paraId="69312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noWrap w:val="0"/>
            <w:vAlign w:val="top"/>
          </w:tcPr>
          <w:p w14:paraId="32BCFE13">
            <w:pPr>
              <w:shd w:val="clear" w:color="auto" w:fill="auto"/>
              <w:tabs>
                <w:tab w:val="left" w:pos="3165"/>
              </w:tabs>
              <w:ind w:firstLine="420"/>
              <w:rPr>
                <w:rFonts w:hint="eastAsia" w:hAnsi="宋体" w:eastAsia="宋体" w:cs="宋体"/>
                <w:color w:val="auto"/>
                <w:sz w:val="21"/>
                <w:highlight w:val="none"/>
              </w:rPr>
            </w:pPr>
          </w:p>
        </w:tc>
        <w:tc>
          <w:tcPr>
            <w:tcW w:w="1895" w:type="dxa"/>
            <w:noWrap w:val="0"/>
            <w:vAlign w:val="top"/>
          </w:tcPr>
          <w:p w14:paraId="3447F0A0">
            <w:pPr>
              <w:shd w:val="clear" w:color="auto" w:fill="auto"/>
              <w:tabs>
                <w:tab w:val="left" w:pos="3165"/>
              </w:tabs>
              <w:ind w:firstLine="420"/>
              <w:rPr>
                <w:rFonts w:hint="eastAsia" w:hAnsi="宋体" w:eastAsia="宋体" w:cs="宋体"/>
                <w:color w:val="auto"/>
                <w:sz w:val="21"/>
                <w:highlight w:val="none"/>
              </w:rPr>
            </w:pPr>
          </w:p>
        </w:tc>
        <w:tc>
          <w:tcPr>
            <w:tcW w:w="1267" w:type="dxa"/>
            <w:noWrap w:val="0"/>
            <w:vAlign w:val="top"/>
          </w:tcPr>
          <w:p w14:paraId="688951C9">
            <w:pPr>
              <w:shd w:val="clear" w:color="auto" w:fill="auto"/>
              <w:tabs>
                <w:tab w:val="left" w:pos="3165"/>
              </w:tabs>
              <w:ind w:firstLine="420"/>
              <w:rPr>
                <w:rFonts w:hint="eastAsia" w:hAnsi="宋体" w:eastAsia="宋体" w:cs="宋体"/>
                <w:color w:val="auto"/>
                <w:sz w:val="21"/>
                <w:highlight w:val="none"/>
              </w:rPr>
            </w:pPr>
          </w:p>
        </w:tc>
        <w:tc>
          <w:tcPr>
            <w:tcW w:w="1267" w:type="dxa"/>
            <w:noWrap w:val="0"/>
            <w:vAlign w:val="top"/>
          </w:tcPr>
          <w:p w14:paraId="07966F03">
            <w:pPr>
              <w:shd w:val="clear" w:color="auto" w:fill="auto"/>
              <w:tabs>
                <w:tab w:val="left" w:pos="3165"/>
              </w:tabs>
              <w:ind w:firstLine="420"/>
              <w:rPr>
                <w:rFonts w:hint="eastAsia" w:hAnsi="宋体" w:eastAsia="宋体" w:cs="宋体"/>
                <w:color w:val="auto"/>
                <w:sz w:val="21"/>
                <w:highlight w:val="none"/>
              </w:rPr>
            </w:pPr>
          </w:p>
        </w:tc>
        <w:tc>
          <w:tcPr>
            <w:tcW w:w="1741" w:type="dxa"/>
            <w:noWrap w:val="0"/>
            <w:vAlign w:val="top"/>
          </w:tcPr>
          <w:p w14:paraId="66309A64">
            <w:pPr>
              <w:shd w:val="clear" w:color="auto" w:fill="auto"/>
              <w:tabs>
                <w:tab w:val="left" w:pos="3165"/>
              </w:tabs>
              <w:ind w:firstLine="420"/>
              <w:rPr>
                <w:rFonts w:hint="eastAsia" w:hAnsi="宋体" w:eastAsia="宋体" w:cs="宋体"/>
                <w:color w:val="auto"/>
                <w:sz w:val="21"/>
                <w:highlight w:val="none"/>
              </w:rPr>
            </w:pPr>
          </w:p>
        </w:tc>
        <w:tc>
          <w:tcPr>
            <w:tcW w:w="1986" w:type="dxa"/>
            <w:noWrap w:val="0"/>
            <w:vAlign w:val="top"/>
          </w:tcPr>
          <w:p w14:paraId="793B064D">
            <w:pPr>
              <w:shd w:val="clear" w:color="auto" w:fill="auto"/>
              <w:tabs>
                <w:tab w:val="left" w:pos="3165"/>
              </w:tabs>
              <w:ind w:firstLine="420"/>
              <w:rPr>
                <w:rFonts w:hint="eastAsia" w:hAnsi="宋体" w:eastAsia="宋体" w:cs="宋体"/>
                <w:color w:val="auto"/>
                <w:sz w:val="21"/>
                <w:highlight w:val="none"/>
              </w:rPr>
            </w:pPr>
          </w:p>
        </w:tc>
      </w:tr>
      <w:tr w14:paraId="372A0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noWrap w:val="0"/>
            <w:vAlign w:val="top"/>
          </w:tcPr>
          <w:p w14:paraId="62AD77BB">
            <w:pPr>
              <w:shd w:val="clear" w:color="auto" w:fill="auto"/>
              <w:tabs>
                <w:tab w:val="left" w:pos="3165"/>
              </w:tabs>
              <w:ind w:firstLine="420"/>
              <w:rPr>
                <w:rFonts w:hint="eastAsia" w:hAnsi="宋体" w:eastAsia="宋体" w:cs="宋体"/>
                <w:color w:val="auto"/>
                <w:sz w:val="21"/>
                <w:highlight w:val="none"/>
              </w:rPr>
            </w:pPr>
          </w:p>
        </w:tc>
        <w:tc>
          <w:tcPr>
            <w:tcW w:w="1895" w:type="dxa"/>
            <w:noWrap w:val="0"/>
            <w:vAlign w:val="top"/>
          </w:tcPr>
          <w:p w14:paraId="30248F6C">
            <w:pPr>
              <w:shd w:val="clear" w:color="auto" w:fill="auto"/>
              <w:tabs>
                <w:tab w:val="left" w:pos="3165"/>
              </w:tabs>
              <w:ind w:firstLine="420"/>
              <w:rPr>
                <w:rFonts w:hint="eastAsia" w:hAnsi="宋体" w:eastAsia="宋体" w:cs="宋体"/>
                <w:color w:val="auto"/>
                <w:sz w:val="21"/>
                <w:highlight w:val="none"/>
              </w:rPr>
            </w:pPr>
          </w:p>
        </w:tc>
        <w:tc>
          <w:tcPr>
            <w:tcW w:w="1267" w:type="dxa"/>
            <w:noWrap w:val="0"/>
            <w:vAlign w:val="top"/>
          </w:tcPr>
          <w:p w14:paraId="730063CF">
            <w:pPr>
              <w:shd w:val="clear" w:color="auto" w:fill="auto"/>
              <w:tabs>
                <w:tab w:val="left" w:pos="3165"/>
              </w:tabs>
              <w:ind w:firstLine="420"/>
              <w:rPr>
                <w:rFonts w:hint="eastAsia" w:hAnsi="宋体" w:eastAsia="宋体" w:cs="宋体"/>
                <w:color w:val="auto"/>
                <w:sz w:val="21"/>
                <w:highlight w:val="none"/>
              </w:rPr>
            </w:pPr>
          </w:p>
        </w:tc>
        <w:tc>
          <w:tcPr>
            <w:tcW w:w="1267" w:type="dxa"/>
            <w:noWrap w:val="0"/>
            <w:vAlign w:val="top"/>
          </w:tcPr>
          <w:p w14:paraId="6AAF7BFA">
            <w:pPr>
              <w:shd w:val="clear" w:color="auto" w:fill="auto"/>
              <w:tabs>
                <w:tab w:val="left" w:pos="3165"/>
              </w:tabs>
              <w:ind w:firstLine="420"/>
              <w:rPr>
                <w:rFonts w:hint="eastAsia" w:hAnsi="宋体" w:eastAsia="宋体" w:cs="宋体"/>
                <w:color w:val="auto"/>
                <w:sz w:val="21"/>
                <w:highlight w:val="none"/>
              </w:rPr>
            </w:pPr>
          </w:p>
        </w:tc>
        <w:tc>
          <w:tcPr>
            <w:tcW w:w="1741" w:type="dxa"/>
            <w:noWrap w:val="0"/>
            <w:vAlign w:val="top"/>
          </w:tcPr>
          <w:p w14:paraId="4F1EBD82">
            <w:pPr>
              <w:shd w:val="clear" w:color="auto" w:fill="auto"/>
              <w:tabs>
                <w:tab w:val="left" w:pos="3165"/>
              </w:tabs>
              <w:ind w:firstLine="420"/>
              <w:rPr>
                <w:rFonts w:hint="eastAsia" w:hAnsi="宋体" w:eastAsia="宋体" w:cs="宋体"/>
                <w:color w:val="auto"/>
                <w:sz w:val="21"/>
                <w:highlight w:val="none"/>
              </w:rPr>
            </w:pPr>
          </w:p>
        </w:tc>
        <w:tc>
          <w:tcPr>
            <w:tcW w:w="1986" w:type="dxa"/>
            <w:noWrap w:val="0"/>
            <w:vAlign w:val="top"/>
          </w:tcPr>
          <w:p w14:paraId="118D12F2">
            <w:pPr>
              <w:shd w:val="clear" w:color="auto" w:fill="auto"/>
              <w:tabs>
                <w:tab w:val="left" w:pos="3165"/>
              </w:tabs>
              <w:ind w:firstLine="420"/>
              <w:rPr>
                <w:rFonts w:hint="eastAsia" w:hAnsi="宋体" w:eastAsia="宋体" w:cs="宋体"/>
                <w:color w:val="auto"/>
                <w:sz w:val="21"/>
                <w:highlight w:val="none"/>
              </w:rPr>
            </w:pPr>
          </w:p>
        </w:tc>
      </w:tr>
      <w:tr w14:paraId="04EB5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noWrap w:val="0"/>
            <w:vAlign w:val="top"/>
          </w:tcPr>
          <w:p w14:paraId="40C93A67">
            <w:pPr>
              <w:shd w:val="clear" w:color="auto" w:fill="auto"/>
              <w:tabs>
                <w:tab w:val="left" w:pos="3165"/>
              </w:tabs>
              <w:ind w:firstLine="420"/>
              <w:rPr>
                <w:rFonts w:hint="eastAsia" w:hAnsi="宋体" w:eastAsia="宋体" w:cs="宋体"/>
                <w:color w:val="auto"/>
                <w:sz w:val="21"/>
                <w:highlight w:val="none"/>
              </w:rPr>
            </w:pPr>
          </w:p>
        </w:tc>
        <w:tc>
          <w:tcPr>
            <w:tcW w:w="1895" w:type="dxa"/>
            <w:noWrap w:val="0"/>
            <w:vAlign w:val="top"/>
          </w:tcPr>
          <w:p w14:paraId="2B41CED6">
            <w:pPr>
              <w:shd w:val="clear" w:color="auto" w:fill="auto"/>
              <w:tabs>
                <w:tab w:val="left" w:pos="3165"/>
              </w:tabs>
              <w:ind w:firstLine="420"/>
              <w:rPr>
                <w:rFonts w:hint="eastAsia" w:hAnsi="宋体" w:eastAsia="宋体" w:cs="宋体"/>
                <w:color w:val="auto"/>
                <w:sz w:val="21"/>
                <w:highlight w:val="none"/>
              </w:rPr>
            </w:pPr>
          </w:p>
        </w:tc>
        <w:tc>
          <w:tcPr>
            <w:tcW w:w="1267" w:type="dxa"/>
            <w:noWrap w:val="0"/>
            <w:vAlign w:val="top"/>
          </w:tcPr>
          <w:p w14:paraId="4593A8E6">
            <w:pPr>
              <w:shd w:val="clear" w:color="auto" w:fill="auto"/>
              <w:tabs>
                <w:tab w:val="left" w:pos="3165"/>
              </w:tabs>
              <w:ind w:firstLine="420"/>
              <w:rPr>
                <w:rFonts w:hint="eastAsia" w:hAnsi="宋体" w:eastAsia="宋体" w:cs="宋体"/>
                <w:color w:val="auto"/>
                <w:sz w:val="21"/>
                <w:highlight w:val="none"/>
              </w:rPr>
            </w:pPr>
          </w:p>
        </w:tc>
        <w:tc>
          <w:tcPr>
            <w:tcW w:w="1267" w:type="dxa"/>
            <w:noWrap w:val="0"/>
            <w:vAlign w:val="top"/>
          </w:tcPr>
          <w:p w14:paraId="64F781B4">
            <w:pPr>
              <w:shd w:val="clear" w:color="auto" w:fill="auto"/>
              <w:tabs>
                <w:tab w:val="left" w:pos="3165"/>
              </w:tabs>
              <w:ind w:firstLine="420"/>
              <w:rPr>
                <w:rFonts w:hint="eastAsia" w:hAnsi="宋体" w:eastAsia="宋体" w:cs="宋体"/>
                <w:color w:val="auto"/>
                <w:sz w:val="21"/>
                <w:highlight w:val="none"/>
              </w:rPr>
            </w:pPr>
          </w:p>
        </w:tc>
        <w:tc>
          <w:tcPr>
            <w:tcW w:w="1741" w:type="dxa"/>
            <w:noWrap w:val="0"/>
            <w:vAlign w:val="top"/>
          </w:tcPr>
          <w:p w14:paraId="2CDC06FE">
            <w:pPr>
              <w:shd w:val="clear" w:color="auto" w:fill="auto"/>
              <w:tabs>
                <w:tab w:val="left" w:pos="3165"/>
              </w:tabs>
              <w:ind w:firstLine="420"/>
              <w:rPr>
                <w:rFonts w:hint="eastAsia" w:hAnsi="宋体" w:eastAsia="宋体" w:cs="宋体"/>
                <w:color w:val="auto"/>
                <w:sz w:val="21"/>
                <w:highlight w:val="none"/>
              </w:rPr>
            </w:pPr>
          </w:p>
        </w:tc>
        <w:tc>
          <w:tcPr>
            <w:tcW w:w="1986" w:type="dxa"/>
            <w:noWrap w:val="0"/>
            <w:vAlign w:val="top"/>
          </w:tcPr>
          <w:p w14:paraId="07F8C174">
            <w:pPr>
              <w:shd w:val="clear" w:color="auto" w:fill="auto"/>
              <w:tabs>
                <w:tab w:val="left" w:pos="3165"/>
              </w:tabs>
              <w:ind w:firstLine="420"/>
              <w:rPr>
                <w:rFonts w:hint="eastAsia" w:hAnsi="宋体" w:eastAsia="宋体" w:cs="宋体"/>
                <w:color w:val="auto"/>
                <w:sz w:val="21"/>
                <w:highlight w:val="none"/>
              </w:rPr>
            </w:pPr>
          </w:p>
        </w:tc>
      </w:tr>
    </w:tbl>
    <w:p w14:paraId="33208274">
      <w:pPr>
        <w:pStyle w:val="7"/>
        <w:shd w:val="clear" w:color="auto" w:fill="auto"/>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注：响应文件中须提供符合“第</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章 评审标准  四．评分标准”要求的证明材料复印件并加盖公章。</w:t>
      </w:r>
    </w:p>
    <w:p w14:paraId="00A58B20">
      <w:pPr>
        <w:shd w:val="clear" w:color="auto" w:fill="auto"/>
        <w:snapToGrid w:val="0"/>
        <w:spacing w:before="50"/>
        <w:ind w:firstLine="4200" w:firstLineChars="2000"/>
        <w:rPr>
          <w:rFonts w:hint="eastAsia" w:ascii="宋体" w:hAnsi="宋体" w:eastAsia="宋体" w:cs="宋体"/>
          <w:color w:val="auto"/>
          <w:sz w:val="21"/>
          <w:highlight w:val="none"/>
        </w:rPr>
      </w:pPr>
      <w:r>
        <w:rPr>
          <w:rFonts w:hint="eastAsia" w:ascii="宋体" w:hAnsi="宋体" w:eastAsia="宋体" w:cs="宋体"/>
          <w:color w:val="auto"/>
          <w:sz w:val="21"/>
          <w:highlight w:val="none"/>
        </w:rPr>
        <w:t>供应商名称（公章）：</w:t>
      </w:r>
    </w:p>
    <w:p w14:paraId="47149521">
      <w:pPr>
        <w:shd w:val="clear" w:color="auto" w:fill="auto"/>
        <w:snapToGrid w:val="0"/>
        <w:spacing w:before="50"/>
        <w:ind w:firstLine="4200" w:firstLineChars="200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 年    月    日</w:t>
      </w:r>
    </w:p>
    <w:p w14:paraId="3CDD62A7">
      <w:pPr>
        <w:shd w:val="clear" w:color="auto" w:fill="auto"/>
        <w:snapToGrid w:val="0"/>
        <w:spacing w:before="156" w:beforeLines="50" w:after="50"/>
        <w:rPr>
          <w:rFonts w:hint="eastAsia" w:hAnsi="宋体" w:eastAsia="宋体" w:cs="宋体"/>
          <w:b/>
          <w:bCs/>
          <w:color w:val="auto"/>
          <w:sz w:val="21"/>
          <w:highlight w:val="none"/>
        </w:rPr>
      </w:pPr>
    </w:p>
    <w:p w14:paraId="6D748C80">
      <w:pPr>
        <w:shd w:val="clear" w:color="auto" w:fill="auto"/>
        <w:snapToGrid w:val="0"/>
        <w:spacing w:before="156" w:beforeLines="50" w:after="50"/>
        <w:rPr>
          <w:rFonts w:hint="eastAsia" w:hAnsi="宋体" w:eastAsia="宋体" w:cs="宋体"/>
          <w:color w:val="auto"/>
          <w:highlight w:val="none"/>
        </w:rPr>
      </w:pPr>
      <w:r>
        <w:rPr>
          <w:rFonts w:hint="eastAsia" w:hAnsi="宋体" w:eastAsia="宋体" w:cs="宋体"/>
          <w:b/>
          <w:bCs/>
          <w:color w:val="auto"/>
          <w:sz w:val="21"/>
          <w:highlight w:val="none"/>
        </w:rPr>
        <w:t>（8）供应商认为有需要提供的其它有关证明资料。</w:t>
      </w:r>
    </w:p>
    <w:p w14:paraId="4A4A9EC1">
      <w:pPr>
        <w:pStyle w:val="5"/>
        <w:numPr>
          <w:ilvl w:val="0"/>
          <w:numId w:val="0"/>
        </w:numPr>
        <w:shd w:val="clear" w:color="auto" w:fill="auto"/>
        <w:tabs>
          <w:tab w:val="left" w:pos="720"/>
        </w:tabs>
        <w:snapToGrid w:val="0"/>
        <w:spacing w:before="156" w:beforeLines="50"/>
        <w:rPr>
          <w:rFonts w:hint="eastAsia" w:ascii="宋体" w:hAnsi="宋体" w:eastAsia="宋体" w:cs="宋体"/>
          <w:color w:val="auto"/>
          <w:sz w:val="21"/>
          <w:highlight w:val="none"/>
        </w:rPr>
      </w:pPr>
      <w:r>
        <w:rPr>
          <w:rFonts w:hint="eastAsia" w:ascii="宋体" w:hAnsi="宋体" w:cs="宋体"/>
          <w:color w:val="auto"/>
          <w:highlight w:val="none"/>
        </w:rPr>
        <w:br w:type="page"/>
      </w:r>
      <w:r>
        <w:rPr>
          <w:rFonts w:hint="eastAsia" w:ascii="宋体" w:hAnsi="宋体" w:eastAsia="宋体" w:cs="宋体"/>
          <w:b/>
          <w:bCs/>
          <w:color w:val="auto"/>
          <w:sz w:val="21"/>
          <w:highlight w:val="none"/>
          <w:lang w:val="en-US" w:eastAsia="zh-CN"/>
        </w:rPr>
        <w:t>5.</w:t>
      </w:r>
      <w:r>
        <w:rPr>
          <w:rFonts w:hint="eastAsia" w:ascii="宋体" w:hAnsi="宋体" w:eastAsia="宋体" w:cs="宋体"/>
          <w:b/>
          <w:bCs/>
          <w:color w:val="auto"/>
          <w:sz w:val="21"/>
          <w:highlight w:val="none"/>
        </w:rPr>
        <w:t>报价文件格式</w:t>
      </w:r>
    </w:p>
    <w:p w14:paraId="731636F0">
      <w:pPr>
        <w:pStyle w:val="5"/>
        <w:numPr>
          <w:ilvl w:val="0"/>
          <w:numId w:val="0"/>
        </w:numPr>
        <w:shd w:val="clear" w:color="auto" w:fill="auto"/>
        <w:tabs>
          <w:tab w:val="left" w:pos="720"/>
        </w:tabs>
        <w:snapToGrid w:val="0"/>
        <w:spacing w:before="156" w:beforeLines="50"/>
        <w:rPr>
          <w:rFonts w:hint="eastAsia" w:ascii="宋体" w:hAnsi="宋体" w:eastAsia="宋体" w:cs="宋体"/>
          <w:bCs/>
          <w:color w:val="auto"/>
          <w:sz w:val="21"/>
          <w:highlight w:val="none"/>
        </w:rPr>
      </w:pPr>
      <w:r>
        <w:rPr>
          <w:rFonts w:hint="eastAsia" w:ascii="宋体" w:hAnsi="宋体" w:eastAsia="宋体" w:cs="宋体"/>
          <w:bCs/>
          <w:color w:val="auto"/>
          <w:sz w:val="21"/>
          <w:highlight w:val="none"/>
        </w:rPr>
        <w:t>（1）报价一览表（格式见附件）；</w:t>
      </w:r>
    </w:p>
    <w:p w14:paraId="5BE5074F">
      <w:pPr>
        <w:pStyle w:val="5"/>
        <w:numPr>
          <w:ilvl w:val="0"/>
          <w:numId w:val="0"/>
        </w:numPr>
        <w:shd w:val="clear" w:color="auto" w:fill="auto"/>
        <w:tabs>
          <w:tab w:val="left" w:pos="720"/>
        </w:tabs>
        <w:snapToGrid w:val="0"/>
        <w:spacing w:before="156" w:beforeLines="50"/>
        <w:rPr>
          <w:rFonts w:hint="eastAsia" w:ascii="宋体" w:hAnsi="宋体" w:eastAsia="宋体" w:cs="宋体"/>
          <w:bCs/>
          <w:color w:val="auto"/>
          <w:sz w:val="21"/>
          <w:highlight w:val="none"/>
        </w:rPr>
      </w:pPr>
      <w:r>
        <w:rPr>
          <w:rFonts w:hint="eastAsia" w:ascii="宋体" w:hAnsi="宋体" w:eastAsia="宋体" w:cs="宋体"/>
          <w:bCs/>
          <w:color w:val="auto"/>
          <w:sz w:val="21"/>
          <w:highlight w:val="none"/>
        </w:rPr>
        <w:t>（</w:t>
      </w:r>
      <w:r>
        <w:rPr>
          <w:rFonts w:hint="eastAsia" w:ascii="宋体" w:hAnsi="宋体" w:eastAsia="宋体" w:cs="宋体"/>
          <w:bCs/>
          <w:color w:val="auto"/>
          <w:sz w:val="21"/>
          <w:highlight w:val="none"/>
          <w:lang w:val="en-US" w:eastAsia="zh-CN"/>
        </w:rPr>
        <w:t>2</w:t>
      </w:r>
      <w:r>
        <w:rPr>
          <w:rFonts w:hint="eastAsia" w:ascii="宋体" w:hAnsi="宋体" w:eastAsia="宋体" w:cs="宋体"/>
          <w:bCs/>
          <w:color w:val="auto"/>
          <w:sz w:val="21"/>
          <w:highlight w:val="none"/>
        </w:rPr>
        <w:t>）</w:t>
      </w:r>
      <w:r>
        <w:rPr>
          <w:rFonts w:hint="eastAsia" w:ascii="宋体" w:hAnsi="宋体" w:eastAsia="宋体" w:cs="宋体"/>
          <w:bCs/>
          <w:color w:val="auto"/>
          <w:sz w:val="21"/>
          <w:highlight w:val="none"/>
          <w:lang w:val="en-US" w:eastAsia="zh-CN"/>
        </w:rPr>
        <w:t>分项报价表</w:t>
      </w:r>
      <w:r>
        <w:rPr>
          <w:rFonts w:hint="eastAsia" w:ascii="宋体" w:hAnsi="宋体" w:eastAsia="宋体" w:cs="宋体"/>
          <w:bCs/>
          <w:color w:val="auto"/>
          <w:sz w:val="21"/>
          <w:highlight w:val="none"/>
        </w:rPr>
        <w:t>（格式见附件）；</w:t>
      </w:r>
    </w:p>
    <w:p w14:paraId="1FFCAC0B">
      <w:pPr>
        <w:pStyle w:val="5"/>
        <w:numPr>
          <w:ilvl w:val="0"/>
          <w:numId w:val="0"/>
        </w:numPr>
        <w:shd w:val="clear" w:color="auto" w:fill="auto"/>
        <w:tabs>
          <w:tab w:val="left" w:pos="720"/>
        </w:tabs>
        <w:snapToGrid w:val="0"/>
        <w:spacing w:before="156" w:beforeLines="50"/>
        <w:rPr>
          <w:rFonts w:hint="eastAsia" w:ascii="宋体" w:hAnsi="宋体" w:eastAsia="宋体" w:cs="宋体"/>
          <w:bCs/>
          <w:color w:val="auto"/>
          <w:sz w:val="21"/>
          <w:highlight w:val="none"/>
        </w:rPr>
      </w:pPr>
      <w:r>
        <w:rPr>
          <w:rFonts w:hint="eastAsia" w:ascii="宋体" w:hAnsi="宋体" w:eastAsia="宋体" w:cs="宋体"/>
          <w:bCs/>
          <w:color w:val="auto"/>
          <w:sz w:val="21"/>
          <w:highlight w:val="none"/>
        </w:rPr>
        <w:t>（</w:t>
      </w:r>
      <w:r>
        <w:rPr>
          <w:rFonts w:hint="eastAsia" w:hAnsi="宋体" w:eastAsia="宋体" w:cs="宋体"/>
          <w:bCs/>
          <w:color w:val="auto"/>
          <w:sz w:val="21"/>
          <w:highlight w:val="none"/>
          <w:lang w:val="en-US" w:eastAsia="zh-CN"/>
        </w:rPr>
        <w:t>3</w:t>
      </w:r>
      <w:r>
        <w:rPr>
          <w:rFonts w:hint="eastAsia" w:ascii="宋体" w:hAnsi="宋体" w:eastAsia="宋体" w:cs="宋体"/>
          <w:bCs/>
          <w:color w:val="auto"/>
          <w:sz w:val="21"/>
          <w:highlight w:val="none"/>
        </w:rPr>
        <w:t>）供应商针对报价需要说明的其他文件和说明（格式自拟）；</w:t>
      </w:r>
    </w:p>
    <w:p w14:paraId="225E1F2F">
      <w:pPr>
        <w:pStyle w:val="14"/>
        <w:shd w:val="clear" w:color="auto" w:fill="auto"/>
        <w:snapToGrid w:val="0"/>
        <w:jc w:val="left"/>
        <w:rPr>
          <w:rFonts w:hint="eastAsia" w:ascii="宋体" w:hAnsi="宋体" w:cs="宋体"/>
          <w:color w:val="auto"/>
          <w:highlight w:val="none"/>
        </w:rPr>
      </w:pPr>
    </w:p>
    <w:p w14:paraId="24A6DB34">
      <w:pPr>
        <w:shd w:val="clear" w:color="auto" w:fill="auto"/>
        <w:rPr>
          <w:rFonts w:hint="eastAsia" w:hAnsi="宋体" w:eastAsia="宋体" w:cs="宋体"/>
          <w:b/>
          <w:color w:val="auto"/>
          <w:sz w:val="21"/>
          <w:highlight w:val="none"/>
        </w:rPr>
      </w:pPr>
    </w:p>
    <w:p w14:paraId="368C5AD6">
      <w:pPr>
        <w:shd w:val="clear" w:color="auto" w:fill="auto"/>
        <w:rPr>
          <w:rFonts w:hint="eastAsia" w:hAnsi="宋体" w:eastAsia="宋体" w:cs="宋体"/>
          <w:b/>
          <w:color w:val="auto"/>
          <w:sz w:val="21"/>
          <w:highlight w:val="none"/>
        </w:rPr>
      </w:pPr>
    </w:p>
    <w:p w14:paraId="3E2E3239">
      <w:pPr>
        <w:shd w:val="clear" w:color="auto" w:fill="auto"/>
        <w:rPr>
          <w:rFonts w:hint="eastAsia" w:hAnsi="宋体" w:eastAsia="宋体" w:cs="宋体"/>
          <w:b/>
          <w:color w:val="auto"/>
          <w:sz w:val="21"/>
          <w:highlight w:val="none"/>
        </w:rPr>
      </w:pPr>
    </w:p>
    <w:p w14:paraId="4D809A86">
      <w:pPr>
        <w:shd w:val="clear" w:color="auto" w:fill="auto"/>
        <w:rPr>
          <w:rFonts w:hint="eastAsia" w:hAnsi="宋体" w:eastAsia="宋体" w:cs="宋体"/>
          <w:b/>
          <w:color w:val="auto"/>
          <w:sz w:val="21"/>
          <w:highlight w:val="none"/>
        </w:rPr>
      </w:pPr>
    </w:p>
    <w:p w14:paraId="3F7B974E">
      <w:pPr>
        <w:shd w:val="clear" w:color="auto" w:fill="auto"/>
        <w:rPr>
          <w:rFonts w:hint="eastAsia" w:hAnsi="宋体" w:eastAsia="宋体" w:cs="宋体"/>
          <w:b/>
          <w:color w:val="auto"/>
          <w:sz w:val="21"/>
          <w:highlight w:val="none"/>
        </w:rPr>
      </w:pPr>
    </w:p>
    <w:p w14:paraId="2DA44061">
      <w:pPr>
        <w:shd w:val="clear" w:color="auto" w:fill="auto"/>
        <w:rPr>
          <w:rFonts w:hint="eastAsia" w:hAnsi="宋体" w:eastAsia="宋体" w:cs="宋体"/>
          <w:b/>
          <w:color w:val="auto"/>
          <w:sz w:val="21"/>
          <w:highlight w:val="none"/>
        </w:rPr>
      </w:pPr>
    </w:p>
    <w:p w14:paraId="36439E54">
      <w:pPr>
        <w:shd w:val="clear" w:color="auto" w:fill="auto"/>
        <w:rPr>
          <w:rFonts w:hint="eastAsia" w:hAnsi="宋体" w:eastAsia="宋体" w:cs="宋体"/>
          <w:b/>
          <w:color w:val="auto"/>
          <w:sz w:val="21"/>
          <w:highlight w:val="none"/>
        </w:rPr>
      </w:pPr>
    </w:p>
    <w:p w14:paraId="4E98A42F">
      <w:pPr>
        <w:shd w:val="clear" w:color="auto" w:fill="auto"/>
        <w:rPr>
          <w:rFonts w:hint="eastAsia" w:hAnsi="宋体" w:eastAsia="宋体" w:cs="宋体"/>
          <w:b/>
          <w:color w:val="auto"/>
          <w:sz w:val="21"/>
          <w:highlight w:val="none"/>
        </w:rPr>
      </w:pPr>
    </w:p>
    <w:p w14:paraId="3E196AEE">
      <w:pPr>
        <w:shd w:val="clear" w:color="auto" w:fill="auto"/>
        <w:rPr>
          <w:rFonts w:hint="eastAsia" w:hAnsi="宋体" w:eastAsia="宋体" w:cs="宋体"/>
          <w:b/>
          <w:color w:val="auto"/>
          <w:sz w:val="21"/>
          <w:highlight w:val="none"/>
        </w:rPr>
      </w:pPr>
    </w:p>
    <w:p w14:paraId="6757D026">
      <w:pPr>
        <w:shd w:val="clear" w:color="auto" w:fill="auto"/>
        <w:rPr>
          <w:rFonts w:hint="eastAsia" w:hAnsi="宋体" w:eastAsia="宋体" w:cs="宋体"/>
          <w:b/>
          <w:color w:val="auto"/>
          <w:sz w:val="21"/>
          <w:highlight w:val="none"/>
        </w:rPr>
      </w:pPr>
    </w:p>
    <w:p w14:paraId="2F371912">
      <w:pPr>
        <w:shd w:val="clear" w:color="auto" w:fill="auto"/>
        <w:rPr>
          <w:rFonts w:hint="eastAsia" w:hAnsi="宋体" w:eastAsia="宋体" w:cs="宋体"/>
          <w:b/>
          <w:color w:val="auto"/>
          <w:sz w:val="21"/>
          <w:highlight w:val="none"/>
        </w:rPr>
      </w:pPr>
    </w:p>
    <w:p w14:paraId="05C62E7D">
      <w:pPr>
        <w:shd w:val="clear" w:color="auto" w:fill="auto"/>
        <w:rPr>
          <w:rFonts w:hint="eastAsia" w:hAnsi="宋体" w:eastAsia="宋体" w:cs="宋体"/>
          <w:b/>
          <w:color w:val="auto"/>
          <w:sz w:val="21"/>
          <w:highlight w:val="none"/>
        </w:rPr>
      </w:pPr>
    </w:p>
    <w:p w14:paraId="22DADDE5">
      <w:pPr>
        <w:shd w:val="clear" w:color="auto" w:fill="auto"/>
        <w:rPr>
          <w:rFonts w:hint="eastAsia" w:hAnsi="宋体" w:eastAsia="宋体" w:cs="宋体"/>
          <w:b/>
          <w:color w:val="auto"/>
          <w:sz w:val="21"/>
          <w:highlight w:val="none"/>
        </w:rPr>
      </w:pPr>
    </w:p>
    <w:p w14:paraId="3A573D26">
      <w:pPr>
        <w:shd w:val="clear" w:color="auto" w:fill="auto"/>
        <w:rPr>
          <w:rFonts w:hint="eastAsia" w:hAnsi="宋体" w:eastAsia="宋体" w:cs="宋体"/>
          <w:b/>
          <w:color w:val="auto"/>
          <w:sz w:val="21"/>
          <w:highlight w:val="none"/>
        </w:rPr>
      </w:pPr>
    </w:p>
    <w:p w14:paraId="00CF3E7C">
      <w:pPr>
        <w:shd w:val="clear" w:color="auto" w:fill="auto"/>
        <w:rPr>
          <w:rFonts w:hint="eastAsia" w:hAnsi="宋体" w:eastAsia="宋体" w:cs="宋体"/>
          <w:b/>
          <w:color w:val="auto"/>
          <w:sz w:val="21"/>
          <w:highlight w:val="none"/>
        </w:rPr>
      </w:pPr>
    </w:p>
    <w:p w14:paraId="0E0F3508">
      <w:pPr>
        <w:shd w:val="clear" w:color="auto" w:fill="auto"/>
        <w:rPr>
          <w:rFonts w:hint="eastAsia" w:hAnsi="宋体" w:eastAsia="宋体" w:cs="宋体"/>
          <w:b/>
          <w:color w:val="auto"/>
          <w:sz w:val="21"/>
          <w:highlight w:val="none"/>
        </w:rPr>
      </w:pPr>
    </w:p>
    <w:p w14:paraId="07E518BA">
      <w:pPr>
        <w:shd w:val="clear" w:color="auto" w:fill="auto"/>
        <w:rPr>
          <w:rFonts w:hint="eastAsia" w:hAnsi="宋体" w:eastAsia="宋体" w:cs="宋体"/>
          <w:b/>
          <w:color w:val="auto"/>
          <w:sz w:val="21"/>
          <w:highlight w:val="none"/>
        </w:rPr>
      </w:pPr>
    </w:p>
    <w:p w14:paraId="6412627E">
      <w:pPr>
        <w:shd w:val="clear" w:color="auto" w:fill="auto"/>
        <w:rPr>
          <w:rFonts w:hint="eastAsia" w:hAnsi="宋体" w:eastAsia="宋体" w:cs="宋体"/>
          <w:b/>
          <w:color w:val="auto"/>
          <w:sz w:val="21"/>
          <w:highlight w:val="none"/>
        </w:rPr>
      </w:pPr>
    </w:p>
    <w:p w14:paraId="53300AAB">
      <w:pPr>
        <w:shd w:val="clear" w:color="auto" w:fill="auto"/>
        <w:rPr>
          <w:rFonts w:hint="eastAsia" w:hAnsi="宋体" w:eastAsia="宋体" w:cs="宋体"/>
          <w:b/>
          <w:color w:val="auto"/>
          <w:sz w:val="21"/>
          <w:highlight w:val="none"/>
        </w:rPr>
      </w:pPr>
    </w:p>
    <w:p w14:paraId="13F13F2A">
      <w:pPr>
        <w:shd w:val="clear" w:color="auto" w:fill="auto"/>
        <w:rPr>
          <w:rFonts w:hint="eastAsia" w:hAnsi="宋体" w:eastAsia="宋体" w:cs="宋体"/>
          <w:color w:val="auto"/>
          <w:sz w:val="21"/>
          <w:highlight w:val="none"/>
        </w:rPr>
      </w:pPr>
      <w:r>
        <w:rPr>
          <w:rFonts w:hint="eastAsia" w:hAnsi="宋体" w:eastAsia="宋体" w:cs="宋体"/>
          <w:b/>
          <w:color w:val="auto"/>
          <w:sz w:val="21"/>
          <w:highlight w:val="none"/>
        </w:rPr>
        <w:br w:type="page"/>
      </w:r>
      <w:r>
        <w:rPr>
          <w:rFonts w:hint="eastAsia" w:hAnsi="宋体" w:eastAsia="宋体" w:cs="宋体"/>
          <w:b/>
          <w:color w:val="auto"/>
          <w:sz w:val="21"/>
          <w:highlight w:val="none"/>
        </w:rPr>
        <w:t>（1）报价一览表格式</w:t>
      </w:r>
    </w:p>
    <w:p w14:paraId="3D2CCDA0">
      <w:pPr>
        <w:pStyle w:val="14"/>
        <w:shd w:val="clear" w:color="auto" w:fill="auto"/>
        <w:snapToGrid w:val="0"/>
        <w:ind w:left="420"/>
        <w:jc w:val="center"/>
        <w:rPr>
          <w:rFonts w:hint="eastAsia" w:ascii="宋体" w:hAnsi="宋体" w:cs="宋体"/>
          <w:b/>
          <w:color w:val="auto"/>
          <w:highlight w:val="none"/>
        </w:rPr>
      </w:pPr>
      <w:r>
        <w:rPr>
          <w:rFonts w:hint="eastAsia" w:ascii="宋体" w:hAnsi="宋体" w:cs="宋体"/>
          <w:b/>
          <w:color w:val="auto"/>
          <w:highlight w:val="none"/>
        </w:rPr>
        <w:t>报价一览表</w:t>
      </w:r>
    </w:p>
    <w:p w14:paraId="49B78A5B">
      <w:pPr>
        <w:pStyle w:val="9"/>
        <w:rPr>
          <w:color w:val="auto"/>
          <w:highlight w:val="none"/>
        </w:rPr>
      </w:pPr>
    </w:p>
    <w:p w14:paraId="794EF33D">
      <w:pPr>
        <w:pStyle w:val="12"/>
        <w:spacing w:line="360" w:lineRule="auto"/>
        <w:ind w:left="-178" w:leftChars="-85" w:firstLine="525" w:firstLineChars="250"/>
        <w:rPr>
          <w:rFonts w:ascii="Times New Roman"/>
          <w:color w:val="auto"/>
          <w:spacing w:val="0"/>
          <w:sz w:val="21"/>
          <w:szCs w:val="21"/>
          <w:highlight w:val="none"/>
        </w:rPr>
      </w:pPr>
      <w:r>
        <w:rPr>
          <w:rFonts w:ascii="Times New Roman"/>
          <w:color w:val="auto"/>
          <w:spacing w:val="0"/>
          <w:sz w:val="21"/>
          <w:szCs w:val="21"/>
          <w:highlight w:val="none"/>
        </w:rPr>
        <w:t>项目</w:t>
      </w:r>
      <w:r>
        <w:rPr>
          <w:rFonts w:hint="eastAsia" w:ascii="Times New Roman"/>
          <w:color w:val="auto"/>
          <w:spacing w:val="0"/>
          <w:sz w:val="21"/>
          <w:szCs w:val="21"/>
          <w:highlight w:val="none"/>
        </w:rPr>
        <w:t>名称</w:t>
      </w:r>
      <w:r>
        <w:rPr>
          <w:rFonts w:ascii="Times New Roman"/>
          <w:color w:val="auto"/>
          <w:spacing w:val="0"/>
          <w:sz w:val="21"/>
          <w:szCs w:val="21"/>
          <w:highlight w:val="none"/>
        </w:rPr>
        <w:t>：                  项目</w:t>
      </w:r>
      <w:r>
        <w:rPr>
          <w:rFonts w:hint="eastAsia" w:ascii="Times New Roman"/>
          <w:color w:val="auto"/>
          <w:spacing w:val="0"/>
          <w:sz w:val="21"/>
          <w:szCs w:val="21"/>
          <w:highlight w:val="none"/>
        </w:rPr>
        <w:t>编号</w:t>
      </w:r>
      <w:r>
        <w:rPr>
          <w:rFonts w:ascii="Times New Roman"/>
          <w:color w:val="auto"/>
          <w:spacing w:val="0"/>
          <w:sz w:val="21"/>
          <w:szCs w:val="21"/>
          <w:highlight w:val="none"/>
        </w:rPr>
        <w:t>：                       单位：元</w:t>
      </w:r>
    </w:p>
    <w:tbl>
      <w:tblPr>
        <w:tblStyle w:val="23"/>
        <w:tblW w:w="8817" w:type="dxa"/>
        <w:tblInd w:w="28"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945"/>
        <w:gridCol w:w="2864"/>
        <w:gridCol w:w="928"/>
        <w:gridCol w:w="1192"/>
        <w:gridCol w:w="1653"/>
        <w:gridCol w:w="1235"/>
      </w:tblGrid>
      <w:tr w14:paraId="737125B9">
        <w:tblPrEx>
          <w:tblCellMar>
            <w:top w:w="0" w:type="dxa"/>
            <w:left w:w="108" w:type="dxa"/>
            <w:bottom w:w="0" w:type="dxa"/>
            <w:right w:w="108" w:type="dxa"/>
          </w:tblCellMar>
        </w:tblPrEx>
        <w:trPr>
          <w:trHeight w:val="667" w:hRule="atLeast"/>
        </w:trPr>
        <w:tc>
          <w:tcPr>
            <w:tcW w:w="945" w:type="dxa"/>
            <w:tcBorders>
              <w:top w:val="single" w:color="auto" w:sz="4" w:space="0"/>
              <w:bottom w:val="single" w:color="auto" w:sz="4" w:space="0"/>
            </w:tcBorders>
            <w:noWrap w:val="0"/>
            <w:tcMar>
              <w:left w:w="28" w:type="dxa"/>
              <w:right w:w="28" w:type="dxa"/>
            </w:tcMar>
            <w:vAlign w:val="center"/>
          </w:tcPr>
          <w:p w14:paraId="7AC5F922">
            <w:pPr>
              <w:snapToGrid w:val="0"/>
              <w:spacing w:line="0" w:lineRule="atLeast"/>
              <w:ind w:left="-28" w:right="-2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2864" w:type="dxa"/>
            <w:tcBorders>
              <w:top w:val="single" w:color="auto" w:sz="4" w:space="0"/>
              <w:bottom w:val="single" w:color="auto" w:sz="4" w:space="0"/>
            </w:tcBorders>
            <w:noWrap w:val="0"/>
            <w:tcMar>
              <w:left w:w="28" w:type="dxa"/>
              <w:right w:w="28" w:type="dxa"/>
            </w:tcMar>
            <w:vAlign w:val="center"/>
          </w:tcPr>
          <w:p w14:paraId="67141D6D">
            <w:pPr>
              <w:snapToGrid w:val="0"/>
              <w:spacing w:line="0" w:lineRule="atLeas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项目名称</w:t>
            </w:r>
          </w:p>
        </w:tc>
        <w:tc>
          <w:tcPr>
            <w:tcW w:w="928" w:type="dxa"/>
            <w:tcBorders>
              <w:top w:val="single" w:color="auto" w:sz="4" w:space="0"/>
              <w:bottom w:val="single" w:color="auto" w:sz="4" w:space="0"/>
            </w:tcBorders>
            <w:noWrap w:val="0"/>
            <w:tcMar>
              <w:left w:w="28" w:type="dxa"/>
              <w:right w:w="28" w:type="dxa"/>
            </w:tcMar>
            <w:vAlign w:val="center"/>
          </w:tcPr>
          <w:p w14:paraId="094A6E01">
            <w:pPr>
              <w:snapToGrid w:val="0"/>
              <w:spacing w:line="0" w:lineRule="atLeast"/>
              <w:ind w:left="-101" w:right="-103"/>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数量</w:t>
            </w:r>
          </w:p>
        </w:tc>
        <w:tc>
          <w:tcPr>
            <w:tcW w:w="1192" w:type="dxa"/>
            <w:tcBorders>
              <w:top w:val="single" w:color="auto" w:sz="4" w:space="0"/>
              <w:bottom w:val="single" w:color="auto" w:sz="4" w:space="0"/>
              <w:right w:val="single" w:color="auto" w:sz="4" w:space="0"/>
            </w:tcBorders>
            <w:noWrap w:val="0"/>
            <w:tcMar>
              <w:left w:w="28" w:type="dxa"/>
              <w:right w:w="28" w:type="dxa"/>
            </w:tcMar>
            <w:vAlign w:val="center"/>
          </w:tcPr>
          <w:p w14:paraId="13B2E08E">
            <w:pPr>
              <w:snapToGrid w:val="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投标单价</w:t>
            </w:r>
          </w:p>
          <w:p w14:paraId="02485C85">
            <w:pPr>
              <w:snapToGrid w:val="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（元/亩）</w:t>
            </w:r>
          </w:p>
        </w:tc>
        <w:tc>
          <w:tcPr>
            <w:tcW w:w="1653" w:type="dxa"/>
            <w:tcBorders>
              <w:top w:val="single" w:color="auto" w:sz="4" w:space="0"/>
              <w:left w:val="single" w:color="auto" w:sz="4" w:space="0"/>
              <w:bottom w:val="single" w:color="auto" w:sz="4" w:space="0"/>
            </w:tcBorders>
            <w:noWrap w:val="0"/>
            <w:tcMar>
              <w:left w:w="28" w:type="dxa"/>
              <w:right w:w="28" w:type="dxa"/>
            </w:tcMar>
            <w:vAlign w:val="center"/>
          </w:tcPr>
          <w:p w14:paraId="39B4819E">
            <w:pPr>
              <w:snapToGrid w:val="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投标总价</w:t>
            </w:r>
          </w:p>
          <w:p w14:paraId="117DD9BC">
            <w:pPr>
              <w:snapToGrid w:val="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（元）</w:t>
            </w:r>
          </w:p>
        </w:tc>
        <w:tc>
          <w:tcPr>
            <w:tcW w:w="1235" w:type="dxa"/>
            <w:tcBorders>
              <w:top w:val="single" w:color="auto" w:sz="4" w:space="0"/>
              <w:bottom w:val="single" w:color="auto" w:sz="4" w:space="0"/>
            </w:tcBorders>
            <w:noWrap w:val="0"/>
            <w:tcMar>
              <w:left w:w="28" w:type="dxa"/>
              <w:right w:w="28" w:type="dxa"/>
            </w:tcMar>
            <w:vAlign w:val="center"/>
          </w:tcPr>
          <w:p w14:paraId="2D2C32B3">
            <w:pPr>
              <w:snapToGrid w:val="0"/>
              <w:spacing w:line="0" w:lineRule="atLeas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备注</w:t>
            </w:r>
          </w:p>
        </w:tc>
      </w:tr>
      <w:tr w14:paraId="5C04CD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239" w:hRule="atLeast"/>
        </w:trPr>
        <w:tc>
          <w:tcPr>
            <w:tcW w:w="945" w:type="dxa"/>
            <w:tcBorders>
              <w:top w:val="single" w:color="auto" w:sz="4" w:space="0"/>
              <w:right w:val="single" w:color="auto" w:sz="4" w:space="0"/>
            </w:tcBorders>
            <w:noWrap w:val="0"/>
            <w:tcMar>
              <w:left w:w="28" w:type="dxa"/>
              <w:right w:w="28" w:type="dxa"/>
            </w:tcMar>
            <w:vAlign w:val="center"/>
          </w:tcPr>
          <w:p w14:paraId="0ACD246C">
            <w:pPr>
              <w:snapToGrid w:val="0"/>
              <w:spacing w:line="0" w:lineRule="atLeas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864" w:type="dxa"/>
            <w:tcBorders>
              <w:top w:val="single" w:color="auto" w:sz="4" w:space="0"/>
              <w:left w:val="single" w:color="auto" w:sz="4" w:space="0"/>
              <w:right w:val="single" w:color="auto" w:sz="4" w:space="0"/>
            </w:tcBorders>
            <w:noWrap w:val="0"/>
            <w:tcMar>
              <w:left w:w="28" w:type="dxa"/>
              <w:right w:w="28" w:type="dxa"/>
            </w:tcMar>
            <w:vAlign w:val="center"/>
          </w:tcPr>
          <w:p w14:paraId="4E7CAE94">
            <w:pPr>
              <w:shd w:val="clear" w:color="auto" w:fill="auto"/>
              <w:adjustRightInd/>
              <w:jc w:val="center"/>
              <w:textAlignment w:val="auto"/>
              <w:rPr>
                <w:rFonts w:hint="eastAsia" w:ascii="宋体" w:hAnsi="宋体" w:eastAsia="宋体" w:cs="宋体"/>
                <w:bCs/>
                <w:color w:val="auto"/>
                <w:sz w:val="21"/>
                <w:szCs w:val="21"/>
                <w:highlight w:val="none"/>
                <w:lang w:eastAsia="zh-CN"/>
              </w:rPr>
            </w:pPr>
            <w:r>
              <w:rPr>
                <w:rFonts w:hint="eastAsia" w:cs="宋体"/>
                <w:color w:val="auto"/>
                <w:sz w:val="21"/>
                <w:highlight w:val="none"/>
                <w:lang w:eastAsia="zh-CN"/>
              </w:rPr>
              <w:t>宁波市海曙区章水镇2024年度结余资金林相优化改造工程</w:t>
            </w:r>
          </w:p>
        </w:tc>
        <w:tc>
          <w:tcPr>
            <w:tcW w:w="928" w:type="dxa"/>
            <w:tcBorders>
              <w:top w:val="single" w:color="auto" w:sz="4" w:space="0"/>
              <w:left w:val="single" w:color="auto" w:sz="4" w:space="0"/>
              <w:right w:val="single" w:color="auto" w:sz="4" w:space="0"/>
            </w:tcBorders>
            <w:noWrap w:val="0"/>
            <w:tcMar>
              <w:left w:w="28" w:type="dxa"/>
              <w:right w:w="28" w:type="dxa"/>
            </w:tcMar>
            <w:vAlign w:val="center"/>
          </w:tcPr>
          <w:p w14:paraId="59C556EE">
            <w:pPr>
              <w:tabs>
                <w:tab w:val="left" w:pos="630"/>
              </w:tabs>
              <w:snapToGrid w:val="0"/>
              <w:spacing w:line="0" w:lineRule="atLeast"/>
              <w:jc w:val="center"/>
              <w:rPr>
                <w:rFonts w:hint="default" w:ascii="宋体" w:hAnsi="宋体" w:eastAsia="宋体" w:cs="宋体"/>
                <w:color w:val="auto"/>
                <w:sz w:val="21"/>
                <w:szCs w:val="21"/>
                <w:highlight w:val="none"/>
                <w:lang w:val="en-US" w:eastAsia="zh-CN"/>
              </w:rPr>
            </w:pPr>
            <w:r>
              <w:rPr>
                <w:rFonts w:hint="eastAsia" w:ascii="宋体" w:hAnsi="宋体" w:eastAsia="宋体" w:cs="宋体"/>
                <w:sz w:val="21"/>
                <w:szCs w:val="21"/>
                <w:lang w:val="en-US" w:eastAsia="zh-CN"/>
              </w:rPr>
              <w:t>135亩</w:t>
            </w:r>
          </w:p>
        </w:tc>
        <w:tc>
          <w:tcPr>
            <w:tcW w:w="1192" w:type="dxa"/>
            <w:tcBorders>
              <w:top w:val="single" w:color="auto" w:sz="4" w:space="0"/>
              <w:left w:val="single" w:color="auto" w:sz="4" w:space="0"/>
              <w:right w:val="single" w:color="auto" w:sz="4" w:space="0"/>
            </w:tcBorders>
            <w:noWrap w:val="0"/>
            <w:tcMar>
              <w:left w:w="28" w:type="dxa"/>
              <w:right w:w="28" w:type="dxa"/>
            </w:tcMar>
            <w:vAlign w:val="center"/>
          </w:tcPr>
          <w:p w14:paraId="0B33627E">
            <w:pPr>
              <w:snapToGrid w:val="0"/>
              <w:jc w:val="center"/>
              <w:rPr>
                <w:rFonts w:hint="eastAsia" w:ascii="宋体" w:hAnsi="宋体" w:eastAsia="宋体" w:cs="宋体"/>
                <w:b/>
                <w:color w:val="auto"/>
                <w:sz w:val="21"/>
                <w:szCs w:val="21"/>
                <w:highlight w:val="none"/>
              </w:rPr>
            </w:pPr>
          </w:p>
        </w:tc>
        <w:tc>
          <w:tcPr>
            <w:tcW w:w="1653" w:type="dxa"/>
            <w:tcBorders>
              <w:top w:val="single" w:color="auto" w:sz="4" w:space="0"/>
              <w:left w:val="single" w:color="auto" w:sz="4" w:space="0"/>
              <w:right w:val="single" w:color="auto" w:sz="4" w:space="0"/>
            </w:tcBorders>
            <w:noWrap w:val="0"/>
            <w:tcMar>
              <w:left w:w="28" w:type="dxa"/>
              <w:right w:w="28" w:type="dxa"/>
            </w:tcMar>
            <w:vAlign w:val="center"/>
          </w:tcPr>
          <w:p w14:paraId="46715008">
            <w:pPr>
              <w:snapToGrid w:val="0"/>
              <w:jc w:val="center"/>
              <w:rPr>
                <w:rFonts w:hint="eastAsia" w:ascii="宋体" w:hAnsi="宋体" w:eastAsia="宋体" w:cs="宋体"/>
                <w:color w:val="auto"/>
                <w:sz w:val="21"/>
                <w:szCs w:val="21"/>
                <w:highlight w:val="none"/>
              </w:rPr>
            </w:pPr>
          </w:p>
        </w:tc>
        <w:tc>
          <w:tcPr>
            <w:tcW w:w="1235" w:type="dxa"/>
            <w:tcBorders>
              <w:top w:val="single" w:color="auto" w:sz="4" w:space="0"/>
              <w:left w:val="single" w:color="auto" w:sz="4" w:space="0"/>
            </w:tcBorders>
            <w:noWrap w:val="0"/>
            <w:tcMar>
              <w:left w:w="28" w:type="dxa"/>
              <w:right w:w="28" w:type="dxa"/>
            </w:tcMar>
            <w:vAlign w:val="center"/>
          </w:tcPr>
          <w:p w14:paraId="10A17DB3">
            <w:pPr>
              <w:snapToGrid w:val="0"/>
              <w:spacing w:line="0" w:lineRule="atLeast"/>
              <w:jc w:val="center"/>
              <w:rPr>
                <w:rFonts w:hint="eastAsia" w:ascii="宋体" w:hAnsi="宋体" w:eastAsia="宋体" w:cs="宋体"/>
                <w:color w:val="auto"/>
                <w:sz w:val="21"/>
                <w:szCs w:val="21"/>
                <w:highlight w:val="none"/>
              </w:rPr>
            </w:pPr>
          </w:p>
        </w:tc>
      </w:tr>
      <w:tr w14:paraId="549139B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69" w:hRule="atLeast"/>
        </w:trPr>
        <w:tc>
          <w:tcPr>
            <w:tcW w:w="945" w:type="dxa"/>
            <w:tcBorders>
              <w:top w:val="single" w:color="auto" w:sz="4" w:space="0"/>
              <w:bottom w:val="single" w:color="auto" w:sz="4" w:space="0"/>
            </w:tcBorders>
            <w:noWrap w:val="0"/>
            <w:tcMar>
              <w:left w:w="28" w:type="dxa"/>
              <w:right w:w="28" w:type="dxa"/>
            </w:tcMar>
            <w:vAlign w:val="center"/>
          </w:tcPr>
          <w:p w14:paraId="7497F92E">
            <w:pPr>
              <w:pStyle w:val="12"/>
              <w:spacing w:line="0" w:lineRule="atLeast"/>
              <w:ind w:left="0" w:leftChars="0" w:firstLine="0" w:firstLineChars="0"/>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合同履行期限</w:t>
            </w:r>
          </w:p>
        </w:tc>
        <w:tc>
          <w:tcPr>
            <w:tcW w:w="7872" w:type="dxa"/>
            <w:gridSpan w:val="5"/>
            <w:tcBorders>
              <w:top w:val="single" w:color="auto" w:sz="4" w:space="0"/>
              <w:bottom w:val="single" w:color="auto" w:sz="4" w:space="0"/>
            </w:tcBorders>
            <w:noWrap w:val="0"/>
            <w:tcMar>
              <w:left w:w="28" w:type="dxa"/>
              <w:right w:w="28" w:type="dxa"/>
            </w:tcMar>
            <w:vAlign w:val="center"/>
          </w:tcPr>
          <w:p w14:paraId="18664B92">
            <w:pPr>
              <w:snapToGrid w:val="0"/>
              <w:spacing w:line="0" w:lineRule="atLeast"/>
              <w:rPr>
                <w:rFonts w:hint="eastAsia"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u w:val="none"/>
                <w:lang w:eastAsia="zh-CN"/>
              </w:rPr>
              <w:t>自合同签订之日起至双方权力义务履行完毕止。</w:t>
            </w:r>
          </w:p>
        </w:tc>
      </w:tr>
      <w:tr w14:paraId="4302F61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81" w:hRule="atLeast"/>
        </w:trPr>
        <w:tc>
          <w:tcPr>
            <w:tcW w:w="945" w:type="dxa"/>
            <w:tcBorders>
              <w:top w:val="single" w:color="auto" w:sz="4" w:space="0"/>
              <w:bottom w:val="single" w:color="auto" w:sz="4" w:space="0"/>
            </w:tcBorders>
            <w:noWrap w:val="0"/>
            <w:tcMar>
              <w:left w:w="28" w:type="dxa"/>
              <w:right w:w="28" w:type="dxa"/>
            </w:tcMar>
            <w:vAlign w:val="center"/>
          </w:tcPr>
          <w:p w14:paraId="009ED7BF">
            <w:pPr>
              <w:pStyle w:val="12"/>
              <w:spacing w:line="0" w:lineRule="atLeast"/>
              <w:ind w:left="0" w:leftChars="0" w:firstLine="0" w:firstLineChars="0"/>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投标声明</w:t>
            </w:r>
          </w:p>
        </w:tc>
        <w:tc>
          <w:tcPr>
            <w:tcW w:w="7872" w:type="dxa"/>
            <w:gridSpan w:val="5"/>
            <w:tcBorders>
              <w:top w:val="single" w:color="auto" w:sz="4" w:space="0"/>
              <w:bottom w:val="single" w:color="auto" w:sz="4" w:space="0"/>
            </w:tcBorders>
            <w:noWrap w:val="0"/>
            <w:tcMar>
              <w:left w:w="28" w:type="dxa"/>
              <w:right w:w="28" w:type="dxa"/>
            </w:tcMar>
            <w:vAlign w:val="center"/>
          </w:tcPr>
          <w:p w14:paraId="0D001BF6">
            <w:pPr>
              <w:snapToGrid w:val="0"/>
              <w:spacing w:line="0" w:lineRule="atLeast"/>
              <w:rPr>
                <w:rFonts w:hint="eastAsia" w:ascii="宋体" w:hAnsi="宋体" w:eastAsia="宋体" w:cs="宋体"/>
                <w:color w:val="auto"/>
                <w:sz w:val="21"/>
                <w:szCs w:val="21"/>
                <w:highlight w:val="none"/>
                <w:u w:val="single"/>
              </w:rPr>
            </w:pPr>
          </w:p>
        </w:tc>
      </w:tr>
    </w:tbl>
    <w:p w14:paraId="58F964EA">
      <w:pPr>
        <w:snapToGrid w:val="0"/>
        <w:spacing w:before="50" w:after="5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 1、报价一经涂改，应在涂改处加盖单位公章或者由法定代表人或授权委托人签字或盖章，否则其投标作无效标处理。</w:t>
      </w:r>
    </w:p>
    <w:p w14:paraId="489824E1">
      <w:pPr>
        <w:numPr>
          <w:ilvl w:val="0"/>
          <w:numId w:val="16"/>
        </w:numPr>
        <w:snapToGrid w:val="0"/>
        <w:spacing w:before="50" w:after="5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以上报价合计应与“分项报价表”中的“</w:t>
      </w:r>
      <w:r>
        <w:rPr>
          <w:rFonts w:hint="eastAsia" w:ascii="宋体" w:hAnsi="宋体" w:eastAsia="宋体" w:cs="宋体"/>
          <w:color w:val="auto"/>
          <w:sz w:val="21"/>
          <w:szCs w:val="21"/>
          <w:highlight w:val="none"/>
          <w:lang w:val="en-US" w:eastAsia="zh-CN"/>
        </w:rPr>
        <w:t>合计</w:t>
      </w:r>
      <w:r>
        <w:rPr>
          <w:rFonts w:hint="eastAsia" w:ascii="宋体" w:hAnsi="宋体" w:eastAsia="宋体" w:cs="宋体"/>
          <w:color w:val="auto"/>
          <w:sz w:val="21"/>
          <w:szCs w:val="21"/>
          <w:highlight w:val="none"/>
        </w:rPr>
        <w:t>”相一致。</w:t>
      </w:r>
    </w:p>
    <w:p w14:paraId="1B8B542B">
      <w:pPr>
        <w:bidi w:val="0"/>
        <w:rPr>
          <w:color w:val="auto"/>
          <w:highlight w:val="none"/>
        </w:rPr>
      </w:pPr>
    </w:p>
    <w:p w14:paraId="58CF68D5">
      <w:pPr>
        <w:spacing w:line="360" w:lineRule="auto"/>
        <w:ind w:firstLine="4830" w:firstLineChars="2300"/>
        <w:rPr>
          <w:rFonts w:hint="eastAsia" w:ascii="宋体" w:hAnsi="宋体" w:eastAsia="宋体" w:cs="宋体"/>
          <w:color w:val="auto"/>
          <w:sz w:val="21"/>
          <w:szCs w:val="21"/>
          <w:highlight w:val="none"/>
        </w:rPr>
      </w:pPr>
    </w:p>
    <w:p w14:paraId="64E6A0BC">
      <w:pPr>
        <w:spacing w:line="360" w:lineRule="auto"/>
        <w:ind w:firstLine="3990" w:firstLineChars="19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供应商名称（加盖公章）：</w:t>
      </w:r>
    </w:p>
    <w:p w14:paraId="5CF262D7">
      <w:pPr>
        <w:spacing w:line="360" w:lineRule="auto"/>
        <w:ind w:firstLine="3990" w:firstLineChars="1900"/>
        <w:rPr>
          <w:b/>
          <w:color w:val="auto"/>
          <w:szCs w:val="21"/>
          <w:highlight w:val="none"/>
        </w:rPr>
      </w:pPr>
      <w:r>
        <w:rPr>
          <w:rFonts w:hint="eastAsia" w:ascii="宋体" w:hAnsi="宋体" w:eastAsia="宋体" w:cs="宋体"/>
          <w:color w:val="auto"/>
          <w:sz w:val="21"/>
          <w:szCs w:val="21"/>
          <w:highlight w:val="none"/>
        </w:rPr>
        <w:t>日    期：</w:t>
      </w:r>
    </w:p>
    <w:p w14:paraId="0C3A5E3C">
      <w:pPr>
        <w:pStyle w:val="14"/>
        <w:shd w:val="clear" w:color="auto" w:fill="auto"/>
        <w:snapToGrid w:val="0"/>
        <w:ind w:left="420"/>
        <w:rPr>
          <w:rFonts w:hint="eastAsia" w:ascii="宋体" w:hAnsi="宋体" w:cs="宋体"/>
          <w:color w:val="auto"/>
          <w:highlight w:val="none"/>
        </w:rPr>
      </w:pPr>
    </w:p>
    <w:p w14:paraId="6C137957">
      <w:pPr>
        <w:rPr>
          <w:rFonts w:hint="eastAsia" w:ascii="宋体" w:hAnsi="宋体" w:cs="宋体"/>
          <w:color w:val="auto"/>
          <w:highlight w:val="none"/>
        </w:rPr>
      </w:pPr>
      <w:r>
        <w:rPr>
          <w:rFonts w:hint="eastAsia" w:ascii="宋体" w:hAnsi="宋体" w:cs="宋体"/>
          <w:color w:val="auto"/>
          <w:highlight w:val="none"/>
        </w:rPr>
        <w:br w:type="page"/>
      </w:r>
    </w:p>
    <w:p w14:paraId="6F8B51E8">
      <w:pP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分项报价表</w:t>
      </w:r>
      <w:r>
        <w:rPr>
          <w:rFonts w:hint="eastAsia" w:ascii="宋体" w:hAnsi="宋体" w:eastAsia="宋体" w:cs="宋体"/>
          <w:b/>
          <w:bCs/>
          <w:color w:val="auto"/>
          <w:sz w:val="21"/>
          <w:szCs w:val="21"/>
          <w:highlight w:val="none"/>
          <w:lang w:val="en-US" w:eastAsia="zh-CN"/>
        </w:rPr>
        <w:t>格式</w:t>
      </w:r>
    </w:p>
    <w:p w14:paraId="68282EE3">
      <w:pPr>
        <w:pStyle w:val="9"/>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分项报价表</w:t>
      </w:r>
    </w:p>
    <w:p w14:paraId="6A7C3F2B">
      <w:pPr>
        <w:pStyle w:val="12"/>
        <w:spacing w:line="360" w:lineRule="auto"/>
        <w:ind w:left="-178" w:leftChars="-85" w:firstLine="525" w:firstLineChars="25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pacing w:val="0"/>
          <w:sz w:val="21"/>
          <w:szCs w:val="21"/>
          <w:highlight w:val="none"/>
        </w:rPr>
        <w:t>项目名称：                  项目编号：                       单位：元</w:t>
      </w:r>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2069"/>
        <w:gridCol w:w="1492"/>
        <w:gridCol w:w="1584"/>
        <w:gridCol w:w="2854"/>
      </w:tblGrid>
      <w:tr w14:paraId="735332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1195" w:type="dxa"/>
            <w:tcBorders>
              <w:top w:val="single" w:color="auto" w:sz="4" w:space="0"/>
              <w:left w:val="single" w:color="auto" w:sz="4" w:space="0"/>
            </w:tcBorders>
            <w:noWrap w:val="0"/>
            <w:vAlign w:val="center"/>
          </w:tcPr>
          <w:p w14:paraId="4F982AC0">
            <w:pPr>
              <w:spacing w:line="240" w:lineRule="exact"/>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序号</w:t>
            </w:r>
          </w:p>
        </w:tc>
        <w:tc>
          <w:tcPr>
            <w:tcW w:w="2069" w:type="dxa"/>
            <w:tcBorders>
              <w:top w:val="single" w:color="auto" w:sz="4" w:space="0"/>
            </w:tcBorders>
            <w:noWrap w:val="0"/>
            <w:vAlign w:val="center"/>
          </w:tcPr>
          <w:p w14:paraId="289C8373">
            <w:pPr>
              <w:spacing w:line="240" w:lineRule="exact"/>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服务内容</w:t>
            </w:r>
          </w:p>
        </w:tc>
        <w:tc>
          <w:tcPr>
            <w:tcW w:w="1492" w:type="dxa"/>
            <w:tcBorders>
              <w:top w:val="single" w:color="auto" w:sz="4" w:space="0"/>
            </w:tcBorders>
            <w:noWrap w:val="0"/>
            <w:vAlign w:val="center"/>
          </w:tcPr>
          <w:p w14:paraId="62993835">
            <w:pPr>
              <w:spacing w:line="240" w:lineRule="exact"/>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数量</w:t>
            </w:r>
          </w:p>
        </w:tc>
        <w:tc>
          <w:tcPr>
            <w:tcW w:w="1584" w:type="dxa"/>
            <w:tcBorders>
              <w:top w:val="single" w:color="auto" w:sz="4" w:space="0"/>
            </w:tcBorders>
            <w:noWrap w:val="0"/>
            <w:vAlign w:val="center"/>
          </w:tcPr>
          <w:p w14:paraId="061C767D">
            <w:pPr>
              <w:spacing w:line="240" w:lineRule="exact"/>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单价</w:t>
            </w:r>
          </w:p>
        </w:tc>
        <w:tc>
          <w:tcPr>
            <w:tcW w:w="2854" w:type="dxa"/>
            <w:tcBorders>
              <w:top w:val="single" w:color="auto" w:sz="4" w:space="0"/>
              <w:right w:val="single" w:color="auto" w:sz="4" w:space="0"/>
            </w:tcBorders>
            <w:noWrap w:val="0"/>
            <w:vAlign w:val="center"/>
          </w:tcPr>
          <w:p w14:paraId="54241C76">
            <w:pPr>
              <w:spacing w:line="240" w:lineRule="exact"/>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合计</w:t>
            </w:r>
          </w:p>
        </w:tc>
      </w:tr>
      <w:tr w14:paraId="2B0EF7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5" w:type="dxa"/>
            <w:tcBorders>
              <w:top w:val="single" w:color="auto" w:sz="4" w:space="0"/>
              <w:left w:val="single" w:color="auto" w:sz="4" w:space="0"/>
              <w:bottom w:val="single" w:color="auto" w:sz="4" w:space="0"/>
            </w:tcBorders>
            <w:noWrap w:val="0"/>
            <w:vAlign w:val="center"/>
          </w:tcPr>
          <w:p w14:paraId="6CA74808">
            <w:pPr>
              <w:spacing w:line="400" w:lineRule="exact"/>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w:t>
            </w:r>
          </w:p>
        </w:tc>
        <w:tc>
          <w:tcPr>
            <w:tcW w:w="2069" w:type="dxa"/>
            <w:tcBorders>
              <w:top w:val="single" w:color="auto" w:sz="4" w:space="0"/>
              <w:bottom w:val="single" w:color="auto" w:sz="4" w:space="0"/>
            </w:tcBorders>
            <w:noWrap w:val="0"/>
            <w:vAlign w:val="center"/>
          </w:tcPr>
          <w:p w14:paraId="21926FEC">
            <w:pPr>
              <w:spacing w:line="400" w:lineRule="exact"/>
              <w:jc w:val="center"/>
              <w:rPr>
                <w:rFonts w:hint="eastAsia" w:ascii="宋体" w:hAnsi="宋体" w:eastAsia="宋体" w:cs="宋体"/>
                <w:b w:val="0"/>
                <w:bCs w:val="0"/>
                <w:color w:val="auto"/>
                <w:sz w:val="21"/>
                <w:szCs w:val="21"/>
                <w:highlight w:val="none"/>
              </w:rPr>
            </w:pPr>
          </w:p>
        </w:tc>
        <w:tc>
          <w:tcPr>
            <w:tcW w:w="1492" w:type="dxa"/>
            <w:tcBorders>
              <w:top w:val="single" w:color="auto" w:sz="4" w:space="0"/>
              <w:bottom w:val="single" w:color="auto" w:sz="4" w:space="0"/>
            </w:tcBorders>
            <w:noWrap w:val="0"/>
            <w:vAlign w:val="center"/>
          </w:tcPr>
          <w:p w14:paraId="0DBE14C4">
            <w:pPr>
              <w:spacing w:line="400" w:lineRule="exact"/>
              <w:jc w:val="center"/>
              <w:rPr>
                <w:rFonts w:hint="eastAsia" w:ascii="宋体" w:hAnsi="宋体" w:eastAsia="宋体" w:cs="宋体"/>
                <w:b w:val="0"/>
                <w:bCs w:val="0"/>
                <w:color w:val="auto"/>
                <w:sz w:val="21"/>
                <w:szCs w:val="21"/>
                <w:highlight w:val="none"/>
              </w:rPr>
            </w:pPr>
          </w:p>
        </w:tc>
        <w:tc>
          <w:tcPr>
            <w:tcW w:w="1584" w:type="dxa"/>
            <w:tcBorders>
              <w:top w:val="single" w:color="auto" w:sz="4" w:space="0"/>
              <w:bottom w:val="single" w:color="auto" w:sz="4" w:space="0"/>
            </w:tcBorders>
            <w:noWrap w:val="0"/>
            <w:vAlign w:val="center"/>
          </w:tcPr>
          <w:p w14:paraId="415886F6">
            <w:pPr>
              <w:spacing w:line="400" w:lineRule="exact"/>
              <w:jc w:val="center"/>
              <w:rPr>
                <w:rFonts w:hint="eastAsia" w:ascii="宋体" w:hAnsi="宋体" w:eastAsia="宋体" w:cs="宋体"/>
                <w:b w:val="0"/>
                <w:bCs w:val="0"/>
                <w:color w:val="auto"/>
                <w:sz w:val="21"/>
                <w:szCs w:val="21"/>
                <w:highlight w:val="none"/>
              </w:rPr>
            </w:pPr>
          </w:p>
        </w:tc>
        <w:tc>
          <w:tcPr>
            <w:tcW w:w="2854" w:type="dxa"/>
            <w:tcBorders>
              <w:top w:val="single" w:color="auto" w:sz="4" w:space="0"/>
              <w:bottom w:val="single" w:color="auto" w:sz="4" w:space="0"/>
              <w:right w:val="single" w:color="auto" w:sz="4" w:space="0"/>
            </w:tcBorders>
            <w:noWrap w:val="0"/>
            <w:vAlign w:val="center"/>
          </w:tcPr>
          <w:p w14:paraId="60A33DB5">
            <w:pPr>
              <w:tabs>
                <w:tab w:val="left" w:pos="4648"/>
              </w:tabs>
              <w:spacing w:line="400" w:lineRule="exact"/>
              <w:jc w:val="center"/>
              <w:rPr>
                <w:rFonts w:hint="eastAsia" w:ascii="宋体" w:hAnsi="宋体" w:eastAsia="宋体" w:cs="宋体"/>
                <w:b w:val="0"/>
                <w:bCs w:val="0"/>
                <w:color w:val="auto"/>
                <w:sz w:val="21"/>
                <w:szCs w:val="21"/>
                <w:highlight w:val="none"/>
              </w:rPr>
            </w:pPr>
          </w:p>
        </w:tc>
      </w:tr>
      <w:tr w14:paraId="54ABE9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5" w:type="dxa"/>
            <w:tcBorders>
              <w:top w:val="single" w:color="auto" w:sz="4" w:space="0"/>
              <w:left w:val="single" w:color="auto" w:sz="4" w:space="0"/>
              <w:bottom w:val="single" w:color="auto" w:sz="4" w:space="0"/>
            </w:tcBorders>
            <w:noWrap w:val="0"/>
            <w:vAlign w:val="center"/>
          </w:tcPr>
          <w:p w14:paraId="0B8FC512">
            <w:pPr>
              <w:spacing w:line="400" w:lineRule="exact"/>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w:t>
            </w:r>
          </w:p>
        </w:tc>
        <w:tc>
          <w:tcPr>
            <w:tcW w:w="2069" w:type="dxa"/>
            <w:tcBorders>
              <w:top w:val="single" w:color="auto" w:sz="4" w:space="0"/>
              <w:bottom w:val="single" w:color="auto" w:sz="4" w:space="0"/>
            </w:tcBorders>
            <w:noWrap w:val="0"/>
            <w:vAlign w:val="center"/>
          </w:tcPr>
          <w:p w14:paraId="238CE305">
            <w:pPr>
              <w:spacing w:line="400" w:lineRule="exact"/>
              <w:jc w:val="center"/>
              <w:rPr>
                <w:rFonts w:hint="eastAsia" w:ascii="宋体" w:hAnsi="宋体" w:eastAsia="宋体" w:cs="宋体"/>
                <w:b w:val="0"/>
                <w:bCs w:val="0"/>
                <w:color w:val="auto"/>
                <w:sz w:val="21"/>
                <w:szCs w:val="21"/>
                <w:highlight w:val="none"/>
              </w:rPr>
            </w:pPr>
          </w:p>
        </w:tc>
        <w:tc>
          <w:tcPr>
            <w:tcW w:w="1492" w:type="dxa"/>
            <w:tcBorders>
              <w:top w:val="single" w:color="auto" w:sz="4" w:space="0"/>
              <w:bottom w:val="single" w:color="auto" w:sz="4" w:space="0"/>
            </w:tcBorders>
            <w:noWrap w:val="0"/>
            <w:vAlign w:val="center"/>
          </w:tcPr>
          <w:p w14:paraId="43FD39EF">
            <w:pPr>
              <w:spacing w:line="400" w:lineRule="exact"/>
              <w:jc w:val="center"/>
              <w:rPr>
                <w:rFonts w:hint="eastAsia" w:ascii="宋体" w:hAnsi="宋体" w:eastAsia="宋体" w:cs="宋体"/>
                <w:b w:val="0"/>
                <w:bCs w:val="0"/>
                <w:color w:val="auto"/>
                <w:sz w:val="21"/>
                <w:szCs w:val="21"/>
                <w:highlight w:val="none"/>
              </w:rPr>
            </w:pPr>
          </w:p>
        </w:tc>
        <w:tc>
          <w:tcPr>
            <w:tcW w:w="1584" w:type="dxa"/>
            <w:tcBorders>
              <w:top w:val="single" w:color="auto" w:sz="4" w:space="0"/>
              <w:bottom w:val="single" w:color="auto" w:sz="4" w:space="0"/>
            </w:tcBorders>
            <w:noWrap w:val="0"/>
            <w:vAlign w:val="center"/>
          </w:tcPr>
          <w:p w14:paraId="7D2A9277">
            <w:pPr>
              <w:spacing w:line="400" w:lineRule="exact"/>
              <w:jc w:val="center"/>
              <w:rPr>
                <w:rFonts w:hint="eastAsia" w:ascii="宋体" w:hAnsi="宋体" w:eastAsia="宋体" w:cs="宋体"/>
                <w:b w:val="0"/>
                <w:bCs w:val="0"/>
                <w:color w:val="auto"/>
                <w:sz w:val="21"/>
                <w:szCs w:val="21"/>
                <w:highlight w:val="none"/>
              </w:rPr>
            </w:pPr>
          </w:p>
        </w:tc>
        <w:tc>
          <w:tcPr>
            <w:tcW w:w="2854" w:type="dxa"/>
            <w:tcBorders>
              <w:top w:val="single" w:color="auto" w:sz="4" w:space="0"/>
              <w:bottom w:val="single" w:color="auto" w:sz="4" w:space="0"/>
              <w:right w:val="single" w:color="auto" w:sz="4" w:space="0"/>
            </w:tcBorders>
            <w:noWrap w:val="0"/>
            <w:vAlign w:val="center"/>
          </w:tcPr>
          <w:p w14:paraId="7289C93E">
            <w:pPr>
              <w:tabs>
                <w:tab w:val="left" w:pos="4648"/>
              </w:tabs>
              <w:spacing w:line="400" w:lineRule="exact"/>
              <w:jc w:val="center"/>
              <w:rPr>
                <w:rFonts w:hint="eastAsia" w:ascii="宋体" w:hAnsi="宋体" w:eastAsia="宋体" w:cs="宋体"/>
                <w:b w:val="0"/>
                <w:bCs w:val="0"/>
                <w:color w:val="auto"/>
                <w:sz w:val="21"/>
                <w:szCs w:val="21"/>
                <w:highlight w:val="none"/>
              </w:rPr>
            </w:pPr>
          </w:p>
        </w:tc>
      </w:tr>
      <w:tr w14:paraId="18A899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5" w:type="dxa"/>
            <w:tcBorders>
              <w:top w:val="single" w:color="auto" w:sz="4" w:space="0"/>
              <w:left w:val="single" w:color="auto" w:sz="4" w:space="0"/>
              <w:bottom w:val="single" w:color="auto" w:sz="4" w:space="0"/>
            </w:tcBorders>
            <w:noWrap w:val="0"/>
            <w:vAlign w:val="center"/>
          </w:tcPr>
          <w:p w14:paraId="620AAFDC">
            <w:pPr>
              <w:spacing w:line="400" w:lineRule="exact"/>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w:t>
            </w:r>
          </w:p>
        </w:tc>
        <w:tc>
          <w:tcPr>
            <w:tcW w:w="2069" w:type="dxa"/>
            <w:tcBorders>
              <w:top w:val="single" w:color="auto" w:sz="4" w:space="0"/>
              <w:bottom w:val="single" w:color="auto" w:sz="4" w:space="0"/>
            </w:tcBorders>
            <w:noWrap w:val="0"/>
            <w:vAlign w:val="center"/>
          </w:tcPr>
          <w:p w14:paraId="4B2C1C6E">
            <w:pPr>
              <w:spacing w:line="400" w:lineRule="exact"/>
              <w:jc w:val="center"/>
              <w:rPr>
                <w:rFonts w:hint="eastAsia" w:ascii="宋体" w:hAnsi="宋体" w:eastAsia="宋体" w:cs="宋体"/>
                <w:b w:val="0"/>
                <w:bCs w:val="0"/>
                <w:color w:val="auto"/>
                <w:sz w:val="21"/>
                <w:szCs w:val="21"/>
                <w:highlight w:val="none"/>
              </w:rPr>
            </w:pPr>
          </w:p>
        </w:tc>
        <w:tc>
          <w:tcPr>
            <w:tcW w:w="1492" w:type="dxa"/>
            <w:tcBorders>
              <w:top w:val="single" w:color="auto" w:sz="4" w:space="0"/>
              <w:bottom w:val="single" w:color="auto" w:sz="4" w:space="0"/>
            </w:tcBorders>
            <w:noWrap w:val="0"/>
            <w:vAlign w:val="center"/>
          </w:tcPr>
          <w:p w14:paraId="5761D093">
            <w:pPr>
              <w:spacing w:line="400" w:lineRule="exact"/>
              <w:jc w:val="center"/>
              <w:rPr>
                <w:rFonts w:hint="eastAsia" w:ascii="宋体" w:hAnsi="宋体" w:eastAsia="宋体" w:cs="宋体"/>
                <w:b w:val="0"/>
                <w:bCs w:val="0"/>
                <w:color w:val="auto"/>
                <w:sz w:val="21"/>
                <w:szCs w:val="21"/>
                <w:highlight w:val="none"/>
              </w:rPr>
            </w:pPr>
          </w:p>
        </w:tc>
        <w:tc>
          <w:tcPr>
            <w:tcW w:w="1584" w:type="dxa"/>
            <w:tcBorders>
              <w:top w:val="single" w:color="auto" w:sz="4" w:space="0"/>
              <w:bottom w:val="single" w:color="auto" w:sz="4" w:space="0"/>
            </w:tcBorders>
            <w:noWrap w:val="0"/>
            <w:vAlign w:val="center"/>
          </w:tcPr>
          <w:p w14:paraId="54F5BF49">
            <w:pPr>
              <w:spacing w:line="400" w:lineRule="exact"/>
              <w:jc w:val="center"/>
              <w:rPr>
                <w:rFonts w:hint="eastAsia" w:ascii="宋体" w:hAnsi="宋体" w:eastAsia="宋体" w:cs="宋体"/>
                <w:b w:val="0"/>
                <w:bCs w:val="0"/>
                <w:color w:val="auto"/>
                <w:sz w:val="21"/>
                <w:szCs w:val="21"/>
                <w:highlight w:val="none"/>
              </w:rPr>
            </w:pPr>
          </w:p>
        </w:tc>
        <w:tc>
          <w:tcPr>
            <w:tcW w:w="2854" w:type="dxa"/>
            <w:tcBorders>
              <w:top w:val="single" w:color="auto" w:sz="4" w:space="0"/>
              <w:bottom w:val="single" w:color="auto" w:sz="4" w:space="0"/>
              <w:right w:val="single" w:color="auto" w:sz="4" w:space="0"/>
            </w:tcBorders>
            <w:noWrap w:val="0"/>
            <w:vAlign w:val="center"/>
          </w:tcPr>
          <w:p w14:paraId="0C0803C9">
            <w:pPr>
              <w:tabs>
                <w:tab w:val="left" w:pos="4648"/>
              </w:tabs>
              <w:spacing w:line="400" w:lineRule="exact"/>
              <w:jc w:val="center"/>
              <w:rPr>
                <w:rFonts w:hint="eastAsia" w:ascii="宋体" w:hAnsi="宋体" w:eastAsia="宋体" w:cs="宋体"/>
                <w:b w:val="0"/>
                <w:bCs w:val="0"/>
                <w:color w:val="auto"/>
                <w:sz w:val="21"/>
                <w:szCs w:val="21"/>
                <w:highlight w:val="none"/>
              </w:rPr>
            </w:pPr>
          </w:p>
        </w:tc>
      </w:tr>
      <w:tr w14:paraId="756A0A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5" w:type="dxa"/>
            <w:tcBorders>
              <w:top w:val="single" w:color="auto" w:sz="4" w:space="0"/>
              <w:left w:val="single" w:color="auto" w:sz="4" w:space="0"/>
              <w:bottom w:val="single" w:color="auto" w:sz="4" w:space="0"/>
            </w:tcBorders>
            <w:noWrap w:val="0"/>
            <w:vAlign w:val="center"/>
          </w:tcPr>
          <w:p w14:paraId="4C40223A">
            <w:pPr>
              <w:spacing w:line="400" w:lineRule="exact"/>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w:t>
            </w:r>
          </w:p>
        </w:tc>
        <w:tc>
          <w:tcPr>
            <w:tcW w:w="2069" w:type="dxa"/>
            <w:tcBorders>
              <w:top w:val="single" w:color="auto" w:sz="4" w:space="0"/>
              <w:bottom w:val="single" w:color="auto" w:sz="4" w:space="0"/>
            </w:tcBorders>
            <w:noWrap w:val="0"/>
            <w:vAlign w:val="center"/>
          </w:tcPr>
          <w:p w14:paraId="427C00CF">
            <w:pPr>
              <w:spacing w:line="400" w:lineRule="exact"/>
              <w:jc w:val="center"/>
              <w:rPr>
                <w:rFonts w:hint="eastAsia" w:ascii="宋体" w:hAnsi="宋体" w:eastAsia="宋体" w:cs="宋体"/>
                <w:b w:val="0"/>
                <w:bCs w:val="0"/>
                <w:color w:val="auto"/>
                <w:sz w:val="21"/>
                <w:szCs w:val="21"/>
                <w:highlight w:val="none"/>
              </w:rPr>
            </w:pPr>
          </w:p>
        </w:tc>
        <w:tc>
          <w:tcPr>
            <w:tcW w:w="1492" w:type="dxa"/>
            <w:tcBorders>
              <w:top w:val="single" w:color="auto" w:sz="4" w:space="0"/>
              <w:bottom w:val="single" w:color="auto" w:sz="4" w:space="0"/>
            </w:tcBorders>
            <w:noWrap w:val="0"/>
            <w:vAlign w:val="center"/>
          </w:tcPr>
          <w:p w14:paraId="6F502E38">
            <w:pPr>
              <w:spacing w:line="400" w:lineRule="exact"/>
              <w:jc w:val="center"/>
              <w:rPr>
                <w:rFonts w:hint="eastAsia" w:ascii="宋体" w:hAnsi="宋体" w:eastAsia="宋体" w:cs="宋体"/>
                <w:b w:val="0"/>
                <w:bCs w:val="0"/>
                <w:color w:val="auto"/>
                <w:sz w:val="21"/>
                <w:szCs w:val="21"/>
                <w:highlight w:val="none"/>
              </w:rPr>
            </w:pPr>
          </w:p>
        </w:tc>
        <w:tc>
          <w:tcPr>
            <w:tcW w:w="1584" w:type="dxa"/>
            <w:tcBorders>
              <w:top w:val="single" w:color="auto" w:sz="4" w:space="0"/>
              <w:bottom w:val="single" w:color="auto" w:sz="4" w:space="0"/>
            </w:tcBorders>
            <w:noWrap w:val="0"/>
            <w:vAlign w:val="center"/>
          </w:tcPr>
          <w:p w14:paraId="4AC6A21B">
            <w:pPr>
              <w:spacing w:line="400" w:lineRule="exact"/>
              <w:jc w:val="center"/>
              <w:rPr>
                <w:rFonts w:hint="eastAsia" w:ascii="宋体" w:hAnsi="宋体" w:eastAsia="宋体" w:cs="宋体"/>
                <w:b w:val="0"/>
                <w:bCs w:val="0"/>
                <w:color w:val="auto"/>
                <w:sz w:val="21"/>
                <w:szCs w:val="21"/>
                <w:highlight w:val="none"/>
              </w:rPr>
            </w:pPr>
          </w:p>
        </w:tc>
        <w:tc>
          <w:tcPr>
            <w:tcW w:w="2854" w:type="dxa"/>
            <w:tcBorders>
              <w:top w:val="single" w:color="auto" w:sz="4" w:space="0"/>
              <w:bottom w:val="single" w:color="auto" w:sz="4" w:space="0"/>
              <w:right w:val="single" w:color="auto" w:sz="4" w:space="0"/>
            </w:tcBorders>
            <w:noWrap w:val="0"/>
            <w:vAlign w:val="center"/>
          </w:tcPr>
          <w:p w14:paraId="78E6CD87">
            <w:pPr>
              <w:tabs>
                <w:tab w:val="left" w:pos="4648"/>
              </w:tabs>
              <w:spacing w:line="400" w:lineRule="exact"/>
              <w:jc w:val="center"/>
              <w:rPr>
                <w:rFonts w:hint="eastAsia" w:ascii="宋体" w:hAnsi="宋体" w:eastAsia="宋体" w:cs="宋体"/>
                <w:b w:val="0"/>
                <w:bCs w:val="0"/>
                <w:color w:val="auto"/>
                <w:sz w:val="21"/>
                <w:szCs w:val="21"/>
                <w:highlight w:val="none"/>
              </w:rPr>
            </w:pPr>
          </w:p>
        </w:tc>
      </w:tr>
      <w:tr w14:paraId="71DFD3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5" w:type="dxa"/>
            <w:tcBorders>
              <w:top w:val="single" w:color="auto" w:sz="4" w:space="0"/>
              <w:left w:val="single" w:color="auto" w:sz="4" w:space="0"/>
              <w:bottom w:val="single" w:color="auto" w:sz="4" w:space="0"/>
            </w:tcBorders>
            <w:noWrap w:val="0"/>
            <w:vAlign w:val="center"/>
          </w:tcPr>
          <w:p w14:paraId="0108FEB6">
            <w:pPr>
              <w:spacing w:line="400" w:lineRule="exact"/>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5</w:t>
            </w:r>
          </w:p>
        </w:tc>
        <w:tc>
          <w:tcPr>
            <w:tcW w:w="2069" w:type="dxa"/>
            <w:tcBorders>
              <w:top w:val="single" w:color="auto" w:sz="4" w:space="0"/>
              <w:bottom w:val="single" w:color="auto" w:sz="4" w:space="0"/>
            </w:tcBorders>
            <w:noWrap w:val="0"/>
            <w:vAlign w:val="center"/>
          </w:tcPr>
          <w:p w14:paraId="63E29090">
            <w:pPr>
              <w:spacing w:line="400" w:lineRule="exact"/>
              <w:jc w:val="center"/>
              <w:rPr>
                <w:rFonts w:hint="eastAsia" w:ascii="宋体" w:hAnsi="宋体" w:eastAsia="宋体" w:cs="宋体"/>
                <w:b w:val="0"/>
                <w:bCs w:val="0"/>
                <w:color w:val="auto"/>
                <w:sz w:val="21"/>
                <w:szCs w:val="21"/>
                <w:highlight w:val="none"/>
              </w:rPr>
            </w:pPr>
          </w:p>
        </w:tc>
        <w:tc>
          <w:tcPr>
            <w:tcW w:w="1492" w:type="dxa"/>
            <w:tcBorders>
              <w:top w:val="single" w:color="auto" w:sz="4" w:space="0"/>
              <w:bottom w:val="single" w:color="auto" w:sz="4" w:space="0"/>
            </w:tcBorders>
            <w:noWrap w:val="0"/>
            <w:vAlign w:val="center"/>
          </w:tcPr>
          <w:p w14:paraId="2723967E">
            <w:pPr>
              <w:spacing w:line="400" w:lineRule="exact"/>
              <w:jc w:val="center"/>
              <w:rPr>
                <w:rFonts w:hint="eastAsia" w:ascii="宋体" w:hAnsi="宋体" w:eastAsia="宋体" w:cs="宋体"/>
                <w:b w:val="0"/>
                <w:bCs w:val="0"/>
                <w:color w:val="auto"/>
                <w:sz w:val="21"/>
                <w:szCs w:val="21"/>
                <w:highlight w:val="none"/>
              </w:rPr>
            </w:pPr>
          </w:p>
        </w:tc>
        <w:tc>
          <w:tcPr>
            <w:tcW w:w="1584" w:type="dxa"/>
            <w:tcBorders>
              <w:top w:val="single" w:color="auto" w:sz="4" w:space="0"/>
              <w:bottom w:val="single" w:color="auto" w:sz="4" w:space="0"/>
            </w:tcBorders>
            <w:noWrap w:val="0"/>
            <w:vAlign w:val="center"/>
          </w:tcPr>
          <w:p w14:paraId="2612DEE6">
            <w:pPr>
              <w:spacing w:line="400" w:lineRule="exact"/>
              <w:jc w:val="center"/>
              <w:rPr>
                <w:rFonts w:hint="eastAsia" w:ascii="宋体" w:hAnsi="宋体" w:eastAsia="宋体" w:cs="宋体"/>
                <w:b w:val="0"/>
                <w:bCs w:val="0"/>
                <w:color w:val="auto"/>
                <w:sz w:val="21"/>
                <w:szCs w:val="21"/>
                <w:highlight w:val="none"/>
              </w:rPr>
            </w:pPr>
          </w:p>
        </w:tc>
        <w:tc>
          <w:tcPr>
            <w:tcW w:w="2854" w:type="dxa"/>
            <w:tcBorders>
              <w:top w:val="single" w:color="auto" w:sz="4" w:space="0"/>
              <w:bottom w:val="single" w:color="auto" w:sz="4" w:space="0"/>
              <w:right w:val="single" w:color="auto" w:sz="4" w:space="0"/>
            </w:tcBorders>
            <w:noWrap w:val="0"/>
            <w:vAlign w:val="center"/>
          </w:tcPr>
          <w:p w14:paraId="6E653794">
            <w:pPr>
              <w:tabs>
                <w:tab w:val="left" w:pos="4648"/>
              </w:tabs>
              <w:spacing w:line="400" w:lineRule="exact"/>
              <w:jc w:val="center"/>
              <w:rPr>
                <w:rFonts w:hint="eastAsia" w:ascii="宋体" w:hAnsi="宋体" w:eastAsia="宋体" w:cs="宋体"/>
                <w:b w:val="0"/>
                <w:bCs w:val="0"/>
                <w:color w:val="auto"/>
                <w:sz w:val="21"/>
                <w:szCs w:val="21"/>
                <w:highlight w:val="none"/>
              </w:rPr>
            </w:pPr>
          </w:p>
        </w:tc>
      </w:tr>
      <w:tr w14:paraId="5A8A37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5" w:type="dxa"/>
            <w:tcBorders>
              <w:top w:val="single" w:color="auto" w:sz="4" w:space="0"/>
              <w:left w:val="single" w:color="auto" w:sz="4" w:space="0"/>
              <w:bottom w:val="single" w:color="auto" w:sz="4" w:space="0"/>
            </w:tcBorders>
            <w:noWrap w:val="0"/>
            <w:vAlign w:val="center"/>
          </w:tcPr>
          <w:p w14:paraId="7BF6949E">
            <w:pPr>
              <w:spacing w:line="400" w:lineRule="exact"/>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6</w:t>
            </w:r>
          </w:p>
        </w:tc>
        <w:tc>
          <w:tcPr>
            <w:tcW w:w="2069" w:type="dxa"/>
            <w:tcBorders>
              <w:top w:val="single" w:color="auto" w:sz="4" w:space="0"/>
              <w:bottom w:val="single" w:color="auto" w:sz="4" w:space="0"/>
            </w:tcBorders>
            <w:noWrap w:val="0"/>
            <w:vAlign w:val="center"/>
          </w:tcPr>
          <w:p w14:paraId="764CFF87">
            <w:pPr>
              <w:spacing w:line="400" w:lineRule="exact"/>
              <w:jc w:val="center"/>
              <w:rPr>
                <w:rFonts w:hint="eastAsia" w:ascii="宋体" w:hAnsi="宋体" w:eastAsia="宋体" w:cs="宋体"/>
                <w:b w:val="0"/>
                <w:bCs w:val="0"/>
                <w:color w:val="auto"/>
                <w:sz w:val="21"/>
                <w:szCs w:val="21"/>
                <w:highlight w:val="none"/>
              </w:rPr>
            </w:pPr>
          </w:p>
        </w:tc>
        <w:tc>
          <w:tcPr>
            <w:tcW w:w="1492" w:type="dxa"/>
            <w:tcBorders>
              <w:top w:val="single" w:color="auto" w:sz="4" w:space="0"/>
              <w:bottom w:val="single" w:color="auto" w:sz="4" w:space="0"/>
            </w:tcBorders>
            <w:noWrap w:val="0"/>
            <w:vAlign w:val="center"/>
          </w:tcPr>
          <w:p w14:paraId="5FE1D02C">
            <w:pPr>
              <w:spacing w:line="400" w:lineRule="exact"/>
              <w:jc w:val="center"/>
              <w:rPr>
                <w:rFonts w:hint="eastAsia" w:ascii="宋体" w:hAnsi="宋体" w:eastAsia="宋体" w:cs="宋体"/>
                <w:b w:val="0"/>
                <w:bCs w:val="0"/>
                <w:color w:val="auto"/>
                <w:sz w:val="21"/>
                <w:szCs w:val="21"/>
                <w:highlight w:val="none"/>
              </w:rPr>
            </w:pPr>
          </w:p>
        </w:tc>
        <w:tc>
          <w:tcPr>
            <w:tcW w:w="1584" w:type="dxa"/>
            <w:tcBorders>
              <w:top w:val="single" w:color="auto" w:sz="4" w:space="0"/>
              <w:bottom w:val="single" w:color="auto" w:sz="4" w:space="0"/>
            </w:tcBorders>
            <w:noWrap w:val="0"/>
            <w:vAlign w:val="center"/>
          </w:tcPr>
          <w:p w14:paraId="3E19D7E8">
            <w:pPr>
              <w:spacing w:line="400" w:lineRule="exact"/>
              <w:jc w:val="center"/>
              <w:rPr>
                <w:rFonts w:hint="eastAsia" w:ascii="宋体" w:hAnsi="宋体" w:eastAsia="宋体" w:cs="宋体"/>
                <w:b w:val="0"/>
                <w:bCs w:val="0"/>
                <w:color w:val="auto"/>
                <w:sz w:val="21"/>
                <w:szCs w:val="21"/>
                <w:highlight w:val="none"/>
              </w:rPr>
            </w:pPr>
          </w:p>
        </w:tc>
        <w:tc>
          <w:tcPr>
            <w:tcW w:w="2854" w:type="dxa"/>
            <w:tcBorders>
              <w:top w:val="single" w:color="auto" w:sz="4" w:space="0"/>
              <w:bottom w:val="single" w:color="auto" w:sz="4" w:space="0"/>
              <w:right w:val="single" w:color="auto" w:sz="4" w:space="0"/>
            </w:tcBorders>
            <w:noWrap w:val="0"/>
            <w:vAlign w:val="center"/>
          </w:tcPr>
          <w:p w14:paraId="4D2C275E">
            <w:pPr>
              <w:tabs>
                <w:tab w:val="left" w:pos="4648"/>
              </w:tabs>
              <w:spacing w:line="400" w:lineRule="exact"/>
              <w:jc w:val="center"/>
              <w:rPr>
                <w:rFonts w:hint="eastAsia" w:ascii="宋体" w:hAnsi="宋体" w:eastAsia="宋体" w:cs="宋体"/>
                <w:b w:val="0"/>
                <w:bCs w:val="0"/>
                <w:color w:val="auto"/>
                <w:sz w:val="21"/>
                <w:szCs w:val="21"/>
                <w:highlight w:val="none"/>
              </w:rPr>
            </w:pPr>
          </w:p>
        </w:tc>
      </w:tr>
      <w:tr w14:paraId="08BA7D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5" w:type="dxa"/>
            <w:tcBorders>
              <w:top w:val="single" w:color="auto" w:sz="4" w:space="0"/>
              <w:left w:val="single" w:color="auto" w:sz="4" w:space="0"/>
              <w:bottom w:val="single" w:color="auto" w:sz="4" w:space="0"/>
            </w:tcBorders>
            <w:noWrap w:val="0"/>
            <w:vAlign w:val="center"/>
          </w:tcPr>
          <w:p w14:paraId="6F0CAA03">
            <w:pPr>
              <w:spacing w:line="400" w:lineRule="exact"/>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w:t>
            </w:r>
          </w:p>
        </w:tc>
        <w:tc>
          <w:tcPr>
            <w:tcW w:w="2069" w:type="dxa"/>
            <w:tcBorders>
              <w:top w:val="single" w:color="auto" w:sz="4" w:space="0"/>
              <w:bottom w:val="single" w:color="auto" w:sz="4" w:space="0"/>
            </w:tcBorders>
            <w:noWrap w:val="0"/>
            <w:vAlign w:val="center"/>
          </w:tcPr>
          <w:p w14:paraId="7179FDAB">
            <w:pPr>
              <w:spacing w:line="400" w:lineRule="exact"/>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w:t>
            </w:r>
          </w:p>
        </w:tc>
        <w:tc>
          <w:tcPr>
            <w:tcW w:w="1492" w:type="dxa"/>
            <w:tcBorders>
              <w:top w:val="single" w:color="auto" w:sz="4" w:space="0"/>
              <w:bottom w:val="single" w:color="auto" w:sz="4" w:space="0"/>
            </w:tcBorders>
            <w:noWrap w:val="0"/>
            <w:vAlign w:val="center"/>
          </w:tcPr>
          <w:p w14:paraId="088A9B46">
            <w:pPr>
              <w:spacing w:line="400" w:lineRule="exact"/>
              <w:jc w:val="center"/>
              <w:rPr>
                <w:rFonts w:hint="eastAsia" w:ascii="宋体" w:hAnsi="宋体" w:eastAsia="宋体" w:cs="宋体"/>
                <w:b w:val="0"/>
                <w:bCs w:val="0"/>
                <w:color w:val="auto"/>
                <w:sz w:val="21"/>
                <w:szCs w:val="21"/>
                <w:highlight w:val="none"/>
              </w:rPr>
            </w:pPr>
          </w:p>
        </w:tc>
        <w:tc>
          <w:tcPr>
            <w:tcW w:w="1584" w:type="dxa"/>
            <w:tcBorders>
              <w:top w:val="single" w:color="auto" w:sz="4" w:space="0"/>
              <w:bottom w:val="single" w:color="auto" w:sz="4" w:space="0"/>
            </w:tcBorders>
            <w:noWrap w:val="0"/>
            <w:vAlign w:val="center"/>
          </w:tcPr>
          <w:p w14:paraId="33C40651">
            <w:pPr>
              <w:spacing w:line="400" w:lineRule="exact"/>
              <w:jc w:val="center"/>
              <w:rPr>
                <w:rFonts w:hint="eastAsia" w:ascii="宋体" w:hAnsi="宋体" w:eastAsia="宋体" w:cs="宋体"/>
                <w:b w:val="0"/>
                <w:bCs w:val="0"/>
                <w:color w:val="auto"/>
                <w:sz w:val="21"/>
                <w:szCs w:val="21"/>
                <w:highlight w:val="none"/>
              </w:rPr>
            </w:pPr>
          </w:p>
        </w:tc>
        <w:tc>
          <w:tcPr>
            <w:tcW w:w="2854" w:type="dxa"/>
            <w:tcBorders>
              <w:top w:val="single" w:color="auto" w:sz="4" w:space="0"/>
              <w:bottom w:val="single" w:color="auto" w:sz="4" w:space="0"/>
              <w:right w:val="single" w:color="auto" w:sz="4" w:space="0"/>
            </w:tcBorders>
            <w:noWrap w:val="0"/>
            <w:vAlign w:val="center"/>
          </w:tcPr>
          <w:p w14:paraId="3F4F528B">
            <w:pPr>
              <w:tabs>
                <w:tab w:val="left" w:pos="4648"/>
              </w:tabs>
              <w:spacing w:line="400" w:lineRule="exact"/>
              <w:jc w:val="center"/>
              <w:rPr>
                <w:rFonts w:hint="eastAsia" w:ascii="宋体" w:hAnsi="宋体" w:eastAsia="宋体" w:cs="宋体"/>
                <w:b w:val="0"/>
                <w:bCs w:val="0"/>
                <w:color w:val="auto"/>
                <w:sz w:val="21"/>
                <w:szCs w:val="21"/>
                <w:highlight w:val="none"/>
              </w:rPr>
            </w:pPr>
          </w:p>
        </w:tc>
      </w:tr>
      <w:tr w14:paraId="430F68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40" w:type="dxa"/>
            <w:gridSpan w:val="4"/>
            <w:tcBorders>
              <w:top w:val="single" w:color="auto" w:sz="4" w:space="0"/>
              <w:left w:val="single" w:color="auto" w:sz="4" w:space="0"/>
              <w:bottom w:val="single" w:color="auto" w:sz="4" w:space="0"/>
            </w:tcBorders>
            <w:noWrap w:val="0"/>
            <w:vAlign w:val="center"/>
          </w:tcPr>
          <w:p w14:paraId="3D9DD2EE">
            <w:pPr>
              <w:spacing w:line="400" w:lineRule="exact"/>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rPr>
              <w:t>合计</w:t>
            </w:r>
          </w:p>
        </w:tc>
        <w:tc>
          <w:tcPr>
            <w:tcW w:w="2854" w:type="dxa"/>
            <w:tcBorders>
              <w:top w:val="single" w:color="auto" w:sz="4" w:space="0"/>
              <w:bottom w:val="single" w:color="auto" w:sz="4" w:space="0"/>
              <w:right w:val="single" w:color="auto" w:sz="4" w:space="0"/>
            </w:tcBorders>
            <w:noWrap w:val="0"/>
            <w:vAlign w:val="center"/>
          </w:tcPr>
          <w:p w14:paraId="2E8E85FF">
            <w:pPr>
              <w:tabs>
                <w:tab w:val="left" w:pos="4648"/>
              </w:tabs>
              <w:spacing w:line="400" w:lineRule="exact"/>
              <w:jc w:val="center"/>
              <w:rPr>
                <w:rFonts w:hint="eastAsia" w:ascii="宋体" w:hAnsi="宋体" w:eastAsia="宋体" w:cs="宋体"/>
                <w:b w:val="0"/>
                <w:bCs w:val="0"/>
                <w:color w:val="auto"/>
                <w:sz w:val="21"/>
                <w:szCs w:val="21"/>
                <w:highlight w:val="none"/>
              </w:rPr>
            </w:pPr>
          </w:p>
        </w:tc>
      </w:tr>
      <w:tr w14:paraId="7DF499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40" w:type="dxa"/>
            <w:gridSpan w:val="4"/>
            <w:tcBorders>
              <w:top w:val="single" w:color="auto" w:sz="4" w:space="0"/>
              <w:left w:val="single" w:color="auto" w:sz="4" w:space="0"/>
              <w:bottom w:val="single" w:color="auto" w:sz="4" w:space="0"/>
              <w:right w:val="single" w:color="auto" w:sz="4" w:space="0"/>
            </w:tcBorders>
            <w:noWrap w:val="0"/>
            <w:vAlign w:val="center"/>
          </w:tcPr>
          <w:p w14:paraId="45CD16E7">
            <w:pPr>
              <w:spacing w:line="400" w:lineRule="exact"/>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报价（小写）</w:t>
            </w:r>
          </w:p>
        </w:tc>
        <w:tc>
          <w:tcPr>
            <w:tcW w:w="2854" w:type="dxa"/>
            <w:tcBorders>
              <w:top w:val="single" w:color="auto" w:sz="4" w:space="0"/>
              <w:left w:val="single" w:color="auto" w:sz="4" w:space="0"/>
              <w:bottom w:val="single" w:color="auto" w:sz="4" w:space="0"/>
              <w:right w:val="single" w:color="auto" w:sz="4" w:space="0"/>
            </w:tcBorders>
            <w:noWrap w:val="0"/>
            <w:vAlign w:val="center"/>
          </w:tcPr>
          <w:p w14:paraId="71BC7614">
            <w:pPr>
              <w:spacing w:line="400" w:lineRule="exact"/>
              <w:ind w:left="184"/>
              <w:jc w:val="center"/>
              <w:rPr>
                <w:rFonts w:hint="eastAsia" w:ascii="宋体" w:hAnsi="宋体" w:eastAsia="宋体" w:cs="宋体"/>
                <w:b w:val="0"/>
                <w:bCs w:val="0"/>
                <w:color w:val="auto"/>
                <w:sz w:val="21"/>
                <w:szCs w:val="21"/>
                <w:highlight w:val="none"/>
              </w:rPr>
            </w:pPr>
          </w:p>
        </w:tc>
      </w:tr>
      <w:tr w14:paraId="4B1091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40" w:type="dxa"/>
            <w:gridSpan w:val="4"/>
            <w:tcBorders>
              <w:top w:val="single" w:color="auto" w:sz="4" w:space="0"/>
              <w:left w:val="single" w:color="auto" w:sz="4" w:space="0"/>
              <w:bottom w:val="single" w:color="auto" w:sz="4" w:space="0"/>
              <w:right w:val="single" w:color="auto" w:sz="4" w:space="0"/>
            </w:tcBorders>
            <w:noWrap w:val="0"/>
            <w:vAlign w:val="center"/>
          </w:tcPr>
          <w:p w14:paraId="6C9BBA95">
            <w:pPr>
              <w:spacing w:line="400" w:lineRule="exact"/>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报价（大写）</w:t>
            </w:r>
          </w:p>
        </w:tc>
        <w:tc>
          <w:tcPr>
            <w:tcW w:w="2854" w:type="dxa"/>
            <w:tcBorders>
              <w:top w:val="single" w:color="auto" w:sz="4" w:space="0"/>
              <w:left w:val="single" w:color="auto" w:sz="4" w:space="0"/>
              <w:bottom w:val="single" w:color="auto" w:sz="4" w:space="0"/>
              <w:right w:val="single" w:color="auto" w:sz="4" w:space="0"/>
            </w:tcBorders>
            <w:noWrap w:val="0"/>
            <w:vAlign w:val="center"/>
          </w:tcPr>
          <w:p w14:paraId="6023C34F">
            <w:pPr>
              <w:spacing w:line="400" w:lineRule="exact"/>
              <w:ind w:left="267"/>
              <w:jc w:val="center"/>
              <w:rPr>
                <w:rFonts w:hint="eastAsia" w:ascii="宋体" w:hAnsi="宋体" w:eastAsia="宋体" w:cs="宋体"/>
                <w:b w:val="0"/>
                <w:bCs w:val="0"/>
                <w:color w:val="auto"/>
                <w:sz w:val="21"/>
                <w:szCs w:val="21"/>
                <w:highlight w:val="none"/>
              </w:rPr>
            </w:pPr>
          </w:p>
        </w:tc>
      </w:tr>
    </w:tbl>
    <w:p w14:paraId="22442A38">
      <w:pPr>
        <w:rPr>
          <w:rFonts w:hint="eastAsia" w:ascii="宋体" w:hAnsi="宋体" w:eastAsia="宋体" w:cs="宋体"/>
          <w:b w:val="0"/>
          <w:bCs w:val="0"/>
          <w:color w:val="auto"/>
          <w:sz w:val="21"/>
          <w:szCs w:val="21"/>
          <w:highlight w:val="none"/>
        </w:rPr>
      </w:pPr>
    </w:p>
    <w:p w14:paraId="4F2DFB16">
      <w:pPr>
        <w:pStyle w:val="10"/>
        <w:jc w:val="left"/>
        <w:rPr>
          <w:rFonts w:hint="eastAsia" w:ascii="宋体" w:hAnsi="宋体" w:eastAsia="宋体" w:cs="宋体"/>
          <w:color w:val="auto"/>
          <w:sz w:val="21"/>
          <w:szCs w:val="21"/>
          <w:highlight w:val="none"/>
          <w:lang w:eastAsia="zh-CN"/>
        </w:rPr>
      </w:pPr>
      <w:r>
        <w:rPr>
          <w:rFonts w:hint="eastAsia"/>
          <w:color w:val="auto"/>
          <w:sz w:val="21"/>
          <w:szCs w:val="21"/>
          <w:highlight w:val="none"/>
          <w:lang w:val="en-US" w:eastAsia="zh-CN"/>
        </w:rPr>
        <w:t>备注：</w:t>
      </w:r>
      <w:r>
        <w:rPr>
          <w:rFonts w:hint="eastAsia"/>
          <w:color w:val="auto"/>
          <w:sz w:val="21"/>
          <w:szCs w:val="21"/>
          <w:highlight w:val="none"/>
        </w:rPr>
        <w:t>报价明细表格格式可由中标人要求自行设计</w:t>
      </w:r>
      <w:r>
        <w:rPr>
          <w:rFonts w:hint="eastAsia"/>
          <w:color w:val="auto"/>
          <w:sz w:val="21"/>
          <w:szCs w:val="21"/>
          <w:highlight w:val="none"/>
          <w:lang w:eastAsia="zh-CN"/>
        </w:rPr>
        <w:t>，</w:t>
      </w:r>
      <w:r>
        <w:rPr>
          <w:rFonts w:hint="eastAsia" w:ascii="宋体" w:hAnsi="宋体" w:eastAsia="宋体" w:cs="宋体"/>
          <w:color w:val="auto"/>
          <w:kern w:val="0"/>
          <w:sz w:val="21"/>
          <w:szCs w:val="21"/>
          <w:highlight w:val="none"/>
          <w:lang w:bidi="ar"/>
        </w:rPr>
        <w:t>上述表格分项内容仅作参考，</w:t>
      </w:r>
      <w:r>
        <w:rPr>
          <w:rFonts w:hint="eastAsia" w:ascii="宋体" w:hAnsi="宋体" w:eastAsia="宋体" w:cs="宋体"/>
          <w:color w:val="auto"/>
          <w:kern w:val="0"/>
          <w:sz w:val="21"/>
          <w:szCs w:val="21"/>
          <w:highlight w:val="none"/>
          <w:lang w:eastAsia="zh-CN" w:bidi="ar"/>
        </w:rPr>
        <w:t>中标人</w:t>
      </w:r>
      <w:r>
        <w:rPr>
          <w:rFonts w:hint="eastAsia" w:ascii="宋体" w:hAnsi="宋体" w:eastAsia="宋体" w:cs="宋体"/>
          <w:color w:val="auto"/>
          <w:kern w:val="0"/>
          <w:sz w:val="21"/>
          <w:szCs w:val="21"/>
          <w:highlight w:val="none"/>
          <w:lang w:bidi="ar"/>
        </w:rPr>
        <w:t>须根据自身对本项目工作内容的理解对分项内容进行重新分解并报价；本项目根据</w:t>
      </w:r>
      <w:r>
        <w:rPr>
          <w:rFonts w:hint="eastAsia" w:ascii="宋体" w:hAnsi="宋体" w:eastAsia="宋体" w:cs="宋体"/>
          <w:color w:val="auto"/>
          <w:kern w:val="0"/>
          <w:sz w:val="21"/>
          <w:szCs w:val="21"/>
          <w:highlight w:val="none"/>
          <w:lang w:eastAsia="zh-CN" w:bidi="ar"/>
        </w:rPr>
        <w:t>中标人</w:t>
      </w:r>
      <w:r>
        <w:rPr>
          <w:rFonts w:hint="eastAsia" w:ascii="宋体" w:hAnsi="宋体" w:eastAsia="宋体" w:cs="宋体"/>
          <w:color w:val="auto"/>
          <w:kern w:val="0"/>
          <w:sz w:val="21"/>
          <w:szCs w:val="21"/>
          <w:highlight w:val="none"/>
          <w:lang w:bidi="ar"/>
        </w:rPr>
        <w:t>所报单价按实结算。</w:t>
      </w:r>
      <w:r>
        <w:rPr>
          <w:rFonts w:hint="eastAsia" w:ascii="宋体" w:hAnsi="宋体" w:eastAsia="宋体" w:cs="宋体"/>
          <w:color w:val="auto"/>
          <w:sz w:val="21"/>
          <w:szCs w:val="21"/>
          <w:highlight w:val="none"/>
        </w:rPr>
        <w:t xml:space="preserve">  </w:t>
      </w:r>
    </w:p>
    <w:p w14:paraId="322E5886">
      <w:pPr>
        <w:pStyle w:val="11"/>
        <w:ind w:left="0" w:leftChars="0" w:firstLine="0" w:firstLineChars="0"/>
        <w:rPr>
          <w:rFonts w:hint="eastAsia" w:ascii="宋体" w:hAnsi="宋体" w:eastAsia="宋体" w:cs="宋体"/>
          <w:b w:val="0"/>
          <w:bCs w:val="0"/>
          <w:color w:val="auto"/>
          <w:sz w:val="21"/>
          <w:szCs w:val="21"/>
          <w:highlight w:val="none"/>
        </w:rPr>
      </w:pPr>
    </w:p>
    <w:p w14:paraId="0F3D747E">
      <w:pPr>
        <w:spacing w:line="360" w:lineRule="auto"/>
        <w:ind w:firstLine="3990" w:firstLineChars="19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供应商名称（加盖公章）：</w:t>
      </w:r>
    </w:p>
    <w:p w14:paraId="6A1402D9">
      <w:pPr>
        <w:spacing w:line="360" w:lineRule="auto"/>
        <w:ind w:firstLine="3990" w:firstLineChars="1900"/>
        <w:rPr>
          <w:b/>
          <w:color w:val="auto"/>
          <w:szCs w:val="21"/>
          <w:highlight w:val="none"/>
        </w:rPr>
      </w:pPr>
      <w:r>
        <w:rPr>
          <w:rFonts w:hint="eastAsia" w:ascii="宋体" w:hAnsi="宋体" w:eastAsia="宋体" w:cs="宋体"/>
          <w:color w:val="auto"/>
          <w:sz w:val="21"/>
          <w:szCs w:val="21"/>
          <w:highlight w:val="none"/>
        </w:rPr>
        <w:t>日    期：</w:t>
      </w:r>
    </w:p>
    <w:p w14:paraId="010C53CB">
      <w:pPr>
        <w:rPr>
          <w:rFonts w:hint="eastAsia" w:ascii="宋体" w:hAnsi="宋体" w:eastAsia="宋体" w:cs="宋体"/>
          <w:b w:val="0"/>
          <w:bCs w:val="0"/>
          <w:color w:val="auto"/>
          <w:sz w:val="21"/>
          <w:szCs w:val="21"/>
          <w:highlight w:val="none"/>
        </w:rPr>
      </w:pPr>
    </w:p>
    <w:sectPr>
      <w:headerReference r:id="rId19" w:type="default"/>
      <w:footerReference r:id="rId20" w:type="default"/>
      <w:footnotePr>
        <w:numFmt w:val="decimalEnclosedCircleChinese"/>
      </w:footnotePr>
      <w:pgSz w:w="11906" w:h="16838"/>
      <w:pgMar w:top="1701" w:right="1134" w:bottom="1304" w:left="1134" w:header="964" w:footer="567" w:gutter="567"/>
      <w:pgBorders>
        <w:top w:val="none" w:sz="0" w:space="0"/>
        <w:left w:val="none" w:sz="0" w:space="0"/>
        <w:bottom w:val="none" w:sz="0" w:space="0"/>
        <w:right w:val="none" w:sz="0" w:space="0"/>
      </w:pgBorders>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华文楷体">
    <w:altName w:val="宋体"/>
    <w:panose1 w:val="02010600040101010101"/>
    <w:charset w:val="86"/>
    <w:family w:val="auto"/>
    <w:pitch w:val="default"/>
    <w:sig w:usb0="00000000" w:usb1="00000000" w:usb2="00000000" w:usb3="00000000" w:csb0="0004009F" w:csb1="DFD70000"/>
  </w:font>
  <w:font w:name="方正隶变简体">
    <w:altName w:val="黑体"/>
    <w:panose1 w:val="03000509000000000000"/>
    <w:charset w:val="86"/>
    <w:family w:val="script"/>
    <w:pitch w:val="default"/>
    <w:sig w:usb0="00000000" w:usb1="00000000" w:usb2="00000010" w:usb3="00000000" w:csb0="00040000" w:csb1="00000000"/>
  </w:font>
  <w:font w:name="方正书宋简体">
    <w:altName w:val="宋体"/>
    <w:panose1 w:val="02000000000000000000"/>
    <w:charset w:val="00"/>
    <w:family w:val="auto"/>
    <w:pitch w:val="default"/>
    <w:sig w:usb0="00000000" w:usb1="00000000"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8142A">
    <w:pPr>
      <w:pStyle w:val="17"/>
      <w:ind w:right="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B2943">
    <w:pPr>
      <w:pStyle w:val="17"/>
      <w:ind w:right="360" w:firstLine="360"/>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A1C452">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6A1C452">
                    <w:pPr>
                      <w:pStyle w:val="17"/>
                    </w:pPr>
                    <w:r>
                      <w:fldChar w:fldCharType="begin"/>
                    </w:r>
                    <w:r>
                      <w:instrText xml:space="preserve"> PAGE  \* MERGEFORMAT </w:instrText>
                    </w:r>
                    <w:r>
                      <w:fldChar w:fldCharType="separate"/>
                    </w:r>
                    <w:r>
                      <w:t>1</w:t>
                    </w:r>
                    <w:r>
                      <w:fldChar w:fldCharType="end"/>
                    </w:r>
                  </w:p>
                </w:txbxContent>
              </v:textbox>
            </v:shape>
          </w:pict>
        </mc:Fallback>
      </mc:AlternateContent>
    </w:r>
  </w:p>
  <w:p w14:paraId="6D199737">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32061">
    <w:pPr>
      <w:pStyle w:val="17"/>
      <w:tabs>
        <w:tab w:val="center" w:pos="4428"/>
        <w:tab w:val="clear" w:pos="4153"/>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54504E">
                          <w:pPr>
                            <w:pStyle w:val="17"/>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54504E">
                    <w:pPr>
                      <w:pStyle w:val="17"/>
                    </w:pPr>
                    <w:r>
                      <w:fldChar w:fldCharType="begin"/>
                    </w:r>
                    <w:r>
                      <w:instrText xml:space="preserve"> PAGE  \* MERGEFORMAT </w:instrText>
                    </w:r>
                    <w:r>
                      <w:fldChar w:fldCharType="separate"/>
                    </w:r>
                    <w:r>
                      <w:t>32</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0</wp:posOffset>
              </wp:positionV>
              <wp:extent cx="114935" cy="284480"/>
              <wp:effectExtent l="0" t="0" r="0" b="0"/>
              <wp:wrapNone/>
              <wp:docPr id="23"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114935" cy="284480"/>
                      </a:xfrm>
                      <a:prstGeom prst="rect">
                        <a:avLst/>
                      </a:prstGeom>
                      <a:noFill/>
                      <a:ln>
                        <a:noFill/>
                      </a:ln>
                    </wps:spPr>
                    <wps:txbx>
                      <w:txbxContent>
                        <w:p w14:paraId="638101F1">
                          <w:pPr>
                            <w:pStyle w:val="17"/>
                          </w:pPr>
                        </w:p>
                        <w:p w14:paraId="2D654B4F"/>
                      </w:txbxContent>
                    </wps:txbx>
                    <wps:bodyPr rot="0" vert="horz" wrap="none" lIns="0" tIns="0" rIns="0" bIns="0" anchor="t" anchorCtr="0" upright="1">
                      <a:spAutoFit/>
                    </wps:bodyPr>
                  </wps:wsp>
                </a:graphicData>
              </a:graphic>
            </wp:anchor>
          </w:drawing>
        </mc:Choice>
        <mc:Fallback>
          <w:pict>
            <v:shape id="文本框 12" o:spid="_x0000_s1026" o:spt="202" type="#_x0000_t202" style="position:absolute;left:0pt;margin-top:0pt;height:22.4pt;width:9.05pt;mso-position-horizontal:left;mso-position-horizontal-relative:margin;mso-wrap-style:none;z-index:251659264;mso-width-relative:page;mso-height-relative:page;" filled="f" stroked="f" coordsize="21600,21600" o:gfxdata="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p0xstAAAAADAQAADwAAAAAAAAABACAAAAAiAAAAZHJz&#10;L2Rvd25yZXYueG1sUEsBAhQAFAAAAAgAh07iQHFflFIMAgAABAQAAA4AAAAAAAAAAQAgAAAAHwEA&#10;AGRycy9lMm9Eb2MueG1sUEsFBgAAAAAGAAYAWQEAAJ0FAAAAAA==&#10;">
              <v:fill on="f" focussize="0,0"/>
              <v:stroke on="f"/>
              <v:imagedata o:title=""/>
              <o:lock v:ext="edit" aspectratio="f"/>
              <v:textbox inset="0mm,0mm,0mm,0mm" style="mso-fit-shape-to-text:t;">
                <w:txbxContent>
                  <w:p w14:paraId="638101F1">
                    <w:pPr>
                      <w:pStyle w:val="17"/>
                    </w:pPr>
                  </w:p>
                  <w:p w14:paraId="2D654B4F"/>
                </w:txbxContent>
              </v:textbox>
            </v:shape>
          </w:pict>
        </mc:Fallback>
      </mc:AlternateContent>
    </w:r>
    <w:r>
      <w:rPr>
        <w:rFonts w:hint="eastAsi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B4AA8">
    <w:pPr>
      <w:pStyle w:val="17"/>
      <w:tabs>
        <w:tab w:val="clear" w:pos="8306"/>
      </w:tabs>
      <w:ind w:firstLine="90" w:firstLineChars="50"/>
    </w:pPr>
    <w:r>
      <w:ptab w:relativeTo="margin" w:alignment="center" w:leader="none"/>
    </w:r>
    <w:r>
      <w:ptab w:relativeTo="margin" w:alignment="right" w:leader="none"/>
    </w:r>
    <w:r>
      <w:fldChar w:fldCharType="begin"/>
    </w:r>
    <w:r>
      <w:instrText xml:space="preserve"> PAGE   \* MERGEFORMAT </w:instrText>
    </w:r>
    <w:r>
      <w:fldChar w:fldCharType="separate"/>
    </w:r>
    <w:r>
      <w:rPr>
        <w:lang w:val="zh-CN"/>
      </w:rPr>
      <w:t>16</w:t>
    </w:r>
    <w:r>
      <w:rPr>
        <w:lang w:val="zh-C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2BFD2">
    <w:pPr>
      <w:pStyle w:val="17"/>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B39D4">
    <w:pPr>
      <w:pStyle w:val="17"/>
      <w:ind w:right="360" w:firstLine="360"/>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4BC040">
                          <w:pPr>
                            <w:pStyle w:val="17"/>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64BC040">
                    <w:pPr>
                      <w:pStyle w:val="17"/>
                    </w:pPr>
                    <w:r>
                      <w:fldChar w:fldCharType="begin"/>
                    </w:r>
                    <w:r>
                      <w:instrText xml:space="preserve"> PAGE  \* MERGEFORMAT </w:instrText>
                    </w:r>
                    <w:r>
                      <w:fldChar w:fldCharType="separate"/>
                    </w:r>
                    <w:r>
                      <w:t>37</w:t>
                    </w:r>
                    <w:r>
                      <w:fldChar w:fldCharType="end"/>
                    </w:r>
                  </w:p>
                </w:txbxContent>
              </v:textbox>
            </v:shape>
          </w:pict>
        </mc:Fallback>
      </mc:AlternateContent>
    </w:r>
  </w:p>
  <w:p w14:paraId="150E79EB">
    <w:pPr>
      <w:pStyle w:val="17"/>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276A9">
    <w:pPr>
      <w:widowControl w:val="0"/>
      <w:snapToGrid w:val="0"/>
      <w:jc w:val="center"/>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57E7525">
                          <w:pPr>
                            <w:widowControl w:val="0"/>
                            <w:snapToGrid w:val="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 PAGE  \* MERGEFORMAT </w:instrText>
                          </w:r>
                          <w:r>
                            <w:rPr>
                              <w:rFonts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en-US" w:eastAsia="zh-CN" w:bidi="ar-SA"/>
                            </w:rPr>
                            <w:t>46</w:t>
                          </w:r>
                          <w:r>
                            <w:rPr>
                              <w:rFonts w:ascii="Times New Roman" w:hAnsi="Times New Roman" w:eastAsia="宋体" w:cs="Times New Roman"/>
                              <w:kern w:val="2"/>
                              <w:sz w:val="18"/>
                              <w:szCs w:val="18"/>
                              <w:lang w:val="en-US" w:eastAsia="zh-CN" w:bidi="ar-S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UOwzD8cBAACdAwAADgAAAAAAAAABACAAAAAeAQAAZHJzL2Uyb0RvYy54&#10;bWxQSwUGAAAAAAYABgBZAQAAVwUAAAAA&#10;">
              <v:fill on="f" focussize="0,0"/>
              <v:stroke on="f"/>
              <v:imagedata o:title=""/>
              <o:lock v:ext="edit" aspectratio="f"/>
              <v:textbox inset="0mm,0mm,0mm,0mm" style="mso-fit-shape-to-text:t;">
                <w:txbxContent>
                  <w:p w14:paraId="757E7525">
                    <w:pPr>
                      <w:widowControl w:val="0"/>
                      <w:snapToGrid w:val="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 PAGE  \* MERGEFORMAT </w:instrText>
                    </w:r>
                    <w:r>
                      <w:rPr>
                        <w:rFonts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en-US" w:eastAsia="zh-CN" w:bidi="ar-SA"/>
                      </w:rPr>
                      <w:t>46</w:t>
                    </w:r>
                    <w:r>
                      <w:rPr>
                        <w:rFonts w:ascii="Times New Roman" w:hAnsi="Times New Roman" w:eastAsia="宋体" w:cs="Times New Roman"/>
                        <w:kern w:val="2"/>
                        <w:sz w:val="18"/>
                        <w:szCs w:val="18"/>
                        <w:lang w:val="en-US" w:eastAsia="zh-CN" w:bidi="ar-SA"/>
                      </w:rPr>
                      <w:fldChar w:fldCharType="end"/>
                    </w:r>
                  </w:p>
                </w:txbxContent>
              </v:textbox>
            </v:shape>
          </w:pict>
        </mc:Fallback>
      </mc:AlternateContent>
    </w: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6039BE2">
                          <w:pPr>
                            <w:widowControl w:val="0"/>
                            <w:snapToGrid w:val="0"/>
                            <w:jc w:val="center"/>
                            <w:rPr>
                              <w:rFonts w:ascii="Times New Roman" w:hAnsi="Times New Roman" w:eastAsia="宋体" w:cs="Times New Roman"/>
                              <w:kern w:val="2"/>
                              <w:sz w:val="18"/>
                              <w:szCs w:val="18"/>
                              <w:lang w:val="en-US" w:eastAsia="zh-CN" w:bidi="ar-SA"/>
                            </w:rPr>
                          </w:pPr>
                        </w:p>
                        <w:p w14:paraId="0C4854A3">
                          <w:pPr>
                            <w:adjustRightInd/>
                            <w:spacing w:line="240" w:lineRule="auto"/>
                            <w:textAlignment w:val="auto"/>
                            <w:rPr>
                              <w:rFonts w:ascii="Times New Roman" w:hAnsi="Times New Roman" w:eastAsia="宋体" w:cs="Times New Roman"/>
                              <w:kern w:val="2"/>
                              <w:sz w:val="21"/>
                              <w:szCs w:val="20"/>
                            </w:rPr>
                          </w:pP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ljtWvccBAACdAwAADgAAAAAAAAABACAAAAAeAQAAZHJzL2Uyb0RvYy54&#10;bWxQSwUGAAAAAAYABgBZAQAAVwUAAAAA&#10;">
              <v:fill on="f" focussize="0,0"/>
              <v:stroke on="f"/>
              <v:imagedata o:title=""/>
              <o:lock v:ext="edit" aspectratio="f"/>
              <v:textbox inset="0mm,0mm,0mm,0mm" style="mso-fit-shape-to-text:t;">
                <w:txbxContent>
                  <w:p w14:paraId="66039BE2">
                    <w:pPr>
                      <w:widowControl w:val="0"/>
                      <w:snapToGrid w:val="0"/>
                      <w:jc w:val="center"/>
                      <w:rPr>
                        <w:rFonts w:ascii="Times New Roman" w:hAnsi="Times New Roman" w:eastAsia="宋体" w:cs="Times New Roman"/>
                        <w:kern w:val="2"/>
                        <w:sz w:val="18"/>
                        <w:szCs w:val="18"/>
                        <w:lang w:val="en-US" w:eastAsia="zh-CN" w:bidi="ar-SA"/>
                      </w:rPr>
                    </w:pPr>
                  </w:p>
                  <w:p w14:paraId="0C4854A3">
                    <w:pPr>
                      <w:adjustRightInd/>
                      <w:spacing w:line="240" w:lineRule="auto"/>
                      <w:textAlignment w:val="auto"/>
                      <w:rPr>
                        <w:rFonts w:ascii="Times New Roman" w:hAnsi="Times New Roman" w:eastAsia="宋体" w:cs="Times New Roman"/>
                        <w:kern w:val="2"/>
                        <w:sz w:val="21"/>
                        <w:szCs w:val="20"/>
                      </w:rPr>
                    </w:pPr>
                  </w:p>
                </w:txbxContent>
              </v:textbox>
            </v:shape>
          </w:pict>
        </mc:Fallback>
      </mc:AlternateContent>
    </w:r>
  </w:p>
  <w:p w14:paraId="21E2F1CA">
    <w:pPr>
      <w:widowControl w:val="0"/>
      <w:snapToGrid w:val="0"/>
      <w:jc w:val="left"/>
      <w:rPr>
        <w:rFonts w:ascii="Times New Roman" w:hAnsi="Times New Roman" w:eastAsia="宋体" w:cs="Times New Roman"/>
        <w:kern w:val="2"/>
        <w:sz w:val="18"/>
        <w:szCs w:val="18"/>
        <w:lang w:val="en-US" w:eastAsia="zh-CN" w:bidi="ar-S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28BF0">
    <w:pPr>
      <w:widowControl w:val="0"/>
      <w:snapToGrid w:val="0"/>
      <w:jc w:val="center"/>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E60B5EA">
                          <w:pPr>
                            <w:widowControl w:val="0"/>
                            <w:snapToGrid w:val="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 PAGE  \* MERGEFORMAT </w:instrText>
                          </w:r>
                          <w:r>
                            <w:rPr>
                              <w:rFonts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en-US" w:eastAsia="zh-CN" w:bidi="ar-SA"/>
                            </w:rPr>
                            <w:t>46</w:t>
                          </w:r>
                          <w:r>
                            <w:rPr>
                              <w:rFonts w:ascii="Times New Roman" w:hAnsi="Times New Roman" w:eastAsia="宋体" w:cs="Times New Roman"/>
                              <w:kern w:val="2"/>
                              <w:sz w:val="18"/>
                              <w:szCs w:val="18"/>
                              <w:lang w:val="en-US" w:eastAsia="zh-CN" w:bidi="ar-S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CdRYmwxgEAAJ0DAAAOAAAAAAAAAAEAIAAAAB4BAABkcnMvZTJvRG9jLnht&#10;bFBLBQYAAAAABgAGAFkBAABWBQAAAAA=&#10;">
              <v:fill on="f" focussize="0,0"/>
              <v:stroke on="f"/>
              <v:imagedata o:title=""/>
              <o:lock v:ext="edit" aspectratio="f"/>
              <v:textbox inset="0mm,0mm,0mm,0mm" style="mso-fit-shape-to-text:t;">
                <w:txbxContent>
                  <w:p w14:paraId="6E60B5EA">
                    <w:pPr>
                      <w:widowControl w:val="0"/>
                      <w:snapToGrid w:val="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 PAGE  \* MERGEFORMAT </w:instrText>
                    </w:r>
                    <w:r>
                      <w:rPr>
                        <w:rFonts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en-US" w:eastAsia="zh-CN" w:bidi="ar-SA"/>
                      </w:rPr>
                      <w:t>46</w:t>
                    </w:r>
                    <w:r>
                      <w:rPr>
                        <w:rFonts w:ascii="Times New Roman" w:hAnsi="Times New Roman" w:eastAsia="宋体" w:cs="Times New Roman"/>
                        <w:kern w:val="2"/>
                        <w:sz w:val="18"/>
                        <w:szCs w:val="18"/>
                        <w:lang w:val="en-US" w:eastAsia="zh-CN" w:bidi="ar-SA"/>
                      </w:rPr>
                      <w:fldChar w:fldCharType="end"/>
                    </w:r>
                  </w:p>
                </w:txbxContent>
              </v:textbox>
            </v:shape>
          </w:pict>
        </mc:Fallback>
      </mc:AlternateContent>
    </w: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A8BBBB9">
                          <w:pPr>
                            <w:widowControl w:val="0"/>
                            <w:snapToGrid w:val="0"/>
                            <w:jc w:val="center"/>
                            <w:rPr>
                              <w:rFonts w:ascii="Times New Roman" w:hAnsi="Times New Roman" w:eastAsia="宋体" w:cs="Times New Roman"/>
                              <w:kern w:val="2"/>
                              <w:sz w:val="18"/>
                              <w:szCs w:val="18"/>
                              <w:lang w:val="en-US" w:eastAsia="zh-CN" w:bidi="ar-SA"/>
                            </w:rPr>
                          </w:pPr>
                        </w:p>
                        <w:p w14:paraId="7ADB2189">
                          <w:pPr>
                            <w:adjustRightInd/>
                            <w:spacing w:line="240" w:lineRule="auto"/>
                            <w:textAlignment w:val="auto"/>
                            <w:rPr>
                              <w:rFonts w:ascii="Times New Roman" w:hAnsi="Times New Roman" w:eastAsia="宋体" w:cs="Times New Roman"/>
                              <w:kern w:val="2"/>
                              <w:sz w:val="21"/>
                              <w:szCs w:val="20"/>
                            </w:rPr>
                          </w:pP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BbkuwCxgEAAJ0DAAAOAAAAAAAAAAEAIAAAAB4BAABkcnMvZTJvRG9jLnht&#10;bFBLBQYAAAAABgAGAFkBAABWBQAAAAA=&#10;">
              <v:fill on="f" focussize="0,0"/>
              <v:stroke on="f"/>
              <v:imagedata o:title=""/>
              <o:lock v:ext="edit" aspectratio="f"/>
              <v:textbox inset="0mm,0mm,0mm,0mm" style="mso-fit-shape-to-text:t;">
                <w:txbxContent>
                  <w:p w14:paraId="3A8BBBB9">
                    <w:pPr>
                      <w:widowControl w:val="0"/>
                      <w:snapToGrid w:val="0"/>
                      <w:jc w:val="center"/>
                      <w:rPr>
                        <w:rFonts w:ascii="Times New Roman" w:hAnsi="Times New Roman" w:eastAsia="宋体" w:cs="Times New Roman"/>
                        <w:kern w:val="2"/>
                        <w:sz w:val="18"/>
                        <w:szCs w:val="18"/>
                        <w:lang w:val="en-US" w:eastAsia="zh-CN" w:bidi="ar-SA"/>
                      </w:rPr>
                    </w:pPr>
                  </w:p>
                  <w:p w14:paraId="7ADB2189">
                    <w:pPr>
                      <w:adjustRightInd/>
                      <w:spacing w:line="240" w:lineRule="auto"/>
                      <w:textAlignment w:val="auto"/>
                      <w:rPr>
                        <w:rFonts w:ascii="Times New Roman" w:hAnsi="Times New Roman" w:eastAsia="宋体" w:cs="Times New Roman"/>
                        <w:kern w:val="2"/>
                        <w:sz w:val="21"/>
                        <w:szCs w:val="20"/>
                      </w:rPr>
                    </w:pPr>
                  </w:p>
                </w:txbxContent>
              </v:textbox>
            </v:shape>
          </w:pict>
        </mc:Fallback>
      </mc:AlternateContent>
    </w:r>
  </w:p>
  <w:p w14:paraId="31EC0A62">
    <w:pPr>
      <w:widowControl w:val="0"/>
      <w:snapToGrid w:val="0"/>
      <w:jc w:val="left"/>
      <w:rPr>
        <w:rFonts w:ascii="Times New Roman" w:hAnsi="Times New Roman" w:eastAsia="宋体" w:cs="Times New Roman"/>
        <w:kern w:val="2"/>
        <w:sz w:val="18"/>
        <w:szCs w:val="18"/>
        <w:lang w:val="en-US" w:eastAsia="zh-CN" w:bidi="ar-SA"/>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EC926">
    <w:pPr>
      <w:pStyle w:val="17"/>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9868EF9">
                          <w:pPr>
                            <w:pStyle w:val="17"/>
                          </w:pPr>
                          <w:r>
                            <w:fldChar w:fldCharType="begin"/>
                          </w:r>
                          <w:r>
                            <w:instrText xml:space="preserve"> PAGE  \* MERGEFORMAT </w:instrText>
                          </w:r>
                          <w:r>
                            <w:fldChar w:fldCharType="separate"/>
                          </w:r>
                          <w:r>
                            <w:t>46</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CUJ8kWxgEAAJsDAAAOAAAAAAAAAAEAIAAAAB4BAABkcnMvZTJvRG9jLnht&#10;bFBLBQYAAAAABgAGAFkBAABWBQAAAAA=&#10;">
              <v:fill on="f" focussize="0,0"/>
              <v:stroke on="f"/>
              <v:imagedata o:title=""/>
              <o:lock v:ext="edit" aspectratio="f"/>
              <v:textbox inset="0mm,0mm,0mm,0mm" style="mso-fit-shape-to-text:t;">
                <w:txbxContent>
                  <w:p w14:paraId="39868EF9">
                    <w:pPr>
                      <w:pStyle w:val="17"/>
                    </w:pPr>
                    <w:r>
                      <w:fldChar w:fldCharType="begin"/>
                    </w:r>
                    <w:r>
                      <w:instrText xml:space="preserve"> PAGE  \* MERGEFORMAT </w:instrText>
                    </w:r>
                    <w:r>
                      <w:fldChar w:fldCharType="separate"/>
                    </w:r>
                    <w:r>
                      <w:t>46</w:t>
                    </w:r>
                    <w:r>
                      <w:fldChar w:fldCharType="end"/>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DCD9E6C">
                          <w:pPr>
                            <w:pStyle w:val="17"/>
                            <w:jc w:val="center"/>
                          </w:pPr>
                        </w:p>
                        <w:p w14:paraId="14DF965C"/>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6f2lccBAACbAwAADgAAAAAAAAABACAAAAAeAQAAZHJzL2Uyb0RvYy54&#10;bWxQSwUGAAAAAAYABgBZAQAAVwUAAAAA&#10;">
              <v:fill on="f" focussize="0,0"/>
              <v:stroke on="f"/>
              <v:imagedata o:title=""/>
              <o:lock v:ext="edit" aspectratio="f"/>
              <v:textbox inset="0mm,0mm,0mm,0mm" style="mso-fit-shape-to-text:t;">
                <w:txbxContent>
                  <w:p w14:paraId="5DCD9E6C">
                    <w:pPr>
                      <w:pStyle w:val="17"/>
                      <w:jc w:val="center"/>
                    </w:pPr>
                  </w:p>
                  <w:p w14:paraId="14DF965C"/>
                </w:txbxContent>
              </v:textbox>
            </v:shape>
          </w:pict>
        </mc:Fallback>
      </mc:AlternateContent>
    </w:r>
  </w:p>
  <w:p w14:paraId="2742A888">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EFE5D">
    <w:pP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873A2">
    <w:pPr>
      <w:pStyle w:val="18"/>
      <w:pBdr>
        <w:bottom w:val="none" w:color="auto" w:sz="0" w:space="1"/>
      </w:pBdr>
      <w:tabs>
        <w:tab w:val="right" w:pos="9180"/>
        <w:tab w:val="clear" w:pos="4153"/>
        <w:tab w:val="clear" w:pos="8306"/>
      </w:tabs>
      <w:spacing w:line="0" w:lineRule="atLeast"/>
      <w:ind w:left="-360" w:right="-336"/>
      <w:jc w:val="left"/>
      <w:rPr>
        <w:rFonts w:hint="eastAsia"/>
      </w:rPr>
    </w:pPr>
    <w:r>
      <w:rPr>
        <w:rFonts w:hint="eastAsia" w:ascii="方正隶变简体" w:hAnsi="宋体" w:eastAsia="方正隶变简体" w:cs="宋体"/>
        <w:w w:val="80"/>
        <w:sz w:val="15"/>
        <w:szCs w:val="15"/>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2C6D2">
    <w:pPr>
      <w:pStyle w:val="18"/>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A6846">
    <w:pP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0DF76">
    <w:pPr>
      <w:widowControl w:val="0"/>
      <w:pBdr>
        <w:bottom w:val="none" w:color="auto" w:sz="0" w:space="0"/>
      </w:pBdr>
      <w:snapToGrid w:val="0"/>
      <w:jc w:val="center"/>
      <w:rPr>
        <w:rFonts w:ascii="Times New Roman" w:hAnsi="Times New Roman" w:eastAsia="宋体" w:cs="Times New Roman"/>
        <w:kern w:val="2"/>
        <w:sz w:val="18"/>
        <w:szCs w:val="18"/>
        <w:lang w:val="en-US" w:eastAsia="zh-CN" w:bidi="ar-S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934D5">
    <w:pPr>
      <w:widowControl w:val="0"/>
      <w:pBdr>
        <w:bottom w:val="none" w:color="auto" w:sz="0" w:space="0"/>
      </w:pBdr>
      <w:snapToGrid w:val="0"/>
      <w:jc w:val="center"/>
      <w:rPr>
        <w:rFonts w:ascii="Times New Roman" w:hAnsi="Times New Roman" w:eastAsia="宋体" w:cs="Times New Roman"/>
        <w:kern w:val="2"/>
        <w:sz w:val="18"/>
        <w:szCs w:val="18"/>
        <w:lang w:val="en-US" w:eastAsia="zh-CN" w:bidi="ar-S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B65E3">
    <w:pPr>
      <w:pStyle w:val="1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F34B6D"/>
    <w:multiLevelType w:val="singleLevel"/>
    <w:tmpl w:val="98F34B6D"/>
    <w:lvl w:ilvl="0" w:tentative="0">
      <w:start w:val="1"/>
      <w:numFmt w:val="decimal"/>
      <w:lvlText w:val="(%1)"/>
      <w:lvlJc w:val="left"/>
      <w:pPr>
        <w:ind w:left="425" w:hanging="425"/>
      </w:pPr>
      <w:rPr>
        <w:rFonts w:hint="default"/>
      </w:rPr>
    </w:lvl>
  </w:abstractNum>
  <w:abstractNum w:abstractNumId="1">
    <w:nsid w:val="99DC72EB"/>
    <w:multiLevelType w:val="singleLevel"/>
    <w:tmpl w:val="99DC72EB"/>
    <w:lvl w:ilvl="0" w:tentative="0">
      <w:start w:val="2"/>
      <w:numFmt w:val="chineseCounting"/>
      <w:suff w:val="space"/>
      <w:lvlText w:val="第%1章"/>
      <w:lvlJc w:val="left"/>
      <w:rPr>
        <w:rFonts w:hint="eastAsia"/>
      </w:rPr>
    </w:lvl>
  </w:abstractNum>
  <w:abstractNum w:abstractNumId="2">
    <w:nsid w:val="9A7B5E9D"/>
    <w:multiLevelType w:val="singleLevel"/>
    <w:tmpl w:val="9A7B5E9D"/>
    <w:lvl w:ilvl="0" w:tentative="0">
      <w:start w:val="1"/>
      <w:numFmt w:val="chineseCounting"/>
      <w:suff w:val="nothing"/>
      <w:lvlText w:val="（%1）"/>
      <w:lvlJc w:val="left"/>
      <w:rPr>
        <w:rFonts w:hint="eastAsia"/>
      </w:rPr>
    </w:lvl>
  </w:abstractNum>
  <w:abstractNum w:abstractNumId="3">
    <w:nsid w:val="BCC6DD2C"/>
    <w:multiLevelType w:val="singleLevel"/>
    <w:tmpl w:val="BCC6DD2C"/>
    <w:lvl w:ilvl="0" w:tentative="0">
      <w:start w:val="4"/>
      <w:numFmt w:val="chineseCounting"/>
      <w:suff w:val="nothing"/>
      <w:lvlText w:val="%1、"/>
      <w:lvlJc w:val="left"/>
      <w:rPr>
        <w:rFonts w:hint="eastAsia"/>
      </w:rPr>
    </w:lvl>
  </w:abstractNum>
  <w:abstractNum w:abstractNumId="4">
    <w:nsid w:val="C55B6119"/>
    <w:multiLevelType w:val="singleLevel"/>
    <w:tmpl w:val="C55B6119"/>
    <w:lvl w:ilvl="0" w:tentative="0">
      <w:start w:val="1"/>
      <w:numFmt w:val="decimal"/>
      <w:lvlText w:val="%1)"/>
      <w:lvlJc w:val="left"/>
      <w:pPr>
        <w:ind w:left="425" w:hanging="425"/>
      </w:pPr>
      <w:rPr>
        <w:rFonts w:hint="default"/>
      </w:rPr>
    </w:lvl>
  </w:abstractNum>
  <w:abstractNum w:abstractNumId="5">
    <w:nsid w:val="D75221DA"/>
    <w:multiLevelType w:val="singleLevel"/>
    <w:tmpl w:val="D75221DA"/>
    <w:lvl w:ilvl="0" w:tentative="0">
      <w:start w:val="1"/>
      <w:numFmt w:val="decimal"/>
      <w:lvlText w:val="%1)"/>
      <w:lvlJc w:val="left"/>
      <w:pPr>
        <w:ind w:left="425" w:hanging="425"/>
      </w:pPr>
      <w:rPr>
        <w:rFonts w:hint="default"/>
      </w:rPr>
    </w:lvl>
  </w:abstractNum>
  <w:abstractNum w:abstractNumId="6">
    <w:nsid w:val="0B987B8D"/>
    <w:multiLevelType w:val="singleLevel"/>
    <w:tmpl w:val="0B987B8D"/>
    <w:lvl w:ilvl="0" w:tentative="0">
      <w:start w:val="2"/>
      <w:numFmt w:val="decimal"/>
      <w:suff w:val="nothing"/>
      <w:lvlText w:val="%1、"/>
      <w:lvlJc w:val="left"/>
    </w:lvl>
  </w:abstractNum>
  <w:abstractNum w:abstractNumId="7">
    <w:nsid w:val="2803E42A"/>
    <w:multiLevelType w:val="singleLevel"/>
    <w:tmpl w:val="2803E42A"/>
    <w:lvl w:ilvl="0" w:tentative="0">
      <w:start w:val="1"/>
      <w:numFmt w:val="decimal"/>
      <w:lvlText w:val="%1."/>
      <w:lvlJc w:val="left"/>
      <w:pPr>
        <w:tabs>
          <w:tab w:val="left" w:pos="312"/>
        </w:tabs>
      </w:pPr>
    </w:lvl>
  </w:abstractNum>
  <w:abstractNum w:abstractNumId="8">
    <w:nsid w:val="29477719"/>
    <w:multiLevelType w:val="singleLevel"/>
    <w:tmpl w:val="29477719"/>
    <w:lvl w:ilvl="0" w:tentative="0">
      <w:start w:val="1"/>
      <w:numFmt w:val="decimal"/>
      <w:suff w:val="nothing"/>
      <w:lvlText w:val="%1）"/>
      <w:lvlJc w:val="left"/>
    </w:lvl>
  </w:abstractNum>
  <w:abstractNum w:abstractNumId="9">
    <w:nsid w:val="29D120CC"/>
    <w:multiLevelType w:val="singleLevel"/>
    <w:tmpl w:val="29D120CC"/>
    <w:lvl w:ilvl="0" w:tentative="0">
      <w:start w:val="1"/>
      <w:numFmt w:val="decimal"/>
      <w:suff w:val="nothing"/>
      <w:lvlText w:val="（%1）"/>
      <w:lvlJc w:val="left"/>
    </w:lvl>
  </w:abstractNum>
  <w:abstractNum w:abstractNumId="10">
    <w:nsid w:val="42C4834D"/>
    <w:multiLevelType w:val="singleLevel"/>
    <w:tmpl w:val="42C4834D"/>
    <w:lvl w:ilvl="0" w:tentative="0">
      <w:start w:val="4"/>
      <w:numFmt w:val="chineseCounting"/>
      <w:suff w:val="nothing"/>
      <w:lvlText w:val="%1．"/>
      <w:lvlJc w:val="left"/>
      <w:rPr>
        <w:rFonts w:hint="eastAsia"/>
      </w:rPr>
    </w:lvl>
  </w:abstractNum>
  <w:abstractNum w:abstractNumId="11">
    <w:nsid w:val="4B3ABF6F"/>
    <w:multiLevelType w:val="singleLevel"/>
    <w:tmpl w:val="4B3ABF6F"/>
    <w:lvl w:ilvl="0" w:tentative="0">
      <w:start w:val="1"/>
      <w:numFmt w:val="decimal"/>
      <w:lvlText w:val="(%1)"/>
      <w:lvlJc w:val="left"/>
      <w:pPr>
        <w:ind w:left="425" w:hanging="425"/>
      </w:pPr>
      <w:rPr>
        <w:rFonts w:hint="default"/>
      </w:rPr>
    </w:lvl>
  </w:abstractNum>
  <w:abstractNum w:abstractNumId="12">
    <w:nsid w:val="4E010C2E"/>
    <w:multiLevelType w:val="singleLevel"/>
    <w:tmpl w:val="4E010C2E"/>
    <w:lvl w:ilvl="0" w:tentative="0">
      <w:start w:val="1"/>
      <w:numFmt w:val="decimal"/>
      <w:lvlText w:val="(%1)"/>
      <w:lvlJc w:val="left"/>
      <w:pPr>
        <w:ind w:left="425" w:hanging="425"/>
      </w:pPr>
      <w:rPr>
        <w:rFonts w:hint="default"/>
      </w:rPr>
    </w:lvl>
  </w:abstractNum>
  <w:abstractNum w:abstractNumId="13">
    <w:nsid w:val="5BAEEE46"/>
    <w:multiLevelType w:val="singleLevel"/>
    <w:tmpl w:val="5BAEEE46"/>
    <w:lvl w:ilvl="0" w:tentative="0">
      <w:start w:val="1"/>
      <w:numFmt w:val="decimal"/>
      <w:lvlText w:val="%1."/>
      <w:lvlJc w:val="left"/>
      <w:pPr>
        <w:ind w:left="425" w:hanging="425"/>
      </w:pPr>
      <w:rPr>
        <w:rFonts w:hint="default"/>
      </w:rPr>
    </w:lvl>
  </w:abstractNum>
  <w:abstractNum w:abstractNumId="14">
    <w:nsid w:val="65C2BEA0"/>
    <w:multiLevelType w:val="singleLevel"/>
    <w:tmpl w:val="65C2BEA0"/>
    <w:lvl w:ilvl="0" w:tentative="0">
      <w:start w:val="1"/>
      <w:numFmt w:val="decimal"/>
      <w:pStyle w:val="5"/>
      <w:lvlText w:val="%1."/>
      <w:lvlJc w:val="left"/>
      <w:pPr>
        <w:tabs>
          <w:tab w:val="left" w:pos="360"/>
        </w:tabs>
        <w:ind w:left="360" w:hanging="360"/>
      </w:pPr>
    </w:lvl>
  </w:abstractNum>
  <w:abstractNum w:abstractNumId="15">
    <w:nsid w:val="6CD3F52E"/>
    <w:multiLevelType w:val="singleLevel"/>
    <w:tmpl w:val="6CD3F52E"/>
    <w:lvl w:ilvl="0" w:tentative="0">
      <w:start w:val="1"/>
      <w:numFmt w:val="chineseCounting"/>
      <w:suff w:val="nothing"/>
      <w:lvlText w:val="%1、"/>
      <w:lvlJc w:val="left"/>
      <w:rPr>
        <w:rFonts w:hint="eastAsia" w:ascii="宋体" w:hAnsi="宋体" w:eastAsia="宋体" w:cs="宋体"/>
        <w:b/>
        <w:bCs/>
      </w:rPr>
    </w:lvl>
  </w:abstractNum>
  <w:num w:numId="1">
    <w:abstractNumId w:val="14"/>
  </w:num>
  <w:num w:numId="2">
    <w:abstractNumId w:val="0"/>
  </w:num>
  <w:num w:numId="3">
    <w:abstractNumId w:val="4"/>
  </w:num>
  <w:num w:numId="4">
    <w:abstractNumId w:val="11"/>
  </w:num>
  <w:num w:numId="5">
    <w:abstractNumId w:val="1"/>
  </w:num>
  <w:num w:numId="6">
    <w:abstractNumId w:val="8"/>
  </w:num>
  <w:num w:numId="7">
    <w:abstractNumId w:val="7"/>
  </w:num>
  <w:num w:numId="8">
    <w:abstractNumId w:val="2"/>
  </w:num>
  <w:num w:numId="9">
    <w:abstractNumId w:val="13"/>
  </w:num>
  <w:num w:numId="10">
    <w:abstractNumId w:val="9"/>
  </w:num>
  <w:num w:numId="11">
    <w:abstractNumId w:val="5"/>
  </w:num>
  <w:num w:numId="12">
    <w:abstractNumId w:val="3"/>
  </w:num>
  <w:num w:numId="13">
    <w:abstractNumId w:val="10"/>
  </w:num>
  <w:num w:numId="14">
    <w:abstractNumId w:val="15"/>
  </w:num>
  <w:num w:numId="15">
    <w:abstractNumId w:val="1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NkNjY1ZDhkZjgyMjA5MGJhZWQxNWNmYWM0YzI3NzMifQ=="/>
    <w:docVar w:name="KSO_WPS_MARK_KEY" w:val="5442b779-280b-4c53-a031-0483c1201b9a"/>
  </w:docVars>
  <w:rsids>
    <w:rsidRoot w:val="00000000"/>
    <w:rsid w:val="001835D9"/>
    <w:rsid w:val="0154451D"/>
    <w:rsid w:val="01C012ED"/>
    <w:rsid w:val="01DF5E22"/>
    <w:rsid w:val="020B162A"/>
    <w:rsid w:val="02624FE3"/>
    <w:rsid w:val="02B96008"/>
    <w:rsid w:val="03226379"/>
    <w:rsid w:val="0331105F"/>
    <w:rsid w:val="03627032"/>
    <w:rsid w:val="045B511B"/>
    <w:rsid w:val="04C52716"/>
    <w:rsid w:val="05E25F5C"/>
    <w:rsid w:val="06030107"/>
    <w:rsid w:val="074B1659"/>
    <w:rsid w:val="07BC2556"/>
    <w:rsid w:val="07C57E33"/>
    <w:rsid w:val="07DD1C6C"/>
    <w:rsid w:val="09523172"/>
    <w:rsid w:val="09CB6A81"/>
    <w:rsid w:val="09DC0C8E"/>
    <w:rsid w:val="0ABA59FC"/>
    <w:rsid w:val="0AFA3DBD"/>
    <w:rsid w:val="0AFF2EF4"/>
    <w:rsid w:val="0B2E2C5C"/>
    <w:rsid w:val="0BFE0F08"/>
    <w:rsid w:val="0C5C146D"/>
    <w:rsid w:val="0C935725"/>
    <w:rsid w:val="0D077FE2"/>
    <w:rsid w:val="0D1B564F"/>
    <w:rsid w:val="0D5D57C3"/>
    <w:rsid w:val="0D946268"/>
    <w:rsid w:val="0DA53698"/>
    <w:rsid w:val="0EB851B9"/>
    <w:rsid w:val="0ED8117B"/>
    <w:rsid w:val="0F661726"/>
    <w:rsid w:val="0F7554C5"/>
    <w:rsid w:val="0F8605CD"/>
    <w:rsid w:val="0FA57735"/>
    <w:rsid w:val="0FDD306A"/>
    <w:rsid w:val="106C04B5"/>
    <w:rsid w:val="129A0DC8"/>
    <w:rsid w:val="12F050FF"/>
    <w:rsid w:val="132C233E"/>
    <w:rsid w:val="13573133"/>
    <w:rsid w:val="13BC5DB8"/>
    <w:rsid w:val="13EE7251"/>
    <w:rsid w:val="140263D0"/>
    <w:rsid w:val="14BD6D70"/>
    <w:rsid w:val="14BF5298"/>
    <w:rsid w:val="15850D42"/>
    <w:rsid w:val="15F155E8"/>
    <w:rsid w:val="162F06A7"/>
    <w:rsid w:val="166F6D46"/>
    <w:rsid w:val="16851D5F"/>
    <w:rsid w:val="1706276D"/>
    <w:rsid w:val="17123241"/>
    <w:rsid w:val="171F66D2"/>
    <w:rsid w:val="17535ED4"/>
    <w:rsid w:val="17CF6CA4"/>
    <w:rsid w:val="18094F0A"/>
    <w:rsid w:val="19053CFA"/>
    <w:rsid w:val="193403F5"/>
    <w:rsid w:val="196E444C"/>
    <w:rsid w:val="19864D35"/>
    <w:rsid w:val="19E219A9"/>
    <w:rsid w:val="1A45123C"/>
    <w:rsid w:val="1A7A42D7"/>
    <w:rsid w:val="1A89771E"/>
    <w:rsid w:val="1AFE504E"/>
    <w:rsid w:val="1B4C494D"/>
    <w:rsid w:val="1BE92F28"/>
    <w:rsid w:val="1C046B94"/>
    <w:rsid w:val="1C094F05"/>
    <w:rsid w:val="1CBF2475"/>
    <w:rsid w:val="1D774AFE"/>
    <w:rsid w:val="1D8164D4"/>
    <w:rsid w:val="1D9B6A3E"/>
    <w:rsid w:val="1DAF4298"/>
    <w:rsid w:val="1DCA1CC3"/>
    <w:rsid w:val="1DCC54B5"/>
    <w:rsid w:val="1E104084"/>
    <w:rsid w:val="1E6F3F54"/>
    <w:rsid w:val="1EFB1238"/>
    <w:rsid w:val="1F354C71"/>
    <w:rsid w:val="1FBC3495"/>
    <w:rsid w:val="1FC3227C"/>
    <w:rsid w:val="2087598D"/>
    <w:rsid w:val="20FA0E09"/>
    <w:rsid w:val="2193477D"/>
    <w:rsid w:val="22176847"/>
    <w:rsid w:val="230120C7"/>
    <w:rsid w:val="2344741B"/>
    <w:rsid w:val="23AB1BB8"/>
    <w:rsid w:val="23BF2D5B"/>
    <w:rsid w:val="23E80503"/>
    <w:rsid w:val="246F4DAF"/>
    <w:rsid w:val="24A75DD1"/>
    <w:rsid w:val="24C525F3"/>
    <w:rsid w:val="2514232F"/>
    <w:rsid w:val="252764F1"/>
    <w:rsid w:val="25F628FE"/>
    <w:rsid w:val="26661BB3"/>
    <w:rsid w:val="271561A5"/>
    <w:rsid w:val="27F31225"/>
    <w:rsid w:val="28C74960"/>
    <w:rsid w:val="296346A0"/>
    <w:rsid w:val="2983580F"/>
    <w:rsid w:val="29930F11"/>
    <w:rsid w:val="29E4351B"/>
    <w:rsid w:val="2A2B45A9"/>
    <w:rsid w:val="2A8F34F5"/>
    <w:rsid w:val="2ACD7074"/>
    <w:rsid w:val="2AE3212B"/>
    <w:rsid w:val="2AF754D0"/>
    <w:rsid w:val="2B436B3D"/>
    <w:rsid w:val="2B5C570D"/>
    <w:rsid w:val="2B6242E5"/>
    <w:rsid w:val="2C324DBE"/>
    <w:rsid w:val="2C8A3F36"/>
    <w:rsid w:val="2CBA5E4F"/>
    <w:rsid w:val="2D766B80"/>
    <w:rsid w:val="2DFF05D3"/>
    <w:rsid w:val="2E797F46"/>
    <w:rsid w:val="2F285C58"/>
    <w:rsid w:val="2F6A2D1C"/>
    <w:rsid w:val="2FD04D90"/>
    <w:rsid w:val="30BF4F96"/>
    <w:rsid w:val="311C01FE"/>
    <w:rsid w:val="31256139"/>
    <w:rsid w:val="31B9449A"/>
    <w:rsid w:val="323B5CA2"/>
    <w:rsid w:val="32823832"/>
    <w:rsid w:val="328A2F93"/>
    <w:rsid w:val="328E2276"/>
    <w:rsid w:val="32E31A5D"/>
    <w:rsid w:val="33706788"/>
    <w:rsid w:val="33727DEA"/>
    <w:rsid w:val="33BC3853"/>
    <w:rsid w:val="340108E6"/>
    <w:rsid w:val="346D643D"/>
    <w:rsid w:val="350727B3"/>
    <w:rsid w:val="35AE2716"/>
    <w:rsid w:val="37667C65"/>
    <w:rsid w:val="37670629"/>
    <w:rsid w:val="38184D3B"/>
    <w:rsid w:val="39045C73"/>
    <w:rsid w:val="394468F7"/>
    <w:rsid w:val="395D0804"/>
    <w:rsid w:val="3A045513"/>
    <w:rsid w:val="3A3E1424"/>
    <w:rsid w:val="3A795E27"/>
    <w:rsid w:val="3A7A470E"/>
    <w:rsid w:val="3B07477C"/>
    <w:rsid w:val="3B88174D"/>
    <w:rsid w:val="3BA743A8"/>
    <w:rsid w:val="3BAA5C47"/>
    <w:rsid w:val="3C315CBE"/>
    <w:rsid w:val="3C5D28E5"/>
    <w:rsid w:val="3CED448C"/>
    <w:rsid w:val="3D4621AD"/>
    <w:rsid w:val="3DBC639D"/>
    <w:rsid w:val="3DF81AC5"/>
    <w:rsid w:val="3E8558DF"/>
    <w:rsid w:val="3E90381A"/>
    <w:rsid w:val="3EA07E8A"/>
    <w:rsid w:val="3F1E4982"/>
    <w:rsid w:val="3F6211A5"/>
    <w:rsid w:val="3FA806EF"/>
    <w:rsid w:val="3FDB2873"/>
    <w:rsid w:val="3FE82442"/>
    <w:rsid w:val="40D17E7B"/>
    <w:rsid w:val="40E4161B"/>
    <w:rsid w:val="410858E9"/>
    <w:rsid w:val="411617A1"/>
    <w:rsid w:val="411973B8"/>
    <w:rsid w:val="412678A3"/>
    <w:rsid w:val="423E6961"/>
    <w:rsid w:val="4267663F"/>
    <w:rsid w:val="42A406BC"/>
    <w:rsid w:val="42A55EAE"/>
    <w:rsid w:val="42D26889"/>
    <w:rsid w:val="43796551"/>
    <w:rsid w:val="437B6F4A"/>
    <w:rsid w:val="43B30023"/>
    <w:rsid w:val="4561381A"/>
    <w:rsid w:val="45B071AD"/>
    <w:rsid w:val="45CE6FAD"/>
    <w:rsid w:val="45E2090E"/>
    <w:rsid w:val="45E60753"/>
    <w:rsid w:val="46BA67DF"/>
    <w:rsid w:val="472450A7"/>
    <w:rsid w:val="482079BC"/>
    <w:rsid w:val="48254FD3"/>
    <w:rsid w:val="495460BF"/>
    <w:rsid w:val="495668FA"/>
    <w:rsid w:val="49723E41"/>
    <w:rsid w:val="497C0FF6"/>
    <w:rsid w:val="4A2D3660"/>
    <w:rsid w:val="4A2E205A"/>
    <w:rsid w:val="4A8E5FDD"/>
    <w:rsid w:val="4ADA474E"/>
    <w:rsid w:val="4B1F1002"/>
    <w:rsid w:val="4B282D9F"/>
    <w:rsid w:val="4B826B7C"/>
    <w:rsid w:val="4B8B2782"/>
    <w:rsid w:val="4BA838A9"/>
    <w:rsid w:val="4C3439FF"/>
    <w:rsid w:val="4CF979B3"/>
    <w:rsid w:val="4D1D096E"/>
    <w:rsid w:val="4D2E0522"/>
    <w:rsid w:val="4D3161AB"/>
    <w:rsid w:val="4D6C111E"/>
    <w:rsid w:val="4DD04D3E"/>
    <w:rsid w:val="4E015B9A"/>
    <w:rsid w:val="4E4D5FC8"/>
    <w:rsid w:val="4EB14ED2"/>
    <w:rsid w:val="4EEA0381"/>
    <w:rsid w:val="502703E7"/>
    <w:rsid w:val="50D73E21"/>
    <w:rsid w:val="51681150"/>
    <w:rsid w:val="51C0710F"/>
    <w:rsid w:val="529F107F"/>
    <w:rsid w:val="5345428B"/>
    <w:rsid w:val="537312E8"/>
    <w:rsid w:val="53991C32"/>
    <w:rsid w:val="539A5C67"/>
    <w:rsid w:val="53E23CC7"/>
    <w:rsid w:val="54493C55"/>
    <w:rsid w:val="54C3426A"/>
    <w:rsid w:val="551E34D6"/>
    <w:rsid w:val="562520F5"/>
    <w:rsid w:val="564C0350"/>
    <w:rsid w:val="56550D4B"/>
    <w:rsid w:val="57342B3C"/>
    <w:rsid w:val="57D21880"/>
    <w:rsid w:val="580E0FD6"/>
    <w:rsid w:val="58186C03"/>
    <w:rsid w:val="58450B79"/>
    <w:rsid w:val="587F294D"/>
    <w:rsid w:val="58C93758"/>
    <w:rsid w:val="58CA2D21"/>
    <w:rsid w:val="593B4656"/>
    <w:rsid w:val="5954056B"/>
    <w:rsid w:val="599313F5"/>
    <w:rsid w:val="59B80AD7"/>
    <w:rsid w:val="5A1137EC"/>
    <w:rsid w:val="5A170DB1"/>
    <w:rsid w:val="5A292701"/>
    <w:rsid w:val="5A517EA9"/>
    <w:rsid w:val="5A9559B1"/>
    <w:rsid w:val="5B353327"/>
    <w:rsid w:val="5BC86A08"/>
    <w:rsid w:val="5BFA0AAD"/>
    <w:rsid w:val="5C1A56F9"/>
    <w:rsid w:val="5CB26CC0"/>
    <w:rsid w:val="5D0B01D2"/>
    <w:rsid w:val="5D120035"/>
    <w:rsid w:val="5EA02011"/>
    <w:rsid w:val="5FD378E7"/>
    <w:rsid w:val="60003F04"/>
    <w:rsid w:val="60771CEC"/>
    <w:rsid w:val="610616F7"/>
    <w:rsid w:val="61B950B2"/>
    <w:rsid w:val="61EE2D49"/>
    <w:rsid w:val="624A6826"/>
    <w:rsid w:val="630F7F06"/>
    <w:rsid w:val="63600598"/>
    <w:rsid w:val="63726167"/>
    <w:rsid w:val="63880E8B"/>
    <w:rsid w:val="639F1058"/>
    <w:rsid w:val="63CA3324"/>
    <w:rsid w:val="63D92DAA"/>
    <w:rsid w:val="63D969FC"/>
    <w:rsid w:val="644A0760"/>
    <w:rsid w:val="652D77CA"/>
    <w:rsid w:val="661F2C7F"/>
    <w:rsid w:val="666D5DCC"/>
    <w:rsid w:val="668E5790"/>
    <w:rsid w:val="66BC351E"/>
    <w:rsid w:val="66C94643"/>
    <w:rsid w:val="66D074E8"/>
    <w:rsid w:val="66F223A1"/>
    <w:rsid w:val="67013EF1"/>
    <w:rsid w:val="67D946E4"/>
    <w:rsid w:val="68F71C1C"/>
    <w:rsid w:val="68F77D59"/>
    <w:rsid w:val="68FB1AE6"/>
    <w:rsid w:val="690A6016"/>
    <w:rsid w:val="699337F5"/>
    <w:rsid w:val="69B701B8"/>
    <w:rsid w:val="6A2039CB"/>
    <w:rsid w:val="6A246A40"/>
    <w:rsid w:val="6A8F6B5B"/>
    <w:rsid w:val="6C112F69"/>
    <w:rsid w:val="6CB15338"/>
    <w:rsid w:val="6CD46F27"/>
    <w:rsid w:val="6CEE58BD"/>
    <w:rsid w:val="6D125276"/>
    <w:rsid w:val="6D1D78CE"/>
    <w:rsid w:val="6D7535FD"/>
    <w:rsid w:val="6DC75C60"/>
    <w:rsid w:val="6E027D25"/>
    <w:rsid w:val="6E272FA3"/>
    <w:rsid w:val="6E2D7665"/>
    <w:rsid w:val="6E4E6782"/>
    <w:rsid w:val="6E4F0007"/>
    <w:rsid w:val="6E731D44"/>
    <w:rsid w:val="6E7F06E9"/>
    <w:rsid w:val="6EFF7A7C"/>
    <w:rsid w:val="6F0D2199"/>
    <w:rsid w:val="6FD06854"/>
    <w:rsid w:val="6FDE5875"/>
    <w:rsid w:val="70345878"/>
    <w:rsid w:val="705F6A24"/>
    <w:rsid w:val="70A02B99"/>
    <w:rsid w:val="712467B8"/>
    <w:rsid w:val="71506009"/>
    <w:rsid w:val="71C600DB"/>
    <w:rsid w:val="721455EC"/>
    <w:rsid w:val="72426F0E"/>
    <w:rsid w:val="724C7A91"/>
    <w:rsid w:val="72BB04EE"/>
    <w:rsid w:val="72DF5BFA"/>
    <w:rsid w:val="72E06611"/>
    <w:rsid w:val="74027121"/>
    <w:rsid w:val="750162FC"/>
    <w:rsid w:val="750F61BB"/>
    <w:rsid w:val="754B57C9"/>
    <w:rsid w:val="75784357"/>
    <w:rsid w:val="76E0475F"/>
    <w:rsid w:val="77275DC2"/>
    <w:rsid w:val="77B11365"/>
    <w:rsid w:val="77CD1169"/>
    <w:rsid w:val="77EC0B01"/>
    <w:rsid w:val="78A843C2"/>
    <w:rsid w:val="78D9501F"/>
    <w:rsid w:val="79FA156C"/>
    <w:rsid w:val="7A7B6F27"/>
    <w:rsid w:val="7A831494"/>
    <w:rsid w:val="7A8E16FA"/>
    <w:rsid w:val="7B3776BF"/>
    <w:rsid w:val="7B924795"/>
    <w:rsid w:val="7BD44F78"/>
    <w:rsid w:val="7C70732D"/>
    <w:rsid w:val="7C92491A"/>
    <w:rsid w:val="7D566322"/>
    <w:rsid w:val="7DE927FB"/>
    <w:rsid w:val="7ED014F7"/>
    <w:rsid w:val="7F170D81"/>
    <w:rsid w:val="7F1F0EA3"/>
    <w:rsid w:val="7F6C54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uto"/>
      <w:jc w:val="both"/>
      <w:textAlignment w:val="baseline"/>
    </w:pPr>
    <w:rPr>
      <w:rFonts w:ascii="宋体" w:hAnsi="宋体" w:eastAsia="宋体" w:cs="Times New Roman"/>
      <w:sz w:val="21"/>
      <w:szCs w:val="21"/>
      <w:lang w:val="en-US" w:eastAsia="zh-CN" w:bidi="ar-SA"/>
    </w:rPr>
  </w:style>
  <w:style w:type="paragraph" w:styleId="2">
    <w:name w:val="heading 1"/>
    <w:basedOn w:val="1"/>
    <w:next w:val="1"/>
    <w:qFormat/>
    <w:uiPriority w:val="0"/>
    <w:pPr>
      <w:keepNext/>
      <w:keepLines/>
      <w:spacing w:before="340" w:beforeLines="0" w:after="330" w:afterLines="0" w:line="576" w:lineRule="auto"/>
      <w:jc w:val="center"/>
      <w:outlineLvl w:val="0"/>
    </w:pPr>
    <w:rPr>
      <w:b/>
      <w:bCs/>
      <w:kern w:val="44"/>
      <w:sz w:val="30"/>
      <w:szCs w:val="44"/>
    </w:rPr>
  </w:style>
  <w:style w:type="paragraph" w:styleId="3">
    <w:name w:val="heading 2"/>
    <w:basedOn w:val="1"/>
    <w:next w:val="1"/>
    <w:qFormat/>
    <w:uiPriority w:val="0"/>
    <w:pPr>
      <w:keepNext/>
      <w:keepLines/>
      <w:spacing w:before="260" w:after="260" w:line="416" w:lineRule="auto"/>
      <w:outlineLvl w:val="1"/>
    </w:pPr>
    <w:rPr>
      <w:rFonts w:ascii="等线 Light" w:hAnsi="等线 Light" w:eastAsia="等线 Light" w:cs="Times New Roman"/>
      <w:b/>
      <w:bCs/>
      <w:sz w:val="32"/>
      <w:szCs w:val="32"/>
    </w:rPr>
  </w:style>
  <w:style w:type="paragraph" w:styleId="4">
    <w:name w:val="heading 3"/>
    <w:basedOn w:val="1"/>
    <w:next w:val="1"/>
    <w:link w:val="37"/>
    <w:unhideWhenUsed/>
    <w:qFormat/>
    <w:uiPriority w:val="0"/>
    <w:pPr>
      <w:keepNext/>
      <w:keepLines/>
      <w:spacing w:before="260" w:beforeLines="0" w:beforeAutospacing="0" w:after="260" w:afterLines="0" w:afterAutospacing="0" w:line="413" w:lineRule="auto"/>
      <w:outlineLvl w:val="2"/>
    </w:pPr>
    <w:rPr>
      <w:rFonts w:ascii="宋体" w:hAnsi="宋体" w:eastAsia="宋体"/>
      <w:b/>
      <w:sz w:val="32"/>
    </w:rPr>
  </w:style>
  <w:style w:type="character" w:default="1" w:styleId="25">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5">
    <w:name w:val="List Number"/>
    <w:basedOn w:val="1"/>
    <w:qFormat/>
    <w:uiPriority w:val="0"/>
    <w:pPr>
      <w:numPr>
        <w:ilvl w:val="0"/>
        <w:numId w:val="1"/>
      </w:numPr>
    </w:pPr>
  </w:style>
  <w:style w:type="paragraph" w:styleId="6">
    <w:name w:val="Normal Indent"/>
    <w:basedOn w:val="1"/>
    <w:next w:val="1"/>
    <w:qFormat/>
    <w:uiPriority w:val="0"/>
    <w:pPr>
      <w:ind w:firstLine="420" w:firstLineChars="200"/>
    </w:pPr>
    <w:rPr>
      <w:rFonts w:ascii="Times New Roman" w:hAnsi="Times New Roman" w:eastAsia="宋体" w:cs="Times New Roman"/>
      <w:sz w:val="24"/>
    </w:rPr>
  </w:style>
  <w:style w:type="paragraph" w:styleId="7">
    <w:name w:val="caption"/>
    <w:basedOn w:val="1"/>
    <w:next w:val="1"/>
    <w:qFormat/>
    <w:uiPriority w:val="0"/>
    <w:pPr>
      <w:spacing w:before="152" w:after="160" w:line="360" w:lineRule="atLeast"/>
    </w:pPr>
    <w:rPr>
      <w:rFonts w:ascii="Arial" w:hAnsi="Arial" w:eastAsia="黑体" w:cs="Arial"/>
      <w:kern w:val="2"/>
      <w:sz w:val="20"/>
      <w:szCs w:val="20"/>
    </w:rPr>
  </w:style>
  <w:style w:type="paragraph" w:styleId="8">
    <w:name w:val="annotation text"/>
    <w:basedOn w:val="1"/>
    <w:qFormat/>
    <w:uiPriority w:val="0"/>
  </w:style>
  <w:style w:type="paragraph" w:styleId="9">
    <w:name w:val="Body Text"/>
    <w:basedOn w:val="1"/>
    <w:next w:val="10"/>
    <w:qFormat/>
    <w:uiPriority w:val="0"/>
    <w:pPr>
      <w:spacing w:after="120"/>
    </w:pPr>
    <w:rPr>
      <w:rFonts w:ascii="Times New Roman" w:hAnsi="Times New Roman" w:eastAsia="宋体" w:cs="Times New Roman"/>
      <w:sz w:val="24"/>
    </w:rPr>
  </w:style>
  <w:style w:type="paragraph" w:styleId="10">
    <w:name w:val="Body Text First Indent"/>
    <w:basedOn w:val="9"/>
    <w:next w:val="11"/>
    <w:qFormat/>
    <w:uiPriority w:val="0"/>
    <w:pPr>
      <w:ind w:firstLine="420" w:firstLineChars="100"/>
    </w:pPr>
  </w:style>
  <w:style w:type="paragraph" w:styleId="11">
    <w:name w:val="toc 6"/>
    <w:basedOn w:val="1"/>
    <w:next w:val="1"/>
    <w:qFormat/>
    <w:uiPriority w:val="0"/>
    <w:pPr>
      <w:ind w:left="1050"/>
      <w:jc w:val="left"/>
    </w:pPr>
    <w:rPr>
      <w:rFonts w:ascii="Calibri" w:hAnsi="Calibri" w:cs="Calibri"/>
      <w:sz w:val="18"/>
      <w:szCs w:val="18"/>
    </w:rPr>
  </w:style>
  <w:style w:type="paragraph" w:styleId="12">
    <w:name w:val="Body Text Indent"/>
    <w:basedOn w:val="1"/>
    <w:next w:val="13"/>
    <w:qFormat/>
    <w:uiPriority w:val="0"/>
    <w:pPr>
      <w:spacing w:after="120"/>
      <w:ind w:left="420" w:leftChars="200"/>
    </w:pPr>
    <w:rPr>
      <w:rFonts w:ascii="Times New Roman" w:hAnsi="Times New Roman" w:eastAsia="宋体" w:cs="Times New Roman"/>
      <w:sz w:val="24"/>
    </w:rPr>
  </w:style>
  <w:style w:type="paragraph" w:styleId="13">
    <w:name w:val="envelope return"/>
    <w:basedOn w:val="1"/>
    <w:unhideWhenUsed/>
    <w:qFormat/>
    <w:uiPriority w:val="99"/>
    <w:pPr>
      <w:snapToGrid w:val="0"/>
      <w:spacing w:line="280" w:lineRule="exact"/>
    </w:pPr>
    <w:rPr>
      <w:rFonts w:ascii="Arial" w:hAnsi="Arial"/>
    </w:rPr>
  </w:style>
  <w:style w:type="paragraph" w:styleId="14">
    <w:name w:val="Plain Text"/>
    <w:basedOn w:val="1"/>
    <w:next w:val="15"/>
    <w:qFormat/>
    <w:uiPriority w:val="0"/>
    <w:rPr>
      <w:rFonts w:ascii="Times New Roman" w:hAnsi="Courier New" w:eastAsia="宋体" w:cs="Times New Roman"/>
      <w:sz w:val="21"/>
    </w:rPr>
  </w:style>
  <w:style w:type="paragraph" w:styleId="15">
    <w:name w:val="toc 2"/>
    <w:basedOn w:val="1"/>
    <w:next w:val="1"/>
    <w:qFormat/>
    <w:uiPriority w:val="39"/>
    <w:pPr>
      <w:ind w:left="420" w:leftChars="200"/>
    </w:pPr>
  </w:style>
  <w:style w:type="paragraph" w:styleId="16">
    <w:name w:val="Body Text Indent 2"/>
    <w:basedOn w:val="1"/>
    <w:qFormat/>
    <w:uiPriority w:val="0"/>
    <w:pPr>
      <w:spacing w:after="120" w:line="480" w:lineRule="auto"/>
      <w:ind w:left="420" w:leftChars="200"/>
    </w:pPr>
    <w:rPr>
      <w:rFonts w:ascii="Times New Roman" w:hAnsi="Times New Roman" w:eastAsia="宋体" w:cs="Times New Roman"/>
      <w:sz w:val="24"/>
    </w:rPr>
  </w:style>
  <w:style w:type="paragraph" w:styleId="17">
    <w:name w:val="footer"/>
    <w:basedOn w:val="1"/>
    <w:qFormat/>
    <w:uiPriority w:val="0"/>
    <w:pPr>
      <w:tabs>
        <w:tab w:val="center" w:pos="4153"/>
        <w:tab w:val="right" w:pos="8306"/>
      </w:tabs>
      <w:snapToGrid w:val="0"/>
      <w:spacing w:line="240" w:lineRule="atLeast"/>
      <w:jc w:val="left"/>
    </w:pPr>
    <w:rPr>
      <w:rFonts w:ascii="Times New Roman" w:hAnsi="Times New Roman" w:eastAsia="宋体" w:cs="Times New Roman"/>
      <w:sz w:val="18"/>
      <w:szCs w:val="18"/>
    </w:rPr>
  </w:style>
  <w:style w:type="paragraph" w:styleId="18">
    <w:name w:val="header"/>
    <w:basedOn w:val="1"/>
    <w:qFormat/>
    <w:uiPriority w:val="0"/>
    <w:pPr>
      <w:pBdr>
        <w:bottom w:val="single" w:color="auto" w:sz="6" w:space="1"/>
      </w:pBdr>
      <w:tabs>
        <w:tab w:val="center" w:pos="4153"/>
        <w:tab w:val="right" w:pos="8306"/>
      </w:tabs>
      <w:snapToGrid w:val="0"/>
      <w:jc w:val="center"/>
    </w:pPr>
    <w:rPr>
      <w:rFonts w:eastAsia="仿宋_GB2312"/>
      <w:sz w:val="18"/>
      <w:szCs w:val="20"/>
    </w:rPr>
  </w:style>
  <w:style w:type="paragraph" w:styleId="19">
    <w:name w:val="toc 1"/>
    <w:basedOn w:val="1"/>
    <w:next w:val="1"/>
    <w:qFormat/>
    <w:uiPriority w:val="0"/>
    <w:pPr>
      <w:spacing w:before="120" w:after="120"/>
      <w:jc w:val="left"/>
    </w:pPr>
    <w:rPr>
      <w:rFonts w:ascii="Calibri" w:hAnsi="Calibri" w:eastAsia="宋体" w:cs="Times New Roman"/>
      <w:b/>
      <w:bCs/>
      <w:caps/>
      <w:szCs w:val="20"/>
    </w:rPr>
  </w:style>
  <w:style w:type="paragraph" w:styleId="20">
    <w:name w:val="Normal (Web)"/>
    <w:basedOn w:val="1"/>
    <w:qFormat/>
    <w:uiPriority w:val="0"/>
    <w:pPr>
      <w:widowControl/>
      <w:spacing w:before="100" w:beforeAutospacing="1" w:after="100" w:afterAutospacing="1"/>
      <w:jc w:val="left"/>
    </w:pPr>
    <w:rPr>
      <w:kern w:val="0"/>
      <w:sz w:val="24"/>
    </w:rPr>
  </w:style>
  <w:style w:type="paragraph" w:styleId="21">
    <w:name w:val="Title"/>
    <w:basedOn w:val="1"/>
    <w:next w:val="1"/>
    <w:qFormat/>
    <w:uiPriority w:val="0"/>
    <w:pPr>
      <w:spacing w:before="240" w:after="60"/>
      <w:jc w:val="center"/>
      <w:outlineLvl w:val="0"/>
    </w:pPr>
    <w:rPr>
      <w:rFonts w:ascii="Cambria" w:hAnsi="Cambria"/>
      <w:b/>
      <w:sz w:val="32"/>
    </w:rPr>
  </w:style>
  <w:style w:type="paragraph" w:styleId="22">
    <w:name w:val="Body Text First Indent 2"/>
    <w:basedOn w:val="12"/>
    <w:next w:val="1"/>
    <w:unhideWhenUsed/>
    <w:qFormat/>
    <w:uiPriority w:val="99"/>
    <w:pPr>
      <w:spacing w:after="120" w:line="240" w:lineRule="auto"/>
      <w:ind w:left="420" w:leftChars="200" w:firstLine="420"/>
    </w:pPr>
    <w:rPr>
      <w:rFonts w:cs="宋体"/>
      <w:sz w:val="21"/>
      <w:szCs w:val="21"/>
    </w:rPr>
  </w:style>
  <w:style w:type="table" w:styleId="24">
    <w:name w:val="Table Grid"/>
    <w:basedOn w:val="23"/>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qFormat/>
    <w:uiPriority w:val="0"/>
    <w:rPr>
      <w:rFonts w:eastAsia="华文楷体" w:cs="Times New Roman"/>
      <w:b/>
      <w:bCs/>
      <w:sz w:val="28"/>
    </w:rPr>
  </w:style>
  <w:style w:type="character" w:styleId="27">
    <w:name w:val="page number"/>
    <w:basedOn w:val="25"/>
    <w:qFormat/>
    <w:uiPriority w:val="0"/>
  </w:style>
  <w:style w:type="paragraph" w:customStyle="1" w:styleId="28">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29">
    <w:name w:val="普通正文"/>
    <w:basedOn w:val="1"/>
    <w:qFormat/>
    <w:uiPriority w:val="0"/>
    <w:pPr>
      <w:spacing w:before="120" w:after="120"/>
      <w:ind w:firstLine="480"/>
      <w:jc w:val="left"/>
    </w:pPr>
    <w:rPr>
      <w:rFonts w:ascii="Arial" w:hAnsi="Arial" w:eastAsia="宋体" w:cs="Times New Roman"/>
      <w:szCs w:val="24"/>
    </w:rPr>
  </w:style>
  <w:style w:type="paragraph" w:customStyle="1" w:styleId="30">
    <w:name w:val="自动更正"/>
    <w:unhideWhenUsed/>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1">
    <w:name w:val="正文 "/>
    <w:basedOn w:val="1"/>
    <w:qFormat/>
    <w:uiPriority w:val="0"/>
    <w:pPr>
      <w:widowControl w:val="0"/>
      <w:adjustRightInd w:val="0"/>
      <w:spacing w:line="318" w:lineRule="atLeast"/>
      <w:ind w:left="369" w:firstLine="369"/>
      <w:jc w:val="both"/>
      <w:textAlignment w:val="baseline"/>
    </w:pPr>
    <w:rPr>
      <w:rFonts w:ascii="宋体" w:hAnsi="Times New Roman" w:eastAsia="宋体" w:cs="Times New Roman"/>
      <w:sz w:val="21"/>
      <w:szCs w:val="20"/>
    </w:rPr>
  </w:style>
  <w:style w:type="paragraph" w:customStyle="1" w:styleId="32">
    <w:name w:val="正文段"/>
    <w:basedOn w:val="1"/>
    <w:qFormat/>
    <w:uiPriority w:val="0"/>
    <w:pPr>
      <w:widowControl/>
      <w:adjustRightInd/>
      <w:snapToGrid w:val="0"/>
      <w:spacing w:after="156" w:afterLines="50" w:line="240" w:lineRule="auto"/>
      <w:ind w:firstLine="200" w:firstLineChars="200"/>
      <w:textAlignment w:val="auto"/>
    </w:pPr>
    <w:rPr>
      <w:rFonts w:ascii="Times New Roman" w:hAnsi="Times New Roman" w:eastAsia="宋体" w:cs="Times New Roman"/>
      <w:sz w:val="24"/>
      <w:szCs w:val="20"/>
    </w:rPr>
  </w:style>
  <w:style w:type="paragraph" w:customStyle="1" w:styleId="33">
    <w:name w:val="正文空2格  1."/>
    <w:basedOn w:val="1"/>
    <w:qFormat/>
    <w:uiPriority w:val="0"/>
    <w:pPr>
      <w:ind w:firstLine="480" w:firstLineChars="200"/>
    </w:pPr>
    <w:rPr>
      <w:rFonts w:ascii="Times New Roman" w:hAnsi="Times New Roman" w:eastAsia="宋体" w:cs="宋体"/>
      <w:sz w:val="28"/>
      <w:szCs w:val="20"/>
    </w:rPr>
  </w:style>
  <w:style w:type="paragraph" w:customStyle="1" w:styleId="34">
    <w:name w:val="List Paragraph"/>
    <w:basedOn w:val="1"/>
    <w:qFormat/>
    <w:uiPriority w:val="0"/>
    <w:pPr>
      <w:ind w:firstLine="420" w:firstLineChars="200"/>
    </w:pPr>
    <w:rPr>
      <w:rFonts w:ascii="Times New Roman" w:hAnsi="Times New Roman" w:eastAsia="宋体" w:cs="Times New Roman"/>
    </w:rPr>
  </w:style>
  <w:style w:type="paragraph" w:customStyle="1" w:styleId="35">
    <w:name w:val="Table Paragraph"/>
    <w:basedOn w:val="1"/>
    <w:qFormat/>
    <w:uiPriority w:val="1"/>
    <w:rPr>
      <w:rFonts w:ascii="宋体" w:hAnsi="宋体" w:eastAsia="宋体" w:cs="宋体"/>
      <w:lang w:val="zh-CN" w:eastAsia="zh-CN" w:bidi="zh-CN"/>
    </w:rPr>
  </w:style>
  <w:style w:type="paragraph" w:customStyle="1" w:styleId="36">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37">
    <w:name w:val="标题 3 Char"/>
    <w:link w:val="4"/>
    <w:qFormat/>
    <w:uiPriority w:val="0"/>
    <w:rPr>
      <w:rFonts w:ascii="宋体" w:hAnsi="宋体" w:eastAsia="宋体"/>
      <w:b/>
      <w:sz w:val="32"/>
    </w:rPr>
  </w:style>
  <w:style w:type="paragraph" w:customStyle="1" w:styleId="38">
    <w:name w:val="WPSOffice手动目录 1"/>
    <w:qFormat/>
    <w:uiPriority w:val="0"/>
    <w:pPr>
      <w:ind w:leftChars="0"/>
    </w:pPr>
    <w:rPr>
      <w:rFonts w:asciiTheme="minorHAnsi" w:hAnsiTheme="minorHAnsi" w:eastAsiaTheme="minorEastAsia" w:cstheme="minorBidi"/>
      <w:sz w:val="20"/>
      <w:szCs w:val="20"/>
    </w:rPr>
  </w:style>
  <w:style w:type="character" w:customStyle="1" w:styleId="39">
    <w:name w:val="font41"/>
    <w:basedOn w:val="25"/>
    <w:qFormat/>
    <w:uiPriority w:val="0"/>
    <w:rPr>
      <w:rFonts w:ascii="仿宋" w:hAnsi="仿宋" w:eastAsia="仿宋" w:cs="仿宋"/>
      <w:b/>
      <w:bCs/>
      <w:color w:val="000000"/>
      <w:sz w:val="20"/>
      <w:szCs w:val="20"/>
      <w:u w:val="none"/>
    </w:rPr>
  </w:style>
  <w:style w:type="character" w:customStyle="1" w:styleId="40">
    <w:name w:val="font31"/>
    <w:basedOn w:val="25"/>
    <w:qFormat/>
    <w:uiPriority w:val="0"/>
    <w:rPr>
      <w:rFonts w:hint="default" w:ascii="Times New Roman" w:hAnsi="Times New Roman" w:cs="Times New Roman"/>
      <w:b/>
      <w:bCs/>
      <w:color w:val="000000"/>
      <w:sz w:val="20"/>
      <w:szCs w:val="20"/>
      <w:u w:val="none"/>
    </w:rPr>
  </w:style>
  <w:style w:type="character" w:customStyle="1" w:styleId="41">
    <w:name w:val="font191"/>
    <w:basedOn w:val="25"/>
    <w:qFormat/>
    <w:uiPriority w:val="0"/>
    <w:rPr>
      <w:rFonts w:ascii="仿宋" w:hAnsi="仿宋" w:eastAsia="仿宋" w:cs="仿宋"/>
      <w:b/>
      <w:bCs/>
      <w:color w:val="000000"/>
      <w:sz w:val="28"/>
      <w:szCs w:val="28"/>
      <w:u w:val="none"/>
    </w:rPr>
  </w:style>
  <w:style w:type="character" w:customStyle="1" w:styleId="42">
    <w:name w:val="font201"/>
    <w:basedOn w:val="25"/>
    <w:qFormat/>
    <w:uiPriority w:val="0"/>
    <w:rPr>
      <w:rFonts w:hint="eastAsia" w:ascii="仿宋" w:hAnsi="仿宋" w:eastAsia="仿宋" w:cs="仿宋"/>
      <w:b/>
      <w:bCs/>
      <w:color w:val="000000"/>
      <w:sz w:val="18"/>
      <w:szCs w:val="18"/>
      <w:u w:val="none"/>
    </w:rPr>
  </w:style>
  <w:style w:type="character" w:customStyle="1" w:styleId="43">
    <w:name w:val="font91"/>
    <w:basedOn w:val="25"/>
    <w:qFormat/>
    <w:uiPriority w:val="0"/>
    <w:rPr>
      <w:rFonts w:hint="eastAsia" w:ascii="仿宋" w:hAnsi="仿宋" w:eastAsia="仿宋" w:cs="仿宋"/>
      <w:b/>
      <w:bCs/>
      <w:color w:val="000000"/>
      <w:sz w:val="16"/>
      <w:szCs w:val="16"/>
      <w:u w:val="none"/>
    </w:rPr>
  </w:style>
  <w:style w:type="character" w:customStyle="1" w:styleId="44">
    <w:name w:val="font211"/>
    <w:basedOn w:val="25"/>
    <w:qFormat/>
    <w:uiPriority w:val="0"/>
    <w:rPr>
      <w:rFonts w:hint="default" w:ascii="Times New Roman" w:hAnsi="Times New Roman" w:cs="Times New Roman"/>
      <w:b/>
      <w:bCs/>
      <w:color w:val="000000"/>
      <w:sz w:val="16"/>
      <w:szCs w:val="16"/>
      <w:u w:val="none"/>
    </w:rPr>
  </w:style>
  <w:style w:type="character" w:customStyle="1" w:styleId="45">
    <w:name w:val="font101"/>
    <w:basedOn w:val="25"/>
    <w:qFormat/>
    <w:uiPriority w:val="0"/>
    <w:rPr>
      <w:rFonts w:hint="eastAsia" w:ascii="宋体" w:hAnsi="宋体" w:eastAsia="宋体" w:cs="宋体"/>
      <w:b/>
      <w:bCs/>
      <w:color w:val="000000"/>
      <w:sz w:val="28"/>
      <w:szCs w:val="28"/>
      <w:u w:val="none"/>
    </w:rPr>
  </w:style>
  <w:style w:type="character" w:customStyle="1" w:styleId="46">
    <w:name w:val="font71"/>
    <w:basedOn w:val="25"/>
    <w:qFormat/>
    <w:uiPriority w:val="0"/>
    <w:rPr>
      <w:rFonts w:hint="eastAsia" w:ascii="宋体" w:hAnsi="宋体" w:eastAsia="宋体" w:cs="宋体"/>
      <w:color w:val="000000"/>
      <w:sz w:val="20"/>
      <w:szCs w:val="20"/>
      <w:u w:val="none"/>
    </w:rPr>
  </w:style>
  <w:style w:type="character" w:customStyle="1" w:styleId="47">
    <w:name w:val="font61"/>
    <w:basedOn w:val="25"/>
    <w:qFormat/>
    <w:uiPriority w:val="0"/>
    <w:rPr>
      <w:rFonts w:hint="eastAsia" w:ascii="宋体" w:hAnsi="宋体" w:eastAsia="宋体" w:cs="宋体"/>
      <w:b/>
      <w:bCs/>
      <w:color w:val="000000"/>
      <w:sz w:val="20"/>
      <w:szCs w:val="20"/>
      <w:u w:val="none"/>
    </w:rPr>
  </w:style>
  <w:style w:type="character" w:customStyle="1" w:styleId="48">
    <w:name w:val="font81"/>
    <w:basedOn w:val="25"/>
    <w:qFormat/>
    <w:uiPriority w:val="0"/>
    <w:rPr>
      <w:rFonts w:hint="default" w:ascii="Times New Roman" w:hAnsi="Times New Roman" w:cs="Times New Roman"/>
      <w:color w:val="000000"/>
      <w:sz w:val="20"/>
      <w:szCs w:val="20"/>
      <w:u w:val="none"/>
    </w:rPr>
  </w:style>
  <w:style w:type="character" w:customStyle="1" w:styleId="49">
    <w:name w:val="font51"/>
    <w:basedOn w:val="25"/>
    <w:qFormat/>
    <w:uiPriority w:val="0"/>
    <w:rPr>
      <w:rFonts w:hint="default" w:ascii="Times New Roman" w:hAnsi="Times New Roman" w:cs="Times New Roman"/>
      <w:b/>
      <w:bCs/>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23.jpeg"/><Relationship Id="rId43" Type="http://schemas.openxmlformats.org/officeDocument/2006/relationships/image" Target="media/image22.jpeg"/><Relationship Id="rId42" Type="http://schemas.openxmlformats.org/officeDocument/2006/relationships/image" Target="media/image21.jpeg"/><Relationship Id="rId41" Type="http://schemas.openxmlformats.org/officeDocument/2006/relationships/image" Target="media/image20.jpeg"/><Relationship Id="rId40" Type="http://schemas.openxmlformats.org/officeDocument/2006/relationships/image" Target="media/image19.jpeg"/><Relationship Id="rId4" Type="http://schemas.openxmlformats.org/officeDocument/2006/relationships/endnotes" Target="endnotes.xml"/><Relationship Id="rId39" Type="http://schemas.openxmlformats.org/officeDocument/2006/relationships/image" Target="media/image18.jpeg"/><Relationship Id="rId38" Type="http://schemas.openxmlformats.org/officeDocument/2006/relationships/image" Target="media/image17.jpeg"/><Relationship Id="rId37" Type="http://schemas.openxmlformats.org/officeDocument/2006/relationships/image" Target="media/image16.jpeg"/><Relationship Id="rId36" Type="http://schemas.openxmlformats.org/officeDocument/2006/relationships/image" Target="media/image15.jpeg"/><Relationship Id="rId35" Type="http://schemas.openxmlformats.org/officeDocument/2006/relationships/image" Target="media/image14.jpeg"/><Relationship Id="rId34" Type="http://schemas.openxmlformats.org/officeDocument/2006/relationships/image" Target="media/image13.jpeg"/><Relationship Id="rId33" Type="http://schemas.openxmlformats.org/officeDocument/2006/relationships/image" Target="media/image12.jpeg"/><Relationship Id="rId32" Type="http://schemas.openxmlformats.org/officeDocument/2006/relationships/image" Target="media/image11.jpeg"/><Relationship Id="rId31" Type="http://schemas.openxmlformats.org/officeDocument/2006/relationships/image" Target="media/image10.jpeg"/><Relationship Id="rId30" Type="http://schemas.openxmlformats.org/officeDocument/2006/relationships/image" Target="media/image9.jpeg"/><Relationship Id="rId3" Type="http://schemas.openxmlformats.org/officeDocument/2006/relationships/footnotes" Target="footnotes.xml"/><Relationship Id="rId29" Type="http://schemas.openxmlformats.org/officeDocument/2006/relationships/image" Target="media/image8.jpeg"/><Relationship Id="rId28" Type="http://schemas.openxmlformats.org/officeDocument/2006/relationships/image" Target="media/image7.jpeg"/><Relationship Id="rId27" Type="http://schemas.openxmlformats.org/officeDocument/2006/relationships/image" Target="media/image6.jpeg"/><Relationship Id="rId26" Type="http://schemas.openxmlformats.org/officeDocument/2006/relationships/image" Target="media/image5.jpeg"/><Relationship Id="rId25" Type="http://schemas.openxmlformats.org/officeDocument/2006/relationships/image" Target="media/image4.jpeg"/><Relationship Id="rId24" Type="http://schemas.openxmlformats.org/officeDocument/2006/relationships/image" Target="media/image3.jpeg"/><Relationship Id="rId23" Type="http://schemas.openxmlformats.org/officeDocument/2006/relationships/image" Target="media/image2.jpeg"/><Relationship Id="rId22" Type="http://schemas.openxmlformats.org/officeDocument/2006/relationships/image" Target="media/image1.jpeg"/><Relationship Id="rId21" Type="http://schemas.openxmlformats.org/officeDocument/2006/relationships/theme" Target="theme/theme1.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8.xml"/><Relationship Id="rId17" Type="http://schemas.openxmlformats.org/officeDocument/2006/relationships/header" Target="header6.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71</Pages>
  <Words>14353</Words>
  <Characters>15333</Characters>
  <Lines>0</Lines>
  <Paragraphs>0</Paragraphs>
  <TotalTime>82</TotalTime>
  <ScaleCrop>false</ScaleCrop>
  <LinksUpToDate>false</LinksUpToDate>
  <CharactersWithSpaces>15488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2022-09-17T04:24:00Z</dcterms:created>
  <dc:creator>YY</dc:creator>
  <cp:lastModifiedBy>M(*^o^*)</cp:lastModifiedBy>
  <cp:lastPrinted>2022-10-24T07:29:00Z</cp:lastPrinted>
  <dcterms:modified xsi:type="dcterms:W3CDTF">2025-06-18T03:29:22Z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BBAF6ED0746A4696AD66B335691B9D22_13</vt:lpwstr>
  </property>
  <property fmtid="{D5CDD505-2E9C-101B-9397-08002B2CF9AE}" pid="4" name="KSOTemplateDocerSaveRecord">
    <vt:lpwstr>eyJoZGlkIjoiYjdlYjkyMmE0NmUzM2QwNDJmYmZmM2EwNzI4MGU4NDYiLCJ1c2VySWQiOiI2MjEwNjQ0MDkifQ==</vt:lpwstr>
  </property>
</Properties>
</file>