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80" w:name="_GoBack"/>
      <w:bookmarkEnd w:id="80"/>
    </w:p>
    <w:p/>
    <w:p/>
    <w:p>
      <w:pPr>
        <w:jc w:val="center"/>
        <w:rPr>
          <w:rFonts w:hint="eastAsia"/>
          <w:sz w:val="52"/>
          <w:szCs w:val="44"/>
        </w:rPr>
      </w:pPr>
      <w:r>
        <w:rPr>
          <w:rFonts w:hint="eastAsia"/>
          <w:sz w:val="52"/>
          <w:szCs w:val="44"/>
        </w:rPr>
        <w:t>政府采购货物、服务类</w:t>
      </w:r>
    </w:p>
    <w:p>
      <w:pPr>
        <w:jc w:val="center"/>
        <w:rPr>
          <w:sz w:val="52"/>
          <w:szCs w:val="44"/>
        </w:rPr>
      </w:pPr>
    </w:p>
    <w:p>
      <w:pPr>
        <w:jc w:val="center"/>
        <w:rPr>
          <w:sz w:val="90"/>
          <w:szCs w:val="44"/>
        </w:rPr>
      </w:pPr>
      <w:r>
        <w:rPr>
          <w:rFonts w:hint="eastAsia"/>
          <w:sz w:val="90"/>
          <w:szCs w:val="44"/>
        </w:rPr>
        <w:t>公开招标采购文件</w:t>
      </w:r>
    </w:p>
    <w:p/>
    <w:p/>
    <w:p/>
    <w:p/>
    <w:p/>
    <w:p/>
    <w:p/>
    <w:p/>
    <w:p>
      <w:r>
        <w:rPr>
          <w:rFonts w:hint="eastAsia"/>
        </w:rPr>
        <w:t xml:space="preserve"> </w:t>
      </w:r>
    </w:p>
    <w:p/>
    <w:p/>
    <w:p>
      <w:pPr>
        <w:spacing w:line="580" w:lineRule="exact"/>
        <w:ind w:firstLine="480" w:firstLineChars="150"/>
        <w:jc w:val="left"/>
        <w:rPr>
          <w:sz w:val="32"/>
          <w:szCs w:val="32"/>
          <w:u w:val="single"/>
        </w:rPr>
      </w:pPr>
      <w:r>
        <w:rPr>
          <w:rFonts w:hint="eastAsia"/>
          <w:sz w:val="32"/>
          <w:szCs w:val="32"/>
        </w:rPr>
        <w:t>项目名称：</w:t>
      </w:r>
      <w:r>
        <w:rPr>
          <w:rFonts w:hint="eastAsia"/>
          <w:sz w:val="32"/>
          <w:szCs w:val="32"/>
          <w:u w:val="single"/>
        </w:rPr>
        <w:t xml:space="preserve">宁海县茶院乡镇区保洁及垃圾清运服务项目    </w:t>
      </w:r>
    </w:p>
    <w:p>
      <w:pPr>
        <w:spacing w:line="580" w:lineRule="exact"/>
        <w:ind w:firstLine="480" w:firstLineChars="150"/>
        <w:jc w:val="left"/>
        <w:rPr>
          <w:sz w:val="32"/>
          <w:szCs w:val="32"/>
        </w:rPr>
      </w:pPr>
      <w:r>
        <w:rPr>
          <w:rFonts w:hint="eastAsia"/>
          <w:sz w:val="32"/>
          <w:szCs w:val="32"/>
        </w:rPr>
        <w:t>项目编号：</w:t>
      </w:r>
      <w:r>
        <w:rPr>
          <w:rFonts w:hint="eastAsia"/>
          <w:sz w:val="32"/>
          <w:szCs w:val="32"/>
          <w:u w:val="single"/>
        </w:rPr>
        <w:t xml:space="preserve">NBJX190207G                              </w:t>
      </w:r>
    </w:p>
    <w:p>
      <w:pPr>
        <w:spacing w:line="580" w:lineRule="exact"/>
        <w:ind w:firstLine="480" w:firstLineChars="150"/>
        <w:jc w:val="left"/>
        <w:rPr>
          <w:rFonts w:hint="eastAsia"/>
          <w:sz w:val="32"/>
          <w:szCs w:val="32"/>
          <w:u w:val="single"/>
        </w:rPr>
      </w:pPr>
      <w:r>
        <w:rPr>
          <w:rFonts w:hint="eastAsia"/>
          <w:sz w:val="32"/>
          <w:szCs w:val="32"/>
        </w:rPr>
        <w:t>采购单位：</w:t>
      </w:r>
      <w:r>
        <w:rPr>
          <w:rFonts w:hint="eastAsia"/>
          <w:sz w:val="32"/>
          <w:szCs w:val="32"/>
          <w:u w:val="single"/>
        </w:rPr>
        <w:t xml:space="preserve">宁海县茶院乡人民政府                      </w:t>
      </w:r>
    </w:p>
    <w:p>
      <w:pPr>
        <w:spacing w:line="500" w:lineRule="exact"/>
        <w:ind w:firstLine="840" w:firstLineChars="400"/>
        <w:jc w:val="left"/>
      </w:pPr>
    </w:p>
    <w:p/>
    <w:p/>
    <w:p/>
    <w:p/>
    <w:p/>
    <w:p/>
    <w:p>
      <w:pPr>
        <w:jc w:val="center"/>
        <w:rPr>
          <w:sz w:val="32"/>
          <w:szCs w:val="32"/>
        </w:rPr>
      </w:pPr>
      <w:r>
        <w:rPr>
          <w:rFonts w:hint="eastAsia"/>
          <w:sz w:val="32"/>
          <w:szCs w:val="32"/>
        </w:rPr>
        <w:t>宁波建兴招标有限公司</w:t>
      </w:r>
    </w:p>
    <w:p>
      <w:pPr>
        <w:jc w:val="center"/>
        <w:rPr>
          <w:sz w:val="32"/>
          <w:szCs w:val="32"/>
        </w:rPr>
      </w:pPr>
      <w:r>
        <w:rPr>
          <w:rFonts w:hint="eastAsia"/>
          <w:sz w:val="32"/>
          <w:szCs w:val="32"/>
        </w:rPr>
        <w:t>二〇一九年九月</w:t>
      </w:r>
    </w:p>
    <w:p>
      <w:pPr>
        <w:jc w:val="center"/>
        <w:rPr>
          <w:rFonts w:hint="eastAsia"/>
        </w:rPr>
      </w:pPr>
      <w:r>
        <w:rPr>
          <w:rFonts w:hint="eastAsia"/>
        </w:rPr>
        <w:br w:type="page"/>
      </w:r>
    </w:p>
    <w:p>
      <w:pPr>
        <w:jc w:val="center"/>
        <w:rPr>
          <w:sz w:val="48"/>
          <w:szCs w:val="48"/>
        </w:rPr>
      </w:pPr>
      <w:r>
        <w:rPr>
          <w:rFonts w:hint="eastAsia"/>
        </w:rPr>
        <w:t xml:space="preserve"> </w:t>
      </w:r>
      <w:r>
        <w:rPr>
          <w:rFonts w:hint="eastAsia"/>
          <w:sz w:val="48"/>
          <w:szCs w:val="48"/>
        </w:rPr>
        <w:t>目    录</w:t>
      </w:r>
    </w:p>
    <w:p/>
    <w:p>
      <w:pPr>
        <w:pStyle w:val="24"/>
        <w:rPr>
          <w:rFonts w:ascii="Calibri" w:hAnsi="Calibri"/>
          <w:szCs w:val="22"/>
          <w:lang/>
        </w:rPr>
      </w:pPr>
      <w:r>
        <w:rPr>
          <w:rFonts w:hint="eastAsia"/>
        </w:rPr>
        <w:fldChar w:fldCharType="begin"/>
      </w:r>
      <w:r>
        <w:rPr>
          <w:rFonts w:hint="eastAsia"/>
        </w:rPr>
        <w:instrText xml:space="preserve"> TOC \o "1-3" \h \z \u </w:instrText>
      </w:r>
      <w:r>
        <w:rPr>
          <w:rFonts w:hint="eastAsia"/>
        </w:rPr>
        <w:fldChar w:fldCharType="separate"/>
      </w:r>
      <w:r>
        <w:rPr>
          <w:lang/>
        </w:rPr>
        <w:fldChar w:fldCharType="begin"/>
      </w:r>
      <w:r>
        <w:rPr>
          <w:rStyle w:val="40"/>
          <w:lang/>
        </w:rPr>
        <w:instrText xml:space="preserve"> </w:instrText>
      </w:r>
      <w:r>
        <w:rPr>
          <w:lang/>
        </w:rPr>
        <w:instrText xml:space="preserve">HYPERLINK \l "_Toc494480051"</w:instrText>
      </w:r>
      <w:r>
        <w:rPr>
          <w:rStyle w:val="40"/>
          <w:lang/>
        </w:rPr>
        <w:instrText xml:space="preserve"> </w:instrText>
      </w:r>
      <w:r>
        <w:rPr>
          <w:lang/>
        </w:rPr>
        <w:fldChar w:fldCharType="separate"/>
      </w:r>
      <w:r>
        <w:rPr>
          <w:rStyle w:val="40"/>
          <w:rFonts w:hint="eastAsia"/>
          <w:lang/>
        </w:rPr>
        <w:t>第一章</w:t>
      </w:r>
      <w:r>
        <w:rPr>
          <w:rStyle w:val="40"/>
          <w:lang/>
        </w:rPr>
        <w:t xml:space="preserve"> </w:t>
      </w:r>
      <w:r>
        <w:rPr>
          <w:rStyle w:val="40"/>
          <w:rFonts w:hint="eastAsia"/>
          <w:lang/>
        </w:rPr>
        <w:t>公开招标采购公告</w:t>
      </w:r>
      <w:r>
        <w:rPr>
          <w:lang/>
        </w:rPr>
        <w:tab/>
      </w:r>
      <w:r>
        <w:rPr>
          <w:lang/>
        </w:rPr>
        <w:fldChar w:fldCharType="begin"/>
      </w:r>
      <w:r>
        <w:rPr>
          <w:lang/>
        </w:rPr>
        <w:instrText xml:space="preserve"> PAGEREF _Toc494480051 \h </w:instrText>
      </w:r>
      <w:r>
        <w:rPr>
          <w:lang/>
        </w:rPr>
        <w:fldChar w:fldCharType="separate"/>
      </w:r>
      <w:r>
        <w:rPr>
          <w:lang/>
        </w:rPr>
        <w:t>2</w:t>
      </w:r>
      <w:r>
        <w:rPr>
          <w:lang/>
        </w:rPr>
        <w:fldChar w:fldCharType="end"/>
      </w:r>
      <w:r>
        <w:rPr>
          <w:lang/>
        </w:rPr>
        <w:fldChar w:fldCharType="end"/>
      </w:r>
    </w:p>
    <w:p>
      <w:pPr>
        <w:pStyle w:val="24"/>
        <w:rPr>
          <w:rFonts w:ascii="Calibri" w:hAnsi="Calibri"/>
          <w:szCs w:val="22"/>
          <w:lang/>
        </w:rPr>
      </w:pPr>
      <w:r>
        <w:rPr>
          <w:lang/>
        </w:rPr>
        <w:fldChar w:fldCharType="begin"/>
      </w:r>
      <w:r>
        <w:rPr>
          <w:rStyle w:val="40"/>
          <w:lang/>
        </w:rPr>
        <w:instrText xml:space="preserve"> </w:instrText>
      </w:r>
      <w:r>
        <w:rPr>
          <w:lang/>
        </w:rPr>
        <w:instrText xml:space="preserve">HYPERLINK \l "_Toc494480052"</w:instrText>
      </w:r>
      <w:r>
        <w:rPr>
          <w:rStyle w:val="40"/>
          <w:lang/>
        </w:rPr>
        <w:instrText xml:space="preserve"> </w:instrText>
      </w:r>
      <w:r>
        <w:rPr>
          <w:lang/>
        </w:rPr>
        <w:fldChar w:fldCharType="separate"/>
      </w:r>
      <w:r>
        <w:rPr>
          <w:rStyle w:val="40"/>
          <w:rFonts w:hint="eastAsia"/>
          <w:lang/>
        </w:rPr>
        <w:t>第二章</w:t>
      </w:r>
      <w:r>
        <w:rPr>
          <w:rStyle w:val="40"/>
          <w:lang/>
        </w:rPr>
        <w:t xml:space="preserve"> </w:t>
      </w:r>
      <w:r>
        <w:rPr>
          <w:rStyle w:val="40"/>
          <w:rFonts w:hint="eastAsia"/>
          <w:lang/>
        </w:rPr>
        <w:t>投标须知</w:t>
      </w:r>
      <w:r>
        <w:rPr>
          <w:lang/>
        </w:rPr>
        <w:tab/>
      </w:r>
      <w:r>
        <w:rPr>
          <w:lang/>
        </w:rPr>
        <w:fldChar w:fldCharType="begin"/>
      </w:r>
      <w:r>
        <w:rPr>
          <w:lang/>
        </w:rPr>
        <w:instrText xml:space="preserve"> PAGEREF _Toc494480052 \h </w:instrText>
      </w:r>
      <w:r>
        <w:rPr>
          <w:lang/>
        </w:rPr>
        <w:fldChar w:fldCharType="separate"/>
      </w:r>
      <w:r>
        <w:rPr>
          <w:lang/>
        </w:rPr>
        <w:t>5</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"_Toc494480053"</w:instrText>
      </w:r>
      <w:r>
        <w:rPr>
          <w:rStyle w:val="40"/>
          <w:lang/>
        </w:rPr>
        <w:instrText xml:space="preserve"> </w:instrText>
      </w:r>
      <w:r>
        <w:rPr>
          <w:lang/>
        </w:rPr>
        <w:fldChar w:fldCharType="separate"/>
      </w:r>
      <w:r>
        <w:rPr>
          <w:rStyle w:val="40"/>
          <w:rFonts w:hint="eastAsia"/>
          <w:lang/>
        </w:rPr>
        <w:t>一、特别说明</w:t>
      </w:r>
      <w:r>
        <w:rPr>
          <w:lang/>
        </w:rPr>
        <w:tab/>
      </w:r>
      <w:r>
        <w:rPr>
          <w:lang/>
        </w:rPr>
        <w:t>…</w:t>
      </w:r>
      <w:r>
        <w:rPr>
          <w:rFonts w:hint="eastAsia"/>
          <w:lang/>
        </w:rPr>
        <w:t>..</w:t>
      </w:r>
      <w:r>
        <w:rPr>
          <w:lang/>
        </w:rPr>
        <w:fldChar w:fldCharType="begin"/>
      </w:r>
      <w:r>
        <w:rPr>
          <w:lang/>
        </w:rPr>
        <w:instrText xml:space="preserve"> PAGEREF _Toc494480053 \h </w:instrText>
      </w:r>
      <w:r>
        <w:rPr>
          <w:lang/>
        </w:rPr>
        <w:fldChar w:fldCharType="separate"/>
      </w:r>
      <w:r>
        <w:rPr>
          <w:lang/>
        </w:rPr>
        <w:t>5</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"_Toc494480054"</w:instrText>
      </w:r>
      <w:r>
        <w:rPr>
          <w:rStyle w:val="40"/>
          <w:lang/>
        </w:rPr>
        <w:instrText xml:space="preserve"> </w:instrText>
      </w:r>
      <w:r>
        <w:rPr>
          <w:lang/>
        </w:rPr>
        <w:fldChar w:fldCharType="separate"/>
      </w:r>
      <w:r>
        <w:rPr>
          <w:rStyle w:val="40"/>
          <w:rFonts w:hint="eastAsia"/>
          <w:lang/>
        </w:rPr>
        <w:t>二、投标文件的组成</w:t>
      </w:r>
      <w:r>
        <w:rPr>
          <w:lang/>
        </w:rPr>
        <w:tab/>
      </w:r>
      <w:r>
        <w:rPr>
          <w:lang/>
        </w:rPr>
        <w:fldChar w:fldCharType="begin"/>
      </w:r>
      <w:r>
        <w:rPr>
          <w:lang/>
        </w:rPr>
        <w:instrText xml:space="preserve"> PAGEREF _Toc494480054 \h </w:instrText>
      </w:r>
      <w:r>
        <w:rPr>
          <w:lang/>
        </w:rPr>
        <w:fldChar w:fldCharType="separate"/>
      </w:r>
      <w:r>
        <w:rPr>
          <w:lang/>
        </w:rPr>
        <w:t>7</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"_Toc494480055"</w:instrText>
      </w:r>
      <w:r>
        <w:rPr>
          <w:rStyle w:val="40"/>
          <w:lang/>
        </w:rPr>
        <w:instrText xml:space="preserve"> </w:instrText>
      </w:r>
      <w:r>
        <w:rPr>
          <w:lang/>
        </w:rPr>
        <w:fldChar w:fldCharType="separate"/>
      </w:r>
      <w:r>
        <w:rPr>
          <w:rStyle w:val="40"/>
          <w:rFonts w:hint="eastAsia"/>
          <w:lang/>
        </w:rPr>
        <w:t>三、投标文件的语言及计量</w:t>
      </w:r>
      <w:r>
        <w:rPr>
          <w:lang/>
        </w:rPr>
        <w:tab/>
      </w:r>
      <w:r>
        <w:rPr>
          <w:lang/>
        </w:rPr>
        <w:fldChar w:fldCharType="begin"/>
      </w:r>
      <w:r>
        <w:rPr>
          <w:lang/>
        </w:rPr>
        <w:instrText xml:space="preserve"> PAGEREF _Toc494480055 \h </w:instrText>
      </w:r>
      <w:r>
        <w:rPr>
          <w:lang/>
        </w:rPr>
        <w:fldChar w:fldCharType="separate"/>
      </w:r>
      <w:r>
        <w:rPr>
          <w:lang/>
        </w:rPr>
        <w:t>8</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"_Toc494480056"</w:instrText>
      </w:r>
      <w:r>
        <w:rPr>
          <w:rStyle w:val="40"/>
          <w:lang/>
        </w:rPr>
        <w:instrText xml:space="preserve"> </w:instrText>
      </w:r>
      <w:r>
        <w:rPr>
          <w:lang/>
        </w:rPr>
        <w:fldChar w:fldCharType="separate"/>
      </w:r>
      <w:r>
        <w:rPr>
          <w:rStyle w:val="40"/>
          <w:rFonts w:hint="eastAsia"/>
          <w:lang/>
        </w:rPr>
        <w:t>四、投标报价</w:t>
      </w:r>
      <w:r>
        <w:rPr>
          <w:lang/>
        </w:rPr>
        <w:tab/>
      </w:r>
      <w:r>
        <w:rPr>
          <w:lang/>
        </w:rPr>
        <w:fldChar w:fldCharType="begin"/>
      </w:r>
      <w:r>
        <w:rPr>
          <w:lang/>
        </w:rPr>
        <w:instrText xml:space="preserve"> PAGEREF _Toc494480056 \h </w:instrText>
      </w:r>
      <w:r>
        <w:rPr>
          <w:lang/>
        </w:rPr>
        <w:fldChar w:fldCharType="separate"/>
      </w:r>
      <w:r>
        <w:rPr>
          <w:lang/>
        </w:rPr>
        <w:t>9</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"_Toc494480057"</w:instrText>
      </w:r>
      <w:r>
        <w:rPr>
          <w:rStyle w:val="40"/>
          <w:lang/>
        </w:rPr>
        <w:instrText xml:space="preserve"> </w:instrText>
      </w:r>
      <w:r>
        <w:rPr>
          <w:lang/>
        </w:rPr>
        <w:fldChar w:fldCharType="separate"/>
      </w:r>
      <w:r>
        <w:rPr>
          <w:rStyle w:val="40"/>
          <w:rFonts w:hint="eastAsia"/>
          <w:lang/>
        </w:rPr>
        <w:t>五、投标文件的有效期</w:t>
      </w:r>
      <w:r>
        <w:rPr>
          <w:lang/>
        </w:rPr>
        <w:tab/>
      </w:r>
      <w:r>
        <w:rPr>
          <w:lang/>
        </w:rPr>
        <w:fldChar w:fldCharType="begin"/>
      </w:r>
      <w:r>
        <w:rPr>
          <w:lang/>
        </w:rPr>
        <w:instrText xml:space="preserve"> PAGEREF _Toc494480057 \h </w:instrText>
      </w:r>
      <w:r>
        <w:rPr>
          <w:lang/>
        </w:rPr>
        <w:fldChar w:fldCharType="separate"/>
      </w:r>
      <w:r>
        <w:rPr>
          <w:lang/>
        </w:rPr>
        <w:t>10</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"_Toc494480058"</w:instrText>
      </w:r>
      <w:r>
        <w:rPr>
          <w:rStyle w:val="40"/>
          <w:lang/>
        </w:rPr>
        <w:instrText xml:space="preserve"> </w:instrText>
      </w:r>
      <w:r>
        <w:rPr>
          <w:lang/>
        </w:rPr>
        <w:fldChar w:fldCharType="separate"/>
      </w:r>
      <w:r>
        <w:rPr>
          <w:rStyle w:val="40"/>
          <w:rFonts w:hint="eastAsia"/>
          <w:lang/>
        </w:rPr>
        <w:t>六、投标文件的签署和份数</w:t>
      </w:r>
      <w:r>
        <w:rPr>
          <w:lang/>
        </w:rPr>
        <w:tab/>
      </w:r>
      <w:r>
        <w:rPr>
          <w:lang/>
        </w:rPr>
        <w:fldChar w:fldCharType="begin"/>
      </w:r>
      <w:r>
        <w:rPr>
          <w:lang/>
        </w:rPr>
        <w:instrText xml:space="preserve"> PAGEREF _Toc494480058 \h </w:instrText>
      </w:r>
      <w:r>
        <w:rPr>
          <w:lang/>
        </w:rPr>
        <w:fldChar w:fldCharType="separate"/>
      </w:r>
      <w:r>
        <w:rPr>
          <w:lang/>
        </w:rPr>
        <w:t>10</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"_Toc494480059"</w:instrText>
      </w:r>
      <w:r>
        <w:rPr>
          <w:rStyle w:val="40"/>
          <w:lang/>
        </w:rPr>
        <w:instrText xml:space="preserve"> </w:instrText>
      </w:r>
      <w:r>
        <w:rPr>
          <w:lang/>
        </w:rPr>
        <w:fldChar w:fldCharType="separate"/>
      </w:r>
      <w:r>
        <w:rPr>
          <w:rStyle w:val="40"/>
          <w:rFonts w:hint="eastAsia"/>
          <w:lang/>
        </w:rPr>
        <w:t>七、投标文件的包装、递交、修改和撤回</w:t>
      </w:r>
      <w:r>
        <w:rPr>
          <w:lang/>
        </w:rPr>
        <w:tab/>
      </w:r>
      <w:r>
        <w:rPr>
          <w:lang/>
        </w:rPr>
        <w:fldChar w:fldCharType="begin"/>
      </w:r>
      <w:r>
        <w:rPr>
          <w:lang/>
        </w:rPr>
        <w:instrText xml:space="preserve"> PAGEREF _Toc494480059 \h </w:instrText>
      </w:r>
      <w:r>
        <w:rPr>
          <w:lang/>
        </w:rPr>
        <w:fldChar w:fldCharType="separate"/>
      </w:r>
      <w:r>
        <w:rPr>
          <w:lang/>
        </w:rPr>
        <w:t>11</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"_Toc494480060"</w:instrText>
      </w:r>
      <w:r>
        <w:rPr>
          <w:rStyle w:val="40"/>
          <w:lang/>
        </w:rPr>
        <w:instrText xml:space="preserve"> </w:instrText>
      </w:r>
      <w:r>
        <w:rPr>
          <w:lang/>
        </w:rPr>
        <w:fldChar w:fldCharType="separate"/>
      </w:r>
      <w:r>
        <w:rPr>
          <w:rStyle w:val="40"/>
          <w:rFonts w:hint="eastAsia"/>
          <w:lang/>
        </w:rPr>
        <w:t>八、投标保证金的交纳及退还</w:t>
      </w:r>
      <w:r>
        <w:rPr>
          <w:lang/>
        </w:rPr>
        <w:tab/>
      </w:r>
      <w:r>
        <w:rPr>
          <w:lang/>
        </w:rPr>
        <w:fldChar w:fldCharType="begin"/>
      </w:r>
      <w:r>
        <w:rPr>
          <w:lang/>
        </w:rPr>
        <w:instrText xml:space="preserve"> PAGEREF _Toc494480060 \h </w:instrText>
      </w:r>
      <w:r>
        <w:rPr>
          <w:lang/>
        </w:rPr>
        <w:fldChar w:fldCharType="separate"/>
      </w:r>
      <w:r>
        <w:rPr>
          <w:lang/>
        </w:rPr>
        <w:t>11</w:t>
      </w:r>
      <w:r>
        <w:rPr>
          <w:lang/>
        </w:rPr>
        <w:fldChar w:fldCharType="end"/>
      </w:r>
      <w:r>
        <w:rPr>
          <w:lang/>
        </w:rPr>
        <w:fldChar w:fldCharType="end"/>
      </w:r>
    </w:p>
    <w:p>
      <w:pPr>
        <w:pStyle w:val="24"/>
        <w:rPr>
          <w:rFonts w:ascii="Calibri" w:hAnsi="Calibri"/>
          <w:szCs w:val="22"/>
          <w:lang/>
        </w:rPr>
      </w:pPr>
      <w:r>
        <w:rPr>
          <w:lang/>
        </w:rPr>
        <w:fldChar w:fldCharType="begin"/>
      </w:r>
      <w:r>
        <w:rPr>
          <w:rStyle w:val="40"/>
          <w:lang/>
        </w:rPr>
        <w:instrText xml:space="preserve"> </w:instrText>
      </w:r>
      <w:r>
        <w:rPr>
          <w:lang/>
        </w:rPr>
        <w:instrText xml:space="preserve">HYPERLINK \l "_Toc494480061"</w:instrText>
      </w:r>
      <w:r>
        <w:rPr>
          <w:rStyle w:val="40"/>
          <w:lang/>
        </w:rPr>
        <w:instrText xml:space="preserve"> </w:instrText>
      </w:r>
      <w:r>
        <w:rPr>
          <w:lang/>
        </w:rPr>
        <w:fldChar w:fldCharType="separate"/>
      </w:r>
      <w:r>
        <w:rPr>
          <w:rStyle w:val="40"/>
          <w:rFonts w:hint="eastAsia"/>
          <w:lang/>
        </w:rPr>
        <w:t>第三章</w:t>
      </w:r>
      <w:r>
        <w:rPr>
          <w:rStyle w:val="40"/>
          <w:lang/>
        </w:rPr>
        <w:t xml:space="preserve"> </w:t>
      </w:r>
      <w:r>
        <w:rPr>
          <w:rStyle w:val="40"/>
          <w:rFonts w:hint="eastAsia"/>
          <w:lang/>
        </w:rPr>
        <w:t>采购内容和技术（服务）要求</w:t>
      </w:r>
      <w:r>
        <w:rPr>
          <w:lang/>
        </w:rPr>
        <w:tab/>
      </w:r>
      <w:r>
        <w:rPr>
          <w:lang/>
        </w:rPr>
        <w:fldChar w:fldCharType="begin"/>
      </w:r>
      <w:r>
        <w:rPr>
          <w:lang/>
        </w:rPr>
        <w:instrText xml:space="preserve"> PAGEREF _Toc494480061 \h </w:instrText>
      </w:r>
      <w:r>
        <w:rPr>
          <w:lang/>
        </w:rPr>
        <w:fldChar w:fldCharType="separate"/>
      </w:r>
      <w:r>
        <w:rPr>
          <w:lang/>
        </w:rPr>
        <w:t>13</w:t>
      </w:r>
      <w:r>
        <w:rPr>
          <w:lang/>
        </w:rPr>
        <w:fldChar w:fldCharType="end"/>
      </w:r>
      <w:r>
        <w:rPr>
          <w:lang/>
        </w:rPr>
        <w:fldChar w:fldCharType="end"/>
      </w:r>
    </w:p>
    <w:p>
      <w:pPr>
        <w:pStyle w:val="24"/>
        <w:rPr>
          <w:rFonts w:ascii="Calibri" w:hAnsi="Calibri"/>
          <w:szCs w:val="22"/>
          <w:lang/>
        </w:rPr>
      </w:pPr>
      <w:r>
        <w:rPr>
          <w:lang/>
        </w:rPr>
        <w:fldChar w:fldCharType="begin"/>
      </w:r>
      <w:r>
        <w:rPr>
          <w:rStyle w:val="40"/>
          <w:lang/>
        </w:rPr>
        <w:instrText xml:space="preserve"> </w:instrText>
      </w:r>
      <w:r>
        <w:rPr>
          <w:lang/>
        </w:rPr>
        <w:instrText xml:space="preserve">HYPERLINK \l "_Toc494480062"</w:instrText>
      </w:r>
      <w:r>
        <w:rPr>
          <w:rStyle w:val="40"/>
          <w:lang/>
        </w:rPr>
        <w:instrText xml:space="preserve"> </w:instrText>
      </w:r>
      <w:r>
        <w:rPr>
          <w:lang/>
        </w:rPr>
        <w:fldChar w:fldCharType="separate"/>
      </w:r>
      <w:r>
        <w:rPr>
          <w:rStyle w:val="40"/>
          <w:rFonts w:hint="eastAsia"/>
          <w:lang/>
        </w:rPr>
        <w:t>第四章</w:t>
      </w:r>
      <w:r>
        <w:rPr>
          <w:rStyle w:val="40"/>
          <w:lang/>
        </w:rPr>
        <w:t xml:space="preserve"> </w:t>
      </w:r>
      <w:r>
        <w:rPr>
          <w:rStyle w:val="40"/>
          <w:rFonts w:hint="eastAsia"/>
          <w:lang/>
        </w:rPr>
        <w:t>开标及评标</w:t>
      </w:r>
      <w:r>
        <w:rPr>
          <w:lang/>
        </w:rPr>
        <w:tab/>
      </w:r>
      <w:r>
        <w:rPr>
          <w:lang/>
        </w:rPr>
        <w:fldChar w:fldCharType="begin"/>
      </w:r>
      <w:r>
        <w:rPr>
          <w:lang/>
        </w:rPr>
        <w:instrText xml:space="preserve"> PAGEREF _Toc494480062 \h </w:instrText>
      </w:r>
      <w:r>
        <w:rPr>
          <w:lang/>
        </w:rPr>
        <w:fldChar w:fldCharType="separate"/>
      </w:r>
      <w:r>
        <w:rPr>
          <w:lang/>
        </w:rPr>
        <w:t>31</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"_Toc494480063"</w:instrText>
      </w:r>
      <w:r>
        <w:rPr>
          <w:rStyle w:val="40"/>
          <w:lang/>
        </w:rPr>
        <w:instrText xml:space="preserve"> </w:instrText>
      </w:r>
      <w:r>
        <w:rPr>
          <w:lang/>
        </w:rPr>
        <w:fldChar w:fldCharType="separate"/>
      </w:r>
      <w:r>
        <w:rPr>
          <w:rStyle w:val="40"/>
          <w:rFonts w:hint="eastAsia"/>
          <w:lang/>
        </w:rPr>
        <w:t>一、开标程序</w:t>
      </w:r>
      <w:r>
        <w:rPr>
          <w:lang/>
        </w:rPr>
        <w:tab/>
      </w:r>
      <w:r>
        <w:rPr>
          <w:lang/>
        </w:rPr>
        <w:fldChar w:fldCharType="begin"/>
      </w:r>
      <w:r>
        <w:rPr>
          <w:lang/>
        </w:rPr>
        <w:instrText xml:space="preserve"> PAGEREF _Toc494480063 \h </w:instrText>
      </w:r>
      <w:r>
        <w:rPr>
          <w:lang/>
        </w:rPr>
        <w:fldChar w:fldCharType="separate"/>
      </w:r>
      <w:r>
        <w:rPr>
          <w:lang/>
        </w:rPr>
        <w:t>31</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"_Toc494480064"</w:instrText>
      </w:r>
      <w:r>
        <w:rPr>
          <w:rStyle w:val="40"/>
          <w:lang/>
        </w:rPr>
        <w:instrText xml:space="preserve"> </w:instrText>
      </w:r>
      <w:r>
        <w:rPr>
          <w:lang/>
        </w:rPr>
        <w:fldChar w:fldCharType="separate"/>
      </w:r>
      <w:r>
        <w:rPr>
          <w:rStyle w:val="40"/>
          <w:rFonts w:hint="eastAsia"/>
          <w:lang/>
        </w:rPr>
        <w:t>二、评标委员会</w:t>
      </w:r>
      <w:r>
        <w:rPr>
          <w:lang/>
        </w:rPr>
        <w:tab/>
      </w:r>
      <w:r>
        <w:rPr>
          <w:lang/>
        </w:rPr>
        <w:fldChar w:fldCharType="begin"/>
      </w:r>
      <w:r>
        <w:rPr>
          <w:lang/>
        </w:rPr>
        <w:instrText xml:space="preserve"> PAGEREF _Toc494480064 \h </w:instrText>
      </w:r>
      <w:r>
        <w:rPr>
          <w:lang/>
        </w:rPr>
        <w:fldChar w:fldCharType="separate"/>
      </w:r>
      <w:r>
        <w:rPr>
          <w:lang/>
        </w:rPr>
        <w:t>31</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"_Toc494480065"</w:instrText>
      </w:r>
      <w:r>
        <w:rPr>
          <w:rStyle w:val="40"/>
          <w:lang/>
        </w:rPr>
        <w:instrText xml:space="preserve"> </w:instrText>
      </w:r>
      <w:r>
        <w:rPr>
          <w:lang/>
        </w:rPr>
        <w:fldChar w:fldCharType="separate"/>
      </w:r>
      <w:r>
        <w:rPr>
          <w:rStyle w:val="40"/>
          <w:rFonts w:hint="eastAsia"/>
          <w:lang/>
        </w:rPr>
        <w:t>三、评标方法</w:t>
      </w:r>
      <w:r>
        <w:rPr>
          <w:lang/>
        </w:rPr>
        <w:tab/>
      </w:r>
      <w:r>
        <w:rPr>
          <w:lang/>
        </w:rPr>
        <w:fldChar w:fldCharType="begin"/>
      </w:r>
      <w:r>
        <w:rPr>
          <w:lang/>
        </w:rPr>
        <w:instrText xml:space="preserve"> PAGEREF _Toc494480065 \h </w:instrText>
      </w:r>
      <w:r>
        <w:rPr>
          <w:lang/>
        </w:rPr>
        <w:fldChar w:fldCharType="separate"/>
      </w:r>
      <w:r>
        <w:rPr>
          <w:lang/>
        </w:rPr>
        <w:t>32</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"_Toc494480066"</w:instrText>
      </w:r>
      <w:r>
        <w:rPr>
          <w:rStyle w:val="40"/>
          <w:lang/>
        </w:rPr>
        <w:instrText xml:space="preserve"> </w:instrText>
      </w:r>
      <w:r>
        <w:rPr>
          <w:lang/>
        </w:rPr>
        <w:fldChar w:fldCharType="separate"/>
      </w:r>
      <w:r>
        <w:rPr>
          <w:rStyle w:val="40"/>
          <w:rFonts w:hint="eastAsia"/>
          <w:lang/>
        </w:rPr>
        <w:t>四、评标程序</w:t>
      </w:r>
      <w:r>
        <w:rPr>
          <w:lang/>
        </w:rPr>
        <w:tab/>
      </w:r>
      <w:r>
        <w:rPr>
          <w:lang/>
        </w:rPr>
        <w:fldChar w:fldCharType="begin"/>
      </w:r>
      <w:r>
        <w:rPr>
          <w:lang/>
        </w:rPr>
        <w:instrText xml:space="preserve"> PAGEREF _Toc494480066 \h </w:instrText>
      </w:r>
      <w:r>
        <w:rPr>
          <w:lang/>
        </w:rPr>
        <w:fldChar w:fldCharType="separate"/>
      </w:r>
      <w:r>
        <w:rPr>
          <w:lang/>
        </w:rPr>
        <w:t>33</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"_Toc494480067"</w:instrText>
      </w:r>
      <w:r>
        <w:rPr>
          <w:rStyle w:val="40"/>
          <w:lang/>
        </w:rPr>
        <w:instrText xml:space="preserve"> </w:instrText>
      </w:r>
      <w:r>
        <w:rPr>
          <w:lang/>
        </w:rPr>
        <w:fldChar w:fldCharType="separate"/>
      </w:r>
      <w:r>
        <w:rPr>
          <w:rStyle w:val="40"/>
          <w:rFonts w:hint="eastAsia"/>
          <w:lang/>
        </w:rPr>
        <w:t>评分标准（兼评委打分表）</w:t>
      </w:r>
      <w:r>
        <w:rPr>
          <w:lang/>
        </w:rPr>
        <w:tab/>
      </w:r>
      <w:r>
        <w:rPr>
          <w:lang/>
        </w:rPr>
        <w:fldChar w:fldCharType="begin"/>
      </w:r>
      <w:r>
        <w:rPr>
          <w:lang/>
        </w:rPr>
        <w:instrText xml:space="preserve"> PAGEREF _Toc494480067 \h </w:instrText>
      </w:r>
      <w:r>
        <w:rPr>
          <w:lang/>
        </w:rPr>
        <w:fldChar w:fldCharType="separate"/>
      </w:r>
      <w:r>
        <w:rPr>
          <w:lang/>
        </w:rPr>
        <w:t>36</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"_Toc494480068"</w:instrText>
      </w:r>
      <w:r>
        <w:rPr>
          <w:rStyle w:val="40"/>
          <w:lang/>
        </w:rPr>
        <w:instrText xml:space="preserve"> </w:instrText>
      </w:r>
      <w:r>
        <w:rPr>
          <w:lang/>
        </w:rPr>
        <w:fldChar w:fldCharType="separate"/>
      </w:r>
      <w:r>
        <w:rPr>
          <w:rStyle w:val="40"/>
          <w:rFonts w:hint="eastAsia"/>
          <w:lang/>
        </w:rPr>
        <w:t>五、定标</w:t>
      </w:r>
      <w:r>
        <w:rPr>
          <w:lang/>
        </w:rPr>
        <w:tab/>
      </w:r>
      <w:r>
        <w:rPr>
          <w:lang/>
        </w:rPr>
        <w:fldChar w:fldCharType="begin"/>
      </w:r>
      <w:r>
        <w:rPr>
          <w:lang/>
        </w:rPr>
        <w:instrText xml:space="preserve"> PAGEREF _Toc494480068 \h </w:instrText>
      </w:r>
      <w:r>
        <w:rPr>
          <w:lang/>
        </w:rPr>
        <w:fldChar w:fldCharType="separate"/>
      </w:r>
      <w:r>
        <w:rPr>
          <w:lang/>
        </w:rPr>
        <w:t>38</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"_Toc494480069"</w:instrText>
      </w:r>
      <w:r>
        <w:rPr>
          <w:rStyle w:val="40"/>
          <w:lang/>
        </w:rPr>
        <w:instrText xml:space="preserve"> </w:instrText>
      </w:r>
      <w:r>
        <w:rPr>
          <w:lang/>
        </w:rPr>
        <w:fldChar w:fldCharType="separate"/>
      </w:r>
      <w:r>
        <w:rPr>
          <w:rStyle w:val="40"/>
          <w:rFonts w:hint="eastAsia"/>
          <w:lang/>
        </w:rPr>
        <w:t>六、评标过程的监控与保密</w:t>
      </w:r>
      <w:r>
        <w:rPr>
          <w:lang/>
        </w:rPr>
        <w:tab/>
      </w:r>
      <w:r>
        <w:rPr>
          <w:lang/>
        </w:rPr>
        <w:fldChar w:fldCharType="begin"/>
      </w:r>
      <w:r>
        <w:rPr>
          <w:lang/>
        </w:rPr>
        <w:instrText xml:space="preserve"> PAGEREF _Toc494480069 \h </w:instrText>
      </w:r>
      <w:r>
        <w:rPr>
          <w:lang/>
        </w:rPr>
        <w:fldChar w:fldCharType="separate"/>
      </w:r>
      <w:r>
        <w:rPr>
          <w:lang/>
        </w:rPr>
        <w:t>39</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"_Toc494480070"</w:instrText>
      </w:r>
      <w:r>
        <w:rPr>
          <w:rStyle w:val="40"/>
          <w:lang/>
        </w:rPr>
        <w:instrText xml:space="preserve"> </w:instrText>
      </w:r>
      <w:r>
        <w:rPr>
          <w:lang/>
        </w:rPr>
        <w:fldChar w:fldCharType="separate"/>
      </w:r>
      <w:r>
        <w:rPr>
          <w:rStyle w:val="40"/>
          <w:rFonts w:hint="eastAsia"/>
          <w:lang/>
        </w:rPr>
        <w:t>七、合同签订</w:t>
      </w:r>
      <w:r>
        <w:rPr>
          <w:lang/>
        </w:rPr>
        <w:tab/>
      </w:r>
      <w:r>
        <w:rPr>
          <w:lang/>
        </w:rPr>
        <w:fldChar w:fldCharType="begin"/>
      </w:r>
      <w:r>
        <w:rPr>
          <w:lang/>
        </w:rPr>
        <w:instrText xml:space="preserve"> PAGEREF _Toc494480070 \h </w:instrText>
      </w:r>
      <w:r>
        <w:rPr>
          <w:lang/>
        </w:rPr>
        <w:fldChar w:fldCharType="separate"/>
      </w:r>
      <w:r>
        <w:rPr>
          <w:lang/>
        </w:rPr>
        <w:t>39</w:t>
      </w:r>
      <w:r>
        <w:rPr>
          <w:lang/>
        </w:rPr>
        <w:fldChar w:fldCharType="end"/>
      </w:r>
      <w:r>
        <w:rPr>
          <w:lang/>
        </w:rPr>
        <w:fldChar w:fldCharType="end"/>
      </w:r>
    </w:p>
    <w:p>
      <w:pPr>
        <w:pStyle w:val="30"/>
        <w:tabs>
          <w:tab w:val="right" w:leader="dot" w:pos="8987"/>
        </w:tabs>
        <w:rPr>
          <w:rFonts w:ascii="Calibri" w:hAnsi="Calibri"/>
          <w:szCs w:val="22"/>
          <w:lang/>
        </w:rPr>
      </w:pPr>
      <w:r>
        <w:rPr>
          <w:lang/>
        </w:rPr>
        <w:fldChar w:fldCharType="begin"/>
      </w:r>
      <w:r>
        <w:rPr>
          <w:rStyle w:val="40"/>
          <w:lang/>
        </w:rPr>
        <w:instrText xml:space="preserve"> </w:instrText>
      </w:r>
      <w:r>
        <w:rPr>
          <w:lang/>
        </w:rPr>
        <w:instrText xml:space="preserve">HYPERLINK \l "_Toc494480071"</w:instrText>
      </w:r>
      <w:r>
        <w:rPr>
          <w:rStyle w:val="40"/>
          <w:lang/>
        </w:rPr>
        <w:instrText xml:space="preserve"> </w:instrText>
      </w:r>
      <w:r>
        <w:rPr>
          <w:lang/>
        </w:rPr>
        <w:fldChar w:fldCharType="separate"/>
      </w:r>
      <w:r>
        <w:rPr>
          <w:rStyle w:val="40"/>
          <w:rFonts w:hint="eastAsia"/>
          <w:lang/>
        </w:rPr>
        <w:t>八、履约验收</w:t>
      </w:r>
      <w:r>
        <w:rPr>
          <w:lang/>
        </w:rPr>
        <w:tab/>
      </w:r>
      <w:r>
        <w:rPr>
          <w:lang/>
        </w:rPr>
        <w:fldChar w:fldCharType="begin"/>
      </w:r>
      <w:r>
        <w:rPr>
          <w:lang/>
        </w:rPr>
        <w:instrText xml:space="preserve"> PAGEREF _Toc494480071 \h </w:instrText>
      </w:r>
      <w:r>
        <w:rPr>
          <w:lang/>
        </w:rPr>
        <w:fldChar w:fldCharType="separate"/>
      </w:r>
      <w:r>
        <w:rPr>
          <w:lang/>
        </w:rPr>
        <w:t>39</w:t>
      </w:r>
      <w:r>
        <w:rPr>
          <w:lang/>
        </w:rPr>
        <w:fldChar w:fldCharType="end"/>
      </w:r>
      <w:r>
        <w:rPr>
          <w:lang/>
        </w:rPr>
        <w:fldChar w:fldCharType="end"/>
      </w:r>
    </w:p>
    <w:p>
      <w:pPr>
        <w:pStyle w:val="24"/>
        <w:rPr>
          <w:rFonts w:ascii="Calibri" w:hAnsi="Calibri"/>
          <w:szCs w:val="22"/>
          <w:lang/>
        </w:rPr>
      </w:pPr>
      <w:r>
        <w:rPr>
          <w:lang/>
        </w:rPr>
        <w:fldChar w:fldCharType="begin"/>
      </w:r>
      <w:r>
        <w:rPr>
          <w:rStyle w:val="40"/>
          <w:lang/>
        </w:rPr>
        <w:instrText xml:space="preserve"> </w:instrText>
      </w:r>
      <w:r>
        <w:rPr>
          <w:lang/>
        </w:rPr>
        <w:instrText xml:space="preserve">HYPERLINK \l "_Toc494480072"</w:instrText>
      </w:r>
      <w:r>
        <w:rPr>
          <w:rStyle w:val="40"/>
          <w:lang/>
        </w:rPr>
        <w:instrText xml:space="preserve"> </w:instrText>
      </w:r>
      <w:r>
        <w:rPr>
          <w:lang/>
        </w:rPr>
        <w:fldChar w:fldCharType="separate"/>
      </w:r>
      <w:r>
        <w:rPr>
          <w:rStyle w:val="40"/>
          <w:rFonts w:hint="eastAsia"/>
          <w:lang/>
        </w:rPr>
        <w:t>第五章</w:t>
      </w:r>
      <w:r>
        <w:rPr>
          <w:rStyle w:val="40"/>
          <w:lang/>
        </w:rPr>
        <w:t xml:space="preserve"> </w:t>
      </w:r>
      <w:r>
        <w:rPr>
          <w:rStyle w:val="40"/>
          <w:rFonts w:hint="eastAsia"/>
          <w:lang/>
        </w:rPr>
        <w:t>合同主要条款</w:t>
      </w:r>
      <w:r>
        <w:rPr>
          <w:lang/>
        </w:rPr>
        <w:tab/>
      </w:r>
      <w:r>
        <w:rPr>
          <w:lang/>
        </w:rPr>
        <w:fldChar w:fldCharType="begin"/>
      </w:r>
      <w:r>
        <w:rPr>
          <w:lang/>
        </w:rPr>
        <w:instrText xml:space="preserve"> PAGEREF _Toc494480072 \h </w:instrText>
      </w:r>
      <w:r>
        <w:rPr>
          <w:lang/>
        </w:rPr>
        <w:fldChar w:fldCharType="separate"/>
      </w:r>
      <w:r>
        <w:rPr>
          <w:lang/>
        </w:rPr>
        <w:t>40</w:t>
      </w:r>
      <w:r>
        <w:rPr>
          <w:lang/>
        </w:rPr>
        <w:fldChar w:fldCharType="end"/>
      </w:r>
      <w:r>
        <w:rPr>
          <w:lang/>
        </w:rPr>
        <w:fldChar w:fldCharType="end"/>
      </w:r>
    </w:p>
    <w:p>
      <w:pPr>
        <w:pStyle w:val="24"/>
        <w:rPr>
          <w:rFonts w:ascii="Calibri" w:hAnsi="Calibri"/>
          <w:szCs w:val="22"/>
          <w:lang/>
        </w:rPr>
      </w:pPr>
      <w:r>
        <w:rPr>
          <w:lang/>
        </w:rPr>
        <w:fldChar w:fldCharType="begin"/>
      </w:r>
      <w:r>
        <w:rPr>
          <w:rStyle w:val="40"/>
          <w:lang/>
        </w:rPr>
        <w:instrText xml:space="preserve"> </w:instrText>
      </w:r>
      <w:r>
        <w:rPr>
          <w:lang/>
        </w:rPr>
        <w:instrText xml:space="preserve">HYPERLINK \l "_Toc494480073"</w:instrText>
      </w:r>
      <w:r>
        <w:rPr>
          <w:rStyle w:val="40"/>
          <w:lang/>
        </w:rPr>
        <w:instrText xml:space="preserve"> </w:instrText>
      </w:r>
      <w:r>
        <w:rPr>
          <w:lang/>
        </w:rPr>
        <w:fldChar w:fldCharType="separate"/>
      </w:r>
      <w:r>
        <w:rPr>
          <w:rStyle w:val="40"/>
          <w:rFonts w:hint="eastAsia"/>
          <w:lang/>
        </w:rPr>
        <w:t>第六章</w:t>
      </w:r>
      <w:r>
        <w:rPr>
          <w:rStyle w:val="40"/>
          <w:lang/>
        </w:rPr>
        <w:t xml:space="preserve"> </w:t>
      </w:r>
      <w:r>
        <w:rPr>
          <w:rStyle w:val="40"/>
          <w:rFonts w:hint="eastAsia"/>
          <w:lang/>
        </w:rPr>
        <w:t>投标文件格式内容</w:t>
      </w:r>
      <w:r>
        <w:rPr>
          <w:lang/>
        </w:rPr>
        <w:tab/>
      </w:r>
      <w:bookmarkStart w:id="0" w:name="_Hlt19542520"/>
      <w:bookmarkStart w:id="1" w:name="_Hlt19542521"/>
      <w:r>
        <w:rPr>
          <w:lang/>
        </w:rPr>
        <w:fldChar w:fldCharType="begin"/>
      </w:r>
      <w:r>
        <w:rPr>
          <w:lang/>
        </w:rPr>
        <w:instrText xml:space="preserve"> PAGEREF _Toc494480073 \h </w:instrText>
      </w:r>
      <w:r>
        <w:rPr>
          <w:lang/>
        </w:rPr>
        <w:fldChar w:fldCharType="separate"/>
      </w:r>
      <w:bookmarkStart w:id="2" w:name="_Hlt17736216"/>
      <w:bookmarkStart w:id="3" w:name="_Hlt18596794"/>
      <w:bookmarkStart w:id="4" w:name="_Hlt17736217"/>
      <w:r>
        <w:rPr>
          <w:rFonts w:hint="eastAsia"/>
          <w:lang/>
        </w:rPr>
        <w:t>5</w:t>
      </w:r>
      <w:r>
        <w:rPr>
          <w:lang/>
        </w:rPr>
        <w:t>0</w:t>
      </w:r>
      <w:bookmarkEnd w:id="2"/>
      <w:bookmarkEnd w:id="3"/>
      <w:bookmarkEnd w:id="4"/>
      <w:r>
        <w:rPr>
          <w:lang/>
        </w:rPr>
        <w:fldChar w:fldCharType="end"/>
      </w:r>
      <w:bookmarkEnd w:id="0"/>
      <w:bookmarkEnd w:id="1"/>
      <w:r>
        <w:rPr>
          <w:lang/>
        </w:rPr>
        <w:fldChar w:fldCharType="end"/>
      </w:r>
    </w:p>
    <w:p>
      <w:pPr>
        <w:spacing w:line="360" w:lineRule="auto"/>
      </w:pPr>
      <w:r>
        <w:rPr>
          <w:rFonts w:hint="eastAsia"/>
        </w:rPr>
        <w:fldChar w:fldCharType="end"/>
      </w:r>
    </w:p>
    <w:p>
      <w:pPr>
        <w:pStyle w:val="34"/>
      </w:pPr>
      <w:r>
        <w:rPr>
          <w:rFonts w:hint="eastAsia"/>
        </w:rPr>
        <w:br w:type="page"/>
      </w:r>
      <w:bookmarkStart w:id="5" w:name="_Toc494480051"/>
      <w:r>
        <w:rPr>
          <w:rFonts w:hint="eastAsia"/>
        </w:rPr>
        <w:t>第一章 公开招标采购公告</w:t>
      </w:r>
      <w:bookmarkEnd w:id="5"/>
    </w:p>
    <w:p>
      <w:pPr>
        <w:spacing w:line="360" w:lineRule="auto"/>
        <w:ind w:firstLine="420" w:firstLineChars="200"/>
        <w:rPr>
          <w:rFonts w:hint="eastAsia" w:ascii="宋体" w:hAnsi="宋体"/>
        </w:rPr>
      </w:pPr>
    </w:p>
    <w:p>
      <w:pPr>
        <w:spacing w:line="360" w:lineRule="auto"/>
        <w:ind w:firstLine="420" w:firstLineChars="200"/>
        <w:rPr>
          <w:rFonts w:ascii="宋体" w:hAnsi="宋体"/>
        </w:rPr>
      </w:pPr>
      <w:r>
        <w:rPr>
          <w:rFonts w:hint="eastAsia" w:ascii="宋体" w:hAnsi="宋体"/>
        </w:rPr>
        <w:t>根据《中华人民共和国政府采购法》、《中华人民共和国政府采购法实施条例》及宁海县政府采购的有关办法，宁波建兴招标有限公司受宁海县茶院乡人民政府委托，对宁海县茶院乡镇区保洁及垃圾清运服务项目进行公开招标采购，欢迎有资质和能力的投标人前来投标，有关事项公告如下：</w:t>
      </w:r>
    </w:p>
    <w:p>
      <w:pPr>
        <w:spacing w:line="360" w:lineRule="auto"/>
        <w:ind w:firstLine="420" w:firstLineChars="200"/>
        <w:rPr>
          <w:rFonts w:hint="eastAsia" w:ascii="宋体" w:hAnsi="宋体"/>
        </w:rPr>
      </w:pPr>
      <w:r>
        <w:rPr>
          <w:rFonts w:hint="eastAsia" w:ascii="宋体" w:hAnsi="宋体"/>
        </w:rPr>
        <w:t xml:space="preserve">一、采购编号：NBJX190207G； </w:t>
      </w:r>
    </w:p>
    <w:p>
      <w:pPr>
        <w:spacing w:line="360" w:lineRule="auto"/>
        <w:ind w:firstLine="420" w:firstLineChars="200"/>
        <w:rPr>
          <w:rFonts w:hint="eastAsia" w:ascii="宋体" w:hAnsi="宋体"/>
        </w:rPr>
      </w:pPr>
      <w:r>
        <w:rPr>
          <w:rFonts w:hint="eastAsia" w:ascii="宋体" w:hAnsi="宋体"/>
        </w:rPr>
        <w:t>二、采购预算价：1896000元/年，3年合计5688000元。</w:t>
      </w:r>
    </w:p>
    <w:p>
      <w:pPr>
        <w:spacing w:line="360" w:lineRule="auto"/>
        <w:ind w:firstLine="420" w:firstLineChars="200"/>
        <w:rPr>
          <w:rFonts w:hint="eastAsia" w:ascii="宋体" w:hAnsi="宋体"/>
        </w:rPr>
      </w:pPr>
      <w:r>
        <w:rPr>
          <w:rFonts w:hint="eastAsia" w:ascii="宋体" w:hAnsi="宋体"/>
        </w:rPr>
        <w:t>三、项目概况：</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394"/>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line="360" w:lineRule="auto"/>
              <w:jc w:val="center"/>
              <w:rPr>
                <w:rFonts w:hint="eastAsia" w:ascii="宋体" w:hAnsi="宋体"/>
              </w:rPr>
            </w:pPr>
            <w:r>
              <w:rPr>
                <w:rFonts w:hint="eastAsia" w:ascii="宋体" w:hAnsi="宋体"/>
              </w:rPr>
              <w:t>序号</w:t>
            </w:r>
          </w:p>
        </w:tc>
        <w:tc>
          <w:tcPr>
            <w:tcW w:w="4394" w:type="dxa"/>
            <w:noWrap w:val="0"/>
            <w:vAlign w:val="center"/>
          </w:tcPr>
          <w:p>
            <w:pPr>
              <w:spacing w:line="360" w:lineRule="auto"/>
              <w:jc w:val="center"/>
              <w:rPr>
                <w:rFonts w:hint="eastAsia" w:ascii="宋体" w:hAnsi="宋体"/>
              </w:rPr>
            </w:pPr>
            <w:r>
              <w:rPr>
                <w:rFonts w:hint="eastAsia" w:ascii="宋体" w:hAnsi="宋体"/>
              </w:rPr>
              <w:t>服务内容</w:t>
            </w:r>
          </w:p>
        </w:tc>
        <w:tc>
          <w:tcPr>
            <w:tcW w:w="3828" w:type="dxa"/>
            <w:noWrap w:val="0"/>
            <w:vAlign w:val="center"/>
          </w:tcPr>
          <w:p>
            <w:pPr>
              <w:spacing w:line="360" w:lineRule="auto"/>
              <w:jc w:val="center"/>
              <w:rPr>
                <w:rFonts w:hint="eastAsia" w:ascii="宋体" w:hAnsi="宋体"/>
              </w:rPr>
            </w:pPr>
            <w:r>
              <w:rPr>
                <w:rFonts w:hint="eastAsia" w:ascii="宋体" w:hAnsi="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line="360" w:lineRule="auto"/>
              <w:jc w:val="center"/>
              <w:rPr>
                <w:rFonts w:hint="eastAsia" w:ascii="宋体" w:hAnsi="宋体"/>
              </w:rPr>
            </w:pPr>
            <w:r>
              <w:rPr>
                <w:rFonts w:hint="eastAsia" w:ascii="宋体" w:hAnsi="宋体"/>
              </w:rPr>
              <w:t>1</w:t>
            </w:r>
          </w:p>
        </w:tc>
        <w:tc>
          <w:tcPr>
            <w:tcW w:w="4394" w:type="dxa"/>
            <w:noWrap w:val="0"/>
            <w:vAlign w:val="center"/>
          </w:tcPr>
          <w:p>
            <w:pPr>
              <w:spacing w:line="360" w:lineRule="auto"/>
              <w:jc w:val="center"/>
              <w:rPr>
                <w:rFonts w:hint="eastAsia" w:ascii="宋体" w:hAnsi="宋体"/>
              </w:rPr>
            </w:pPr>
            <w:r>
              <w:rPr>
                <w:rFonts w:hint="eastAsia" w:ascii="宋体" w:hAnsi="宋体"/>
              </w:rPr>
              <w:t>茶院乡镇区保洁服务（包括道路保洁、绿化带保洁、果壳箱保洁、公厕保洁、牛皮癣清理）</w:t>
            </w:r>
          </w:p>
        </w:tc>
        <w:tc>
          <w:tcPr>
            <w:tcW w:w="3828" w:type="dxa"/>
            <w:vMerge w:val="restart"/>
            <w:noWrap w:val="0"/>
            <w:vAlign w:val="center"/>
          </w:tcPr>
          <w:p>
            <w:pPr>
              <w:spacing w:line="360" w:lineRule="auto"/>
              <w:jc w:val="center"/>
              <w:rPr>
                <w:rFonts w:hint="eastAsia" w:ascii="宋体" w:hAnsi="宋体"/>
              </w:rPr>
            </w:pPr>
            <w:r>
              <w:rPr>
                <w:rFonts w:hint="eastAsia" w:ascii="宋体" w:hAnsi="宋体"/>
              </w:rPr>
              <w:t>本项目一招定三</w:t>
            </w:r>
            <w:r>
              <w:rPr>
                <w:rFonts w:ascii="宋体" w:hAnsi="宋体"/>
              </w:rPr>
              <w:t>年，合同一年一签</w:t>
            </w:r>
            <w:r>
              <w:rPr>
                <w:rFonts w:hint="eastAsia" w:ascii="宋体" w:hAnsi="宋体"/>
              </w:rPr>
              <w:t>（经政府采购管理部门批准和招标人考核合格，双方同意后，续签下一年度的合同）</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line="360" w:lineRule="auto"/>
              <w:jc w:val="center"/>
              <w:rPr>
                <w:rFonts w:hint="eastAsia" w:ascii="宋体" w:hAnsi="宋体"/>
              </w:rPr>
            </w:pPr>
            <w:r>
              <w:rPr>
                <w:rFonts w:hint="eastAsia" w:ascii="宋体" w:hAnsi="宋体"/>
              </w:rPr>
              <w:t>2</w:t>
            </w:r>
          </w:p>
        </w:tc>
        <w:tc>
          <w:tcPr>
            <w:tcW w:w="4394" w:type="dxa"/>
            <w:noWrap w:val="0"/>
            <w:vAlign w:val="center"/>
          </w:tcPr>
          <w:p>
            <w:pPr>
              <w:spacing w:line="360" w:lineRule="auto"/>
              <w:jc w:val="center"/>
              <w:rPr>
                <w:rFonts w:hint="eastAsia" w:ascii="宋体" w:hAnsi="宋体"/>
              </w:rPr>
            </w:pPr>
            <w:r>
              <w:rPr>
                <w:rFonts w:hint="eastAsia" w:ascii="宋体" w:hAnsi="宋体"/>
              </w:rPr>
              <w:t>茶院乡全镇垃圾清运服务（日产日清）</w:t>
            </w:r>
          </w:p>
        </w:tc>
        <w:tc>
          <w:tcPr>
            <w:tcW w:w="3828" w:type="dxa"/>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line="360" w:lineRule="auto"/>
              <w:jc w:val="center"/>
              <w:rPr>
                <w:rFonts w:hint="eastAsia" w:ascii="宋体" w:hAnsi="宋体"/>
              </w:rPr>
            </w:pPr>
            <w:r>
              <w:rPr>
                <w:rFonts w:hint="eastAsia" w:ascii="宋体" w:hAnsi="宋体"/>
              </w:rPr>
              <w:t>3</w:t>
            </w:r>
          </w:p>
        </w:tc>
        <w:tc>
          <w:tcPr>
            <w:tcW w:w="4394" w:type="dxa"/>
            <w:noWrap w:val="0"/>
            <w:vAlign w:val="center"/>
          </w:tcPr>
          <w:p>
            <w:pPr>
              <w:spacing w:line="360" w:lineRule="auto"/>
              <w:jc w:val="center"/>
              <w:rPr>
                <w:rFonts w:hint="eastAsia" w:ascii="宋体" w:hAnsi="宋体"/>
              </w:rPr>
            </w:pPr>
            <w:r>
              <w:rPr>
                <w:rFonts w:hint="eastAsia" w:ascii="宋体" w:hAnsi="宋体"/>
              </w:rPr>
              <w:t>中转站运营管理、垃圾分类站运营管理</w:t>
            </w:r>
          </w:p>
        </w:tc>
        <w:tc>
          <w:tcPr>
            <w:tcW w:w="3828" w:type="dxa"/>
            <w:vMerge w:val="continue"/>
            <w:noWrap w:val="0"/>
            <w:vAlign w:val="center"/>
          </w:tcPr>
          <w:p>
            <w:pPr>
              <w:spacing w:line="360" w:lineRule="auto"/>
              <w:jc w:val="center"/>
              <w:rPr>
                <w:rFonts w:hint="eastAsia" w:ascii="宋体" w:hAnsi="宋体"/>
              </w:rPr>
            </w:pPr>
          </w:p>
        </w:tc>
      </w:tr>
    </w:tbl>
    <w:p>
      <w:pPr>
        <w:spacing w:line="360" w:lineRule="auto"/>
        <w:ind w:firstLine="420" w:firstLineChars="200"/>
        <w:rPr>
          <w:rFonts w:hint="eastAsia" w:ascii="宋体" w:hAnsi="宋体"/>
        </w:rPr>
      </w:pPr>
      <w:r>
        <w:rPr>
          <w:rFonts w:hint="eastAsia" w:ascii="宋体" w:hAnsi="宋体"/>
        </w:rPr>
        <w:t>四、公告期限：2019年9月16日至2019年9月23日止</w:t>
      </w:r>
    </w:p>
    <w:p>
      <w:pPr>
        <w:spacing w:line="360" w:lineRule="auto"/>
        <w:ind w:firstLine="420" w:firstLineChars="200"/>
        <w:rPr>
          <w:rFonts w:ascii="宋体" w:hAnsi="宋体"/>
        </w:rPr>
      </w:pPr>
      <w:r>
        <w:rPr>
          <w:rFonts w:hint="eastAsia" w:ascii="宋体" w:hAnsi="宋体"/>
        </w:rPr>
        <w:t>五、合格投标人的资格要求（本项目采用资格后审）：</w:t>
      </w:r>
    </w:p>
    <w:p>
      <w:pPr>
        <w:spacing w:line="360" w:lineRule="auto"/>
        <w:ind w:firstLine="315" w:firstLineChars="150"/>
        <w:rPr>
          <w:rFonts w:hint="eastAsia" w:ascii="宋体" w:hAnsi="宋体"/>
        </w:rPr>
      </w:pPr>
      <w:r>
        <w:rPr>
          <w:rFonts w:hint="eastAsia" w:ascii="宋体" w:hAnsi="宋体"/>
        </w:rPr>
        <w:t>（一）符合《中华人民共和国政府采购法》第二十二条第一款规定的投标人资格条件，提供以下材料：</w:t>
      </w:r>
    </w:p>
    <w:p>
      <w:pPr>
        <w:spacing w:line="360" w:lineRule="auto"/>
        <w:ind w:firstLine="420" w:firstLineChars="2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420" w:firstLineChars="200"/>
        <w:rPr>
          <w:rFonts w:hint="eastAsia"/>
        </w:rPr>
      </w:pPr>
      <w:r>
        <w:rPr>
          <w:rFonts w:hint="eastAsia"/>
        </w:rPr>
        <w:t>2、2018年财务状况报告复印件，其他组织或投标人新成立不足一年，提供银行出具的资信证明材料复印件；</w:t>
      </w:r>
    </w:p>
    <w:p>
      <w:pPr>
        <w:spacing w:line="360" w:lineRule="auto"/>
        <w:ind w:firstLine="420" w:firstLineChars="200"/>
        <w:rPr>
          <w:rFonts w:hint="eastAsia"/>
        </w:rPr>
      </w:pPr>
      <w:r>
        <w:rPr>
          <w:rFonts w:hint="eastAsia"/>
        </w:rPr>
        <w:t>3、2019年开具的缴纳税收的凭据证明材料复印件；如依法免税的，应提供相应文件证明其依法免税；</w:t>
      </w:r>
    </w:p>
    <w:p>
      <w:pPr>
        <w:spacing w:line="360" w:lineRule="auto"/>
        <w:ind w:firstLine="420" w:firstLineChars="200"/>
        <w:rPr>
          <w:rFonts w:hint="eastAsia"/>
        </w:rPr>
      </w:pPr>
      <w:r>
        <w:rPr>
          <w:rFonts w:hint="eastAsia"/>
        </w:rPr>
        <w:t>4、2019年开具的缴纳社会保险的凭据证明材料复印件；如依法不需要缴纳社会保障资金的，应提供相应文件证明其依法不需要缴纳社会保障资金；</w:t>
      </w:r>
    </w:p>
    <w:p>
      <w:pPr>
        <w:spacing w:line="360" w:lineRule="auto"/>
        <w:ind w:firstLine="420" w:firstLineChars="200"/>
        <w:rPr>
          <w:rFonts w:hint="eastAsia"/>
        </w:rPr>
      </w:pPr>
      <w:r>
        <w:rPr>
          <w:rFonts w:hint="eastAsia"/>
        </w:rPr>
        <w:t>5、提供</w:t>
      </w:r>
      <w:r>
        <w:t>具有履行合同所必需的设备和专业技术能力</w:t>
      </w:r>
      <w:r>
        <w:rPr>
          <w:rFonts w:hint="eastAsia"/>
        </w:rPr>
        <w:t>的书面声明；</w:t>
      </w:r>
    </w:p>
    <w:p>
      <w:pPr>
        <w:spacing w:line="360" w:lineRule="auto"/>
        <w:ind w:firstLine="420" w:firstLineChars="200"/>
        <w:rPr>
          <w:rFonts w:hint="eastAsia"/>
        </w:rPr>
      </w:pPr>
      <w:r>
        <w:rPr>
          <w:rFonts w:hint="eastAsia"/>
        </w:rPr>
        <w:t>6、提供参加政府采购活动前</w:t>
      </w:r>
      <w:r>
        <w:t>3</w:t>
      </w:r>
      <w:r>
        <w:rPr>
          <w:rFonts w:hint="eastAsia"/>
        </w:rPr>
        <w:t>年内在经营活动中没有重大违法记录的书面声明。</w:t>
      </w:r>
    </w:p>
    <w:p>
      <w:pPr>
        <w:spacing w:line="360" w:lineRule="auto"/>
        <w:ind w:firstLine="420" w:firstLineChars="200"/>
        <w:rPr>
          <w:rFonts w:ascii="宋体" w:hAnsi="宋体"/>
        </w:rPr>
      </w:pPr>
      <w:r>
        <w:rPr>
          <w:rFonts w:hint="eastAsia" w:ascii="宋体" w:hAnsi="宋体"/>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auto"/>
        <w:ind w:firstLine="420" w:firstLineChars="200"/>
        <w:rPr>
          <w:rFonts w:ascii="宋体" w:hAnsi="宋体"/>
        </w:rPr>
      </w:pPr>
      <w:r>
        <w:rPr>
          <w:rFonts w:hint="eastAsia" w:ascii="宋体" w:hAnsi="宋体"/>
        </w:rPr>
        <w:t>（三）本项目不接受联合体投标。</w:t>
      </w:r>
    </w:p>
    <w:p>
      <w:pPr>
        <w:spacing w:line="360" w:lineRule="auto"/>
        <w:ind w:firstLine="420" w:firstLineChars="200"/>
        <w:rPr>
          <w:rFonts w:hint="eastAsia" w:ascii="宋体" w:hAnsi="宋体"/>
          <w:szCs w:val="21"/>
        </w:rPr>
      </w:pPr>
      <w:r>
        <w:rPr>
          <w:rFonts w:hint="eastAsia" w:ascii="宋体" w:hAnsi="宋体"/>
        </w:rPr>
        <w:t>（四）</w:t>
      </w:r>
      <w:r>
        <w:rPr>
          <w:rFonts w:hint="eastAsia" w:ascii="宋体" w:hAnsi="宋体"/>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投标截止日当天在“信用中国”网站（www.creditchina.gov.cn）</w:t>
      </w:r>
      <w:r>
        <w:rPr>
          <w:rFonts w:hint="eastAsia"/>
        </w:rPr>
        <w:t>及中国政府采购网</w:t>
      </w:r>
      <w:r>
        <w:rPr>
          <w:rFonts w:hint="eastAsia" w:ascii="宋体" w:hAnsi="宋体"/>
          <w:szCs w:val="21"/>
        </w:rPr>
        <w:t>查询结果为准，如相关失信记录已失效，投标人需提供相关证明资料）。</w:t>
      </w:r>
    </w:p>
    <w:p>
      <w:pPr>
        <w:spacing w:line="360" w:lineRule="auto"/>
        <w:ind w:firstLine="420" w:firstLineChars="200"/>
        <w:rPr>
          <w:rFonts w:hint="eastAsia" w:ascii="宋体" w:hAnsi="宋体"/>
          <w:szCs w:val="21"/>
        </w:rPr>
      </w:pPr>
      <w:r>
        <w:rPr>
          <w:rFonts w:hint="eastAsia" w:ascii="宋体" w:hAnsi="宋体"/>
          <w:szCs w:val="21"/>
        </w:rPr>
        <w:t>（五）特定条件：无。</w:t>
      </w:r>
    </w:p>
    <w:p>
      <w:pPr>
        <w:spacing w:line="360" w:lineRule="auto"/>
        <w:ind w:firstLine="420" w:firstLineChars="200"/>
        <w:rPr>
          <w:rFonts w:hint="eastAsia" w:ascii="宋体" w:hAnsi="宋体"/>
          <w:szCs w:val="21"/>
        </w:rPr>
      </w:pPr>
      <w:r>
        <w:rPr>
          <w:rFonts w:hint="eastAsia" w:ascii="宋体" w:hAnsi="宋体"/>
          <w:szCs w:val="21"/>
        </w:rPr>
        <w:t>六、领取标书时间、地点及方式：</w:t>
      </w:r>
    </w:p>
    <w:p>
      <w:pPr>
        <w:spacing w:line="360" w:lineRule="auto"/>
        <w:ind w:firstLine="420" w:firstLineChars="200"/>
        <w:rPr>
          <w:rFonts w:hint="eastAsia" w:ascii="宋体" w:hAnsi="宋体"/>
          <w:szCs w:val="21"/>
        </w:rPr>
      </w:pPr>
      <w:r>
        <w:rPr>
          <w:rFonts w:hint="eastAsia" w:ascii="宋体" w:hAnsi="宋体"/>
          <w:szCs w:val="21"/>
        </w:rPr>
        <w:t>1、发售时间：</w:t>
      </w:r>
      <w:r>
        <w:rPr>
          <w:rFonts w:hint="eastAsia" w:ascii="宋体" w:hAnsi="宋体"/>
        </w:rPr>
        <w:t>2019年9月16日至2019年9月23日</w:t>
      </w:r>
      <w:r>
        <w:rPr>
          <w:rFonts w:hint="eastAsia" w:ascii="宋体" w:hAnsi="宋体"/>
          <w:szCs w:val="21"/>
        </w:rPr>
        <w:t>每天北京时间上午9：00-11：00；下午13：00—16：30（节假日除外）。</w:t>
      </w:r>
    </w:p>
    <w:p>
      <w:pPr>
        <w:spacing w:line="360" w:lineRule="auto"/>
        <w:ind w:firstLine="420" w:firstLineChars="200"/>
        <w:rPr>
          <w:rFonts w:hint="eastAsia" w:ascii="宋体" w:hAnsi="宋体"/>
          <w:szCs w:val="21"/>
        </w:rPr>
      </w:pPr>
      <w:r>
        <w:rPr>
          <w:rFonts w:hint="eastAsia" w:ascii="宋体" w:hAnsi="宋体"/>
          <w:szCs w:val="21"/>
        </w:rPr>
        <w:t>2、发售地点：投标人到宁波建兴招标有限公司（宁波市海曙区开明街437号苍水大厦9楼919）现场购买。</w:t>
      </w:r>
    </w:p>
    <w:p>
      <w:pPr>
        <w:spacing w:line="360" w:lineRule="auto"/>
        <w:ind w:firstLine="420" w:firstLineChars="200"/>
        <w:rPr>
          <w:rFonts w:hint="eastAsia" w:ascii="宋体" w:hAnsi="宋体"/>
          <w:szCs w:val="21"/>
        </w:rPr>
      </w:pPr>
      <w:r>
        <w:rPr>
          <w:rFonts w:hint="eastAsia" w:ascii="宋体" w:hAnsi="宋体"/>
          <w:szCs w:val="21"/>
        </w:rPr>
        <w:t>3、招标文件售价：500元人民币，招标文件售后不退。</w:t>
      </w:r>
    </w:p>
    <w:p>
      <w:pPr>
        <w:spacing w:line="360" w:lineRule="auto"/>
        <w:ind w:firstLine="420" w:firstLineChars="200"/>
        <w:rPr>
          <w:rFonts w:hint="eastAsia" w:ascii="宋体" w:hAnsi="宋体"/>
          <w:szCs w:val="21"/>
        </w:rPr>
      </w:pPr>
      <w:r>
        <w:rPr>
          <w:rFonts w:hint="eastAsia" w:ascii="宋体" w:hAnsi="宋体"/>
          <w:szCs w:val="21"/>
        </w:rPr>
        <w:t>4、投标人购买标书时应提交的资料：</w:t>
      </w:r>
    </w:p>
    <w:p>
      <w:pPr>
        <w:spacing w:line="360" w:lineRule="auto"/>
        <w:ind w:firstLine="420" w:firstLineChars="200"/>
        <w:rPr>
          <w:rFonts w:hint="eastAsia" w:ascii="宋体" w:hAnsi="宋体"/>
          <w:szCs w:val="21"/>
        </w:rPr>
      </w:pPr>
      <w:r>
        <w:rPr>
          <w:rFonts w:hint="eastAsia" w:ascii="宋体" w:hAnsi="宋体"/>
          <w:szCs w:val="21"/>
        </w:rPr>
        <w:t>（1）企业营业执照副本（复印件加盖公章）；</w:t>
      </w:r>
    </w:p>
    <w:p>
      <w:pPr>
        <w:spacing w:line="360" w:lineRule="auto"/>
        <w:ind w:firstLine="420" w:firstLineChars="200"/>
        <w:rPr>
          <w:rFonts w:hint="eastAsia" w:ascii="宋体" w:hAnsi="宋体"/>
          <w:szCs w:val="21"/>
        </w:rPr>
      </w:pPr>
      <w:r>
        <w:rPr>
          <w:rFonts w:hint="eastAsia" w:ascii="宋体" w:hAnsi="宋体"/>
          <w:szCs w:val="21"/>
        </w:rPr>
        <w:t>（2）法定代表人身份证明书、授权委托书（原件）；</w:t>
      </w:r>
    </w:p>
    <w:p>
      <w:pPr>
        <w:spacing w:line="360" w:lineRule="auto"/>
        <w:ind w:firstLine="420" w:firstLineChars="200"/>
        <w:rPr>
          <w:rFonts w:hint="eastAsia" w:ascii="宋体" w:hAnsi="宋体"/>
          <w:szCs w:val="21"/>
        </w:rPr>
      </w:pPr>
      <w:r>
        <w:rPr>
          <w:rFonts w:hint="eastAsia" w:ascii="宋体" w:hAnsi="宋体"/>
          <w:szCs w:val="21"/>
        </w:rPr>
        <w:t>（3）被委托人身份证原件及复印件（正反面，原件核对后退还）。</w:t>
      </w:r>
    </w:p>
    <w:p>
      <w:pPr>
        <w:spacing w:line="360" w:lineRule="auto"/>
        <w:ind w:firstLine="420" w:firstLineChars="200"/>
        <w:rPr>
          <w:rFonts w:ascii="宋体" w:hAnsi="宋体"/>
        </w:rPr>
      </w:pPr>
      <w:r>
        <w:rPr>
          <w:rFonts w:hint="eastAsia" w:ascii="宋体" w:hAnsi="宋体"/>
        </w:rPr>
        <w:t>七、投标时间：投标文件接收时间为投标截止时间前半小时，截止时间：2019年10月09日09时</w:t>
      </w:r>
      <w:r>
        <w:rPr>
          <w:rFonts w:ascii="宋体" w:hAnsi="宋体"/>
        </w:rPr>
        <w:t>00</w:t>
      </w:r>
      <w:r>
        <w:rPr>
          <w:rFonts w:hint="eastAsia" w:ascii="宋体" w:hAnsi="宋体"/>
        </w:rPr>
        <w:t>分止；</w:t>
      </w:r>
      <w:r>
        <w:rPr>
          <w:rFonts w:ascii="宋体" w:hAnsi="宋体"/>
        </w:rPr>
        <w:t>投标</w:t>
      </w:r>
      <w:r>
        <w:rPr>
          <w:rFonts w:hint="eastAsia" w:ascii="宋体" w:hAnsi="宋体"/>
        </w:rPr>
        <w:t>文件</w:t>
      </w:r>
      <w:r>
        <w:rPr>
          <w:rFonts w:ascii="宋体" w:hAnsi="宋体"/>
        </w:rPr>
        <w:t>递</w:t>
      </w:r>
      <w:r>
        <w:rPr>
          <w:rFonts w:hint="eastAsia" w:ascii="宋体" w:hAnsi="宋体"/>
        </w:rPr>
        <w:t>交地点：</w:t>
      </w:r>
      <w:r>
        <w:rPr>
          <w:rFonts w:ascii="宋体" w:hAnsi="宋体"/>
        </w:rPr>
        <w:t>宁海县公共资源交易中心（宁海县桃源街道金水东路5号五楼，具体详见五楼大厅公告）</w:t>
      </w:r>
      <w:r>
        <w:rPr>
          <w:rFonts w:hint="eastAsia" w:ascii="宋体" w:hAnsi="宋体"/>
        </w:rPr>
        <w:t>。逾期递交或不符合规定的投标文件恕不接受。</w:t>
      </w:r>
    </w:p>
    <w:p>
      <w:pPr>
        <w:spacing w:line="360" w:lineRule="auto"/>
        <w:ind w:firstLine="420" w:firstLineChars="200"/>
        <w:rPr>
          <w:rFonts w:ascii="宋体" w:hAnsi="宋体"/>
        </w:rPr>
      </w:pPr>
      <w:r>
        <w:rPr>
          <w:rFonts w:hint="eastAsia" w:ascii="宋体" w:hAnsi="宋体"/>
        </w:rPr>
        <w:t>八、开标时间：2019年10月09日9时</w:t>
      </w:r>
      <w:r>
        <w:rPr>
          <w:rFonts w:ascii="宋体" w:hAnsi="宋体"/>
        </w:rPr>
        <w:t>00</w:t>
      </w:r>
      <w:r>
        <w:rPr>
          <w:rFonts w:hint="eastAsia" w:ascii="宋体" w:hAnsi="宋体"/>
        </w:rPr>
        <w:t>分；</w:t>
      </w:r>
    </w:p>
    <w:p>
      <w:pPr>
        <w:spacing w:line="360" w:lineRule="auto"/>
        <w:ind w:firstLine="420" w:firstLineChars="200"/>
        <w:rPr>
          <w:rFonts w:ascii="宋体" w:hAnsi="宋体"/>
        </w:rPr>
      </w:pPr>
      <w:r>
        <w:rPr>
          <w:rFonts w:hint="eastAsia" w:ascii="宋体" w:hAnsi="宋体"/>
        </w:rPr>
        <w:t>开标地点：</w:t>
      </w:r>
      <w:r>
        <w:rPr>
          <w:rFonts w:ascii="宋体" w:hAnsi="宋体"/>
        </w:rPr>
        <w:t>宁海县公共资源交易中心（宁海县桃源街道金水东路5号五楼，具体详见五楼大厅公告）。</w:t>
      </w:r>
    </w:p>
    <w:p>
      <w:pPr>
        <w:spacing w:line="360" w:lineRule="auto"/>
        <w:ind w:firstLine="420" w:firstLineChars="200"/>
        <w:rPr>
          <w:rFonts w:ascii="宋体" w:hAnsi="宋体"/>
        </w:rPr>
      </w:pPr>
      <w:r>
        <w:rPr>
          <w:rFonts w:hint="eastAsia" w:ascii="宋体" w:hAnsi="宋体"/>
        </w:rPr>
        <w:t>九、其他事项：</w:t>
      </w:r>
    </w:p>
    <w:p>
      <w:pPr>
        <w:spacing w:line="360" w:lineRule="auto"/>
        <w:ind w:firstLine="420" w:firstLineChars="200"/>
        <w:rPr>
          <w:rFonts w:ascii="宋体" w:hAnsi="宋体"/>
        </w:rPr>
      </w:pPr>
      <w:r>
        <w:rPr>
          <w:rFonts w:hint="eastAsia" w:ascii="宋体" w:hAnsi="宋体"/>
        </w:rPr>
        <w:t>1、采购公告发布媒体：浙江政府采购网（</w:t>
      </w:r>
      <w:r>
        <w:rPr>
          <w:rStyle w:val="40"/>
          <w:rFonts w:hint="eastAsia"/>
        </w:rPr>
        <w:t>www.zjzfcg.gov.cn</w:t>
      </w:r>
      <w:r>
        <w:rPr>
          <w:rFonts w:hint="eastAsia" w:ascii="宋体" w:hAnsi="宋体"/>
        </w:rPr>
        <w:t>）、宁波政府采购网</w:t>
      </w:r>
      <w:r>
        <w:rPr>
          <w:rFonts w:ascii="宋体" w:hAnsi="宋体"/>
        </w:rPr>
        <w:fldChar w:fldCharType="begin"/>
      </w:r>
      <w:r>
        <w:rPr>
          <w:rFonts w:ascii="宋体" w:hAnsi="宋体"/>
        </w:rPr>
        <w:instrText xml:space="preserve"> HYPERLINK "</w:instrText>
      </w:r>
      <w:r>
        <w:rPr>
          <w:rFonts w:hint="eastAsia" w:ascii="宋体" w:hAnsi="宋体"/>
        </w:rPr>
        <w:instrText xml:space="preserve">http://www.nbzfcg.cn</w:instrText>
      </w:r>
      <w:r>
        <w:rPr>
          <w:rFonts w:ascii="宋体" w:hAnsi="宋体"/>
        </w:rPr>
        <w:instrText xml:space="preserve">" </w:instrText>
      </w:r>
      <w:r>
        <w:rPr>
          <w:rFonts w:ascii="宋体" w:hAnsi="宋体"/>
        </w:rPr>
        <w:fldChar w:fldCharType="separate"/>
      </w:r>
      <w:r>
        <w:rPr>
          <w:rStyle w:val="40"/>
          <w:rFonts w:hint="eastAsia" w:ascii="宋体" w:hAnsi="宋体"/>
        </w:rPr>
        <w:t>www.nbzfcg.cn</w:t>
      </w:r>
      <w:r>
        <w:rPr>
          <w:rFonts w:ascii="宋体" w:hAnsi="宋体"/>
        </w:rPr>
        <w:fldChar w:fldCharType="end"/>
      </w:r>
      <w:r>
        <w:rPr>
          <w:rFonts w:hint="eastAsia" w:ascii="宋体" w:hAnsi="宋体"/>
        </w:rPr>
        <w:t>、宁波公共资源交易网宁海县分网（</w:t>
      </w:r>
      <w:r>
        <w:rPr>
          <w:rStyle w:val="40"/>
        </w:rPr>
        <w:t>http://ninghai.bidding.gov.cn/</w:t>
      </w:r>
      <w:r>
        <w:rPr>
          <w:rFonts w:hint="eastAsia" w:ascii="宋体" w:hAnsi="宋体"/>
        </w:rPr>
        <w:t>）。参加投标的投标人有义务在采购活动期间浏览上述网站，公布信息视同送达所有潜在投标人，不再采用其它方式传达相关信息，若因未能及时了解到上述网站上发布的相关信息而导致的一切后果自行承担。</w:t>
      </w:r>
    </w:p>
    <w:p>
      <w:pPr>
        <w:spacing w:line="360" w:lineRule="auto"/>
        <w:ind w:firstLine="420" w:firstLineChars="200"/>
        <w:rPr>
          <w:rFonts w:hint="eastAsia" w:ascii="宋体" w:hAnsi="宋体"/>
        </w:rPr>
      </w:pPr>
      <w:r>
        <w:rPr>
          <w:rFonts w:hint="eastAsia" w:ascii="宋体" w:hAnsi="宋体"/>
        </w:rPr>
        <w:t>2、参加投标的供应商在投标前应该到浙江政府采购网（</w:t>
      </w:r>
      <w:r>
        <w:rPr>
          <w:rStyle w:val="40"/>
          <w:rFonts w:hint="eastAsia"/>
        </w:rPr>
        <w:t>www.zjzfcg.gov.cn</w:t>
      </w:r>
      <w:r>
        <w:rPr>
          <w:rFonts w:hint="eastAsia" w:ascii="宋体" w:hAnsi="宋体"/>
        </w:rPr>
        <w:t>）（</w:t>
      </w:r>
      <w:r>
        <w:rPr>
          <w:rFonts w:hint="eastAsia" w:ascii="宋体" w:hAnsi="宋体"/>
          <w:b/>
        </w:rPr>
        <w:t>先进行供应商注册登记，再进行正式注册审核</w:t>
      </w:r>
      <w:r>
        <w:rPr>
          <w:rFonts w:hint="eastAsia" w:ascii="宋体" w:hAnsi="宋体"/>
        </w:rPr>
        <w:t>）和宁波政府采购网（</w:t>
      </w:r>
      <w:r>
        <w:rPr>
          <w:rStyle w:val="40"/>
          <w:rFonts w:hint="eastAsia"/>
        </w:rPr>
        <w:t>www.nbzfcg.cn</w:t>
      </w:r>
      <w:r>
        <w:rPr>
          <w:rFonts w:hint="eastAsia" w:ascii="宋体" w:hAnsi="宋体"/>
        </w:rPr>
        <w:t>）上成功进行注册登记。</w:t>
      </w:r>
    </w:p>
    <w:p>
      <w:pPr>
        <w:spacing w:line="360" w:lineRule="auto"/>
        <w:ind w:firstLine="420" w:firstLineChars="200"/>
        <w:rPr>
          <w:rFonts w:hint="eastAsia" w:ascii="宋体" w:hAnsi="宋体"/>
        </w:rPr>
      </w:pPr>
      <w:r>
        <w:rPr>
          <w:rFonts w:hint="eastAsia" w:ascii="宋体" w:hAnsi="宋体"/>
        </w:rPr>
        <w:t>3、集中答疑会或现场考察：采购人不集中组织，由投标人自行踏勘。</w:t>
      </w:r>
    </w:p>
    <w:p>
      <w:pPr>
        <w:spacing w:line="360" w:lineRule="auto"/>
        <w:ind w:firstLine="420" w:firstLineChars="200"/>
        <w:rPr>
          <w:rFonts w:hint="eastAsia" w:ascii="宋体" w:hAnsi="宋体"/>
        </w:rPr>
      </w:pPr>
      <w:r>
        <w:rPr>
          <w:rFonts w:hint="eastAsia" w:ascii="宋体" w:hAnsi="宋体"/>
        </w:rPr>
        <w:t>十、落实的政策：</w:t>
      </w:r>
    </w:p>
    <w:p>
      <w:pPr>
        <w:spacing w:line="360" w:lineRule="auto"/>
        <w:ind w:firstLine="420" w:firstLineChars="200"/>
        <w:rPr>
          <w:rFonts w:hint="eastAsia" w:ascii="宋体" w:hAnsi="宋体"/>
          <w:bCs/>
          <w:szCs w:val="20"/>
        </w:rPr>
      </w:pPr>
      <w:r>
        <w:rPr>
          <w:rFonts w:hint="eastAsia" w:ascii="宋体" w:hAnsi="宋体"/>
        </w:rPr>
        <w:t>《关于促进残疾人就业政府采购政策的通知》</w:t>
      </w:r>
      <w:r>
        <w:rPr>
          <w:rFonts w:hint="eastAsia" w:ascii="宋体" w:hAnsi="宋体"/>
          <w:bCs/>
          <w:szCs w:val="20"/>
        </w:rPr>
        <w:t>（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spacing w:line="360" w:lineRule="auto"/>
        <w:ind w:firstLine="420" w:firstLineChars="200"/>
        <w:rPr>
          <w:rFonts w:ascii="宋体" w:hAnsi="宋体"/>
        </w:rPr>
      </w:pPr>
      <w:r>
        <w:rPr>
          <w:rFonts w:hint="eastAsia" w:ascii="宋体" w:hAnsi="宋体"/>
        </w:rPr>
        <w:t>十一、联系人</w:t>
      </w:r>
    </w:p>
    <w:p>
      <w:pPr>
        <w:spacing w:line="360" w:lineRule="auto"/>
        <w:ind w:firstLine="420" w:firstLineChars="200"/>
        <w:rPr>
          <w:rFonts w:hint="eastAsia" w:ascii="宋体" w:hAnsi="宋体"/>
        </w:rPr>
      </w:pPr>
      <w:r>
        <w:rPr>
          <w:rFonts w:hint="eastAsia" w:ascii="宋体" w:hAnsi="宋体"/>
        </w:rPr>
        <w:t>采购单位：宁海县茶院乡人民政府</w:t>
      </w:r>
    </w:p>
    <w:p>
      <w:pPr>
        <w:spacing w:line="360" w:lineRule="auto"/>
        <w:ind w:firstLine="420" w:firstLineChars="200"/>
        <w:rPr>
          <w:rFonts w:hint="eastAsia" w:ascii="宋体" w:hAnsi="宋体"/>
        </w:rPr>
      </w:pPr>
      <w:r>
        <w:rPr>
          <w:rFonts w:hint="eastAsia" w:ascii="宋体" w:hAnsi="宋体"/>
        </w:rPr>
        <w:t>联系人：谢巧葵</w:t>
      </w:r>
    </w:p>
    <w:p>
      <w:pPr>
        <w:spacing w:line="360" w:lineRule="auto"/>
        <w:ind w:firstLine="420" w:firstLineChars="200"/>
        <w:rPr>
          <w:rFonts w:hint="eastAsia" w:ascii="宋体" w:hAnsi="宋体"/>
        </w:rPr>
      </w:pPr>
      <w:r>
        <w:rPr>
          <w:rFonts w:hint="eastAsia" w:ascii="宋体" w:hAnsi="宋体"/>
        </w:rPr>
        <w:t>联系电话：0574-65123917</w:t>
      </w:r>
    </w:p>
    <w:p>
      <w:pPr>
        <w:spacing w:line="360" w:lineRule="auto"/>
        <w:ind w:firstLine="420" w:firstLineChars="200"/>
        <w:rPr>
          <w:rFonts w:hint="eastAsia" w:ascii="宋体" w:hAnsi="宋体"/>
        </w:rPr>
      </w:pPr>
      <w:r>
        <w:rPr>
          <w:rFonts w:hint="eastAsia" w:ascii="宋体" w:hAnsi="宋体"/>
        </w:rPr>
        <w:t>采购单位地址：</w:t>
      </w:r>
      <w:r>
        <w:rPr>
          <w:rFonts w:ascii="宋体" w:hAnsi="宋体"/>
        </w:rPr>
        <w:t>宁海县茶院乡西林路6号</w:t>
      </w:r>
      <w:r>
        <w:rPr>
          <w:rFonts w:hint="eastAsia" w:ascii="宋体" w:hAnsi="宋体"/>
        </w:rPr>
        <w:t xml:space="preserve">  </w:t>
      </w:r>
    </w:p>
    <w:p>
      <w:pPr>
        <w:spacing w:line="360" w:lineRule="auto"/>
        <w:ind w:firstLine="420" w:firstLineChars="200"/>
        <w:rPr>
          <w:rFonts w:hint="eastAsia" w:ascii="宋体" w:hAnsi="宋体"/>
        </w:rPr>
      </w:pPr>
      <w:r>
        <w:rPr>
          <w:rFonts w:hint="eastAsia" w:ascii="宋体" w:hAnsi="宋体"/>
        </w:rPr>
        <w:t>招标代理机构：宁波建兴招标有限公司</w:t>
      </w:r>
    </w:p>
    <w:p>
      <w:pPr>
        <w:spacing w:line="360" w:lineRule="auto"/>
        <w:ind w:firstLine="420" w:firstLineChars="200"/>
        <w:rPr>
          <w:rFonts w:hint="eastAsia" w:ascii="宋体" w:hAnsi="宋体"/>
        </w:rPr>
      </w:pPr>
      <w:r>
        <w:rPr>
          <w:rFonts w:hint="eastAsia" w:ascii="宋体" w:hAnsi="宋体"/>
        </w:rPr>
        <w:t>联系人：杜宏发 夏坤 施周艳 何怡 叶原波、黄毕飞</w:t>
      </w:r>
    </w:p>
    <w:p>
      <w:pPr>
        <w:spacing w:line="360" w:lineRule="auto"/>
        <w:ind w:firstLine="420" w:firstLineChars="200"/>
        <w:rPr>
          <w:rFonts w:hint="eastAsia" w:ascii="宋体" w:hAnsi="宋体"/>
        </w:rPr>
      </w:pPr>
      <w:r>
        <w:rPr>
          <w:rFonts w:hint="eastAsia" w:ascii="宋体" w:hAnsi="宋体"/>
        </w:rPr>
        <w:t xml:space="preserve">TEL：0574-83890892 18958278756（技术咨询）     </w:t>
      </w:r>
    </w:p>
    <w:p>
      <w:pPr>
        <w:spacing w:line="360" w:lineRule="auto"/>
        <w:ind w:firstLine="420" w:firstLineChars="200"/>
        <w:rPr>
          <w:rFonts w:hint="eastAsia" w:ascii="宋体" w:hAnsi="宋体"/>
        </w:rPr>
      </w:pPr>
      <w:r>
        <w:rPr>
          <w:rFonts w:hint="eastAsia" w:ascii="宋体" w:hAnsi="宋体"/>
        </w:rPr>
        <w:t xml:space="preserve">FAX：0574-83890892     </w:t>
      </w:r>
    </w:p>
    <w:p>
      <w:pPr>
        <w:spacing w:line="360" w:lineRule="auto"/>
        <w:ind w:firstLine="420" w:firstLineChars="200"/>
        <w:rPr>
          <w:rFonts w:hint="eastAsia" w:ascii="宋体" w:hAnsi="宋体"/>
        </w:rPr>
      </w:pPr>
      <w:r>
        <w:rPr>
          <w:rFonts w:hint="eastAsia" w:ascii="宋体" w:hAnsi="宋体"/>
        </w:rPr>
        <w:t>E-mail：</w:t>
      </w:r>
      <w:r>
        <w:rPr>
          <w:rFonts w:ascii="宋体" w:hAnsi="宋体"/>
        </w:rPr>
        <w:fldChar w:fldCharType="begin"/>
      </w:r>
      <w:r>
        <w:rPr>
          <w:rFonts w:ascii="宋体" w:hAnsi="宋体"/>
        </w:rPr>
        <w:instrText xml:space="preserve"> HYPERLINK "mailto:</w:instrText>
      </w:r>
      <w:r>
        <w:rPr>
          <w:rFonts w:hint="eastAsia" w:ascii="宋体" w:hAnsi="宋体"/>
        </w:rPr>
        <w:instrText xml:space="preserve">nbjxzb@163.com</w:instrText>
      </w:r>
      <w:r>
        <w:rPr>
          <w:rFonts w:ascii="宋体" w:hAnsi="宋体"/>
        </w:rPr>
        <w:instrText xml:space="preserve">" </w:instrText>
      </w:r>
      <w:r>
        <w:rPr>
          <w:rFonts w:ascii="宋体" w:hAnsi="宋体"/>
        </w:rPr>
        <w:fldChar w:fldCharType="separate"/>
      </w:r>
      <w:r>
        <w:rPr>
          <w:rStyle w:val="40"/>
          <w:rFonts w:hint="eastAsia" w:ascii="宋体" w:hAnsi="宋体"/>
        </w:rPr>
        <w:t>nbjxzb@163.com</w:t>
      </w:r>
      <w:r>
        <w:rPr>
          <w:rFonts w:ascii="宋体" w:hAnsi="宋体"/>
        </w:rPr>
        <w:fldChar w:fldCharType="end"/>
      </w:r>
    </w:p>
    <w:p>
      <w:pPr>
        <w:spacing w:line="360" w:lineRule="auto"/>
        <w:ind w:firstLine="420" w:firstLineChars="200"/>
        <w:rPr>
          <w:rFonts w:hint="eastAsia" w:ascii="宋体" w:hAnsi="宋体"/>
        </w:rPr>
      </w:pPr>
      <w:r>
        <w:rPr>
          <w:rFonts w:hint="eastAsia" w:ascii="宋体" w:hAnsi="宋体"/>
        </w:rPr>
        <w:t>办公地址：宁波市海曙区开明街437号苍水大厦9楼</w:t>
      </w:r>
    </w:p>
    <w:p>
      <w:pPr>
        <w:pStyle w:val="34"/>
        <w:rPr>
          <w:rFonts w:hint="eastAsia"/>
        </w:rPr>
      </w:pPr>
      <w:r>
        <w:br w:type="page"/>
      </w:r>
      <w:bookmarkStart w:id="6" w:name="_Toc494480052"/>
      <w:r>
        <w:rPr>
          <w:rFonts w:hint="eastAsia"/>
        </w:rPr>
        <w:t>第二章 投标须知</w:t>
      </w:r>
      <w:bookmarkEnd w:id="6"/>
    </w:p>
    <w:p>
      <w:pPr>
        <w:spacing w:line="360" w:lineRule="auto"/>
        <w:rPr>
          <w:rFonts w:hint="eastAsia"/>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
      <w:pPr>
        <w:pStyle w:val="26"/>
        <w:spacing w:before="0" w:after="0" w:line="360" w:lineRule="auto"/>
        <w:ind w:firstLine="411" w:firstLineChars="196"/>
        <w:jc w:val="left"/>
        <w:rPr>
          <w:sz w:val="21"/>
          <w:szCs w:val="21"/>
        </w:rPr>
      </w:pPr>
      <w:bookmarkStart w:id="7" w:name="_Toc259108314"/>
      <w:bookmarkStart w:id="8" w:name="_Toc494480053"/>
      <w:bookmarkStart w:id="9" w:name="_Toc249866756"/>
      <w:r>
        <w:rPr>
          <w:rFonts w:hint="eastAsia"/>
          <w:sz w:val="21"/>
          <w:szCs w:val="21"/>
        </w:rPr>
        <w:t>一、特别说明</w:t>
      </w:r>
      <w:bookmarkEnd w:id="7"/>
      <w:bookmarkEnd w:id="8"/>
      <w:bookmarkEnd w:id="9"/>
    </w:p>
    <w:p>
      <w:pPr>
        <w:spacing w:line="360" w:lineRule="auto"/>
        <w:ind w:firstLine="420" w:firstLineChars="200"/>
        <w:rPr>
          <w:rFonts w:hint="eastAsia"/>
        </w:rPr>
      </w:pPr>
      <w:bookmarkStart w:id="10" w:name="_Toc249866757"/>
      <w:bookmarkStart w:id="11" w:name="_Toc259108315"/>
      <w:r>
        <w:rPr>
          <w:rFonts w:hint="eastAsia"/>
        </w:rPr>
        <w:t>（一）单位负责人为同一人或存在直接控股、管理关系的不同供应商，不得参加同一合同项下的政府采购活动。</w:t>
      </w:r>
    </w:p>
    <w:p>
      <w:pPr>
        <w:spacing w:line="360" w:lineRule="auto"/>
        <w:ind w:firstLine="420" w:firstLineChars="200"/>
      </w:pPr>
      <w:r>
        <w:rPr>
          <w:rFonts w:hint="eastAsia"/>
        </w:rPr>
        <w:t>（二）“</w:t>
      </w:r>
      <w:r>
        <w:t>产品</w:t>
      </w:r>
      <w:r>
        <w:rPr>
          <w:rFonts w:hint="eastAsia"/>
        </w:rPr>
        <w:t>”</w:t>
      </w:r>
      <w:r>
        <w:t>系指供方按采购文件规定，须向采购人提供的一切设备、保险、税金、备品备件、工具、手册及其它有关技术资料和材料。</w:t>
      </w:r>
    </w:p>
    <w:p>
      <w:pPr>
        <w:spacing w:line="360" w:lineRule="auto"/>
        <w:ind w:firstLine="420" w:firstLineChars="200"/>
        <w:rPr>
          <w:rFonts w:hint="eastAsia"/>
        </w:rPr>
      </w:pPr>
      <w:r>
        <w:rPr>
          <w:rFonts w:hint="eastAsia"/>
        </w:rPr>
        <w:t>（三）供应商投标所使用的资格、信誉、荣誉、业绩与企业认证等必须为本法人所拥有。</w:t>
      </w:r>
    </w:p>
    <w:p>
      <w:pPr>
        <w:spacing w:line="360" w:lineRule="auto"/>
        <w:ind w:firstLine="420" w:firstLineChars="200"/>
        <w:rPr>
          <w:rFonts w:hint="eastAsia"/>
        </w:rPr>
      </w:pPr>
      <w:r>
        <w:rPr>
          <w:rFonts w:hint="eastAsia"/>
        </w:rPr>
        <w:t>（四）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pPr>
        <w:spacing w:line="360" w:lineRule="auto"/>
        <w:ind w:firstLine="420" w:firstLineChars="200"/>
        <w:rPr>
          <w:rFonts w:hint="eastAsia"/>
        </w:rPr>
      </w:pPr>
      <w:r>
        <w:rPr>
          <w:rFonts w:hint="eastAsia"/>
        </w:rPr>
        <w:t>（五）询问、质疑及投诉</w:t>
      </w:r>
    </w:p>
    <w:p>
      <w:pPr>
        <w:spacing w:line="360" w:lineRule="auto"/>
        <w:ind w:firstLine="420" w:firstLineChars="200"/>
        <w:rPr>
          <w:rFonts w:hint="eastAsia"/>
        </w:rPr>
      </w:pPr>
      <w:r>
        <w:rPr>
          <w:rFonts w:hint="eastAsia"/>
        </w:rPr>
        <w:t>1、询问</w:t>
      </w:r>
    </w:p>
    <w:p>
      <w:pPr>
        <w:spacing w:line="360" w:lineRule="auto"/>
        <w:ind w:firstLine="420" w:firstLineChars="200"/>
        <w:rPr>
          <w:rFonts w:hint="eastAsia"/>
        </w:rPr>
      </w:pPr>
      <w:r>
        <w:rPr>
          <w:rFonts w:hint="eastAsia"/>
        </w:rPr>
        <w:t>（1）投标人对政府采购活动事项有疑问的，可以向招标采购单位提出询问，询问可以口头方式提出，也可以书面方式提出。</w:t>
      </w:r>
    </w:p>
    <w:p>
      <w:pPr>
        <w:spacing w:line="360" w:lineRule="auto"/>
        <w:ind w:firstLine="420" w:firstLineChars="200"/>
        <w:rPr>
          <w:rFonts w:hint="eastAsia"/>
        </w:rPr>
      </w:pPr>
      <w:r>
        <w:rPr>
          <w:rFonts w:hint="eastAsia"/>
        </w:rPr>
        <w:t>（2）招标采购单位在三个工作日内对投标人依法提出的询问作出答复，但答复的内容不涉及商业秘密。</w:t>
      </w:r>
    </w:p>
    <w:p>
      <w:pPr>
        <w:spacing w:line="360" w:lineRule="auto"/>
        <w:ind w:firstLine="420" w:firstLineChars="200"/>
        <w:rPr>
          <w:rFonts w:hint="eastAsia"/>
        </w:rPr>
      </w:pPr>
      <w:r>
        <w:rPr>
          <w:rFonts w:hint="eastAsia"/>
        </w:rPr>
        <w:t xml:space="preserve">2、质疑 </w:t>
      </w:r>
    </w:p>
    <w:p>
      <w:pPr>
        <w:spacing w:line="360" w:lineRule="auto"/>
        <w:ind w:firstLine="420" w:firstLineChars="200"/>
        <w:rPr>
          <w:rFonts w:hint="eastAsia"/>
        </w:rPr>
      </w:pPr>
      <w:r>
        <w:rPr>
          <w:rFonts w:hint="eastAsia"/>
        </w:rPr>
        <w:t>（1）提出质疑的期限</w:t>
      </w:r>
    </w:p>
    <w:p>
      <w:pPr>
        <w:spacing w:line="360" w:lineRule="auto"/>
        <w:ind w:firstLine="420" w:firstLineChars="200"/>
        <w:rPr>
          <w:rFonts w:hint="eastAsia"/>
        </w:rPr>
      </w:pPr>
      <w:r>
        <w:rPr>
          <w:rFonts w:hint="eastAsia"/>
        </w:rPr>
        <w:t>对可以质疑的采购文件提出质疑的，为采购文件公告期限结束之日起七个工作日内；</w:t>
      </w:r>
    </w:p>
    <w:p>
      <w:pPr>
        <w:spacing w:line="360" w:lineRule="auto"/>
        <w:ind w:firstLine="420" w:firstLineChars="200"/>
        <w:rPr>
          <w:rFonts w:hint="eastAsia"/>
        </w:rPr>
      </w:pPr>
      <w:r>
        <w:rPr>
          <w:rFonts w:hint="eastAsia"/>
        </w:rPr>
        <w:t>对采购过程提出质疑的，为各采购程序环节结束之日起七个工作日内；</w:t>
      </w:r>
    </w:p>
    <w:p>
      <w:pPr>
        <w:spacing w:line="360" w:lineRule="auto"/>
        <w:ind w:firstLine="420" w:firstLineChars="200"/>
        <w:rPr>
          <w:rFonts w:hint="eastAsia"/>
        </w:rPr>
      </w:pPr>
      <w:r>
        <w:rPr>
          <w:rFonts w:hint="eastAsia"/>
        </w:rPr>
        <w:t>对中标或者成交结果提出质疑的，为中标或者成交结果公告期限届满之日起七个工作日内。</w:t>
      </w:r>
    </w:p>
    <w:p>
      <w:pPr>
        <w:spacing w:line="360" w:lineRule="auto"/>
        <w:ind w:firstLine="420" w:firstLineChars="200"/>
        <w:rPr>
          <w:rFonts w:hint="eastAsia"/>
        </w:rPr>
      </w:pPr>
      <w:r>
        <w:rPr>
          <w:rFonts w:hint="eastAsia"/>
        </w:rPr>
        <w:t>（2）提出质疑的要求</w:t>
      </w:r>
    </w:p>
    <w:p>
      <w:pPr>
        <w:spacing w:line="360" w:lineRule="auto"/>
        <w:ind w:firstLine="420" w:firstLineChars="200"/>
        <w:rPr>
          <w:rFonts w:hint="eastAsia"/>
        </w:rPr>
      </w:pPr>
      <w:r>
        <w:rPr>
          <w:rFonts w:hint="eastAsia"/>
        </w:rPr>
        <w:t>①以书面形式（加盖投标人公章）一次性向招标采购单位提出质疑，若同一采购程序环节第二次提出质疑，招标采购单位不予受理。</w:t>
      </w:r>
    </w:p>
    <w:p>
      <w:pPr>
        <w:spacing w:line="360" w:lineRule="auto"/>
        <w:ind w:firstLine="420" w:firstLineChars="200"/>
        <w:rPr>
          <w:rFonts w:hint="eastAsia"/>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w:t>
      </w:r>
    </w:p>
    <w:p>
      <w:pPr>
        <w:spacing w:line="360" w:lineRule="auto"/>
        <w:ind w:firstLine="420" w:firstLineChars="200"/>
        <w:rPr>
          <w:rFonts w:hint="eastAsia"/>
        </w:rPr>
      </w:pPr>
      <w:r>
        <w:rPr>
          <w:rFonts w:hint="eastAsia"/>
        </w:rPr>
        <w:t>③递交质疑书时需提供</w:t>
      </w:r>
      <w:r>
        <w:rPr>
          <w:rFonts w:hint="eastAsia"/>
          <w:b/>
        </w:rPr>
        <w:t>质疑书原件、法定代表人授权委托书（应载明委托代理的具体权限及事项）、营业执照、法定代表人及授权代表身份证复印件</w:t>
      </w:r>
      <w:r>
        <w:rPr>
          <w:rFonts w:hint="eastAsia"/>
        </w:rPr>
        <w:t>。</w:t>
      </w:r>
    </w:p>
    <w:p>
      <w:pPr>
        <w:spacing w:line="360" w:lineRule="auto"/>
        <w:ind w:firstLine="420" w:firstLineChars="200"/>
        <w:rPr>
          <w:rFonts w:hint="eastAsia"/>
        </w:rPr>
      </w:pPr>
      <w:r>
        <w:rPr>
          <w:rFonts w:hint="eastAsia"/>
        </w:rPr>
        <w:t>④投标人质疑应当有明确的请求和必要的证明材料，捏造事实、提供虚假材料或者以非法手段取得证明材料不能作为质疑的证明材料。</w:t>
      </w:r>
    </w:p>
    <w:p>
      <w:pPr>
        <w:spacing w:line="360" w:lineRule="auto"/>
        <w:ind w:firstLine="420" w:firstLineChars="200"/>
        <w:rPr>
          <w:rFonts w:hint="eastAsia"/>
        </w:rPr>
      </w:pPr>
      <w:r>
        <w:rPr>
          <w:rFonts w:hint="eastAsia"/>
        </w:rPr>
        <w:t>⑤对于捏造事实、滥用维权扰乱采购秩序的恶意质疑者或举证不全查无实据被驳回次数在一年内达三次以上，将纳入不良行为记录名单并承担相应的法律责任。</w:t>
      </w:r>
    </w:p>
    <w:p>
      <w:pPr>
        <w:spacing w:line="360" w:lineRule="auto"/>
        <w:ind w:firstLine="420" w:firstLineChars="200"/>
        <w:rPr>
          <w:rFonts w:hint="eastAsia"/>
        </w:rPr>
      </w:pPr>
      <w:r>
        <w:rPr>
          <w:rFonts w:hint="eastAsia"/>
        </w:rPr>
        <w:t>（3）质疑的接收</w:t>
      </w:r>
    </w:p>
    <w:p>
      <w:pPr>
        <w:spacing w:line="360" w:lineRule="auto"/>
        <w:ind w:firstLine="420" w:firstLineChars="200"/>
        <w:rPr>
          <w:rFonts w:hint="eastAsia"/>
        </w:rPr>
      </w:pPr>
      <w:r>
        <w:rPr>
          <w:rFonts w:hint="eastAsia"/>
        </w:rPr>
        <w:t>接收质疑的方式：书面送达；</w:t>
      </w:r>
    </w:p>
    <w:p>
      <w:pPr>
        <w:spacing w:line="360" w:lineRule="auto"/>
        <w:ind w:firstLine="420" w:firstLineChars="200"/>
        <w:rPr>
          <w:rFonts w:hint="eastAsia"/>
        </w:rPr>
      </w:pPr>
      <w:r>
        <w:rPr>
          <w:rFonts w:hint="eastAsia"/>
        </w:rPr>
        <w:t>联系方式：施周艳/0574-83890892；</w:t>
      </w:r>
    </w:p>
    <w:p>
      <w:pPr>
        <w:spacing w:line="360" w:lineRule="auto"/>
        <w:ind w:firstLine="420" w:firstLineChars="200"/>
        <w:rPr>
          <w:rFonts w:hint="eastAsia"/>
        </w:rPr>
      </w:pPr>
      <w:r>
        <w:rPr>
          <w:rFonts w:hint="eastAsia"/>
        </w:rPr>
        <w:t>通讯地址：</w:t>
      </w:r>
      <w:r>
        <w:rPr>
          <w:rFonts w:hint="eastAsia" w:ascii="宋体" w:hAnsi="宋体"/>
        </w:rPr>
        <w:t>宁波市海曙区开明街437号苍水大厦9楼。</w:t>
      </w:r>
    </w:p>
    <w:p>
      <w:pPr>
        <w:spacing w:line="360" w:lineRule="auto"/>
        <w:ind w:firstLine="420" w:firstLineChars="200"/>
        <w:rPr>
          <w:rFonts w:hint="eastAsia"/>
        </w:rPr>
      </w:pPr>
      <w:r>
        <w:rPr>
          <w:rFonts w:hint="eastAsia"/>
        </w:rPr>
        <w:t>（4）质疑的回复</w:t>
      </w:r>
    </w:p>
    <w:p>
      <w:pPr>
        <w:spacing w:line="360" w:lineRule="auto"/>
        <w:ind w:firstLine="420" w:firstLineChars="200"/>
        <w:rPr>
          <w:rFonts w:hint="eastAsia"/>
        </w:rPr>
      </w:pPr>
      <w:r>
        <w:rPr>
          <w:rFonts w:hint="eastAsia"/>
        </w:rPr>
        <w:t>招标采购单位在收到投标人的书面质疑后</w:t>
      </w:r>
      <w:r>
        <w:t>7</w:t>
      </w:r>
      <w:r>
        <w:rPr>
          <w:rFonts w:hint="eastAsia"/>
        </w:rPr>
        <w:t>个工作日内作出答复，并以书面形式通知质疑投标人，但答复的内容不涉及商业秘密。</w:t>
      </w:r>
    </w:p>
    <w:p>
      <w:pPr>
        <w:spacing w:line="360" w:lineRule="auto"/>
        <w:ind w:firstLine="420" w:firstLineChars="200"/>
        <w:rPr>
          <w:rFonts w:hint="eastAsia"/>
        </w:rPr>
      </w:pPr>
      <w:r>
        <w:rPr>
          <w:rFonts w:hint="eastAsia"/>
        </w:rPr>
        <w:t xml:space="preserve">3、投诉 </w:t>
      </w:r>
    </w:p>
    <w:p>
      <w:pPr>
        <w:spacing w:line="360" w:lineRule="auto"/>
        <w:ind w:firstLine="420" w:firstLineChars="200"/>
        <w:rPr>
          <w:rFonts w:hint="eastAsia"/>
        </w:rPr>
      </w:pPr>
      <w:r>
        <w:rPr>
          <w:rFonts w:hint="eastAsia"/>
        </w:rPr>
        <w:t>质疑投标人对招标采购单位的质疑答复不满意，或招标采购单位未在规定期限内作出答复的，可以在答复期满后十五个工作日内向同级政府采购监督管理部门提出投诉。</w:t>
      </w:r>
    </w:p>
    <w:p>
      <w:pPr>
        <w:spacing w:line="360" w:lineRule="auto"/>
        <w:ind w:firstLine="420" w:firstLineChars="200"/>
        <w:rPr>
          <w:rFonts w:hint="eastAsia"/>
          <w:b/>
        </w:rPr>
      </w:pPr>
      <w:r>
        <w:rPr>
          <w:rFonts w:hint="eastAsia"/>
          <w:b/>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bookmarkEnd w:id="10"/>
    <w:bookmarkEnd w:id="11"/>
    <w:p>
      <w:pPr>
        <w:spacing w:line="360" w:lineRule="auto"/>
        <w:ind w:firstLine="420" w:firstLineChars="200"/>
        <w:rPr>
          <w:rFonts w:hint="eastAsia"/>
        </w:rPr>
      </w:pPr>
      <w:r>
        <w:rPr>
          <w:rFonts w:hint="eastAsia"/>
        </w:rPr>
        <w:t xml:space="preserve">（六）采购文件的澄清与修改 </w:t>
      </w:r>
    </w:p>
    <w:p>
      <w:pPr>
        <w:spacing w:line="360" w:lineRule="auto"/>
        <w:ind w:firstLine="420" w:firstLineChars="200"/>
        <w:rPr>
          <w:rFonts w:hint="eastAsia"/>
        </w:rPr>
      </w:pPr>
      <w:r>
        <w:rPr>
          <w:rFonts w:hint="eastAsia"/>
        </w:rPr>
        <w:t>1、采购人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firstLineChars="200"/>
        <w:rPr>
          <w:rFonts w:hint="eastAsia"/>
        </w:rPr>
      </w:pPr>
      <w:r>
        <w:rPr>
          <w:rFonts w:hint="eastAsia"/>
        </w:rPr>
        <w:t>2、更正公告为采购文件的组成部分，一经在网站发布，视同已通知所有采购文件的收受人，不再采用其它方式传达相关信息，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rPr>
          <w:rFonts w:hint="eastAsia"/>
        </w:rPr>
      </w:pPr>
      <w:r>
        <w:rPr>
          <w:rFonts w:hint="eastAsia"/>
        </w:rPr>
        <w:t>3、如更正公告有重新发布电子采购文件的，投标人应下载最新发布的电子招标文件制作投标文件。</w:t>
      </w:r>
    </w:p>
    <w:p>
      <w:pPr>
        <w:spacing w:line="360" w:lineRule="auto"/>
        <w:ind w:firstLine="420" w:firstLineChars="200"/>
        <w:rPr>
          <w:rFonts w:hint="eastAsia"/>
        </w:rPr>
      </w:pPr>
      <w:r>
        <w:rPr>
          <w:rFonts w:hint="eastAsia"/>
        </w:rPr>
        <w:t>4、投标人在规定的时间内未对招标文件提出疑问、质疑或要求澄清的，将视其为无异议。对采购文件中描述有歧义或前后不一致的地方，评标委员会有权进行评判，但对同一条款的评判应适用于每个投标人。</w:t>
      </w:r>
    </w:p>
    <w:p>
      <w:pPr>
        <w:spacing w:line="360" w:lineRule="auto"/>
        <w:ind w:firstLine="420" w:firstLineChars="200"/>
        <w:rPr>
          <w:rFonts w:hint="eastAsia"/>
        </w:rPr>
      </w:pPr>
      <w:r>
        <w:rPr>
          <w:rFonts w:hint="eastAsia"/>
        </w:rPr>
        <w:t>（七）关于分公司投标</w:t>
      </w:r>
    </w:p>
    <w:p>
      <w:pPr>
        <w:spacing w:line="360" w:lineRule="auto"/>
        <w:ind w:firstLine="420" w:firstLineChars="200"/>
        <w:rPr>
          <w:rFonts w:hint="eastAsia"/>
        </w:rPr>
      </w:pPr>
      <w:r>
        <w:rPr>
          <w:rFonts w:hint="eastAsia"/>
        </w:rPr>
        <w:t xml:space="preserve">除银行、保险、石油石化、电力、电信、移动、联通等特殊行业外。法人的分支机构由于不能独立承担民事责任，不能以分支机构的身份参加政府采购，只能法人身份参加。 </w:t>
      </w:r>
    </w:p>
    <w:p>
      <w:pPr>
        <w:spacing w:line="360" w:lineRule="auto"/>
        <w:ind w:firstLine="420" w:firstLineChars="200"/>
        <w:rPr>
          <w:rFonts w:hint="eastAsia"/>
        </w:rPr>
      </w:pPr>
      <w:r>
        <w:rPr>
          <w:rFonts w:hint="eastAsia"/>
        </w:rPr>
        <w:t>（八）关于知识产权</w:t>
      </w:r>
    </w:p>
    <w:p>
      <w:pPr>
        <w:spacing w:line="360" w:lineRule="auto"/>
        <w:ind w:firstLine="420" w:firstLineChars="200"/>
        <w:rPr>
          <w:rFonts w:hint="eastAsia"/>
        </w:rPr>
      </w:pPr>
      <w:r>
        <w:rPr>
          <w:rFonts w:hint="eastAsia"/>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rPr>
      </w:pPr>
      <w:r>
        <w:rPr>
          <w:rFonts w:hint="eastAsia"/>
        </w:rPr>
        <w:t>2、投标报价应包含所有应向所有权人支付的专利权、商标权或其它知识产权的一切相关费用。</w:t>
      </w:r>
    </w:p>
    <w:p>
      <w:pPr>
        <w:spacing w:line="360" w:lineRule="auto"/>
        <w:ind w:firstLine="420" w:firstLineChars="200"/>
        <w:rPr>
          <w:rFonts w:hint="eastAsia"/>
        </w:rPr>
      </w:pPr>
      <w:r>
        <w:rPr>
          <w:rFonts w:hint="eastAsia"/>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pPr>
      <w:r>
        <w:rPr>
          <w:rFonts w:hint="eastAsia"/>
        </w:rPr>
        <w:t>（九）投标人的风险</w:t>
      </w:r>
    </w:p>
    <w:p>
      <w:pPr>
        <w:spacing w:line="360" w:lineRule="auto"/>
        <w:ind w:firstLine="420" w:firstLineChars="200"/>
      </w:pPr>
      <w:r>
        <w:rPr>
          <w:rFonts w:hint="eastAsia"/>
        </w:rPr>
        <w:t>1、投标人应详细阅读采购文件中的全部内容和要求，按照采购文件的要求提交投标文件，未按照采购文件要求提供投标文件和资料导致的风险由投标人承担，并对所提供的全部资料的真实性承担法律责任。</w:t>
      </w:r>
    </w:p>
    <w:p>
      <w:pPr>
        <w:spacing w:line="360" w:lineRule="auto"/>
        <w:ind w:firstLine="420" w:firstLineChars="200"/>
        <w:rPr>
          <w:rFonts w:hint="eastAsia"/>
        </w:rPr>
      </w:pPr>
      <w:r>
        <w:rPr>
          <w:rFonts w:hint="eastAsia"/>
        </w:rPr>
        <w:t>2、无论因何种原因导致本次采购活动终止致投标人损失的，相关责任人均不承担任何责任。</w:t>
      </w:r>
    </w:p>
    <w:p>
      <w:pPr>
        <w:spacing w:line="360" w:lineRule="auto"/>
        <w:ind w:firstLine="420" w:firstLineChars="200"/>
        <w:rPr>
          <w:rFonts w:hint="eastAsia"/>
        </w:rPr>
      </w:pPr>
      <w:r>
        <w:rPr>
          <w:rFonts w:hint="eastAsia"/>
        </w:rPr>
        <w:t>（十）招标代理服务费</w:t>
      </w:r>
    </w:p>
    <w:p>
      <w:pPr>
        <w:spacing w:line="360" w:lineRule="auto"/>
        <w:ind w:firstLine="420" w:firstLineChars="200"/>
      </w:pPr>
      <w:r>
        <w:rPr>
          <w:rFonts w:hint="eastAsia"/>
        </w:rPr>
        <w:t>中标人须根据国家发改委发改办价格【2003】857号通知和国家计委计价格【2002】1980号文件规定的招标费率标准，按照中标通知书确定的总金额及评审专家费，在领取中标通知书时向招标代理机构交纳费用。</w:t>
      </w:r>
    </w:p>
    <w:p>
      <w:pPr>
        <w:spacing w:line="360" w:lineRule="auto"/>
        <w:ind w:firstLine="420" w:firstLineChars="200"/>
        <w:rPr>
          <w:rFonts w:hint="eastAsia"/>
          <w:szCs w:val="21"/>
        </w:rPr>
      </w:pPr>
      <w:r>
        <w:rPr>
          <w:rFonts w:hint="eastAsia"/>
        </w:rPr>
        <w:t>（十一）解释：本采购文件的解释权属于招标采购单位。</w:t>
      </w:r>
      <w:bookmarkStart w:id="12" w:name="_Toc249866759"/>
      <w:bookmarkStart w:id="13" w:name="_Toc494480054"/>
    </w:p>
    <w:p>
      <w:pPr>
        <w:pStyle w:val="26"/>
        <w:spacing w:before="0" w:after="0" w:line="360" w:lineRule="auto"/>
        <w:ind w:firstLine="411" w:firstLineChars="196"/>
        <w:jc w:val="left"/>
        <w:rPr>
          <w:sz w:val="21"/>
          <w:szCs w:val="21"/>
        </w:rPr>
      </w:pPr>
      <w:r>
        <w:rPr>
          <w:rFonts w:hint="eastAsia"/>
          <w:sz w:val="21"/>
          <w:szCs w:val="21"/>
        </w:rPr>
        <w:t>二、</w:t>
      </w:r>
      <w:bookmarkEnd w:id="12"/>
      <w:bookmarkStart w:id="14" w:name="_Toc259108316"/>
      <w:bookmarkStart w:id="15" w:name="_Toc249866760"/>
      <w:r>
        <w:rPr>
          <w:rFonts w:hint="eastAsia"/>
          <w:sz w:val="21"/>
          <w:szCs w:val="21"/>
        </w:rPr>
        <w:t>投标文件的组成</w:t>
      </w:r>
      <w:bookmarkEnd w:id="13"/>
      <w:bookmarkEnd w:id="14"/>
      <w:bookmarkEnd w:id="15"/>
    </w:p>
    <w:p>
      <w:pPr>
        <w:spacing w:line="360" w:lineRule="auto"/>
        <w:ind w:firstLine="420" w:firstLineChars="200"/>
      </w:pPr>
      <w:r>
        <w:rPr>
          <w:rFonts w:hint="eastAsia"/>
        </w:rPr>
        <w:t>投标文件由资信技术文件和报价文件两部分组成。</w:t>
      </w:r>
    </w:p>
    <w:p>
      <w:pPr>
        <w:spacing w:line="360" w:lineRule="auto"/>
        <w:ind w:firstLine="315" w:firstLineChars="150"/>
      </w:pPr>
      <w:r>
        <w:rPr>
          <w:rFonts w:hint="eastAsia"/>
        </w:rPr>
        <w:t>（一）资信技术文件内容包括</w:t>
      </w:r>
    </w:p>
    <w:p>
      <w:pPr>
        <w:spacing w:line="360" w:lineRule="auto"/>
        <w:ind w:firstLine="420" w:firstLineChars="200"/>
        <w:rPr>
          <w:rFonts w:hint="eastAsia"/>
        </w:rPr>
      </w:pPr>
      <w:r>
        <w:rPr>
          <w:rFonts w:hint="eastAsia"/>
        </w:rPr>
        <w:t>1、投标保证金收据复印件（或原件单独提交核查）；</w:t>
      </w:r>
    </w:p>
    <w:p>
      <w:pPr>
        <w:spacing w:line="360" w:lineRule="auto"/>
        <w:ind w:firstLine="420" w:firstLineChars="200"/>
      </w:pPr>
      <w:r>
        <w:rPr>
          <w:rFonts w:hint="eastAsia"/>
        </w:rPr>
        <w:t>2、投标人自查表；</w:t>
      </w:r>
    </w:p>
    <w:p>
      <w:pPr>
        <w:spacing w:line="360" w:lineRule="auto"/>
        <w:ind w:firstLine="420" w:firstLineChars="200"/>
      </w:pPr>
      <w:r>
        <w:rPr>
          <w:rFonts w:hint="eastAsia"/>
        </w:rPr>
        <w:t>3、投标人响应表（格式见附件）；</w:t>
      </w:r>
    </w:p>
    <w:p>
      <w:pPr>
        <w:spacing w:line="360" w:lineRule="auto"/>
        <w:ind w:firstLine="420" w:firstLineChars="200"/>
        <w:rPr>
          <w:rFonts w:hint="eastAsia"/>
        </w:rPr>
      </w:pPr>
      <w:r>
        <w:rPr>
          <w:rFonts w:hint="eastAsia"/>
        </w:rPr>
        <w:t>4、商务响应表（格式见附件）；</w:t>
      </w:r>
    </w:p>
    <w:p>
      <w:pPr>
        <w:spacing w:line="360" w:lineRule="auto"/>
        <w:ind w:firstLine="420" w:firstLineChars="200"/>
      </w:pPr>
      <w:r>
        <w:rPr>
          <w:rFonts w:hint="eastAsia"/>
        </w:rPr>
        <w:t>5、投标人资格声明函（格式见附件）；</w:t>
      </w:r>
    </w:p>
    <w:p>
      <w:pPr>
        <w:spacing w:line="360" w:lineRule="auto"/>
        <w:ind w:firstLine="420" w:firstLineChars="200"/>
        <w:rPr>
          <w:rFonts w:hint="eastAsia"/>
        </w:rPr>
      </w:pPr>
      <w:r>
        <w:rPr>
          <w:rFonts w:hint="eastAsia"/>
        </w:rPr>
        <w:t>6、法定代表人身份证明或法定代表人授权委托书（格式见附件）；</w:t>
      </w:r>
    </w:p>
    <w:p>
      <w:pPr>
        <w:spacing w:line="360" w:lineRule="auto"/>
        <w:ind w:firstLine="420" w:firstLineChars="200"/>
        <w:rPr>
          <w:rFonts w:hint="eastAsia"/>
        </w:rPr>
      </w:pPr>
      <w:r>
        <w:rPr>
          <w:rFonts w:hint="eastAsia"/>
        </w:rPr>
        <w:t>7、符合《中华人民共和国政府采购法》第二十二条第一款规定的投标人资格条件，提供以下材料（原件备查）：</w:t>
      </w:r>
    </w:p>
    <w:p>
      <w:pPr>
        <w:spacing w:line="360" w:lineRule="auto"/>
        <w:ind w:firstLine="630" w:firstLineChars="3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630" w:firstLineChars="300"/>
        <w:rPr>
          <w:rFonts w:hint="eastAsia"/>
        </w:rPr>
      </w:pPr>
      <w:r>
        <w:rPr>
          <w:rFonts w:hint="eastAsia"/>
        </w:rPr>
        <w:t>2）2018年财务状况报告复印件，其他组织或投标人新成立不足一年，提供银行出具的资信证明材料复印件；</w:t>
      </w:r>
    </w:p>
    <w:p>
      <w:pPr>
        <w:spacing w:line="360" w:lineRule="auto"/>
        <w:ind w:firstLine="630" w:firstLineChars="300"/>
        <w:rPr>
          <w:rFonts w:hint="eastAsia"/>
        </w:rPr>
      </w:pPr>
      <w:r>
        <w:rPr>
          <w:rFonts w:hint="eastAsia"/>
        </w:rPr>
        <w:t>3）2019年开具的缴纳税收的凭据证明材料复印件；如依法免税的，应提供相应文件证明其依法免税；</w:t>
      </w:r>
    </w:p>
    <w:p>
      <w:pPr>
        <w:spacing w:line="360" w:lineRule="auto"/>
        <w:ind w:firstLine="630" w:firstLineChars="300"/>
        <w:rPr>
          <w:rFonts w:hint="eastAsia"/>
        </w:rPr>
      </w:pPr>
      <w:r>
        <w:rPr>
          <w:rFonts w:hint="eastAsia"/>
        </w:rPr>
        <w:t>4）2019年开具的缴纳社会保险的凭据证明材料复印件；如依法不需要缴纳社会保障资金的，应提供相应文件证明其依法不需要缴纳社会保障资金；</w:t>
      </w:r>
    </w:p>
    <w:p>
      <w:pPr>
        <w:spacing w:line="360" w:lineRule="auto"/>
        <w:ind w:firstLine="630" w:firstLineChars="300"/>
        <w:rPr>
          <w:rFonts w:hint="eastAsia"/>
        </w:rPr>
      </w:pPr>
      <w:r>
        <w:rPr>
          <w:rFonts w:hint="eastAsia"/>
        </w:rPr>
        <w:t>5）提供</w:t>
      </w:r>
      <w:r>
        <w:t>具有履行合同所必需的设备和专业技术能力</w:t>
      </w:r>
      <w:r>
        <w:rPr>
          <w:rFonts w:hint="eastAsia"/>
        </w:rPr>
        <w:t>的书面声明；</w:t>
      </w:r>
    </w:p>
    <w:p>
      <w:pPr>
        <w:spacing w:line="360" w:lineRule="auto"/>
        <w:ind w:firstLine="630" w:firstLineChars="300"/>
        <w:rPr>
          <w:rFonts w:hint="eastAsia"/>
        </w:rPr>
      </w:pPr>
      <w:r>
        <w:rPr>
          <w:rFonts w:hint="eastAsia"/>
        </w:rPr>
        <w:t>6）提供参加政府采购活动前</w:t>
      </w:r>
      <w:r>
        <w:t>3</w:t>
      </w:r>
      <w:r>
        <w:rPr>
          <w:rFonts w:hint="eastAsia"/>
        </w:rPr>
        <w:t>年内在经营活动中没有重大违法记录的书面声明。</w:t>
      </w:r>
    </w:p>
    <w:p>
      <w:pPr>
        <w:spacing w:line="360" w:lineRule="auto"/>
        <w:ind w:firstLine="420" w:firstLineChars="200"/>
        <w:rPr>
          <w:rFonts w:hint="eastAsia"/>
        </w:rPr>
      </w:pPr>
      <w:r>
        <w:rPr>
          <w:rFonts w:hint="eastAsia"/>
        </w:rPr>
        <w:t>8、投标人的特定条件的证明文件：</w:t>
      </w:r>
      <w:r>
        <w:rPr>
          <w:rFonts w:hint="eastAsia" w:ascii="宋体" w:hAnsi="宋体"/>
          <w:szCs w:val="21"/>
        </w:rPr>
        <w:t>（如有）</w:t>
      </w:r>
      <w:r>
        <w:rPr>
          <w:rFonts w:hint="eastAsia"/>
        </w:rPr>
        <w:t>；</w:t>
      </w:r>
    </w:p>
    <w:p>
      <w:pPr>
        <w:spacing w:line="360" w:lineRule="auto"/>
        <w:ind w:firstLine="420" w:firstLineChars="200"/>
        <w:rPr>
          <w:rFonts w:hint="eastAsia"/>
        </w:rPr>
      </w:pPr>
      <w:r>
        <w:rPr>
          <w:rFonts w:hint="eastAsia"/>
        </w:rPr>
        <w:t>9、投标承诺函（格式见附件）；</w:t>
      </w:r>
    </w:p>
    <w:p>
      <w:pPr>
        <w:spacing w:line="360" w:lineRule="auto"/>
        <w:ind w:firstLine="420" w:firstLineChars="200"/>
        <w:rPr>
          <w:rFonts w:hint="eastAsia"/>
        </w:rPr>
      </w:pPr>
      <w:r>
        <w:rPr>
          <w:rFonts w:hint="eastAsia"/>
        </w:rPr>
        <w:t>10、技术（服务）响应一览表（格式见附件）；</w:t>
      </w:r>
    </w:p>
    <w:p>
      <w:pPr>
        <w:spacing w:line="360" w:lineRule="auto"/>
        <w:ind w:firstLine="420" w:firstLineChars="200"/>
        <w:rPr>
          <w:rFonts w:hint="eastAsia"/>
        </w:rPr>
      </w:pPr>
      <w:r>
        <w:rPr>
          <w:rFonts w:hint="eastAsia"/>
        </w:rPr>
        <w:t>11、投标人基本情况表（格式见附件）；</w:t>
      </w:r>
    </w:p>
    <w:p>
      <w:pPr>
        <w:spacing w:line="360" w:lineRule="auto"/>
        <w:ind w:firstLine="420" w:firstLineChars="200"/>
        <w:rPr>
          <w:rFonts w:hint="eastAsia"/>
        </w:rPr>
      </w:pPr>
      <w:bookmarkStart w:id="16" w:name="_Toc249866761"/>
      <w:bookmarkStart w:id="17" w:name="_Toc259108317"/>
      <w:bookmarkStart w:id="18" w:name="_Toc494480055"/>
      <w:r>
        <w:rPr>
          <w:rFonts w:hint="eastAsia"/>
        </w:rPr>
        <w:t>12、同类业绩情况一览表；</w:t>
      </w:r>
    </w:p>
    <w:p>
      <w:pPr>
        <w:spacing w:line="360" w:lineRule="auto"/>
        <w:ind w:firstLine="420" w:firstLineChars="200"/>
        <w:rPr>
          <w:rFonts w:hint="eastAsia"/>
        </w:rPr>
      </w:pPr>
      <w:r>
        <w:rPr>
          <w:rFonts w:hint="eastAsia"/>
        </w:rPr>
        <w:t>13、评分标准或采购文件需要提供的证明材料：</w:t>
      </w:r>
    </w:p>
    <w:p>
      <w:pPr>
        <w:spacing w:line="360" w:lineRule="auto"/>
        <w:ind w:firstLine="840" w:firstLineChars="400"/>
        <w:rPr>
          <w:rFonts w:hint="eastAsia"/>
        </w:rPr>
      </w:pPr>
      <w:r>
        <w:rPr>
          <w:rFonts w:hint="eastAsia"/>
        </w:rPr>
        <w:t>（1）保洁管理整体设想及策划；</w:t>
      </w:r>
    </w:p>
    <w:p>
      <w:pPr>
        <w:spacing w:line="360" w:lineRule="auto"/>
        <w:ind w:firstLine="840" w:firstLineChars="400"/>
        <w:rPr>
          <w:rFonts w:hint="eastAsia"/>
        </w:rPr>
      </w:pPr>
      <w:r>
        <w:rPr>
          <w:rFonts w:hint="eastAsia"/>
        </w:rPr>
        <w:t>（2）</w:t>
      </w:r>
      <w:r>
        <w:rPr>
          <w:rFonts w:hint="eastAsia" w:ascii="宋体" w:hAnsi="宋体"/>
        </w:rPr>
        <w:t>镇区保洁服务</w:t>
      </w:r>
      <w:r>
        <w:rPr>
          <w:rFonts w:hint="eastAsia" w:ascii="宋体"/>
          <w:bCs/>
          <w:szCs w:val="21"/>
        </w:rPr>
        <w:t>方案及流程</w:t>
      </w:r>
      <w:r>
        <w:rPr>
          <w:rFonts w:hint="eastAsia"/>
        </w:rPr>
        <w:t>；</w:t>
      </w:r>
    </w:p>
    <w:p>
      <w:pPr>
        <w:spacing w:line="360" w:lineRule="auto"/>
        <w:ind w:firstLine="840" w:firstLineChars="400"/>
        <w:rPr>
          <w:rFonts w:hint="eastAsia"/>
        </w:rPr>
      </w:pPr>
      <w:r>
        <w:rPr>
          <w:rFonts w:hint="eastAsia"/>
        </w:rPr>
        <w:t>（3）</w:t>
      </w:r>
      <w:r>
        <w:rPr>
          <w:rFonts w:hint="eastAsia" w:ascii="宋体"/>
          <w:bCs/>
          <w:szCs w:val="21"/>
        </w:rPr>
        <w:t>垃圾清运（日产日清）服务方案及流程</w:t>
      </w:r>
      <w:r>
        <w:rPr>
          <w:rFonts w:hint="eastAsia"/>
        </w:rPr>
        <w:t>；</w:t>
      </w:r>
    </w:p>
    <w:p>
      <w:pPr>
        <w:spacing w:line="360" w:lineRule="auto"/>
        <w:ind w:firstLine="840" w:firstLineChars="400"/>
        <w:rPr>
          <w:rFonts w:hint="eastAsia"/>
        </w:rPr>
      </w:pPr>
      <w:r>
        <w:rPr>
          <w:rFonts w:hint="eastAsia"/>
        </w:rPr>
        <w:t>（4）</w:t>
      </w:r>
      <w:r>
        <w:rPr>
          <w:rFonts w:hint="eastAsia" w:ascii="宋体"/>
          <w:bCs/>
          <w:szCs w:val="21"/>
        </w:rPr>
        <w:t>中转站及垃圾分类站运营管理方案及流程</w:t>
      </w:r>
      <w:r>
        <w:rPr>
          <w:rFonts w:hint="eastAsia"/>
        </w:rPr>
        <w:t>；</w:t>
      </w:r>
    </w:p>
    <w:p>
      <w:pPr>
        <w:spacing w:line="360" w:lineRule="auto"/>
        <w:ind w:firstLine="840" w:firstLineChars="400"/>
        <w:rPr>
          <w:rFonts w:hint="eastAsia"/>
        </w:rPr>
      </w:pPr>
      <w:r>
        <w:rPr>
          <w:rFonts w:hint="eastAsia"/>
        </w:rPr>
        <w:t>（5）交接方案；</w:t>
      </w:r>
    </w:p>
    <w:p>
      <w:pPr>
        <w:spacing w:line="360" w:lineRule="auto"/>
        <w:ind w:firstLine="840" w:firstLineChars="400"/>
        <w:rPr>
          <w:rFonts w:hint="eastAsia"/>
        </w:rPr>
      </w:pPr>
      <w:r>
        <w:rPr>
          <w:rFonts w:hint="eastAsia"/>
        </w:rPr>
        <w:t>（6）安全文明作业措施；</w:t>
      </w:r>
    </w:p>
    <w:p>
      <w:pPr>
        <w:spacing w:line="360" w:lineRule="auto"/>
        <w:ind w:firstLine="840" w:firstLineChars="400"/>
        <w:rPr>
          <w:rFonts w:hint="eastAsia"/>
        </w:rPr>
      </w:pPr>
      <w:r>
        <w:rPr>
          <w:rFonts w:hint="eastAsia"/>
        </w:rPr>
        <w:t>（7）特殊时期的应急保障措施包括大型活动、防台防汛期、创优评优和突击检查等特殊时期的应急保障措施；</w:t>
      </w:r>
    </w:p>
    <w:p>
      <w:pPr>
        <w:spacing w:line="360" w:lineRule="auto"/>
        <w:ind w:firstLine="840" w:firstLineChars="400"/>
        <w:rPr>
          <w:rFonts w:hint="eastAsia"/>
        </w:rPr>
      </w:pPr>
      <w:r>
        <w:rPr>
          <w:rFonts w:hint="eastAsia"/>
        </w:rPr>
        <w:t>（8）针对本项目的督检制度；</w:t>
      </w:r>
    </w:p>
    <w:p>
      <w:pPr>
        <w:spacing w:line="360" w:lineRule="auto"/>
        <w:ind w:firstLine="840" w:firstLineChars="400"/>
        <w:rPr>
          <w:rFonts w:hint="eastAsia"/>
        </w:rPr>
      </w:pPr>
      <w:r>
        <w:rPr>
          <w:rFonts w:hint="eastAsia"/>
        </w:rPr>
        <w:t>（9）企业管理制度；</w:t>
      </w:r>
    </w:p>
    <w:p>
      <w:pPr>
        <w:spacing w:line="360" w:lineRule="auto"/>
        <w:ind w:firstLine="840" w:firstLineChars="400"/>
        <w:rPr>
          <w:rFonts w:hint="eastAsia"/>
        </w:rPr>
      </w:pPr>
      <w:r>
        <w:rPr>
          <w:rFonts w:hint="eastAsia"/>
        </w:rPr>
        <w:t>（10）为完成本项目配备的设备明细表及管理方案（含设备维护制度）；</w:t>
      </w:r>
    </w:p>
    <w:p>
      <w:pPr>
        <w:spacing w:line="360" w:lineRule="auto"/>
        <w:ind w:firstLine="840" w:firstLineChars="400"/>
        <w:rPr>
          <w:rFonts w:hint="eastAsia"/>
        </w:rPr>
      </w:pPr>
      <w:r>
        <w:rPr>
          <w:rFonts w:hint="eastAsia"/>
        </w:rPr>
        <w:t>（11）拟派工作人员的配备、日常管理及主要的岗位职责；</w:t>
      </w:r>
    </w:p>
    <w:p>
      <w:pPr>
        <w:spacing w:line="360" w:lineRule="auto"/>
        <w:ind w:firstLine="840" w:firstLineChars="400"/>
        <w:rPr>
          <w:rFonts w:hint="eastAsia"/>
        </w:rPr>
      </w:pPr>
      <w:r>
        <w:rPr>
          <w:rFonts w:hint="eastAsia"/>
        </w:rPr>
        <w:t>（12）日常管理办公用房相关证明材料；</w:t>
      </w:r>
    </w:p>
    <w:p>
      <w:pPr>
        <w:spacing w:line="360" w:lineRule="auto"/>
        <w:ind w:firstLine="840" w:firstLineChars="400"/>
        <w:rPr>
          <w:rFonts w:hint="eastAsia"/>
        </w:rPr>
      </w:pPr>
      <w:r>
        <w:rPr>
          <w:rFonts w:hint="eastAsia"/>
        </w:rPr>
        <w:t>（13）行业信誉及经验证明资料或说明（根据评分标准编制）；</w:t>
      </w:r>
    </w:p>
    <w:p>
      <w:pPr>
        <w:spacing w:line="360" w:lineRule="auto"/>
        <w:ind w:firstLine="840" w:firstLineChars="400"/>
        <w:rPr>
          <w:rFonts w:hint="eastAsia"/>
        </w:rPr>
      </w:pPr>
      <w:r>
        <w:rPr>
          <w:rFonts w:hint="eastAsia"/>
        </w:rPr>
        <w:t>（14）政府采购政策相关内容。</w:t>
      </w:r>
    </w:p>
    <w:p>
      <w:pPr>
        <w:spacing w:line="360" w:lineRule="auto"/>
        <w:ind w:firstLine="420" w:firstLineChars="200"/>
        <w:rPr>
          <w:rFonts w:hint="eastAsia"/>
        </w:rPr>
      </w:pPr>
      <w:r>
        <w:rPr>
          <w:rFonts w:hint="eastAsia"/>
        </w:rPr>
        <w:t>以上要求中如有原件备查，请提交原件（单独包装并注明投标人名称）与投标同时递交，评审结束后退还给投标人。</w:t>
      </w:r>
    </w:p>
    <w:p>
      <w:pPr>
        <w:spacing w:line="360" w:lineRule="auto"/>
        <w:ind w:firstLine="315" w:firstLineChars="150"/>
      </w:pPr>
      <w:r>
        <w:rPr>
          <w:rFonts w:hint="eastAsia"/>
        </w:rPr>
        <w:t>（二）报价文件内容包括</w:t>
      </w:r>
    </w:p>
    <w:p>
      <w:pPr>
        <w:spacing w:line="360" w:lineRule="auto"/>
        <w:ind w:firstLine="420" w:firstLineChars="200"/>
      </w:pPr>
      <w:r>
        <w:rPr>
          <w:rFonts w:hint="eastAsia"/>
        </w:rPr>
        <w:t>1、投标函（格式见附件）；</w:t>
      </w:r>
    </w:p>
    <w:p>
      <w:pPr>
        <w:spacing w:line="360" w:lineRule="auto"/>
        <w:ind w:firstLine="420" w:firstLineChars="200"/>
      </w:pPr>
      <w:r>
        <w:rPr>
          <w:rFonts w:hint="eastAsia"/>
        </w:rPr>
        <w:t>2、投标分项报价表（经费测算表）（格式见附件）；</w:t>
      </w:r>
    </w:p>
    <w:p>
      <w:pPr>
        <w:spacing w:line="360" w:lineRule="auto"/>
        <w:ind w:firstLine="420" w:firstLineChars="200"/>
      </w:pPr>
      <w:r>
        <w:rPr>
          <w:rFonts w:hint="eastAsia"/>
        </w:rPr>
        <w:t>3、开标一览表（格式见附件）；</w:t>
      </w:r>
    </w:p>
    <w:p>
      <w:pPr>
        <w:spacing w:line="360" w:lineRule="auto"/>
        <w:ind w:firstLine="420" w:firstLineChars="200"/>
        <w:rPr>
          <w:rFonts w:hint="eastAsia"/>
        </w:rPr>
      </w:pPr>
      <w:r>
        <w:rPr>
          <w:rFonts w:hint="eastAsia"/>
        </w:rPr>
        <w:t>4、中小企业声明函（格式见附件）。</w:t>
      </w:r>
    </w:p>
    <w:p>
      <w:pPr>
        <w:spacing w:line="360" w:lineRule="auto"/>
        <w:ind w:firstLine="420" w:firstLineChars="200"/>
        <w:rPr>
          <w:rFonts w:hint="eastAsia"/>
        </w:rPr>
      </w:pPr>
      <w:r>
        <w:rPr>
          <w:rFonts w:hint="eastAsia"/>
        </w:rPr>
        <w:t>5、残疾人福利性单位声明函（格式见附件）。</w:t>
      </w:r>
    </w:p>
    <w:p>
      <w:pPr>
        <w:pStyle w:val="26"/>
        <w:spacing w:before="0" w:after="0" w:line="360" w:lineRule="auto"/>
        <w:ind w:firstLine="411" w:firstLineChars="196"/>
        <w:jc w:val="left"/>
        <w:rPr>
          <w:sz w:val="21"/>
          <w:szCs w:val="21"/>
        </w:rPr>
      </w:pPr>
      <w:r>
        <w:rPr>
          <w:rFonts w:hint="eastAsia"/>
          <w:sz w:val="21"/>
          <w:szCs w:val="21"/>
        </w:rPr>
        <w:t>三、投标文件的语言及计量</w:t>
      </w:r>
      <w:bookmarkEnd w:id="16"/>
      <w:bookmarkEnd w:id="17"/>
      <w:bookmarkEnd w:id="18"/>
    </w:p>
    <w:p>
      <w:pPr>
        <w:spacing w:line="360" w:lineRule="auto"/>
        <w:ind w:firstLine="420" w:firstLineChars="200"/>
      </w:pPr>
      <w:r>
        <w:rPr>
          <w:rFonts w:hint="eastAsia"/>
        </w:rPr>
        <w:t>（一）投标文件以及投标人与采购人就有关投标事宜的所有来往函电，均应以中文汉语书写。除签名、盖章、专用名称等特殊情形外，以中文汉语以外的文字表述的投标文件视同未提供。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pPr>
      <w:r>
        <w:rPr>
          <w:rFonts w:hint="eastAsia"/>
        </w:rPr>
        <w:t>（二）投标计量单位，采购文件已有明确规定的，使用采购文件规定的计量单位；采购文件没有规定的，应采用中华人民共和国法定计量单位（货币单位：人民币元），否则视同未响应。</w:t>
      </w:r>
      <w:bookmarkStart w:id="19" w:name="_Toc259108318"/>
      <w:bookmarkStart w:id="20" w:name="_Toc249866762"/>
    </w:p>
    <w:p>
      <w:pPr>
        <w:pStyle w:val="26"/>
        <w:spacing w:before="0" w:after="0" w:line="360" w:lineRule="auto"/>
        <w:ind w:firstLine="411" w:firstLineChars="196"/>
        <w:jc w:val="left"/>
        <w:rPr>
          <w:sz w:val="21"/>
          <w:szCs w:val="21"/>
        </w:rPr>
      </w:pPr>
      <w:bookmarkStart w:id="21" w:name="_Toc494480056"/>
      <w:r>
        <w:rPr>
          <w:rFonts w:hint="eastAsia"/>
          <w:sz w:val="21"/>
          <w:szCs w:val="21"/>
        </w:rPr>
        <w:t>四、投标报价</w:t>
      </w:r>
      <w:bookmarkEnd w:id="19"/>
      <w:bookmarkEnd w:id="20"/>
      <w:bookmarkEnd w:id="21"/>
    </w:p>
    <w:p>
      <w:pPr>
        <w:spacing w:line="360" w:lineRule="auto"/>
        <w:ind w:firstLine="420" w:firstLineChars="200"/>
      </w:pPr>
      <w:r>
        <w:rPr>
          <w:rFonts w:hint="eastAsia"/>
        </w:rPr>
        <w:t>（一）投标报价应按采购文件中相关附表格式填写。</w:t>
      </w:r>
    </w:p>
    <w:p>
      <w:pPr>
        <w:spacing w:line="360" w:lineRule="auto"/>
        <w:ind w:firstLine="420" w:firstLineChars="200"/>
        <w:rPr>
          <w:rFonts w:hint="eastAsia"/>
        </w:rPr>
      </w:pPr>
      <w:r>
        <w:rPr>
          <w:rFonts w:hint="eastAsia"/>
        </w:rPr>
        <w:t>（二）投标报价组成：投标报价为包干价须包含完成本项目所需的全部费用（包括但不限于）：服务的</w:t>
      </w:r>
      <w:r>
        <w:t>人工费，机械设备折旧费、维修费、保洁材料消耗、保洁工具消耗、劳动保护品消耗等直接费用和管理费、企业合理利润、税金等间接费用</w:t>
      </w:r>
      <w:r>
        <w:rPr>
          <w:rFonts w:hint="eastAsia"/>
        </w:rPr>
        <w:t>。</w:t>
      </w:r>
    </w:p>
    <w:p>
      <w:pPr>
        <w:spacing w:line="360" w:lineRule="auto"/>
        <w:ind w:firstLine="420" w:firstLineChars="200"/>
        <w:rPr>
          <w:rFonts w:hint="eastAsia"/>
        </w:rPr>
      </w:pPr>
      <w:r>
        <w:rPr>
          <w:rFonts w:hint="eastAsia"/>
        </w:rPr>
        <w:t>1、所有类型管理人员、保洁人员、驾驶员人员工资福利包含：基本工资、岗位津贴、夏季高温费、法定节假日加班补贴、单休日加班费、各种福利费（中秋节、环卫工人节、春节、体检等）、社会保险、住房公积金，各类生产必须的耗材（含：春秋装、冬装、反光背心、手套、毛巾、肥皂、雨衣、雨鞋等、夏季防暑用品、扫把、三轮保洁车等相关作业工具和劳保用品）；培训费、暂住费、各种保险及处理一切伤亡事故等；</w:t>
      </w:r>
    </w:p>
    <w:p>
      <w:pPr>
        <w:spacing w:line="360" w:lineRule="auto"/>
        <w:ind w:firstLine="420" w:firstLineChars="200"/>
        <w:rPr>
          <w:rFonts w:hint="eastAsia"/>
        </w:rPr>
      </w:pPr>
      <w:r>
        <w:rPr>
          <w:rFonts w:hint="eastAsia"/>
        </w:rPr>
        <w:t>2、机械及其它费用：垃圾运输车、垃圾清运车等机械使用费、垃圾桶清运费、机械车辆及更新机械或工具费、油费、保险费、年检费、营运费、维护保养费、车辆折旧费等；</w:t>
      </w:r>
    </w:p>
    <w:p>
      <w:pPr>
        <w:spacing w:line="360" w:lineRule="auto"/>
        <w:ind w:firstLine="420" w:firstLineChars="200"/>
        <w:rPr>
          <w:rFonts w:hint="eastAsia"/>
        </w:rPr>
      </w:pPr>
      <w:r>
        <w:rPr>
          <w:rFonts w:hint="eastAsia"/>
        </w:rPr>
        <w:t>3、应缴纳税金、管理费（包括人员培训费、其他管理费）及利润、1-3%安全生产专项管理经费、突发应急及上级布置的专项任务费用及其他与本保洁项目有关的费用。</w:t>
      </w:r>
    </w:p>
    <w:p>
      <w:pPr>
        <w:spacing w:line="360" w:lineRule="auto"/>
        <w:ind w:firstLine="420" w:firstLineChars="200"/>
        <w:rPr>
          <w:rFonts w:hint="eastAsia"/>
        </w:rPr>
      </w:pPr>
      <w:r>
        <w:rPr>
          <w:rFonts w:hint="eastAsia"/>
        </w:rPr>
        <w:t>（三）投标文件只允许有一个报价，有选择的或有条件的报价将不予接受。</w:t>
      </w:r>
    </w:p>
    <w:p>
      <w:pPr>
        <w:spacing w:line="360" w:lineRule="auto"/>
        <w:ind w:firstLine="420" w:firstLineChars="200"/>
        <w:rPr>
          <w:rFonts w:hint="eastAsia"/>
          <w:b/>
        </w:rPr>
      </w:pPr>
      <w:r>
        <w:rPr>
          <w:rFonts w:hint="eastAsia"/>
          <w:b/>
        </w:rPr>
        <w:t>（四）本项目投标报价方式采用“综合单价×数量”的方式进行报价。“综合单价”是指“全费用综合单价”，即含服务的人工费，机械设备折旧费、维修费、保洁材料消耗、保洁工具消耗、劳动保护品消耗等直接费用和管理费、企业合理利润、税金等间接费用。</w:t>
      </w:r>
    </w:p>
    <w:p>
      <w:pPr>
        <w:pStyle w:val="26"/>
        <w:spacing w:before="0" w:after="0" w:line="360" w:lineRule="auto"/>
        <w:ind w:firstLine="411" w:firstLineChars="196"/>
        <w:jc w:val="both"/>
        <w:rPr>
          <w:sz w:val="21"/>
          <w:szCs w:val="21"/>
        </w:rPr>
      </w:pPr>
      <w:bookmarkStart w:id="22" w:name="_Toc494480057"/>
      <w:r>
        <w:rPr>
          <w:rFonts w:hint="eastAsia"/>
          <w:sz w:val="21"/>
          <w:szCs w:val="21"/>
        </w:rPr>
        <w:t>五、投标文件的有效期</w:t>
      </w:r>
      <w:bookmarkEnd w:id="22"/>
    </w:p>
    <w:p>
      <w:pPr>
        <w:spacing w:line="360" w:lineRule="auto"/>
        <w:ind w:firstLine="420" w:firstLineChars="200"/>
      </w:pPr>
      <w:r>
        <w:rPr>
          <w:rFonts w:hint="eastAsia"/>
        </w:rPr>
        <w:t>（一）</w:t>
      </w:r>
      <w:r>
        <w:t>自投标截止日起</w:t>
      </w:r>
      <w:r>
        <w:rPr>
          <w:rFonts w:hint="eastAsia"/>
        </w:rPr>
        <w:t xml:space="preserve"> 60</w:t>
      </w:r>
      <w:r>
        <w:t>天投标</w:t>
      </w:r>
      <w:r>
        <w:rPr>
          <w:rFonts w:hint="eastAsia"/>
        </w:rPr>
        <w:t>文件</w:t>
      </w:r>
      <w:r>
        <w:t>应保持有效。有效期</w:t>
      </w:r>
      <w:r>
        <w:rPr>
          <w:rFonts w:hint="eastAsia"/>
        </w:rPr>
        <w:t>不足</w:t>
      </w:r>
      <w:r>
        <w:t>的投标</w:t>
      </w:r>
      <w:r>
        <w:rPr>
          <w:rFonts w:hint="eastAsia"/>
        </w:rPr>
        <w:t>文件</w:t>
      </w:r>
      <w:r>
        <w:t>将被拒绝。</w:t>
      </w:r>
    </w:p>
    <w:p>
      <w:pPr>
        <w:spacing w:line="360" w:lineRule="auto"/>
        <w:ind w:firstLine="420" w:firstLineChars="200"/>
        <w:rPr>
          <w:rFonts w:hint="eastAsia"/>
        </w:rPr>
      </w:pPr>
      <w:r>
        <w:rPr>
          <w:rFonts w:hint="eastAsia"/>
        </w:rPr>
        <w:t>（二）</w:t>
      </w:r>
      <w:r>
        <w:t>在特殊情况下，采购人可与投标人协商延长投标书的有效期，这种要求和答复均以书面形式进行。</w:t>
      </w:r>
    </w:p>
    <w:p>
      <w:pPr>
        <w:spacing w:line="360" w:lineRule="auto"/>
        <w:ind w:firstLine="420" w:firstLineChars="200"/>
      </w:pPr>
      <w:r>
        <w:rPr>
          <w:rFonts w:hint="eastAsia"/>
        </w:rPr>
        <w:t>（三）</w:t>
      </w:r>
      <w:r>
        <w:t xml:space="preserve">投标人可拒绝接受延期要求而不会导致投标保证金被没收。同意延长有效期的投标人需要相应延长投标保证金的有效期，但不能修改投标文件。 </w:t>
      </w:r>
    </w:p>
    <w:p>
      <w:pPr>
        <w:pStyle w:val="26"/>
        <w:spacing w:before="0" w:after="0" w:line="360" w:lineRule="auto"/>
        <w:ind w:firstLine="411" w:firstLineChars="196"/>
        <w:jc w:val="both"/>
        <w:rPr>
          <w:sz w:val="21"/>
          <w:szCs w:val="21"/>
        </w:rPr>
      </w:pPr>
      <w:bookmarkStart w:id="23" w:name="_Toc259108322"/>
      <w:bookmarkStart w:id="24" w:name="_Toc249866766"/>
      <w:bookmarkStart w:id="25" w:name="_Toc494480058"/>
      <w:r>
        <w:rPr>
          <w:rFonts w:hint="eastAsia"/>
          <w:sz w:val="21"/>
          <w:szCs w:val="21"/>
        </w:rPr>
        <w:t>六、投标文件的签署和份数</w:t>
      </w:r>
      <w:bookmarkEnd w:id="23"/>
      <w:bookmarkEnd w:id="24"/>
      <w:bookmarkEnd w:id="25"/>
    </w:p>
    <w:p>
      <w:pPr>
        <w:spacing w:line="360" w:lineRule="auto"/>
        <w:ind w:firstLine="420" w:firstLineChars="200"/>
      </w:pPr>
      <w:r>
        <w:rPr>
          <w:rFonts w:hint="eastAsia"/>
        </w:rPr>
        <w:t>（一）投标人应按本采购文件规定的格式和顺序编制、装订投标文件并标注页码，投标文件内容不完整、编排混乱导致投标文件被误读、漏读或者查找不到相关内容的，是投标人的责任。</w:t>
      </w:r>
    </w:p>
    <w:p>
      <w:pPr>
        <w:spacing w:line="360" w:lineRule="auto"/>
        <w:ind w:firstLine="420" w:firstLineChars="200"/>
        <w:rPr>
          <w:rFonts w:hint="eastAsia"/>
        </w:rPr>
      </w:pPr>
      <w:r>
        <w:rPr>
          <w:rFonts w:hint="eastAsia"/>
        </w:rPr>
        <w:t>▲（二）投标人应按资信技术文件正本 1份、副本4份，报价文件正本 1份、副本4份分别编制并单独装订成册，投标文件的封面应注明“正本”、“副本”字样，活页装订的投标文件将被拒绝。</w:t>
      </w:r>
    </w:p>
    <w:p>
      <w:pPr>
        <w:spacing w:line="360" w:lineRule="auto"/>
        <w:ind w:firstLine="420" w:firstLineChars="200"/>
      </w:pPr>
      <w:r>
        <w:rPr>
          <w:rFonts w:hint="eastAsia"/>
        </w:rPr>
        <w:t>电子版：资信技术文件1份，报价文件word版1份分别制作并放入对应文件包封内或者单独密封包装。</w:t>
      </w:r>
    </w:p>
    <w:p>
      <w:pPr>
        <w:spacing w:line="360" w:lineRule="auto"/>
        <w:ind w:firstLine="420" w:firstLineChars="200"/>
      </w:pPr>
      <w:r>
        <w:rPr>
          <w:rFonts w:hint="eastAsia"/>
        </w:rPr>
        <w:t>若有多个子包，资信技术文件及报价文件应按子包分别装订、密封、包装，未按规定装订、密封、包装的投标文件将被拒绝。</w:t>
      </w:r>
    </w:p>
    <w:p>
      <w:pPr>
        <w:spacing w:line="360" w:lineRule="auto"/>
        <w:ind w:firstLine="420" w:firstLineChars="200"/>
      </w:pPr>
      <w:r>
        <w:rPr>
          <w:rFonts w:hint="eastAsia"/>
        </w:rPr>
        <w:t>（三）投标文件的正本需打印或用不褪色的墨水填写，投标文件正本除本《投标须知》中规定的可提供复印件外均须提供原件。副本为正本的复印件。</w:t>
      </w:r>
    </w:p>
    <w:p>
      <w:pPr>
        <w:spacing w:line="360" w:lineRule="auto"/>
        <w:ind w:firstLine="420" w:firstLineChars="200"/>
      </w:pPr>
      <w:r>
        <w:rPr>
          <w:rFonts w:hint="eastAsia"/>
        </w:rPr>
        <w:t>▲（四）投标文件须由投标人在规定位置盖章并由法定代表人或法定代表人的授权委托人签署，投标人应写全称。法定代表人授权委托书、投标声明书必须由法定代表人签名并加盖单位公章。</w:t>
      </w:r>
    </w:p>
    <w:p>
      <w:pPr>
        <w:spacing w:line="360" w:lineRule="auto"/>
        <w:ind w:firstLine="420" w:firstLineChars="200"/>
      </w:pPr>
      <w:r>
        <w:rPr>
          <w:rFonts w:hint="eastAsia"/>
        </w:rPr>
        <w:t>（五）投标文件不得涂改，若有修改错漏处，须加盖单位公章或者法定代表人或授权委托人签名或盖章。投标文件因字迹潦草或表达不清所引起的后果由投标人负责。</w:t>
      </w:r>
    </w:p>
    <w:p>
      <w:pPr>
        <w:spacing w:line="360" w:lineRule="auto"/>
        <w:ind w:firstLine="420" w:firstLineChars="200"/>
      </w:pPr>
      <w:r>
        <w:rPr>
          <w:rFonts w:hint="eastAsia"/>
        </w:rPr>
        <w:t>（六）投标人递交的企业宣传册、产品宣传册不属于投标文件有效组成资料的不作为评审依据。</w:t>
      </w:r>
    </w:p>
    <w:p>
      <w:pPr>
        <w:pStyle w:val="26"/>
        <w:spacing w:before="0" w:after="0" w:line="360" w:lineRule="auto"/>
        <w:ind w:firstLine="411" w:firstLineChars="196"/>
        <w:jc w:val="both"/>
        <w:rPr>
          <w:sz w:val="21"/>
          <w:szCs w:val="21"/>
        </w:rPr>
      </w:pPr>
      <w:bookmarkStart w:id="26" w:name="_Toc494480059"/>
      <w:r>
        <w:rPr>
          <w:rFonts w:hint="eastAsia"/>
          <w:sz w:val="21"/>
          <w:szCs w:val="21"/>
        </w:rPr>
        <w:t>七、投标文件的包装、递交、修改和撤回</w:t>
      </w:r>
      <w:bookmarkEnd w:id="26"/>
    </w:p>
    <w:p>
      <w:pPr>
        <w:spacing w:line="360" w:lineRule="auto"/>
        <w:ind w:firstLine="420" w:firstLineChars="200"/>
      </w:pPr>
      <w:r>
        <w:rPr>
          <w:rFonts w:hint="eastAsia"/>
        </w:rPr>
        <w:t>（一）投标文件由资信技术文件和报价文件两部分组成，两部分文件应分别装订并密封。投标文件的外包装封面上应注明投标人名称、投标人地址、投标文件名称（资信技术文件或报价文件）、投标项目名称、项目编号、标项及“在  年  月  日  时  分之前不得启封”字样，并加盖投标人公章。</w:t>
      </w:r>
    </w:p>
    <w:p>
      <w:pPr>
        <w:spacing w:line="360" w:lineRule="auto"/>
        <w:ind w:firstLine="420" w:firstLineChars="200"/>
      </w:pPr>
      <w:r>
        <w:rPr>
          <w:rFonts w:hint="eastAsia"/>
        </w:rPr>
        <w:t>（二）投标文件未按规定包装密封或标记的投标文件将被拒绝，由此造成投标文件被误投或提前拆封的风险由投标人承担。</w:t>
      </w:r>
    </w:p>
    <w:p>
      <w:pPr>
        <w:spacing w:line="360" w:lineRule="auto"/>
        <w:ind w:firstLine="420" w:firstLineChars="200"/>
      </w:pPr>
      <w:r>
        <w:rPr>
          <w:rFonts w:hint="eastAsia"/>
        </w:rPr>
        <w:t>（三）投标人在投标截止时间之前，可以对已提交的投标文件进行补充、修改或撤回，并书面通知招标采购单位，修改后重新递交的投标文件应当按本采购文件的要求签署、盖章和密封，并作为投标文件的组成部分；投标截止时间后，投标人不得撤回、修改投标文件。</w:t>
      </w:r>
    </w:p>
    <w:p>
      <w:pPr>
        <w:pStyle w:val="26"/>
        <w:spacing w:before="0" w:after="0" w:line="360" w:lineRule="auto"/>
        <w:ind w:firstLine="411" w:firstLineChars="196"/>
        <w:jc w:val="both"/>
        <w:rPr>
          <w:sz w:val="21"/>
          <w:szCs w:val="21"/>
        </w:rPr>
      </w:pPr>
      <w:bookmarkStart w:id="27" w:name="_Toc494480060"/>
      <w:r>
        <w:rPr>
          <w:rFonts w:hint="eastAsia"/>
          <w:sz w:val="21"/>
          <w:szCs w:val="21"/>
        </w:rPr>
        <w:t>八、投标保证金的交纳及退还</w:t>
      </w:r>
      <w:bookmarkEnd w:id="27"/>
    </w:p>
    <w:p>
      <w:pPr>
        <w:spacing w:line="360" w:lineRule="auto"/>
        <w:ind w:firstLine="420" w:firstLineChars="200"/>
        <w:rPr>
          <w:rFonts w:hint="eastAsia" w:ascii="宋体" w:hAnsi="宋体"/>
          <w:szCs w:val="21"/>
        </w:rPr>
      </w:pPr>
      <w:r>
        <w:rPr>
          <w:rFonts w:hint="eastAsia" w:ascii="宋体" w:hAnsi="宋体"/>
          <w:szCs w:val="21"/>
        </w:rPr>
        <w:t xml:space="preserve">1、投标保证金：人民币壹拾壹万元整； </w:t>
      </w:r>
    </w:p>
    <w:p>
      <w:pPr>
        <w:spacing w:line="360" w:lineRule="auto"/>
        <w:ind w:firstLine="420" w:firstLineChars="200"/>
        <w:rPr>
          <w:rFonts w:hint="eastAsia" w:ascii="宋体" w:hAnsi="宋体"/>
          <w:szCs w:val="21"/>
        </w:rPr>
      </w:pPr>
      <w:r>
        <w:rPr>
          <w:rFonts w:hint="eastAsia" w:ascii="宋体" w:hAnsi="宋体"/>
          <w:szCs w:val="21"/>
        </w:rPr>
        <w:t>2、形式：银行汇票（电汇）、转账</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rPr>
        <w:t>投标保证金须从投标人的基本账户转出以非现金方式交纳且</w:t>
      </w:r>
      <w:r>
        <w:rPr>
          <w:rFonts w:hint="eastAsia" w:ascii="宋体" w:hAnsi="宋体"/>
          <w:szCs w:val="21"/>
        </w:rPr>
        <w:t>必须</w:t>
      </w:r>
      <w:r>
        <w:rPr>
          <w:rFonts w:hint="eastAsia" w:ascii="宋体" w:hAnsi="宋体"/>
        </w:rPr>
        <w:t>在2019年10月8日16:00</w:t>
      </w:r>
      <w:r>
        <w:rPr>
          <w:rFonts w:hint="eastAsia" w:ascii="宋体" w:hAnsi="宋体"/>
          <w:szCs w:val="21"/>
        </w:rPr>
        <w:t>之前缴入指定账户。</w:t>
      </w:r>
    </w:p>
    <w:p>
      <w:pPr>
        <w:spacing w:line="360" w:lineRule="auto"/>
        <w:ind w:firstLine="420" w:firstLineChars="200"/>
        <w:rPr>
          <w:rFonts w:hint="eastAsia" w:ascii="宋体" w:hAnsi="宋体"/>
          <w:szCs w:val="21"/>
        </w:rPr>
      </w:pPr>
      <w:r>
        <w:rPr>
          <w:rFonts w:hint="eastAsia" w:ascii="宋体" w:hAnsi="宋体"/>
          <w:szCs w:val="21"/>
        </w:rPr>
        <w:t>4、投标保证金交纳账户：</w:t>
      </w:r>
    </w:p>
    <w:p>
      <w:pPr>
        <w:spacing w:line="360" w:lineRule="auto"/>
        <w:ind w:firstLine="840" w:firstLineChars="400"/>
        <w:rPr>
          <w:rFonts w:hint="eastAsia" w:ascii="宋体" w:hAnsi="宋体"/>
          <w:b/>
        </w:rPr>
      </w:pPr>
      <w:r>
        <w:rPr>
          <w:rFonts w:hint="eastAsia" w:ascii="宋体" w:hAnsi="宋体"/>
          <w:b/>
        </w:rPr>
        <w:t>单位名称：宁波建兴招标有限公司</w:t>
      </w:r>
    </w:p>
    <w:p>
      <w:pPr>
        <w:spacing w:line="360" w:lineRule="auto"/>
        <w:ind w:firstLine="840" w:firstLineChars="400"/>
        <w:rPr>
          <w:rFonts w:hint="eastAsia" w:ascii="宋体" w:hAnsi="宋体"/>
          <w:b/>
        </w:rPr>
      </w:pPr>
      <w:r>
        <w:rPr>
          <w:rFonts w:hint="eastAsia" w:ascii="宋体" w:hAnsi="宋体"/>
          <w:b/>
        </w:rPr>
        <w:t>开户银行：宁波银行海曙支行</w:t>
      </w:r>
    </w:p>
    <w:p>
      <w:pPr>
        <w:spacing w:line="360" w:lineRule="auto"/>
        <w:ind w:firstLine="840" w:firstLineChars="400"/>
        <w:rPr>
          <w:rFonts w:hint="eastAsia" w:ascii="宋体" w:hAnsi="宋体"/>
          <w:b/>
        </w:rPr>
      </w:pPr>
      <w:r>
        <w:rPr>
          <w:rFonts w:hint="eastAsia" w:ascii="宋体" w:hAnsi="宋体"/>
          <w:b/>
        </w:rPr>
        <w:t>银行帐号：20010122000422548</w:t>
      </w:r>
    </w:p>
    <w:p>
      <w:pPr>
        <w:spacing w:line="360" w:lineRule="auto"/>
        <w:ind w:firstLine="420" w:firstLineChars="200"/>
        <w:rPr>
          <w:rFonts w:ascii="宋体" w:hAnsi="宋体"/>
          <w:b/>
          <w:color w:val="000000"/>
        </w:rPr>
      </w:pPr>
      <w:r>
        <w:rPr>
          <w:rFonts w:hint="eastAsia" w:ascii="宋体" w:hAnsi="宋体"/>
          <w:b/>
          <w:color w:val="000000"/>
        </w:rPr>
        <w:t>注：</w:t>
      </w:r>
      <w:r>
        <w:rPr>
          <w:rFonts w:hint="eastAsia" w:ascii="宋体" w:hAnsi="宋体"/>
          <w:sz w:val="24"/>
        </w:rPr>
        <w:t>▲</w:t>
      </w:r>
      <w:r>
        <w:rPr>
          <w:rFonts w:hint="eastAsia" w:ascii="宋体" w:hAnsi="宋体"/>
          <w:b/>
          <w:color w:val="000000"/>
        </w:rPr>
        <w:t>投标保证金按规定时间到账，超时的作无效标处理。</w:t>
      </w:r>
    </w:p>
    <w:p>
      <w:pPr>
        <w:spacing w:line="360" w:lineRule="auto"/>
        <w:ind w:firstLine="420" w:firstLineChars="200"/>
        <w:rPr>
          <w:rFonts w:hint="eastAsia"/>
        </w:rPr>
      </w:pPr>
      <w:r>
        <w:rPr>
          <w:rFonts w:hint="eastAsia"/>
        </w:rPr>
        <w:t>5、</w:t>
      </w:r>
      <w:r>
        <w:t>中标人的投标保证金</w:t>
      </w:r>
      <w:r>
        <w:rPr>
          <w:rFonts w:hint="eastAsia"/>
        </w:rPr>
        <w:t>在采购合同签订后5个工作日内退还；</w:t>
      </w:r>
    </w:p>
    <w:p>
      <w:pPr>
        <w:spacing w:line="360" w:lineRule="auto"/>
        <w:ind w:firstLine="420" w:firstLineChars="200"/>
        <w:rPr>
          <w:rFonts w:hint="eastAsia"/>
        </w:rPr>
      </w:pPr>
      <w:r>
        <w:rPr>
          <w:rFonts w:hint="eastAsia"/>
        </w:rPr>
        <w:t>6、投标人投诉质疑的，其投标保证金在投诉质疑处理完毕并确认无异议后5个工作日内退还；</w:t>
      </w:r>
    </w:p>
    <w:p>
      <w:pPr>
        <w:spacing w:line="360" w:lineRule="auto"/>
        <w:ind w:firstLine="420" w:firstLineChars="200"/>
        <w:rPr>
          <w:rFonts w:hint="eastAsia"/>
        </w:rPr>
      </w:pPr>
      <w:r>
        <w:rPr>
          <w:rFonts w:hint="eastAsia"/>
        </w:rPr>
        <w:t>7、除未中标投标人有投诉质疑情形外，其余未中标投标人的投标保证金在中标通知书发出后5个工作日内退还。</w:t>
      </w:r>
    </w:p>
    <w:p>
      <w:pPr>
        <w:spacing w:line="360" w:lineRule="auto"/>
        <w:ind w:firstLine="420" w:firstLineChars="200"/>
      </w:pPr>
      <w:r>
        <w:rPr>
          <w:rFonts w:hint="eastAsia"/>
        </w:rPr>
        <w:t>8、投标人有</w:t>
      </w:r>
      <w:r>
        <w:t>下列情</w:t>
      </w:r>
      <w:r>
        <w:rPr>
          <w:rFonts w:hint="eastAsia"/>
        </w:rPr>
        <w:t>形之一的</w:t>
      </w:r>
      <w:r>
        <w:t>，投标保证金将不予退还：</w:t>
      </w:r>
    </w:p>
    <w:p>
      <w:pPr>
        <w:spacing w:line="360" w:lineRule="auto"/>
        <w:ind w:firstLine="420" w:firstLineChars="200"/>
      </w:pPr>
      <w:r>
        <w:rPr>
          <w:rFonts w:hint="eastAsia"/>
        </w:rPr>
        <w:t>（</w:t>
      </w:r>
      <w:r>
        <w:t>1）</w:t>
      </w:r>
      <w:r>
        <w:rPr>
          <w:rFonts w:hint="eastAsia"/>
        </w:rPr>
        <w:t>投标人在提交投标文件截止时间后撤回投标文件的；</w:t>
      </w:r>
    </w:p>
    <w:p>
      <w:pPr>
        <w:spacing w:line="360" w:lineRule="auto"/>
        <w:ind w:firstLine="420" w:firstLineChars="200"/>
      </w:pPr>
      <w:r>
        <w:rPr>
          <w:rFonts w:hint="eastAsia"/>
        </w:rPr>
        <w:t>（</w:t>
      </w:r>
      <w:r>
        <w:t>2）投标人在投标过程中提供虚假材料</w:t>
      </w:r>
      <w:r>
        <w:rPr>
          <w:rFonts w:hint="eastAsia"/>
        </w:rPr>
        <w:t>的</w:t>
      </w:r>
      <w:r>
        <w:t>；</w:t>
      </w:r>
    </w:p>
    <w:p>
      <w:pPr>
        <w:spacing w:line="360" w:lineRule="auto"/>
        <w:ind w:firstLine="420" w:firstLineChars="200"/>
      </w:pPr>
      <w:r>
        <w:rPr>
          <w:rFonts w:hint="eastAsia"/>
        </w:rPr>
        <w:t>（3</w:t>
      </w:r>
      <w:r>
        <w:t>）</w:t>
      </w:r>
      <w:r>
        <w:rPr>
          <w:rFonts w:hint="eastAsia"/>
        </w:rPr>
        <w:t>未按规定提交履约保证金的；</w:t>
      </w:r>
    </w:p>
    <w:p>
      <w:pPr>
        <w:spacing w:line="360" w:lineRule="auto"/>
        <w:ind w:firstLine="420" w:firstLineChars="200"/>
      </w:pPr>
      <w:r>
        <w:t>（</w:t>
      </w:r>
      <w:r>
        <w:rPr>
          <w:rFonts w:hint="eastAsia"/>
        </w:rPr>
        <w:t>4</w:t>
      </w:r>
      <w:r>
        <w:t>）</w:t>
      </w:r>
      <w:r>
        <w:rPr>
          <w:rFonts w:hint="eastAsia"/>
        </w:rPr>
        <w:t>中标人无正当理由不与采购人签订合同的；</w:t>
      </w:r>
    </w:p>
    <w:p>
      <w:pPr>
        <w:spacing w:line="360" w:lineRule="auto"/>
        <w:ind w:firstLine="420" w:firstLineChars="200"/>
      </w:pPr>
      <w:r>
        <w:rPr>
          <w:rFonts w:hint="eastAsia"/>
        </w:rPr>
        <w:t>（</w:t>
      </w:r>
      <w:r>
        <w:t>5）</w:t>
      </w:r>
      <w:r>
        <w:rPr>
          <w:rFonts w:hint="eastAsia"/>
        </w:rPr>
        <w:t>其他严重扰乱招投标秩序的。</w:t>
      </w:r>
    </w:p>
    <w:p>
      <w:pPr>
        <w:pStyle w:val="26"/>
        <w:spacing w:before="0" w:after="0" w:line="360" w:lineRule="auto"/>
        <w:ind w:firstLine="411" w:firstLineChars="196"/>
        <w:jc w:val="both"/>
        <w:rPr>
          <w:sz w:val="21"/>
          <w:szCs w:val="21"/>
        </w:rPr>
      </w:pPr>
      <w:r>
        <w:rPr>
          <w:rFonts w:hint="eastAsia"/>
          <w:sz w:val="21"/>
          <w:szCs w:val="21"/>
        </w:rPr>
        <w:t>九、转包或分包</w:t>
      </w:r>
    </w:p>
    <w:p>
      <w:pPr>
        <w:spacing w:line="360" w:lineRule="auto"/>
        <w:ind w:firstLine="420" w:firstLineChars="200"/>
      </w:pPr>
      <w:r>
        <w:t>1</w:t>
      </w:r>
      <w:r>
        <w:rPr>
          <w:rFonts w:hint="eastAsia"/>
        </w:rPr>
        <w:t>、本合同范围的服务，应由</w:t>
      </w:r>
      <w:r>
        <w:t>乙</w:t>
      </w:r>
      <w:r>
        <w:rPr>
          <w:rFonts w:hint="eastAsia"/>
        </w:rPr>
        <w:t>方直接供应，不得转让他人供应；</w:t>
      </w:r>
    </w:p>
    <w:p>
      <w:pPr>
        <w:spacing w:line="360" w:lineRule="auto"/>
        <w:ind w:firstLine="420" w:firstLineChars="200"/>
      </w:pPr>
      <w:r>
        <w:t>2</w:t>
      </w:r>
      <w:r>
        <w:rPr>
          <w:rFonts w:hint="eastAsia"/>
        </w:rPr>
        <w:t>、除非得到</w:t>
      </w:r>
      <w:r>
        <w:t>甲</w:t>
      </w:r>
      <w:r>
        <w:rPr>
          <w:rFonts w:hint="eastAsia"/>
        </w:rPr>
        <w:t>方的书面同意，</w:t>
      </w:r>
      <w:r>
        <w:t>乙</w:t>
      </w:r>
      <w:r>
        <w:rPr>
          <w:rFonts w:hint="eastAsia"/>
        </w:rPr>
        <w:t>方不得将本合同范围的服务全部或部分分包给他人供应；</w:t>
      </w:r>
    </w:p>
    <w:p>
      <w:pPr>
        <w:spacing w:line="360" w:lineRule="auto"/>
        <w:ind w:firstLine="420" w:firstLineChars="200"/>
      </w:pPr>
      <w:r>
        <w:t>3</w:t>
      </w:r>
      <w:r>
        <w:rPr>
          <w:rFonts w:hint="eastAsia"/>
        </w:rPr>
        <w:t>、</w:t>
      </w:r>
      <w:r>
        <w:t>如有转让和未经甲方同意的分包行为，甲方有权解除合同，没收履约保证金并追究乙方的违约责任。</w:t>
      </w:r>
    </w:p>
    <w:p>
      <w:pPr>
        <w:spacing w:line="360" w:lineRule="auto"/>
        <w:ind w:firstLine="420" w:firstLineChars="200"/>
      </w:pPr>
      <w:r>
        <w:t>4</w:t>
      </w:r>
      <w:r>
        <w:rPr>
          <w:rFonts w:hint="eastAsia"/>
        </w:rPr>
        <w:t>、</w:t>
      </w:r>
      <w:r>
        <w:t>拟在中标后将中标项目的非主体、非关键性工作分包的，应当在投标文件中载明分包承担主体，分包承担主体应当具备相应资质条件且不得再次分包。</w:t>
      </w:r>
    </w:p>
    <w:p>
      <w:pPr>
        <w:pStyle w:val="34"/>
      </w:pPr>
      <w:r>
        <w:br w:type="page"/>
      </w:r>
      <w:bookmarkStart w:id="28" w:name="_Toc494480061"/>
      <w:r>
        <w:rPr>
          <w:rFonts w:hint="eastAsia"/>
        </w:rPr>
        <w:t>第三章 采购内容和技术（服务）要求</w:t>
      </w:r>
      <w:bookmarkEnd w:id="28"/>
    </w:p>
    <w:p>
      <w:pPr>
        <w:spacing w:line="360" w:lineRule="auto"/>
        <w:ind w:firstLine="420" w:firstLineChars="200"/>
        <w:rPr>
          <w:rFonts w:hint="eastAsia"/>
          <w:b/>
        </w:rPr>
      </w:pPr>
    </w:p>
    <w:p>
      <w:pPr>
        <w:pStyle w:val="26"/>
        <w:spacing w:before="0" w:after="0" w:line="360" w:lineRule="auto"/>
        <w:ind w:firstLine="411" w:firstLineChars="196"/>
        <w:jc w:val="both"/>
        <w:rPr>
          <w:rFonts w:hint="eastAsia"/>
          <w:sz w:val="21"/>
          <w:szCs w:val="21"/>
          <w:lang w:eastAsia="zh-CN"/>
        </w:rPr>
      </w:pPr>
      <w:r>
        <w:rPr>
          <w:rFonts w:hint="eastAsia"/>
          <w:sz w:val="21"/>
          <w:szCs w:val="21"/>
          <w:lang w:eastAsia="zh-CN"/>
        </w:rPr>
        <w:t>一</w:t>
      </w:r>
      <w:r>
        <w:rPr>
          <w:rFonts w:hint="eastAsia"/>
          <w:sz w:val="21"/>
          <w:szCs w:val="21"/>
        </w:rPr>
        <w:t>、项目概况</w:t>
      </w:r>
    </w:p>
    <w:p>
      <w:pPr>
        <w:spacing w:line="360" w:lineRule="auto"/>
        <w:ind w:firstLine="420" w:firstLineChars="200"/>
        <w:rPr>
          <w:rFonts w:hint="eastAsia" w:ascii="宋体" w:hAnsi="宋体"/>
          <w:szCs w:val="21"/>
        </w:rPr>
      </w:pPr>
      <w:r>
        <w:rPr>
          <w:rFonts w:hint="eastAsia" w:ascii="宋体" w:hAnsi="宋体"/>
          <w:szCs w:val="21"/>
        </w:rPr>
        <w:t>宁海县茶院乡地处宁海东部，总面积78.41平方公里。全乡辖14个行政村（35个自然村），10074户，人口26275余人。现有耕地面积12990亩，山林面积6.8万亩，滩涂面积7539亩，山海资源丰富，盛宁线贯通后，更被纳入城区“十五分钟交通圈”。为深入贯彻落实党的十九大和十九届三中全会精神，对照省关于垃圾治理“一年见成效、三年大变样、五年全面决胜”的工作部署，坚持“政府主导、政企合作、公众参与、社会监督”的工作原则，以智能化手段促进农村生活垃圾“四分三化”处置（即：分类投放、分类收运、分类利用、分类处置，减量化、资源化、无害化），为建设“和美茶院”奠定良好基础。据统计，茶院乡2017年垃圾总量7149.86吨，2018年垃圾总量7234.46吨，平均一天垃圾总量约20吨，2018年垃圾清运的形式是各个行政村以垃圾池来堆放再采取拖拉机来运输。目前根据中转站及垃圾分类站于2018年底建成可以实行以桶换桶清运模式，配置2辆密闭式桶装垃圾车（特种垃圾清运车厢并具备GPS系统），6辆垃圾清运车（电动三轮升降平板车）或桶</w:t>
      </w:r>
      <w:r>
        <w:rPr>
          <w:rFonts w:hint="eastAsia" w:ascii="宋体"/>
          <w:bCs/>
          <w:szCs w:val="21"/>
        </w:rPr>
        <w:t>装垃圾运输车</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本次公开招标，应保证本项目的日常保洁要求，强化落实人员配置、作业流程、管理制度、并遵守相关的安全管理制度和考核制度。促进保洁公司建立完善的安全管理体系。要求保洁公司必须按保洁作业要求进行镇区道路保洁、镇区绿化带保洁、果壳箱保洁、公厕保洁、牛皮癣清理、全镇垃圾清运、中转站运营管理和垃圾分类站运营管理等环卫保洁工作。</w:t>
      </w:r>
    </w:p>
    <w:p>
      <w:pPr>
        <w:spacing w:line="360" w:lineRule="auto"/>
        <w:ind w:firstLine="420" w:firstLineChars="200"/>
        <w:rPr>
          <w:rFonts w:hint="eastAsia" w:ascii="宋体" w:hAnsi="宋体"/>
          <w:szCs w:val="21"/>
        </w:rPr>
      </w:pPr>
      <w:r>
        <w:rPr>
          <w:rFonts w:hint="eastAsia" w:ascii="宋体" w:hAnsi="宋体"/>
          <w:szCs w:val="21"/>
        </w:rPr>
        <w:t>保洁单位的安全生产职责：保洁单位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保洁单位自行承担，自主负责处理解决并承担相关费用。保洁单位的职工在法律规定的工伤认定范围内发生事故的应按工伤赔偿标准赔偿。保洁单位如发生重大安全生产责任事故，招标方有权无条件中止合同。本项目需配置作业要求的项目负责人、安全管理员、自查人员，安全管理员必须经县级及以上安监部门统一培训拥有上岗证书。</w:t>
      </w:r>
    </w:p>
    <w:p>
      <w:pPr>
        <w:pStyle w:val="26"/>
        <w:spacing w:before="0" w:after="0" w:line="360" w:lineRule="auto"/>
        <w:ind w:firstLine="411" w:firstLineChars="196"/>
        <w:jc w:val="both"/>
        <w:rPr>
          <w:rFonts w:hint="eastAsia"/>
          <w:sz w:val="21"/>
          <w:szCs w:val="21"/>
        </w:rPr>
      </w:pPr>
      <w:r>
        <w:rPr>
          <w:rFonts w:hint="eastAsia"/>
          <w:sz w:val="21"/>
          <w:szCs w:val="21"/>
        </w:rPr>
        <w:t>（一）招标范围及预算费用如下：</w:t>
      </w:r>
    </w:p>
    <w:tbl>
      <w:tblPr>
        <w:tblStyle w:val="3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95"/>
        <w:gridCol w:w="29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line="360" w:lineRule="auto"/>
              <w:jc w:val="center"/>
              <w:rPr>
                <w:rFonts w:hint="eastAsia" w:ascii="宋体" w:hAnsi="宋体"/>
              </w:rPr>
            </w:pPr>
            <w:r>
              <w:rPr>
                <w:rFonts w:hint="eastAsia" w:ascii="宋体" w:hAnsi="宋体"/>
              </w:rPr>
              <w:t>序号</w:t>
            </w:r>
          </w:p>
        </w:tc>
        <w:tc>
          <w:tcPr>
            <w:tcW w:w="4395" w:type="dxa"/>
            <w:noWrap w:val="0"/>
            <w:vAlign w:val="center"/>
          </w:tcPr>
          <w:p>
            <w:pPr>
              <w:spacing w:line="360" w:lineRule="auto"/>
              <w:jc w:val="center"/>
              <w:rPr>
                <w:rFonts w:hint="eastAsia" w:ascii="宋体" w:hAnsi="宋体"/>
              </w:rPr>
            </w:pPr>
            <w:r>
              <w:rPr>
                <w:rFonts w:hint="eastAsia" w:ascii="宋体" w:hAnsi="宋体"/>
              </w:rPr>
              <w:t>服务内容</w:t>
            </w:r>
          </w:p>
        </w:tc>
        <w:tc>
          <w:tcPr>
            <w:tcW w:w="2976" w:type="dxa"/>
            <w:noWrap w:val="0"/>
            <w:vAlign w:val="center"/>
          </w:tcPr>
          <w:p>
            <w:pPr>
              <w:spacing w:line="360" w:lineRule="auto"/>
              <w:jc w:val="center"/>
              <w:rPr>
                <w:rFonts w:hint="eastAsia" w:ascii="宋体" w:hAnsi="宋体"/>
              </w:rPr>
            </w:pPr>
            <w:r>
              <w:rPr>
                <w:rFonts w:hint="eastAsia" w:ascii="宋体" w:hAnsi="宋体"/>
              </w:rPr>
              <w:t>服务期限</w:t>
            </w:r>
          </w:p>
        </w:tc>
        <w:tc>
          <w:tcPr>
            <w:tcW w:w="1276" w:type="dxa"/>
            <w:noWrap w:val="0"/>
            <w:vAlign w:val="center"/>
          </w:tcPr>
          <w:p>
            <w:pPr>
              <w:spacing w:line="360" w:lineRule="auto"/>
              <w:jc w:val="center"/>
              <w:rPr>
                <w:rFonts w:hint="eastAsia" w:ascii="宋体" w:hAnsi="宋体"/>
              </w:rPr>
            </w:pPr>
            <w:r>
              <w:rPr>
                <w:rFonts w:hint="eastAsia" w:ascii="宋体" w:hAnsi="宋体"/>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line="360" w:lineRule="auto"/>
              <w:jc w:val="center"/>
              <w:rPr>
                <w:rFonts w:hint="eastAsia" w:ascii="宋体" w:hAnsi="宋体"/>
              </w:rPr>
            </w:pPr>
            <w:r>
              <w:rPr>
                <w:rFonts w:hint="eastAsia" w:ascii="宋体" w:hAnsi="宋体"/>
              </w:rPr>
              <w:t>1</w:t>
            </w:r>
          </w:p>
        </w:tc>
        <w:tc>
          <w:tcPr>
            <w:tcW w:w="4395" w:type="dxa"/>
            <w:noWrap w:val="0"/>
            <w:vAlign w:val="center"/>
          </w:tcPr>
          <w:p>
            <w:pPr>
              <w:spacing w:line="360" w:lineRule="auto"/>
              <w:jc w:val="center"/>
              <w:rPr>
                <w:rFonts w:hint="eastAsia" w:ascii="宋体" w:hAnsi="宋体"/>
              </w:rPr>
            </w:pPr>
            <w:r>
              <w:rPr>
                <w:rFonts w:hint="eastAsia" w:ascii="宋体" w:hAnsi="宋体"/>
              </w:rPr>
              <w:t>茶院乡镇区保洁服务（包括道路保洁、绿化带保洁、果壳箱保洁、公厕保洁、牛皮癣清理）</w:t>
            </w:r>
          </w:p>
        </w:tc>
        <w:tc>
          <w:tcPr>
            <w:tcW w:w="2976" w:type="dxa"/>
            <w:vMerge w:val="restart"/>
            <w:noWrap w:val="0"/>
            <w:vAlign w:val="center"/>
          </w:tcPr>
          <w:p>
            <w:pPr>
              <w:spacing w:line="360" w:lineRule="auto"/>
              <w:jc w:val="center"/>
              <w:rPr>
                <w:rFonts w:hint="eastAsia" w:ascii="宋体" w:hAnsi="宋体"/>
              </w:rPr>
            </w:pPr>
            <w:r>
              <w:rPr>
                <w:rFonts w:hint="eastAsia" w:ascii="宋体" w:hAnsi="宋体"/>
              </w:rPr>
              <w:t>本项目一招定三</w:t>
            </w:r>
            <w:r>
              <w:rPr>
                <w:rFonts w:ascii="宋体" w:hAnsi="宋体"/>
              </w:rPr>
              <w:t>年，合同一年一签</w:t>
            </w:r>
            <w:r>
              <w:rPr>
                <w:rFonts w:hint="eastAsia" w:ascii="宋体" w:hAnsi="宋体"/>
              </w:rPr>
              <w:t>（经政府采购管理部门批准和招标人考核合格，双方同意后，续签下一年度的合同）</w:t>
            </w:r>
            <w:r>
              <w:rPr>
                <w:rFonts w:ascii="宋体" w:hAnsi="宋体"/>
              </w:rPr>
              <w:t>。</w:t>
            </w:r>
          </w:p>
        </w:tc>
        <w:tc>
          <w:tcPr>
            <w:tcW w:w="1276" w:type="dxa"/>
            <w:vMerge w:val="restart"/>
            <w:noWrap w:val="0"/>
            <w:vAlign w:val="center"/>
          </w:tcPr>
          <w:p>
            <w:pPr>
              <w:spacing w:line="360" w:lineRule="auto"/>
              <w:jc w:val="center"/>
              <w:rPr>
                <w:rFonts w:hint="eastAsia" w:ascii="宋体" w:hAnsi="宋体"/>
              </w:rPr>
            </w:pPr>
            <w:r>
              <w:rPr>
                <w:rFonts w:hint="eastAsia" w:ascii="宋体" w:hAnsi="宋体"/>
              </w:rPr>
              <w:t>1896000元/年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line="360" w:lineRule="auto"/>
              <w:jc w:val="center"/>
              <w:rPr>
                <w:rFonts w:hint="eastAsia" w:ascii="宋体" w:hAnsi="宋体"/>
              </w:rPr>
            </w:pPr>
            <w:r>
              <w:rPr>
                <w:rFonts w:hint="eastAsia" w:ascii="宋体" w:hAnsi="宋体"/>
              </w:rPr>
              <w:t>2</w:t>
            </w:r>
          </w:p>
        </w:tc>
        <w:tc>
          <w:tcPr>
            <w:tcW w:w="4395" w:type="dxa"/>
            <w:noWrap w:val="0"/>
            <w:vAlign w:val="center"/>
          </w:tcPr>
          <w:p>
            <w:pPr>
              <w:spacing w:line="360" w:lineRule="auto"/>
              <w:jc w:val="center"/>
              <w:rPr>
                <w:rFonts w:hint="eastAsia" w:ascii="宋体" w:hAnsi="宋体"/>
              </w:rPr>
            </w:pPr>
            <w:r>
              <w:rPr>
                <w:rFonts w:hint="eastAsia" w:ascii="宋体" w:hAnsi="宋体"/>
              </w:rPr>
              <w:t>茶院乡全镇垃圾清运服务（日产日清）</w:t>
            </w:r>
          </w:p>
        </w:tc>
        <w:tc>
          <w:tcPr>
            <w:tcW w:w="2976" w:type="dxa"/>
            <w:vMerge w:val="continue"/>
            <w:noWrap w:val="0"/>
            <w:vAlign w:val="center"/>
          </w:tcPr>
          <w:p>
            <w:pPr>
              <w:spacing w:line="360" w:lineRule="auto"/>
              <w:jc w:val="center"/>
              <w:rPr>
                <w:rFonts w:hint="eastAsia" w:ascii="宋体" w:hAnsi="宋体"/>
              </w:rPr>
            </w:pPr>
          </w:p>
        </w:tc>
        <w:tc>
          <w:tcPr>
            <w:tcW w:w="1276" w:type="dxa"/>
            <w:vMerge w:val="continue"/>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pPr>
              <w:spacing w:line="360" w:lineRule="auto"/>
              <w:jc w:val="center"/>
              <w:rPr>
                <w:rFonts w:hint="eastAsia" w:ascii="宋体" w:hAnsi="宋体"/>
              </w:rPr>
            </w:pPr>
            <w:r>
              <w:rPr>
                <w:rFonts w:hint="eastAsia" w:ascii="宋体" w:hAnsi="宋体"/>
              </w:rPr>
              <w:t>3</w:t>
            </w:r>
          </w:p>
        </w:tc>
        <w:tc>
          <w:tcPr>
            <w:tcW w:w="4395" w:type="dxa"/>
            <w:noWrap w:val="0"/>
            <w:vAlign w:val="center"/>
          </w:tcPr>
          <w:p>
            <w:pPr>
              <w:spacing w:line="360" w:lineRule="auto"/>
              <w:jc w:val="center"/>
              <w:rPr>
                <w:rFonts w:hint="eastAsia" w:ascii="宋体" w:hAnsi="宋体"/>
              </w:rPr>
            </w:pPr>
            <w:r>
              <w:rPr>
                <w:rFonts w:hint="eastAsia" w:ascii="宋体" w:hAnsi="宋体"/>
              </w:rPr>
              <w:t>中转站运营管理、垃圾分类站运营管理</w:t>
            </w:r>
          </w:p>
        </w:tc>
        <w:tc>
          <w:tcPr>
            <w:tcW w:w="2976" w:type="dxa"/>
            <w:vMerge w:val="continue"/>
            <w:noWrap w:val="0"/>
            <w:vAlign w:val="center"/>
          </w:tcPr>
          <w:p>
            <w:pPr>
              <w:spacing w:line="360" w:lineRule="auto"/>
              <w:jc w:val="center"/>
              <w:rPr>
                <w:rFonts w:hint="eastAsia" w:ascii="宋体" w:hAnsi="宋体"/>
              </w:rPr>
            </w:pPr>
          </w:p>
        </w:tc>
        <w:tc>
          <w:tcPr>
            <w:tcW w:w="1276" w:type="dxa"/>
            <w:vMerge w:val="continue"/>
            <w:noWrap w:val="0"/>
            <w:vAlign w:val="center"/>
          </w:tcPr>
          <w:p>
            <w:pPr>
              <w:spacing w:line="360" w:lineRule="auto"/>
              <w:jc w:val="center"/>
              <w:rPr>
                <w:rFonts w:hint="eastAsia" w:ascii="宋体" w:hAnsi="宋体"/>
              </w:rPr>
            </w:pPr>
          </w:p>
        </w:tc>
      </w:tr>
    </w:tbl>
    <w:p>
      <w:pPr>
        <w:pStyle w:val="26"/>
        <w:spacing w:before="0" w:after="0" w:line="360" w:lineRule="auto"/>
        <w:ind w:firstLine="411" w:firstLineChars="196"/>
        <w:jc w:val="both"/>
        <w:rPr>
          <w:rFonts w:hint="eastAsia"/>
          <w:sz w:val="21"/>
          <w:szCs w:val="21"/>
        </w:rPr>
      </w:pPr>
      <w:r>
        <w:rPr>
          <w:rFonts w:hint="eastAsia"/>
          <w:sz w:val="21"/>
          <w:szCs w:val="21"/>
        </w:rPr>
        <w:t>（二）经费依据、工人工资福利及耗材标准</w:t>
      </w:r>
    </w:p>
    <w:p>
      <w:pPr>
        <w:pStyle w:val="26"/>
        <w:spacing w:before="0" w:after="0" w:line="360" w:lineRule="auto"/>
        <w:ind w:firstLine="411" w:firstLineChars="196"/>
        <w:jc w:val="both"/>
        <w:rPr>
          <w:rFonts w:hint="eastAsia"/>
          <w:sz w:val="21"/>
          <w:szCs w:val="21"/>
        </w:rPr>
      </w:pPr>
      <w:r>
        <w:rPr>
          <w:rFonts w:hint="eastAsia"/>
          <w:sz w:val="21"/>
          <w:szCs w:val="21"/>
        </w:rPr>
        <w:t>1、经费测算依据：</w:t>
      </w:r>
    </w:p>
    <w:p>
      <w:pPr>
        <w:spacing w:line="360" w:lineRule="auto"/>
        <w:ind w:firstLine="420" w:firstLineChars="200"/>
        <w:rPr>
          <w:rFonts w:hint="eastAsia" w:ascii="宋体" w:hAnsi="宋体"/>
          <w:szCs w:val="21"/>
        </w:rPr>
      </w:pPr>
      <w:r>
        <w:rPr>
          <w:rFonts w:hint="eastAsia" w:ascii="宋体" w:hAnsi="宋体"/>
          <w:szCs w:val="21"/>
        </w:rPr>
        <w:t>（一）法规条例</w:t>
      </w:r>
    </w:p>
    <w:p>
      <w:pPr>
        <w:spacing w:line="360" w:lineRule="auto"/>
        <w:ind w:firstLine="420" w:firstLineChars="200"/>
        <w:rPr>
          <w:rFonts w:hint="eastAsia" w:ascii="宋体" w:hAnsi="宋体"/>
          <w:szCs w:val="21"/>
        </w:rPr>
      </w:pPr>
      <w:r>
        <w:rPr>
          <w:rFonts w:hint="eastAsia" w:ascii="宋体" w:hAnsi="宋体"/>
          <w:szCs w:val="21"/>
        </w:rPr>
        <w:t>主要包括：《中华人民共和国劳动法》、《中华人民共和国劳动合同法》等劳动相关的法律法规，以及《城市生活垃圾管理办法（2007）》、《宁波市市容和环境卫生管理条例（2013）》、《宁海县环境卫生专项规划（2016-2035）》等管理条例。</w:t>
      </w:r>
    </w:p>
    <w:p>
      <w:pPr>
        <w:spacing w:line="360" w:lineRule="auto"/>
        <w:ind w:firstLine="420" w:firstLineChars="200"/>
        <w:rPr>
          <w:rFonts w:hint="eastAsia" w:ascii="宋体" w:hAnsi="宋体"/>
          <w:szCs w:val="21"/>
        </w:rPr>
      </w:pPr>
      <w:r>
        <w:rPr>
          <w:rFonts w:hint="eastAsia" w:ascii="宋体" w:hAnsi="宋体"/>
          <w:szCs w:val="21"/>
        </w:rPr>
        <w:t>（二）政策制度</w:t>
      </w:r>
    </w:p>
    <w:p>
      <w:pPr>
        <w:spacing w:line="360" w:lineRule="auto"/>
        <w:ind w:firstLine="420" w:firstLineChars="200"/>
        <w:rPr>
          <w:rFonts w:hint="eastAsia" w:ascii="宋体" w:hAnsi="宋体"/>
          <w:szCs w:val="21"/>
        </w:rPr>
      </w:pPr>
      <w:r>
        <w:rPr>
          <w:rFonts w:hint="eastAsia" w:ascii="宋体" w:hAnsi="宋体"/>
          <w:szCs w:val="21"/>
        </w:rPr>
        <w:t>根据《宁波市城市道路清扫保洁质量要求和作业规范》（DB3302/T1015-2009）、《浙江省城市环境卫生劳动定额》、《浙江省人民政府办公厅关于进一步改善环卫工人生活条件的促进环卫事业持续健康发展的若干意见》（浙政办〔2009〕190 号）、《关于印发宁波市中心城区“道路清爽行动”实施方案的通知》（甬政办发〔2012〕64 号）、《关于印发进一步加强市容环卫行业管理实施意见的通知》（甬政办发〔2016〕70 号）、《关于印发宁波市中心城区“道路清爽行动”考核评价实施细则的通知》（甬环政〔2016〕2 号）、《关于发布 2018 年度宁波市企业人力资源市场工资指导价位及 2017 年度人工成本信息的通知》、《宁波市人力资源和社会保障局、宁波市地方税务局关于申报 2018 年度社会保险费个人缴费基数的通告》、《宁海县人民政府关于调整全县职工最低工资标准的通知》（宁政发〔2017〕76号）等相关文件和制度规定。</w:t>
      </w:r>
    </w:p>
    <w:p>
      <w:pPr>
        <w:pStyle w:val="26"/>
        <w:spacing w:before="0" w:after="0" w:line="360" w:lineRule="auto"/>
        <w:ind w:firstLine="411" w:firstLineChars="196"/>
        <w:jc w:val="both"/>
        <w:rPr>
          <w:rFonts w:hint="eastAsia"/>
          <w:sz w:val="21"/>
          <w:szCs w:val="21"/>
          <w:lang w:eastAsia="zh-CN"/>
        </w:rPr>
      </w:pPr>
      <w:r>
        <w:rPr>
          <w:rFonts w:hint="eastAsia"/>
          <w:sz w:val="21"/>
          <w:szCs w:val="21"/>
        </w:rPr>
        <w:t>2、工人工资福利标准</w:t>
      </w:r>
    </w:p>
    <w:p>
      <w:pPr>
        <w:spacing w:line="360" w:lineRule="auto"/>
        <w:ind w:firstLine="420" w:firstLineChars="200"/>
        <w:rPr>
          <w:rFonts w:hint="eastAsia" w:ascii="宋体" w:hAnsi="宋体"/>
          <w:szCs w:val="21"/>
        </w:rPr>
      </w:pPr>
      <w:r>
        <w:rPr>
          <w:rFonts w:hint="eastAsia" w:ascii="宋体" w:hAnsi="宋体"/>
          <w:szCs w:val="21"/>
        </w:rPr>
        <w:t>主要包括：基本工资、环卫岗位津贴、夏季高温费、法定节假日加班补贴、单休日加班费、福利（中秋节、环卫工人节、春节、体检等）、社会保障费（基本养老保险、基本医疗保险、失业保险、生育保险、工伤保险、住房公积金）。</w:t>
      </w:r>
    </w:p>
    <w:p>
      <w:pPr>
        <w:spacing w:line="360" w:lineRule="auto"/>
        <w:ind w:firstLine="420" w:firstLineChars="200"/>
        <w:rPr>
          <w:rFonts w:ascii="宋体" w:hAnsi="宋体"/>
          <w:szCs w:val="21"/>
        </w:rPr>
      </w:pPr>
      <w:r>
        <w:rPr>
          <w:rFonts w:hint="eastAsia" w:ascii="宋体" w:hAnsi="宋体"/>
          <w:szCs w:val="21"/>
        </w:rPr>
        <w:t>投标报价不得缺项或低于《宁海县人民政府关于调整全县职工最低工资标准的通知》（宁政发〔2017〕76号）规定的最低工资标准。</w:t>
      </w:r>
    </w:p>
    <w:p>
      <w:pPr>
        <w:pStyle w:val="26"/>
        <w:spacing w:before="0" w:after="0" w:line="360" w:lineRule="auto"/>
        <w:ind w:firstLine="411" w:firstLineChars="196"/>
        <w:jc w:val="both"/>
        <w:rPr>
          <w:rFonts w:hint="eastAsia"/>
          <w:sz w:val="21"/>
          <w:szCs w:val="21"/>
          <w:lang w:eastAsia="zh-CN"/>
        </w:rPr>
      </w:pPr>
      <w:r>
        <w:rPr>
          <w:rFonts w:hint="eastAsia"/>
          <w:sz w:val="21"/>
          <w:szCs w:val="21"/>
        </w:rPr>
        <w:t>3、生产耗材</w:t>
      </w:r>
    </w:p>
    <w:p>
      <w:pPr>
        <w:spacing w:line="360" w:lineRule="auto"/>
        <w:ind w:firstLine="420" w:firstLineChars="200"/>
        <w:rPr>
          <w:rFonts w:hint="eastAsia" w:ascii="宋体" w:hAnsi="宋体"/>
          <w:szCs w:val="21"/>
        </w:rPr>
      </w:pPr>
      <w:r>
        <w:rPr>
          <w:rFonts w:hint="eastAsia" w:ascii="宋体" w:hAnsi="宋体"/>
          <w:szCs w:val="21"/>
        </w:rPr>
        <w:t>主要包括：</w:t>
      </w:r>
      <w:r>
        <w:rPr>
          <w:rFonts w:ascii="宋体" w:hAnsi="宋体"/>
          <w:szCs w:val="21"/>
        </w:rPr>
        <w:t>冬装</w:t>
      </w:r>
      <w:r>
        <w:rPr>
          <w:rFonts w:hint="eastAsia" w:ascii="宋体" w:hAnsi="宋体"/>
          <w:szCs w:val="21"/>
        </w:rPr>
        <w:t>、</w:t>
      </w:r>
      <w:r>
        <w:rPr>
          <w:rFonts w:ascii="宋体" w:hAnsi="宋体"/>
          <w:szCs w:val="21"/>
        </w:rPr>
        <w:t>春秋装</w:t>
      </w:r>
      <w:r>
        <w:rPr>
          <w:rFonts w:hint="eastAsia" w:ascii="宋体" w:hAnsi="宋体"/>
          <w:szCs w:val="21"/>
        </w:rPr>
        <w:t>、</w:t>
      </w:r>
      <w:r>
        <w:rPr>
          <w:rFonts w:ascii="宋体" w:hAnsi="宋体"/>
          <w:szCs w:val="21"/>
        </w:rPr>
        <w:t>夏装</w:t>
      </w:r>
      <w:r>
        <w:rPr>
          <w:rFonts w:hint="eastAsia" w:ascii="宋体" w:hAnsi="宋体"/>
          <w:szCs w:val="21"/>
        </w:rPr>
        <w:t>、反光背心、</w:t>
      </w:r>
      <w:r>
        <w:rPr>
          <w:rFonts w:ascii="宋体" w:hAnsi="宋体"/>
          <w:szCs w:val="21"/>
        </w:rPr>
        <w:t>工作帽</w:t>
      </w:r>
      <w:r>
        <w:rPr>
          <w:rFonts w:hint="eastAsia" w:ascii="宋体" w:hAnsi="宋体"/>
          <w:szCs w:val="21"/>
        </w:rPr>
        <w:t>、</w:t>
      </w:r>
      <w:r>
        <w:rPr>
          <w:rFonts w:ascii="宋体" w:hAnsi="宋体"/>
          <w:szCs w:val="21"/>
        </w:rPr>
        <w:t>解放鞋</w:t>
      </w:r>
      <w:r>
        <w:rPr>
          <w:rFonts w:hint="eastAsia" w:ascii="宋体" w:hAnsi="宋体"/>
          <w:szCs w:val="21"/>
        </w:rPr>
        <w:t>、</w:t>
      </w:r>
      <w:r>
        <w:rPr>
          <w:rFonts w:ascii="宋体" w:hAnsi="宋体"/>
          <w:szCs w:val="21"/>
        </w:rPr>
        <w:t>雨衣</w:t>
      </w:r>
      <w:r>
        <w:rPr>
          <w:rFonts w:hint="eastAsia" w:ascii="宋体" w:hAnsi="宋体"/>
          <w:szCs w:val="21"/>
        </w:rPr>
        <w:t>、</w:t>
      </w:r>
      <w:r>
        <w:rPr>
          <w:rFonts w:ascii="宋体" w:hAnsi="宋体"/>
          <w:szCs w:val="21"/>
        </w:rPr>
        <w:t>雨鞋</w:t>
      </w:r>
      <w:r>
        <w:rPr>
          <w:rFonts w:hint="eastAsia" w:ascii="宋体" w:hAnsi="宋体"/>
          <w:szCs w:val="21"/>
        </w:rPr>
        <w:t>、</w:t>
      </w:r>
      <w:r>
        <w:rPr>
          <w:rFonts w:ascii="宋体" w:hAnsi="宋体"/>
          <w:szCs w:val="21"/>
        </w:rPr>
        <w:t>手套</w:t>
      </w:r>
      <w:r>
        <w:rPr>
          <w:rFonts w:hint="eastAsia" w:ascii="宋体" w:hAnsi="宋体"/>
          <w:szCs w:val="21"/>
        </w:rPr>
        <w:t>、</w:t>
      </w:r>
      <w:r>
        <w:rPr>
          <w:rFonts w:ascii="宋体" w:hAnsi="宋体"/>
          <w:szCs w:val="21"/>
        </w:rPr>
        <w:t>黄塑</w:t>
      </w:r>
      <w:r>
        <w:rPr>
          <w:rFonts w:hint="eastAsia" w:ascii="宋体" w:hAnsi="宋体"/>
          <w:szCs w:val="21"/>
        </w:rPr>
        <w:t>、</w:t>
      </w:r>
      <w:r>
        <w:rPr>
          <w:rFonts w:ascii="宋体" w:hAnsi="宋体"/>
          <w:szCs w:val="21"/>
        </w:rPr>
        <w:t>肥皂</w:t>
      </w:r>
      <w:r>
        <w:rPr>
          <w:rFonts w:hint="eastAsia" w:ascii="宋体" w:hAnsi="宋体"/>
          <w:szCs w:val="21"/>
        </w:rPr>
        <w:t>、夏季防暑用品、扫帚（含畚斗等）、三轮保洁车等。</w:t>
      </w:r>
    </w:p>
    <w:p>
      <w:pPr>
        <w:pStyle w:val="26"/>
        <w:spacing w:before="0" w:after="0" w:line="360" w:lineRule="auto"/>
        <w:ind w:firstLine="411" w:firstLineChars="196"/>
        <w:jc w:val="both"/>
        <w:rPr>
          <w:rFonts w:hint="eastAsia"/>
          <w:sz w:val="21"/>
          <w:szCs w:val="21"/>
          <w:lang w:eastAsia="zh-CN"/>
        </w:rPr>
      </w:pPr>
      <w:r>
        <w:rPr>
          <w:rFonts w:hint="eastAsia"/>
          <w:sz w:val="21"/>
          <w:szCs w:val="21"/>
        </w:rPr>
        <w:t>（</w:t>
      </w:r>
      <w:r>
        <w:rPr>
          <w:rFonts w:hint="eastAsia"/>
          <w:sz w:val="21"/>
          <w:szCs w:val="21"/>
          <w:lang w:eastAsia="zh-CN"/>
        </w:rPr>
        <w:t>三</w:t>
      </w:r>
      <w:r>
        <w:rPr>
          <w:rFonts w:hint="eastAsia"/>
          <w:sz w:val="21"/>
          <w:szCs w:val="21"/>
        </w:rPr>
        <w:t>）</w:t>
      </w:r>
      <w:r>
        <w:rPr>
          <w:rFonts w:hint="eastAsia"/>
          <w:sz w:val="21"/>
          <w:szCs w:val="21"/>
          <w:lang w:eastAsia="zh-CN"/>
        </w:rPr>
        <w:t>项目总体重要说明</w:t>
      </w:r>
    </w:p>
    <w:p>
      <w:pPr>
        <w:spacing w:line="360" w:lineRule="auto"/>
        <w:ind w:firstLine="420" w:firstLineChars="200"/>
        <w:rPr>
          <w:rFonts w:hint="eastAsia" w:ascii="宋体" w:hAnsi="宋体"/>
          <w:szCs w:val="21"/>
        </w:rPr>
      </w:pPr>
      <w:r>
        <w:rPr>
          <w:rFonts w:hint="eastAsia" w:ascii="宋体" w:hAnsi="宋体"/>
          <w:szCs w:val="21"/>
        </w:rPr>
        <w:t>1、按照《宁波市城市管理行政执法局关于印发2017年度全市示范路创建及城区街面保序检查考核工作意见的通知》甬城管法（2016）11号文件要求，纳入宁海县2017年度示范路创建及城区街面保序检查规定，进行人行道清洗及路面保洁的质量问题。（若有）</w:t>
      </w:r>
    </w:p>
    <w:p>
      <w:pPr>
        <w:spacing w:line="360" w:lineRule="auto"/>
        <w:ind w:firstLine="420" w:firstLineChars="200"/>
        <w:rPr>
          <w:rFonts w:hint="eastAsia" w:ascii="宋体" w:hAnsi="宋体"/>
          <w:szCs w:val="21"/>
        </w:rPr>
      </w:pPr>
      <w:r>
        <w:rPr>
          <w:rFonts w:hint="eastAsia" w:ascii="宋体" w:hAnsi="宋体"/>
          <w:szCs w:val="21"/>
        </w:rPr>
        <w:t>2、保洁经费以市政道路面积计，保洁范围从墙根到墙根（包括绿化带保洁），保洁范围内的保洁内容均列入考核对象、考核范围，人行道——墙根及绿化带保洁作业要求参照相应等级道路保洁要求。</w:t>
      </w:r>
      <w:r>
        <w:rPr>
          <w:rFonts w:hint="eastAsia" w:ascii="宋体" w:hAnsi="宋体"/>
          <w:b/>
          <w:szCs w:val="21"/>
        </w:rPr>
        <w:t>同时需承担招标人指定范围内店面垃圾收集任务和工业垃圾、建筑垃圾、大件垃圾和其他固体废弃物处理任务。</w:t>
      </w:r>
    </w:p>
    <w:p>
      <w:pPr>
        <w:numPr>
          <w:ins w:id="0" w:author="User" w:date="2015-09-07T07:20:00Z"/>
        </w:numPr>
        <w:spacing w:line="360" w:lineRule="auto"/>
        <w:ind w:firstLine="420" w:firstLineChars="200"/>
        <w:rPr>
          <w:rFonts w:hint="eastAsia" w:ascii="宋体" w:hAnsi="宋体"/>
          <w:szCs w:val="21"/>
        </w:rPr>
      </w:pPr>
      <w:r>
        <w:rPr>
          <w:rFonts w:hint="eastAsia" w:ascii="宋体" w:hAnsi="宋体"/>
          <w:szCs w:val="21"/>
        </w:rPr>
        <w:t>3、中标人对所需车辆全部自行出资购置，新购车辆规格、型号、品牌应经招标人核准。在合同期内车辆使用期限达到国家标准要求，超过使用年限的车辆中标人需及时更新换代，另外现有作业车辆配置不能满足日常环卫作业需求时，中标人须增购作业车辆，弥补机械作业量不足，保洁费用不作调整。（如有）</w:t>
      </w:r>
    </w:p>
    <w:p>
      <w:pPr>
        <w:spacing w:line="360" w:lineRule="auto"/>
        <w:ind w:firstLine="420" w:firstLineChars="200"/>
        <w:rPr>
          <w:rFonts w:hint="eastAsia" w:ascii="宋体" w:hAnsi="宋体"/>
          <w:szCs w:val="21"/>
        </w:rPr>
      </w:pPr>
      <w:r>
        <w:rPr>
          <w:rFonts w:hint="eastAsia" w:ascii="宋体" w:hAnsi="宋体"/>
          <w:szCs w:val="21"/>
        </w:rPr>
        <w:t>4、承包期限内，本项目的设备设施清单中的</w:t>
      </w:r>
      <w:r>
        <w:rPr>
          <w:rFonts w:hint="eastAsia" w:ascii="宋体" w:hAnsi="宋体"/>
          <w:b/>
          <w:szCs w:val="21"/>
        </w:rPr>
        <w:t>果壳箱、垃圾桶</w:t>
      </w:r>
      <w:r>
        <w:rPr>
          <w:rFonts w:hint="eastAsia" w:ascii="宋体" w:hAnsi="宋体"/>
          <w:szCs w:val="21"/>
        </w:rPr>
        <w:t>等设施设备如发生人为减少及损坏的，中标人应予以及时补齐或修复，费用由中标人承担；如因不可抗力（台风、洪水等）原因造成损坏，则经招标人核实确认后批准添置，中标单位负责安装。同时中标人要加强对垃圾桶放置位置和牢固程度的检查。中标单位要加强员工教育，防止出现偷窃垃圾桶卖给企事业单位的现象，如经查实有该现象，除重新添置垃圾桶外另按损失额的5倍进行罚款。</w:t>
      </w:r>
    </w:p>
    <w:p>
      <w:pPr>
        <w:spacing w:line="360" w:lineRule="auto"/>
        <w:ind w:firstLine="420" w:firstLineChars="200"/>
        <w:rPr>
          <w:rFonts w:hint="eastAsia" w:ascii="宋体" w:hAnsi="宋体"/>
          <w:szCs w:val="21"/>
        </w:rPr>
      </w:pPr>
      <w:r>
        <w:rPr>
          <w:rFonts w:hint="eastAsia" w:ascii="宋体" w:hAnsi="宋体"/>
          <w:szCs w:val="21"/>
        </w:rPr>
        <w:t>5、投标人必须按不少于招标文件要求的人员数量进行配置；保证所有作业人员年龄不得超过国家法定退休年龄，以上人员要求身体健康。</w:t>
      </w:r>
    </w:p>
    <w:p>
      <w:pPr>
        <w:spacing w:line="360" w:lineRule="auto"/>
        <w:ind w:firstLine="420" w:firstLineChars="200"/>
        <w:rPr>
          <w:rFonts w:hint="eastAsia" w:ascii="宋体" w:hAnsi="宋体"/>
          <w:szCs w:val="21"/>
        </w:rPr>
      </w:pPr>
      <w:r>
        <w:rPr>
          <w:rFonts w:hint="eastAsia" w:ascii="宋体" w:hAnsi="宋体"/>
          <w:szCs w:val="21"/>
        </w:rPr>
        <w:t>6、中标单位在搞好日常保洁、清运等工作的同时，必须配合招标单位参加镇里的各项节日或重大活动的临时布置任务。</w:t>
      </w:r>
    </w:p>
    <w:p>
      <w:pPr>
        <w:spacing w:line="360" w:lineRule="auto"/>
        <w:ind w:firstLine="420" w:firstLineChars="200"/>
        <w:rPr>
          <w:rFonts w:hint="eastAsia" w:ascii="宋体" w:hAnsi="宋体"/>
          <w:szCs w:val="21"/>
        </w:rPr>
      </w:pPr>
      <w:r>
        <w:rPr>
          <w:rFonts w:hint="eastAsia" w:ascii="宋体" w:hAnsi="宋体"/>
          <w:szCs w:val="21"/>
        </w:rPr>
        <w:t>7、中标单位不得无故拖欠本项目配置员工的工资，否则招标人有权终止拨付保洁服务经费。</w:t>
      </w:r>
    </w:p>
    <w:p>
      <w:pPr>
        <w:spacing w:line="360" w:lineRule="auto"/>
        <w:ind w:firstLine="420" w:firstLineChars="200"/>
        <w:rPr>
          <w:rFonts w:hint="eastAsia" w:ascii="宋体" w:hAnsi="宋体"/>
          <w:szCs w:val="21"/>
        </w:rPr>
      </w:pPr>
      <w:r>
        <w:rPr>
          <w:rFonts w:hint="eastAsia" w:ascii="宋体" w:hAnsi="宋体"/>
          <w:szCs w:val="21"/>
        </w:rPr>
        <w:t>8、本项目实施过程所需的一切劳动力、材料、设备和服务与管理由中标单位自行负责，所需费用由中标单位承担。</w:t>
      </w:r>
    </w:p>
    <w:p>
      <w:pPr>
        <w:spacing w:line="360" w:lineRule="auto"/>
        <w:ind w:firstLine="420" w:firstLineChars="200"/>
        <w:rPr>
          <w:rFonts w:hint="eastAsia" w:ascii="宋体" w:hAnsi="宋体"/>
          <w:szCs w:val="21"/>
        </w:rPr>
      </w:pPr>
      <w:r>
        <w:rPr>
          <w:rFonts w:hint="eastAsia" w:ascii="宋体" w:hAnsi="宋体"/>
          <w:szCs w:val="21"/>
        </w:rPr>
        <w:t>9、因自然灾害等不可抗力因素造成经济损失的，由双方共同协商妥善处理。</w:t>
      </w:r>
    </w:p>
    <w:p>
      <w:pPr>
        <w:spacing w:line="360" w:lineRule="auto"/>
        <w:ind w:firstLine="420" w:firstLineChars="200"/>
        <w:rPr>
          <w:rFonts w:hint="eastAsia" w:ascii="宋体" w:hAnsi="宋体"/>
          <w:szCs w:val="21"/>
        </w:rPr>
      </w:pPr>
      <w:r>
        <w:rPr>
          <w:rFonts w:hint="eastAsia" w:ascii="宋体" w:hAnsi="宋体"/>
          <w:szCs w:val="21"/>
        </w:rPr>
        <w:t>10、承包期间如发生施工开挖或其他人为原因对道路保洁质量造成影响的，经招标人核实同意后，中标单位负责清理，所需费用由招标人核算同意后拨付。</w:t>
      </w:r>
    </w:p>
    <w:p>
      <w:pPr>
        <w:spacing w:line="360" w:lineRule="auto"/>
        <w:ind w:firstLine="420" w:firstLineChars="200"/>
        <w:rPr>
          <w:rFonts w:hint="eastAsia" w:ascii="宋体" w:hAnsi="宋体"/>
          <w:szCs w:val="21"/>
        </w:rPr>
      </w:pPr>
      <w:r>
        <w:rPr>
          <w:rFonts w:hint="eastAsia" w:ascii="宋体" w:hAnsi="宋体"/>
          <w:szCs w:val="21"/>
        </w:rPr>
        <w:t>11、服务期限：总期限三年</w:t>
      </w:r>
      <w:r>
        <w:rPr>
          <w:rFonts w:ascii="宋体" w:hAnsi="宋体"/>
          <w:szCs w:val="21"/>
        </w:rPr>
        <w:t>，合同一年一签</w:t>
      </w:r>
      <w:r>
        <w:rPr>
          <w:rFonts w:hint="eastAsia" w:ascii="宋体" w:hAnsi="宋体"/>
          <w:szCs w:val="21"/>
        </w:rPr>
        <w:t>（经招标人考核合格，双方同意后，续签下一年度的合同）</w:t>
      </w:r>
      <w:r>
        <w:rPr>
          <w:rFonts w:ascii="宋体" w:hAnsi="宋体"/>
          <w:szCs w:val="21"/>
        </w:rPr>
        <w:t>。</w:t>
      </w:r>
      <w:r>
        <w:rPr>
          <w:rFonts w:hint="eastAsia" w:ascii="宋体" w:hAnsi="宋体"/>
          <w:szCs w:val="21"/>
        </w:rPr>
        <w:t>合同续签后，应经原政府采购代理机构鉴证，并报宁海县政府采购管理办公室备案。</w:t>
      </w:r>
    </w:p>
    <w:p>
      <w:pPr>
        <w:spacing w:line="360" w:lineRule="auto"/>
        <w:ind w:firstLine="420" w:firstLineChars="200"/>
        <w:rPr>
          <w:rFonts w:hint="eastAsia" w:ascii="宋体" w:hAnsi="宋体"/>
          <w:szCs w:val="21"/>
        </w:rPr>
      </w:pPr>
      <w:r>
        <w:rPr>
          <w:rFonts w:hint="eastAsia" w:ascii="宋体" w:hAnsi="宋体"/>
          <w:szCs w:val="21"/>
        </w:rPr>
        <w:t>▲12、中标人原则上应优先收购本项目原保洁车辆及优先聘用本项目原保洁作业人员。供应商应在投标文件内做出相应承诺。</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pStyle w:val="26"/>
        <w:spacing w:before="0" w:after="0" w:line="360" w:lineRule="auto"/>
        <w:ind w:firstLine="411" w:firstLineChars="196"/>
        <w:jc w:val="both"/>
        <w:rPr>
          <w:rFonts w:hint="eastAsia"/>
          <w:sz w:val="21"/>
          <w:szCs w:val="21"/>
        </w:rPr>
      </w:pPr>
      <w:r>
        <w:rPr>
          <w:rFonts w:hint="eastAsia"/>
          <w:sz w:val="21"/>
          <w:szCs w:val="21"/>
        </w:rPr>
        <w:t>二、茶院乡镇区保洁及垃圾清运服务具体要求</w:t>
      </w:r>
    </w:p>
    <w:p>
      <w:pPr>
        <w:pStyle w:val="26"/>
        <w:spacing w:before="0" w:after="0" w:line="360" w:lineRule="auto"/>
        <w:ind w:firstLine="411" w:firstLineChars="196"/>
        <w:jc w:val="both"/>
        <w:rPr>
          <w:rFonts w:hint="eastAsia"/>
          <w:sz w:val="21"/>
          <w:szCs w:val="21"/>
          <w:lang w:eastAsia="zh-CN"/>
        </w:rPr>
      </w:pPr>
      <w:r>
        <w:rPr>
          <w:rFonts w:hint="eastAsia"/>
          <w:sz w:val="21"/>
          <w:szCs w:val="21"/>
          <w:lang w:eastAsia="zh-CN"/>
        </w:rPr>
        <w:t>（一）镇区保洁具体服务内容</w:t>
      </w:r>
    </w:p>
    <w:p>
      <w:pPr>
        <w:spacing w:line="360" w:lineRule="auto"/>
        <w:ind w:firstLine="420" w:firstLineChars="200"/>
        <w:rPr>
          <w:rFonts w:hint="eastAsia" w:ascii="宋体" w:hAnsi="宋体"/>
          <w:szCs w:val="21"/>
        </w:rPr>
      </w:pPr>
      <w:r>
        <w:rPr>
          <w:rFonts w:hint="eastAsia" w:ascii="宋体" w:hAnsi="宋体"/>
          <w:szCs w:val="21"/>
        </w:rPr>
        <w:t>茶院乡镇区保洁服务主要包含道路保洁、绿化带保洁、果壳箱保洁、公厕保洁、牛皮癣清理，具体明细详见下表：</w:t>
      </w:r>
    </w:p>
    <w:p>
      <w:pPr>
        <w:spacing w:line="360" w:lineRule="auto"/>
        <w:ind w:firstLine="420" w:firstLineChars="200"/>
        <w:jc w:val="center"/>
        <w:rPr>
          <w:rFonts w:hint="eastAsia" w:ascii="宋体" w:hAnsi="宋体"/>
          <w:b/>
          <w:szCs w:val="21"/>
        </w:rPr>
      </w:pPr>
      <w:r>
        <w:rPr>
          <w:rFonts w:hint="eastAsia" w:ascii="宋体" w:hAnsi="宋体"/>
          <w:b/>
          <w:szCs w:val="21"/>
        </w:rPr>
        <w:t>茶院乡镇区保洁服务主要内容清单</w:t>
      </w:r>
    </w:p>
    <w:tbl>
      <w:tblPr>
        <w:tblStyle w:val="3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992"/>
        <w:gridCol w:w="354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b/>
                <w:szCs w:val="21"/>
              </w:rPr>
            </w:pPr>
            <w:r>
              <w:rPr>
                <w:rFonts w:hint="eastAsia" w:ascii="宋体" w:hAnsi="宋体"/>
                <w:b/>
                <w:szCs w:val="21"/>
              </w:rPr>
              <w:t>序号</w:t>
            </w:r>
          </w:p>
        </w:tc>
        <w:tc>
          <w:tcPr>
            <w:tcW w:w="1560" w:type="dxa"/>
            <w:noWrap w:val="0"/>
            <w:vAlign w:val="center"/>
          </w:tcPr>
          <w:p>
            <w:pPr>
              <w:spacing w:line="360" w:lineRule="auto"/>
              <w:jc w:val="center"/>
              <w:rPr>
                <w:rFonts w:hint="eastAsia" w:ascii="宋体" w:hAnsi="宋体"/>
                <w:b/>
                <w:szCs w:val="21"/>
              </w:rPr>
            </w:pPr>
            <w:r>
              <w:rPr>
                <w:rFonts w:hint="eastAsia" w:ascii="宋体" w:hAnsi="宋体"/>
                <w:b/>
                <w:szCs w:val="21"/>
              </w:rPr>
              <w:t>项目内容</w:t>
            </w:r>
          </w:p>
        </w:tc>
        <w:tc>
          <w:tcPr>
            <w:tcW w:w="992" w:type="dxa"/>
            <w:noWrap w:val="0"/>
            <w:vAlign w:val="center"/>
          </w:tcPr>
          <w:p>
            <w:pPr>
              <w:spacing w:line="360" w:lineRule="auto"/>
              <w:jc w:val="center"/>
              <w:rPr>
                <w:rFonts w:hint="eastAsia" w:ascii="宋体" w:hAnsi="宋体"/>
                <w:b/>
                <w:szCs w:val="21"/>
              </w:rPr>
            </w:pPr>
            <w:r>
              <w:rPr>
                <w:rFonts w:hint="eastAsia" w:ascii="宋体" w:hAnsi="宋体"/>
                <w:b/>
                <w:szCs w:val="21"/>
              </w:rPr>
              <w:t>作业量</w:t>
            </w:r>
          </w:p>
        </w:tc>
        <w:tc>
          <w:tcPr>
            <w:tcW w:w="3544" w:type="dxa"/>
            <w:noWrap w:val="0"/>
            <w:vAlign w:val="center"/>
          </w:tcPr>
          <w:p>
            <w:pPr>
              <w:spacing w:line="360" w:lineRule="auto"/>
              <w:jc w:val="center"/>
              <w:rPr>
                <w:rFonts w:hint="eastAsia" w:ascii="宋体" w:hAnsi="宋体"/>
                <w:b/>
                <w:szCs w:val="21"/>
              </w:rPr>
            </w:pPr>
            <w:r>
              <w:rPr>
                <w:rFonts w:hint="eastAsia" w:ascii="宋体" w:hAnsi="宋体"/>
                <w:b/>
                <w:szCs w:val="21"/>
              </w:rPr>
              <w:t>简要说明</w:t>
            </w:r>
          </w:p>
        </w:tc>
        <w:tc>
          <w:tcPr>
            <w:tcW w:w="2409" w:type="dxa"/>
            <w:noWrap w:val="0"/>
            <w:vAlign w:val="center"/>
          </w:tcPr>
          <w:p>
            <w:pPr>
              <w:spacing w:line="360"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1560" w:type="dxa"/>
            <w:vMerge w:val="restart"/>
            <w:noWrap w:val="0"/>
            <w:vAlign w:val="center"/>
          </w:tcPr>
          <w:p>
            <w:pPr>
              <w:spacing w:line="360" w:lineRule="auto"/>
              <w:jc w:val="center"/>
              <w:rPr>
                <w:rFonts w:hint="eastAsia" w:ascii="宋体" w:hAnsi="宋体"/>
                <w:szCs w:val="21"/>
              </w:rPr>
            </w:pPr>
            <w:r>
              <w:rPr>
                <w:rFonts w:hint="eastAsia" w:ascii="宋体" w:hAnsi="宋体"/>
                <w:szCs w:val="21"/>
              </w:rPr>
              <w:t>道路保洁</w:t>
            </w:r>
          </w:p>
        </w:tc>
        <w:tc>
          <w:tcPr>
            <w:tcW w:w="992" w:type="dxa"/>
            <w:noWrap w:val="0"/>
            <w:vAlign w:val="center"/>
          </w:tcPr>
          <w:p>
            <w:pPr>
              <w:spacing w:line="360" w:lineRule="auto"/>
              <w:jc w:val="center"/>
              <w:rPr>
                <w:rFonts w:hint="eastAsia" w:ascii="宋体" w:hAnsi="宋体"/>
                <w:szCs w:val="21"/>
              </w:rPr>
            </w:pPr>
            <w:r>
              <w:rPr>
                <w:rFonts w:hint="eastAsia" w:ascii="宋体" w:hAnsi="宋体"/>
                <w:szCs w:val="21"/>
              </w:rPr>
              <w:t>86981m</w:t>
            </w:r>
            <w:r>
              <w:rPr>
                <w:rFonts w:hint="eastAsia" w:ascii="宋体" w:hAnsi="宋体"/>
                <w:szCs w:val="21"/>
                <w:vertAlign w:val="superscript"/>
              </w:rPr>
              <w:t>2</w:t>
            </w:r>
          </w:p>
        </w:tc>
        <w:tc>
          <w:tcPr>
            <w:tcW w:w="3544" w:type="dxa"/>
            <w:noWrap w:val="0"/>
            <w:vAlign w:val="center"/>
          </w:tcPr>
          <w:p>
            <w:pPr>
              <w:spacing w:line="360" w:lineRule="auto"/>
              <w:jc w:val="left"/>
              <w:rPr>
                <w:rFonts w:ascii="宋体" w:hAnsi="宋体"/>
                <w:szCs w:val="21"/>
              </w:rPr>
            </w:pPr>
            <w:r>
              <w:rPr>
                <w:rFonts w:hint="eastAsia" w:ascii="宋体" w:hAnsi="宋体"/>
                <w:szCs w:val="21"/>
              </w:rPr>
              <w:t>二级道路：实行12小时循环保洁，早晨7时前完成全面细扫</w:t>
            </w:r>
          </w:p>
        </w:tc>
        <w:tc>
          <w:tcPr>
            <w:tcW w:w="2409" w:type="dxa"/>
            <w:vMerge w:val="restart"/>
            <w:noWrap w:val="0"/>
            <w:vAlign w:val="center"/>
          </w:tcPr>
          <w:p>
            <w:pPr>
              <w:spacing w:line="360" w:lineRule="auto"/>
              <w:jc w:val="left"/>
              <w:rPr>
                <w:rFonts w:hint="eastAsia" w:ascii="宋体" w:hAnsi="宋体"/>
                <w:szCs w:val="21"/>
              </w:rPr>
            </w:pPr>
            <w:r>
              <w:rPr>
                <w:rFonts w:hint="eastAsia" w:ascii="宋体" w:hAnsi="宋体"/>
                <w:szCs w:val="21"/>
              </w:rPr>
              <w:t>包括镇区道路窨井清理、破损窨井盖更换及边沟清理。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1560" w:type="dxa"/>
            <w:vMerge w:val="continue"/>
            <w:noWrap w:val="0"/>
            <w:vAlign w:val="center"/>
          </w:tcPr>
          <w:p>
            <w:pPr>
              <w:spacing w:line="360" w:lineRule="auto"/>
              <w:jc w:val="center"/>
              <w:rPr>
                <w:rFonts w:hint="eastAsia" w:ascii="宋体" w:hAnsi="宋体"/>
                <w:szCs w:val="21"/>
              </w:rPr>
            </w:pPr>
          </w:p>
        </w:tc>
        <w:tc>
          <w:tcPr>
            <w:tcW w:w="992" w:type="dxa"/>
            <w:noWrap w:val="0"/>
            <w:vAlign w:val="center"/>
          </w:tcPr>
          <w:p>
            <w:pPr>
              <w:spacing w:line="360" w:lineRule="auto"/>
              <w:jc w:val="center"/>
              <w:rPr>
                <w:rFonts w:hint="eastAsia" w:ascii="宋体" w:hAnsi="宋体"/>
                <w:szCs w:val="21"/>
              </w:rPr>
            </w:pPr>
            <w:r>
              <w:rPr>
                <w:rFonts w:hint="eastAsia" w:ascii="宋体" w:hAnsi="宋体"/>
                <w:szCs w:val="21"/>
              </w:rPr>
              <w:t>8400 m</w:t>
            </w:r>
            <w:r>
              <w:rPr>
                <w:rFonts w:hint="eastAsia" w:ascii="宋体" w:hAnsi="宋体"/>
                <w:szCs w:val="21"/>
                <w:vertAlign w:val="superscript"/>
              </w:rPr>
              <w:t>2</w:t>
            </w:r>
          </w:p>
        </w:tc>
        <w:tc>
          <w:tcPr>
            <w:tcW w:w="3544" w:type="dxa"/>
            <w:noWrap w:val="0"/>
            <w:vAlign w:val="center"/>
          </w:tcPr>
          <w:p>
            <w:pPr>
              <w:spacing w:line="360" w:lineRule="auto"/>
              <w:jc w:val="left"/>
              <w:rPr>
                <w:rFonts w:ascii="宋体" w:hAnsi="宋体"/>
                <w:szCs w:val="21"/>
              </w:rPr>
            </w:pPr>
            <w:r>
              <w:rPr>
                <w:rFonts w:hint="eastAsia" w:ascii="宋体" w:hAnsi="宋体"/>
                <w:szCs w:val="21"/>
              </w:rPr>
              <w:t>四级道路：实行8小时单班循环保洁</w:t>
            </w:r>
          </w:p>
        </w:tc>
        <w:tc>
          <w:tcPr>
            <w:tcW w:w="2409"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1560" w:type="dxa"/>
            <w:noWrap w:val="0"/>
            <w:vAlign w:val="center"/>
          </w:tcPr>
          <w:p>
            <w:pPr>
              <w:spacing w:line="360" w:lineRule="auto"/>
              <w:jc w:val="center"/>
              <w:rPr>
                <w:rFonts w:hint="eastAsia" w:ascii="宋体" w:hAnsi="宋体"/>
                <w:szCs w:val="21"/>
              </w:rPr>
            </w:pPr>
            <w:r>
              <w:rPr>
                <w:rFonts w:hint="eastAsia" w:ascii="宋体" w:hAnsi="宋体"/>
                <w:szCs w:val="21"/>
              </w:rPr>
              <w:t>绿化带保洁</w:t>
            </w:r>
          </w:p>
        </w:tc>
        <w:tc>
          <w:tcPr>
            <w:tcW w:w="992" w:type="dxa"/>
            <w:noWrap w:val="0"/>
            <w:vAlign w:val="center"/>
          </w:tcPr>
          <w:p>
            <w:pPr>
              <w:spacing w:line="360" w:lineRule="auto"/>
              <w:jc w:val="center"/>
              <w:rPr>
                <w:rFonts w:hint="eastAsia" w:ascii="宋体" w:hAnsi="宋体"/>
                <w:szCs w:val="21"/>
              </w:rPr>
            </w:pPr>
            <w:r>
              <w:rPr>
                <w:rFonts w:hint="eastAsia" w:ascii="宋体" w:hAnsi="宋体"/>
                <w:szCs w:val="21"/>
              </w:rPr>
              <w:t>2900 m</w:t>
            </w:r>
            <w:r>
              <w:rPr>
                <w:rFonts w:hint="eastAsia" w:ascii="宋体" w:hAnsi="宋体"/>
                <w:szCs w:val="21"/>
                <w:vertAlign w:val="superscript"/>
              </w:rPr>
              <w:t>2</w:t>
            </w:r>
          </w:p>
        </w:tc>
        <w:tc>
          <w:tcPr>
            <w:tcW w:w="3544" w:type="dxa"/>
            <w:noWrap w:val="0"/>
            <w:vAlign w:val="center"/>
          </w:tcPr>
          <w:p>
            <w:pPr>
              <w:spacing w:line="360" w:lineRule="auto"/>
              <w:jc w:val="left"/>
              <w:rPr>
                <w:rFonts w:hint="eastAsia" w:ascii="宋体" w:hAnsi="宋体"/>
                <w:szCs w:val="21"/>
              </w:rPr>
            </w:pPr>
            <w:r>
              <w:rPr>
                <w:rFonts w:hint="eastAsia" w:ascii="宋体" w:hAnsi="宋体"/>
                <w:szCs w:val="21"/>
              </w:rPr>
              <w:t>常规保洁</w:t>
            </w:r>
          </w:p>
        </w:tc>
        <w:tc>
          <w:tcPr>
            <w:tcW w:w="2409" w:type="dxa"/>
            <w:noWrap w:val="0"/>
            <w:vAlign w:val="center"/>
          </w:tcPr>
          <w:p>
            <w:pPr>
              <w:spacing w:line="360" w:lineRule="auto"/>
              <w:jc w:val="left"/>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1560" w:type="dxa"/>
            <w:noWrap w:val="0"/>
            <w:vAlign w:val="center"/>
          </w:tcPr>
          <w:p>
            <w:pPr>
              <w:spacing w:line="360" w:lineRule="auto"/>
              <w:jc w:val="center"/>
              <w:rPr>
                <w:rFonts w:hint="eastAsia" w:ascii="宋体" w:hAnsi="宋体"/>
                <w:szCs w:val="21"/>
              </w:rPr>
            </w:pPr>
            <w:r>
              <w:rPr>
                <w:rFonts w:hint="eastAsia" w:ascii="宋体" w:hAnsi="宋体"/>
                <w:szCs w:val="21"/>
              </w:rPr>
              <w:t>果壳箱保洁</w:t>
            </w:r>
          </w:p>
        </w:tc>
        <w:tc>
          <w:tcPr>
            <w:tcW w:w="992" w:type="dxa"/>
            <w:noWrap w:val="0"/>
            <w:vAlign w:val="center"/>
          </w:tcPr>
          <w:p>
            <w:pPr>
              <w:spacing w:line="360" w:lineRule="auto"/>
              <w:jc w:val="center"/>
              <w:rPr>
                <w:rFonts w:hint="eastAsia" w:ascii="宋体" w:hAnsi="宋体"/>
                <w:szCs w:val="21"/>
              </w:rPr>
            </w:pPr>
            <w:r>
              <w:rPr>
                <w:rFonts w:hint="eastAsia" w:ascii="宋体" w:hAnsi="宋体"/>
                <w:szCs w:val="21"/>
              </w:rPr>
              <w:t>10只</w:t>
            </w:r>
          </w:p>
        </w:tc>
        <w:tc>
          <w:tcPr>
            <w:tcW w:w="3544" w:type="dxa"/>
            <w:noWrap w:val="0"/>
            <w:vAlign w:val="center"/>
          </w:tcPr>
          <w:p>
            <w:pPr>
              <w:spacing w:line="360" w:lineRule="auto"/>
              <w:jc w:val="left"/>
              <w:rPr>
                <w:rFonts w:hint="eastAsia" w:ascii="宋体" w:hAnsi="宋体"/>
                <w:szCs w:val="21"/>
              </w:rPr>
            </w:pPr>
            <w:r>
              <w:rPr>
                <w:rFonts w:hint="eastAsia" w:ascii="宋体" w:hAnsi="宋体"/>
                <w:szCs w:val="21"/>
              </w:rPr>
              <w:t>常规保洁</w:t>
            </w:r>
          </w:p>
        </w:tc>
        <w:tc>
          <w:tcPr>
            <w:tcW w:w="2409" w:type="dxa"/>
            <w:noWrap w:val="0"/>
            <w:vAlign w:val="center"/>
          </w:tcPr>
          <w:p>
            <w:pPr>
              <w:spacing w:line="360" w:lineRule="auto"/>
              <w:jc w:val="left"/>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1560" w:type="dxa"/>
            <w:noWrap w:val="0"/>
            <w:vAlign w:val="center"/>
          </w:tcPr>
          <w:p>
            <w:pPr>
              <w:spacing w:line="360" w:lineRule="auto"/>
              <w:jc w:val="center"/>
              <w:rPr>
                <w:rFonts w:hint="eastAsia" w:ascii="宋体" w:hAnsi="宋体"/>
                <w:szCs w:val="21"/>
              </w:rPr>
            </w:pPr>
            <w:r>
              <w:rPr>
                <w:rFonts w:hint="eastAsia" w:ascii="宋体" w:hAnsi="宋体"/>
                <w:szCs w:val="21"/>
              </w:rPr>
              <w:t>公厕保洁</w:t>
            </w:r>
          </w:p>
        </w:tc>
        <w:tc>
          <w:tcPr>
            <w:tcW w:w="992" w:type="dxa"/>
            <w:noWrap w:val="0"/>
            <w:vAlign w:val="center"/>
          </w:tcPr>
          <w:p>
            <w:pPr>
              <w:spacing w:line="360" w:lineRule="auto"/>
              <w:jc w:val="center"/>
              <w:rPr>
                <w:rFonts w:hint="eastAsia" w:ascii="宋体" w:hAnsi="宋体"/>
                <w:szCs w:val="21"/>
              </w:rPr>
            </w:pPr>
            <w:r>
              <w:rPr>
                <w:rFonts w:hint="eastAsia" w:ascii="宋体" w:hAnsi="宋体"/>
                <w:szCs w:val="21"/>
              </w:rPr>
              <w:t>1座</w:t>
            </w:r>
          </w:p>
        </w:tc>
        <w:tc>
          <w:tcPr>
            <w:tcW w:w="3544" w:type="dxa"/>
            <w:noWrap w:val="0"/>
            <w:vAlign w:val="center"/>
          </w:tcPr>
          <w:p>
            <w:pPr>
              <w:spacing w:line="360" w:lineRule="auto"/>
              <w:jc w:val="left"/>
              <w:rPr>
                <w:rFonts w:hint="eastAsia" w:ascii="宋体" w:hAnsi="宋体"/>
                <w:szCs w:val="21"/>
              </w:rPr>
            </w:pPr>
            <w:r>
              <w:rPr>
                <w:rFonts w:hint="eastAsia" w:ascii="宋体" w:hAnsi="宋体"/>
                <w:szCs w:val="21"/>
              </w:rPr>
              <w:t>常规保洁</w:t>
            </w:r>
          </w:p>
        </w:tc>
        <w:tc>
          <w:tcPr>
            <w:tcW w:w="2409" w:type="dxa"/>
            <w:noWrap w:val="0"/>
            <w:vAlign w:val="center"/>
          </w:tcPr>
          <w:p>
            <w:pPr>
              <w:spacing w:line="360" w:lineRule="auto"/>
              <w:jc w:val="left"/>
              <w:rPr>
                <w:rFonts w:hint="eastAsia"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1560" w:type="dxa"/>
            <w:noWrap w:val="0"/>
            <w:vAlign w:val="center"/>
          </w:tcPr>
          <w:p>
            <w:pPr>
              <w:spacing w:line="360" w:lineRule="auto"/>
              <w:jc w:val="center"/>
              <w:rPr>
                <w:rFonts w:hint="eastAsia" w:ascii="宋体" w:hAnsi="宋体"/>
                <w:szCs w:val="21"/>
              </w:rPr>
            </w:pPr>
            <w:r>
              <w:rPr>
                <w:rFonts w:hint="eastAsia" w:ascii="宋体" w:hAnsi="宋体"/>
                <w:szCs w:val="21"/>
              </w:rPr>
              <w:t>牛皮癣清理</w:t>
            </w:r>
          </w:p>
        </w:tc>
        <w:tc>
          <w:tcPr>
            <w:tcW w:w="992" w:type="dxa"/>
            <w:noWrap w:val="0"/>
            <w:vAlign w:val="center"/>
          </w:tcPr>
          <w:p>
            <w:pPr>
              <w:spacing w:line="360" w:lineRule="auto"/>
              <w:jc w:val="center"/>
              <w:rPr>
                <w:rFonts w:hint="eastAsia" w:ascii="宋体" w:hAnsi="宋体"/>
                <w:szCs w:val="21"/>
              </w:rPr>
            </w:pPr>
            <w:r>
              <w:rPr>
                <w:rFonts w:hint="eastAsia" w:ascii="宋体" w:hAnsi="宋体"/>
                <w:szCs w:val="21"/>
              </w:rPr>
              <w:t>1项</w:t>
            </w:r>
          </w:p>
        </w:tc>
        <w:tc>
          <w:tcPr>
            <w:tcW w:w="3544" w:type="dxa"/>
            <w:noWrap w:val="0"/>
            <w:vAlign w:val="center"/>
          </w:tcPr>
          <w:p>
            <w:pPr>
              <w:spacing w:line="360" w:lineRule="auto"/>
              <w:jc w:val="left"/>
              <w:rPr>
                <w:rFonts w:hint="eastAsia" w:ascii="宋体" w:hAnsi="宋体"/>
                <w:szCs w:val="21"/>
              </w:rPr>
            </w:pPr>
            <w:r>
              <w:rPr>
                <w:rFonts w:hint="eastAsia" w:ascii="宋体" w:hAnsi="宋体"/>
                <w:szCs w:val="21"/>
              </w:rPr>
              <w:t>全镇区牛皮癣清理</w:t>
            </w:r>
          </w:p>
        </w:tc>
        <w:tc>
          <w:tcPr>
            <w:tcW w:w="2409"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5"/>
            <w:noWrap w:val="0"/>
            <w:vAlign w:val="center"/>
          </w:tcPr>
          <w:p>
            <w:pPr>
              <w:spacing w:line="360" w:lineRule="auto"/>
              <w:rPr>
                <w:rFonts w:hint="eastAsia" w:ascii="宋体" w:hAnsi="宋体"/>
                <w:szCs w:val="21"/>
              </w:rPr>
            </w:pPr>
            <w:r>
              <w:rPr>
                <w:rFonts w:hint="eastAsia" w:ascii="宋体" w:hAnsi="宋体"/>
                <w:szCs w:val="21"/>
              </w:rPr>
              <w:t>说明：道路保洁范围详见附表1</w:t>
            </w:r>
          </w:p>
        </w:tc>
      </w:tr>
    </w:tbl>
    <w:p>
      <w:pPr>
        <w:pStyle w:val="26"/>
        <w:spacing w:before="0" w:after="0" w:line="360" w:lineRule="auto"/>
        <w:ind w:firstLine="411" w:firstLineChars="196"/>
        <w:rPr>
          <w:rFonts w:hint="eastAsia"/>
          <w:sz w:val="21"/>
          <w:szCs w:val="21"/>
          <w:lang w:eastAsia="zh-CN"/>
        </w:rPr>
      </w:pPr>
    </w:p>
    <w:p>
      <w:pPr>
        <w:pStyle w:val="26"/>
        <w:spacing w:before="0" w:after="0" w:line="360" w:lineRule="auto"/>
        <w:ind w:firstLine="411" w:firstLineChars="196"/>
        <w:rPr>
          <w:rFonts w:hint="eastAsia"/>
          <w:sz w:val="21"/>
          <w:szCs w:val="21"/>
          <w:lang w:eastAsia="zh-CN"/>
        </w:rPr>
      </w:pPr>
      <w:r>
        <w:rPr>
          <w:rFonts w:hint="eastAsia"/>
          <w:sz w:val="21"/>
          <w:szCs w:val="21"/>
          <w:lang w:eastAsia="zh-CN"/>
        </w:rPr>
        <w:t>附表1：茶院乡镇区道路保洁范围明细表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386"/>
        <w:gridCol w:w="470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b/>
                <w:szCs w:val="21"/>
              </w:rPr>
            </w:pPr>
            <w:r>
              <w:rPr>
                <w:rFonts w:hint="eastAsia" w:ascii="宋体" w:hAnsi="宋体"/>
                <w:b/>
                <w:szCs w:val="21"/>
              </w:rPr>
              <w:t>序号</w:t>
            </w:r>
          </w:p>
        </w:tc>
        <w:tc>
          <w:tcPr>
            <w:tcW w:w="1386" w:type="dxa"/>
            <w:noWrap w:val="0"/>
            <w:vAlign w:val="top"/>
          </w:tcPr>
          <w:p>
            <w:pPr>
              <w:spacing w:line="360" w:lineRule="auto"/>
              <w:jc w:val="center"/>
              <w:rPr>
                <w:rFonts w:hint="eastAsia" w:ascii="宋体" w:hAnsi="宋体"/>
                <w:b/>
                <w:szCs w:val="21"/>
              </w:rPr>
            </w:pPr>
            <w:r>
              <w:rPr>
                <w:rFonts w:hint="eastAsia" w:ascii="宋体" w:hAnsi="宋体"/>
                <w:b/>
                <w:szCs w:val="21"/>
              </w:rPr>
              <w:t>道路等级</w:t>
            </w:r>
          </w:p>
        </w:tc>
        <w:tc>
          <w:tcPr>
            <w:tcW w:w="4700" w:type="dxa"/>
            <w:noWrap w:val="0"/>
            <w:vAlign w:val="center"/>
          </w:tcPr>
          <w:p>
            <w:pPr>
              <w:spacing w:line="360" w:lineRule="auto"/>
              <w:jc w:val="center"/>
              <w:rPr>
                <w:rFonts w:hint="eastAsia" w:ascii="宋体" w:hAnsi="宋体"/>
                <w:b/>
                <w:szCs w:val="21"/>
              </w:rPr>
            </w:pPr>
            <w:r>
              <w:rPr>
                <w:rFonts w:hint="eastAsia" w:ascii="宋体" w:hAnsi="宋体"/>
                <w:b/>
                <w:szCs w:val="21"/>
              </w:rPr>
              <w:t>道路名称</w:t>
            </w:r>
          </w:p>
        </w:tc>
        <w:tc>
          <w:tcPr>
            <w:tcW w:w="2137" w:type="dxa"/>
            <w:noWrap w:val="0"/>
            <w:vAlign w:val="center"/>
          </w:tcPr>
          <w:p>
            <w:pPr>
              <w:spacing w:line="360" w:lineRule="auto"/>
              <w:jc w:val="center"/>
              <w:rPr>
                <w:rFonts w:hint="eastAsia" w:ascii="宋体" w:hAnsi="宋体"/>
                <w:b/>
                <w:szCs w:val="21"/>
              </w:rPr>
            </w:pPr>
            <w:r>
              <w:rPr>
                <w:rFonts w:hint="eastAsia" w:ascii="宋体" w:hAnsi="宋体"/>
                <w:b/>
                <w:szCs w:val="21"/>
              </w:rPr>
              <w:t>面积（m</w:t>
            </w:r>
            <w:r>
              <w:rPr>
                <w:rFonts w:hint="eastAsia" w:ascii="宋体" w:hAnsi="宋体"/>
                <w:b/>
                <w:szCs w:val="21"/>
                <w:vertAlign w:val="superscript"/>
              </w:rPr>
              <w:t>2</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1386" w:type="dxa"/>
            <w:vMerge w:val="restart"/>
            <w:noWrap w:val="0"/>
            <w:vAlign w:val="center"/>
          </w:tcPr>
          <w:p>
            <w:pPr>
              <w:spacing w:line="360" w:lineRule="auto"/>
              <w:jc w:val="center"/>
              <w:rPr>
                <w:rFonts w:hint="eastAsia" w:ascii="宋体" w:hAnsi="宋体"/>
                <w:szCs w:val="21"/>
              </w:rPr>
            </w:pPr>
            <w:r>
              <w:rPr>
                <w:rFonts w:hint="eastAsia" w:ascii="宋体" w:hAnsi="宋体"/>
                <w:szCs w:val="21"/>
              </w:rPr>
              <w:t>二级道路86981m</w:t>
            </w:r>
            <w:r>
              <w:rPr>
                <w:rFonts w:hint="eastAsia" w:ascii="宋体" w:hAnsi="宋体"/>
                <w:szCs w:val="21"/>
                <w:vertAlign w:val="superscript"/>
              </w:rPr>
              <w:t>2</w:t>
            </w:r>
          </w:p>
        </w:tc>
        <w:tc>
          <w:tcPr>
            <w:tcW w:w="4700" w:type="dxa"/>
            <w:noWrap w:val="0"/>
            <w:vAlign w:val="center"/>
          </w:tcPr>
          <w:p>
            <w:pPr>
              <w:spacing w:line="360" w:lineRule="auto"/>
              <w:jc w:val="left"/>
              <w:rPr>
                <w:rFonts w:ascii="宋体" w:hAnsi="宋体"/>
                <w:szCs w:val="21"/>
              </w:rPr>
            </w:pPr>
            <w:r>
              <w:rPr>
                <w:rFonts w:hint="eastAsia" w:ascii="宋体" w:hAnsi="宋体"/>
                <w:szCs w:val="21"/>
              </w:rPr>
              <w:t>新盛宁线入口-----加油站</w:t>
            </w:r>
          </w:p>
        </w:tc>
        <w:tc>
          <w:tcPr>
            <w:tcW w:w="2137" w:type="dxa"/>
            <w:noWrap w:val="0"/>
            <w:vAlign w:val="center"/>
          </w:tcPr>
          <w:p>
            <w:pPr>
              <w:spacing w:line="360" w:lineRule="auto"/>
              <w:jc w:val="center"/>
              <w:rPr>
                <w:rFonts w:ascii="宋体" w:hAnsi="宋体"/>
                <w:szCs w:val="21"/>
              </w:rPr>
            </w:pPr>
            <w:r>
              <w:rPr>
                <w:rFonts w:hint="eastAsia" w:ascii="宋体" w:hAnsi="宋体"/>
                <w:szCs w:val="21"/>
              </w:rPr>
              <w:t>36867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1386" w:type="dxa"/>
            <w:vMerge w:val="continue"/>
            <w:noWrap w:val="0"/>
            <w:vAlign w:val="top"/>
          </w:tcPr>
          <w:p>
            <w:pPr>
              <w:spacing w:line="360" w:lineRule="auto"/>
              <w:jc w:val="left"/>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镇政府-----垃圾中转站（包括人行道）</w:t>
            </w:r>
          </w:p>
        </w:tc>
        <w:tc>
          <w:tcPr>
            <w:tcW w:w="2137" w:type="dxa"/>
            <w:noWrap w:val="0"/>
            <w:vAlign w:val="center"/>
          </w:tcPr>
          <w:p>
            <w:pPr>
              <w:spacing w:line="360" w:lineRule="auto"/>
              <w:jc w:val="center"/>
              <w:rPr>
                <w:rFonts w:ascii="宋体" w:hAnsi="宋体"/>
                <w:szCs w:val="21"/>
              </w:rPr>
            </w:pPr>
            <w:r>
              <w:rPr>
                <w:rFonts w:hint="eastAsia" w:ascii="宋体" w:hAnsi="宋体"/>
                <w:szCs w:val="21"/>
              </w:rPr>
              <w:t>18084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1386" w:type="dxa"/>
            <w:vMerge w:val="continue"/>
            <w:noWrap w:val="0"/>
            <w:vAlign w:val="top"/>
          </w:tcPr>
          <w:p>
            <w:pPr>
              <w:spacing w:line="360" w:lineRule="auto"/>
              <w:jc w:val="left"/>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市场-----上徐村尽头（包括人行道）</w:t>
            </w:r>
          </w:p>
        </w:tc>
        <w:tc>
          <w:tcPr>
            <w:tcW w:w="2137" w:type="dxa"/>
            <w:noWrap w:val="0"/>
            <w:vAlign w:val="center"/>
          </w:tcPr>
          <w:p>
            <w:pPr>
              <w:spacing w:line="360" w:lineRule="auto"/>
              <w:jc w:val="center"/>
              <w:rPr>
                <w:rFonts w:ascii="宋体" w:hAnsi="宋体"/>
                <w:szCs w:val="21"/>
              </w:rPr>
            </w:pPr>
            <w:r>
              <w:rPr>
                <w:rFonts w:hint="eastAsia" w:ascii="宋体" w:hAnsi="宋体"/>
                <w:szCs w:val="21"/>
              </w:rPr>
              <w:t>21758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1386" w:type="dxa"/>
            <w:vMerge w:val="continue"/>
            <w:noWrap w:val="0"/>
            <w:vAlign w:val="top"/>
          </w:tcPr>
          <w:p>
            <w:pPr>
              <w:spacing w:line="360" w:lineRule="auto"/>
              <w:jc w:val="left"/>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市场后面（学校东侧围墙外）</w:t>
            </w:r>
          </w:p>
        </w:tc>
        <w:tc>
          <w:tcPr>
            <w:tcW w:w="2137" w:type="dxa"/>
            <w:noWrap w:val="0"/>
            <w:vAlign w:val="center"/>
          </w:tcPr>
          <w:p>
            <w:pPr>
              <w:spacing w:line="360" w:lineRule="auto"/>
              <w:jc w:val="center"/>
              <w:rPr>
                <w:rFonts w:ascii="宋体" w:hAnsi="宋体"/>
                <w:szCs w:val="21"/>
              </w:rPr>
            </w:pPr>
            <w:r>
              <w:rPr>
                <w:rFonts w:hint="eastAsia" w:ascii="宋体" w:hAnsi="宋体"/>
                <w:szCs w:val="21"/>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1386" w:type="dxa"/>
            <w:vMerge w:val="continue"/>
            <w:noWrap w:val="0"/>
            <w:vAlign w:val="top"/>
          </w:tcPr>
          <w:p>
            <w:pPr>
              <w:spacing w:line="360" w:lineRule="auto"/>
              <w:jc w:val="left"/>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学校北侧围墙外</w:t>
            </w:r>
          </w:p>
        </w:tc>
        <w:tc>
          <w:tcPr>
            <w:tcW w:w="2137" w:type="dxa"/>
            <w:noWrap w:val="0"/>
            <w:vAlign w:val="center"/>
          </w:tcPr>
          <w:p>
            <w:pPr>
              <w:spacing w:line="360" w:lineRule="auto"/>
              <w:jc w:val="center"/>
              <w:rPr>
                <w:rFonts w:ascii="宋体" w:hAnsi="宋体"/>
                <w:szCs w:val="21"/>
              </w:rPr>
            </w:pPr>
            <w:r>
              <w:rPr>
                <w:rFonts w:hint="eastAsia" w:ascii="宋体" w:hAnsi="宋体"/>
                <w:szCs w:val="21"/>
              </w:rPr>
              <w:t>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1386" w:type="dxa"/>
            <w:vMerge w:val="continue"/>
            <w:noWrap w:val="0"/>
            <w:vAlign w:val="top"/>
          </w:tcPr>
          <w:p>
            <w:pPr>
              <w:spacing w:line="360" w:lineRule="auto"/>
              <w:jc w:val="left"/>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高桥主路一条</w:t>
            </w:r>
          </w:p>
        </w:tc>
        <w:tc>
          <w:tcPr>
            <w:tcW w:w="2137" w:type="dxa"/>
            <w:noWrap w:val="0"/>
            <w:vAlign w:val="center"/>
          </w:tcPr>
          <w:p>
            <w:pPr>
              <w:spacing w:line="360" w:lineRule="auto"/>
              <w:jc w:val="center"/>
              <w:rPr>
                <w:rFonts w:ascii="宋体" w:hAnsi="宋体"/>
                <w:szCs w:val="21"/>
              </w:rPr>
            </w:pPr>
            <w:r>
              <w:rPr>
                <w:rFonts w:hint="eastAsia" w:ascii="宋体" w:hAnsi="宋体"/>
                <w:szCs w:val="21"/>
              </w:rPr>
              <w:t>4370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7</w:t>
            </w:r>
          </w:p>
        </w:tc>
        <w:tc>
          <w:tcPr>
            <w:tcW w:w="1386" w:type="dxa"/>
            <w:vMerge w:val="continue"/>
            <w:noWrap w:val="0"/>
            <w:vAlign w:val="top"/>
          </w:tcPr>
          <w:p>
            <w:pPr>
              <w:spacing w:line="360" w:lineRule="auto"/>
              <w:jc w:val="left"/>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高桥-----新盛宁线入口</w:t>
            </w:r>
          </w:p>
        </w:tc>
        <w:tc>
          <w:tcPr>
            <w:tcW w:w="2137" w:type="dxa"/>
            <w:noWrap w:val="0"/>
            <w:vAlign w:val="center"/>
          </w:tcPr>
          <w:p>
            <w:pPr>
              <w:spacing w:line="360" w:lineRule="auto"/>
              <w:jc w:val="center"/>
              <w:rPr>
                <w:rFonts w:ascii="宋体" w:hAnsi="宋体"/>
                <w:szCs w:val="21"/>
              </w:rPr>
            </w:pPr>
            <w:r>
              <w:rPr>
                <w:rFonts w:hint="eastAsia" w:ascii="宋体" w:hAnsi="宋体"/>
                <w:szCs w:val="21"/>
              </w:rPr>
              <w:t>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8</w:t>
            </w:r>
          </w:p>
        </w:tc>
        <w:tc>
          <w:tcPr>
            <w:tcW w:w="1386" w:type="dxa"/>
            <w:vMerge w:val="restart"/>
            <w:noWrap w:val="0"/>
            <w:vAlign w:val="top"/>
          </w:tcPr>
          <w:p>
            <w:pPr>
              <w:spacing w:line="360" w:lineRule="auto"/>
              <w:jc w:val="center"/>
              <w:rPr>
                <w:rFonts w:hint="eastAsia" w:ascii="宋体" w:hAnsi="宋体"/>
                <w:szCs w:val="21"/>
              </w:rPr>
            </w:pPr>
            <w:r>
              <w:rPr>
                <w:rFonts w:hint="eastAsia" w:ascii="宋体" w:hAnsi="宋体"/>
                <w:szCs w:val="21"/>
              </w:rPr>
              <w:t>四级道路</w:t>
            </w:r>
          </w:p>
          <w:p>
            <w:pPr>
              <w:spacing w:line="360" w:lineRule="auto"/>
              <w:jc w:val="center"/>
              <w:rPr>
                <w:rFonts w:hint="eastAsia" w:ascii="宋体" w:hAnsi="宋体"/>
                <w:szCs w:val="21"/>
              </w:rPr>
            </w:pPr>
            <w:r>
              <w:rPr>
                <w:rFonts w:hint="eastAsia" w:ascii="宋体" w:hAnsi="宋体"/>
                <w:szCs w:val="21"/>
              </w:rPr>
              <w:t>8400m</w:t>
            </w:r>
            <w:r>
              <w:rPr>
                <w:rFonts w:hint="eastAsia" w:ascii="宋体" w:hAnsi="宋体"/>
                <w:szCs w:val="21"/>
                <w:vertAlign w:val="superscript"/>
              </w:rPr>
              <w:t>2</w:t>
            </w:r>
          </w:p>
        </w:tc>
        <w:tc>
          <w:tcPr>
            <w:tcW w:w="4700" w:type="dxa"/>
            <w:noWrap w:val="0"/>
            <w:vAlign w:val="center"/>
          </w:tcPr>
          <w:p>
            <w:pPr>
              <w:spacing w:line="360" w:lineRule="auto"/>
              <w:jc w:val="left"/>
              <w:rPr>
                <w:rFonts w:ascii="宋体" w:hAnsi="宋体"/>
                <w:szCs w:val="21"/>
              </w:rPr>
            </w:pPr>
            <w:r>
              <w:rPr>
                <w:rFonts w:hint="eastAsia" w:ascii="宋体" w:hAnsi="宋体"/>
                <w:szCs w:val="21"/>
              </w:rPr>
              <w:t>茶院溪步行道左岸：南起文昌阁，北至水厂</w:t>
            </w:r>
          </w:p>
        </w:tc>
        <w:tc>
          <w:tcPr>
            <w:tcW w:w="2137" w:type="dxa"/>
            <w:noWrap w:val="0"/>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9</w:t>
            </w:r>
          </w:p>
        </w:tc>
        <w:tc>
          <w:tcPr>
            <w:tcW w:w="1386" w:type="dxa"/>
            <w:vMerge w:val="continue"/>
            <w:noWrap w:val="0"/>
            <w:vAlign w:val="top"/>
          </w:tcPr>
          <w:p>
            <w:pPr>
              <w:spacing w:line="360" w:lineRule="auto"/>
              <w:jc w:val="center"/>
              <w:rPr>
                <w:rFonts w:hint="eastAsia" w:ascii="宋体" w:hAnsi="宋体"/>
                <w:szCs w:val="21"/>
              </w:rPr>
            </w:pPr>
          </w:p>
        </w:tc>
        <w:tc>
          <w:tcPr>
            <w:tcW w:w="4700" w:type="dxa"/>
            <w:noWrap w:val="0"/>
            <w:vAlign w:val="center"/>
          </w:tcPr>
          <w:p>
            <w:pPr>
              <w:spacing w:line="360" w:lineRule="auto"/>
              <w:jc w:val="left"/>
              <w:rPr>
                <w:rFonts w:ascii="宋体" w:hAnsi="宋体"/>
                <w:szCs w:val="21"/>
              </w:rPr>
            </w:pPr>
            <w:r>
              <w:rPr>
                <w:rFonts w:hint="eastAsia" w:ascii="宋体" w:hAnsi="宋体"/>
                <w:szCs w:val="21"/>
              </w:rPr>
              <w:t>茶院溪步行道右岸：南起郑公头桥，北至毛头山</w:t>
            </w:r>
          </w:p>
        </w:tc>
        <w:tc>
          <w:tcPr>
            <w:tcW w:w="2137" w:type="dxa"/>
            <w:noWrap w:val="0"/>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360" w:lineRule="auto"/>
              <w:jc w:val="center"/>
              <w:rPr>
                <w:rFonts w:hint="eastAsia" w:ascii="宋体" w:hAnsi="宋体"/>
                <w:szCs w:val="21"/>
              </w:rPr>
            </w:pPr>
            <w:r>
              <w:rPr>
                <w:rFonts w:hint="eastAsia" w:ascii="宋体" w:hAnsi="宋体"/>
                <w:szCs w:val="21"/>
              </w:rPr>
              <w:t>10</w:t>
            </w:r>
          </w:p>
        </w:tc>
        <w:tc>
          <w:tcPr>
            <w:tcW w:w="6086" w:type="dxa"/>
            <w:gridSpan w:val="2"/>
            <w:noWrap w:val="0"/>
            <w:vAlign w:val="top"/>
          </w:tcPr>
          <w:p>
            <w:pPr>
              <w:spacing w:line="360" w:lineRule="auto"/>
              <w:jc w:val="center"/>
              <w:rPr>
                <w:rFonts w:hint="eastAsia" w:ascii="宋体" w:hAnsi="宋体"/>
                <w:szCs w:val="21"/>
              </w:rPr>
            </w:pPr>
            <w:r>
              <w:rPr>
                <w:rFonts w:hint="eastAsia" w:ascii="宋体" w:hAnsi="宋体"/>
                <w:szCs w:val="21"/>
              </w:rPr>
              <w:t>合计</w:t>
            </w:r>
          </w:p>
        </w:tc>
        <w:tc>
          <w:tcPr>
            <w:tcW w:w="2137" w:type="dxa"/>
            <w:noWrap w:val="0"/>
            <w:vAlign w:val="center"/>
          </w:tcPr>
          <w:p>
            <w:pPr>
              <w:spacing w:line="360" w:lineRule="auto"/>
              <w:jc w:val="center"/>
              <w:rPr>
                <w:rFonts w:hint="eastAsia" w:ascii="宋体" w:hAnsi="宋体"/>
                <w:szCs w:val="21"/>
              </w:rPr>
            </w:pPr>
            <w:r>
              <w:rPr>
                <w:rFonts w:hint="eastAsia" w:ascii="宋体" w:hAnsi="宋体"/>
                <w:szCs w:val="21"/>
              </w:rPr>
              <w:t>95381</w:t>
            </w:r>
          </w:p>
        </w:tc>
      </w:tr>
    </w:tbl>
    <w:p>
      <w:pPr>
        <w:spacing w:line="360" w:lineRule="auto"/>
        <w:jc w:val="center"/>
        <w:rPr>
          <w:rFonts w:hint="eastAsia" w:ascii="宋体" w:hAnsi="宋体"/>
          <w:szCs w:val="21"/>
        </w:rPr>
      </w:pPr>
    </w:p>
    <w:p>
      <w:pPr>
        <w:rPr>
          <w:rFonts w:hint="eastAsia"/>
        </w:rPr>
      </w:pPr>
    </w:p>
    <w:p>
      <w:pPr>
        <w:rPr>
          <w:rFonts w:hint="eastAsia"/>
        </w:rPr>
      </w:pPr>
    </w:p>
    <w:p>
      <w:pPr>
        <w:pStyle w:val="26"/>
        <w:spacing w:before="0" w:after="0" w:line="360" w:lineRule="auto"/>
        <w:ind w:firstLine="411" w:firstLineChars="196"/>
        <w:jc w:val="both"/>
        <w:rPr>
          <w:rFonts w:hint="eastAsia"/>
          <w:sz w:val="21"/>
          <w:szCs w:val="21"/>
          <w:lang w:eastAsia="zh-CN"/>
        </w:rPr>
      </w:pPr>
      <w:r>
        <w:rPr>
          <w:rFonts w:hint="eastAsia"/>
          <w:sz w:val="21"/>
          <w:szCs w:val="21"/>
          <w:lang w:eastAsia="zh-CN"/>
        </w:rPr>
        <w:t>（二）全镇垃圾清运服务（日产日清）具体服务内容</w:t>
      </w:r>
    </w:p>
    <w:p>
      <w:pPr>
        <w:spacing w:line="360" w:lineRule="auto"/>
        <w:ind w:firstLine="420" w:firstLineChars="200"/>
        <w:rPr>
          <w:rFonts w:hint="eastAsia" w:ascii="宋体" w:hAnsi="宋体"/>
          <w:szCs w:val="21"/>
        </w:rPr>
      </w:pPr>
      <w:r>
        <w:rPr>
          <w:rFonts w:hint="eastAsia" w:ascii="宋体" w:hAnsi="宋体"/>
          <w:szCs w:val="21"/>
        </w:rPr>
        <w:t>茶院乡全镇垃圾清运服务（日产日清）主要包含茶院乡下属14个行政村的垃圾清运（以桶换桶）、工业垃圾清运、建筑垃圾清运、大件垃圾和其他固体废弃物处理清运。</w:t>
      </w:r>
    </w:p>
    <w:p>
      <w:pPr>
        <w:spacing w:line="360" w:lineRule="auto"/>
        <w:ind w:firstLine="420" w:firstLineChars="200"/>
        <w:rPr>
          <w:rFonts w:hint="eastAsia" w:ascii="宋体" w:hAnsi="宋体"/>
          <w:szCs w:val="21"/>
        </w:rPr>
      </w:pPr>
      <w:r>
        <w:rPr>
          <w:rFonts w:hint="eastAsia" w:ascii="宋体" w:hAnsi="宋体"/>
          <w:szCs w:val="21"/>
        </w:rPr>
        <w:t>据统计，茶院乡2017年垃圾总量7149.86吨，2018年垃圾总量7234.46吨，平均一天垃圾总量约20吨，2018年垃圾清运的形式是各个行政村以垃圾池来堆放再采取拖拉机来运输。目前根据中转站及垃圾分类站于2018年底建成，实行以桶换桶清运模式，配置2辆密闭式桶装垃圾车（特种垃圾清运车厢并具备GPS系统），6辆垃圾清运车（电动三轮升降平板车）或桶</w:t>
      </w:r>
      <w:r>
        <w:rPr>
          <w:rFonts w:hint="eastAsia" w:ascii="宋体"/>
          <w:bCs/>
          <w:szCs w:val="21"/>
        </w:rPr>
        <w:t>装垃圾运输车</w:t>
      </w:r>
      <w:r>
        <w:rPr>
          <w:rFonts w:hint="eastAsia" w:ascii="宋体" w:hAnsi="宋体"/>
          <w:szCs w:val="21"/>
        </w:rPr>
        <w:t>。投标人可根据自身实力合理配备机械设备，但所配的机械必须满足项目清运需要。</w:t>
      </w:r>
    </w:p>
    <w:p>
      <w:pPr>
        <w:spacing w:line="360" w:lineRule="auto"/>
        <w:ind w:firstLine="420" w:firstLineChars="200"/>
        <w:rPr>
          <w:rFonts w:hint="eastAsia" w:ascii="宋体" w:hAnsi="宋体"/>
          <w:szCs w:val="21"/>
        </w:rPr>
      </w:pPr>
      <w:r>
        <w:rPr>
          <w:rFonts w:hint="eastAsia" w:ascii="宋体" w:hAnsi="宋体"/>
          <w:szCs w:val="21"/>
        </w:rPr>
        <w:t>茶院乡下属14个行政村名单：后坑李村、庙岭村、塘厂村、毛屿村、茶院村、柘浦王村 、下徐村、铜岭脚村、道士桥村、杜岙村 、许民村、升龙村、东南溪村、东腾村。</w:t>
      </w:r>
    </w:p>
    <w:p>
      <w:pPr>
        <w:spacing w:line="360" w:lineRule="auto"/>
        <w:ind w:firstLine="420" w:firstLineChars="200"/>
        <w:rPr>
          <w:rFonts w:hint="eastAsia" w:ascii="宋体" w:hAnsi="宋体"/>
          <w:szCs w:val="21"/>
        </w:rPr>
      </w:pPr>
      <w:r>
        <w:rPr>
          <w:rFonts w:hint="eastAsia" w:ascii="宋体" w:hAnsi="宋体"/>
          <w:szCs w:val="21"/>
        </w:rPr>
        <w:t>具体明细详见下表：</w:t>
      </w:r>
    </w:p>
    <w:p>
      <w:pPr>
        <w:spacing w:line="360" w:lineRule="auto"/>
        <w:ind w:firstLine="420" w:firstLineChars="200"/>
        <w:jc w:val="center"/>
        <w:rPr>
          <w:rFonts w:hint="eastAsia" w:ascii="宋体" w:hAnsi="宋体"/>
          <w:b/>
          <w:szCs w:val="21"/>
        </w:rPr>
      </w:pPr>
      <w:r>
        <w:rPr>
          <w:rFonts w:hint="eastAsia" w:ascii="宋体" w:hAnsi="宋体"/>
          <w:b/>
          <w:szCs w:val="21"/>
        </w:rPr>
        <w:t>茶院乡全镇垃圾清运服务（日产日清）清运作业表</w:t>
      </w:r>
    </w:p>
    <w:tbl>
      <w:tblPr>
        <w:tblStyle w:val="3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13"/>
        <w:gridCol w:w="1973"/>
        <w:gridCol w:w="1849"/>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trPr>
        <w:tc>
          <w:tcPr>
            <w:tcW w:w="1384" w:type="dxa"/>
            <w:noWrap w:val="0"/>
            <w:vAlign w:val="center"/>
          </w:tcPr>
          <w:p>
            <w:pPr>
              <w:spacing w:line="360" w:lineRule="auto"/>
              <w:jc w:val="center"/>
              <w:rPr>
                <w:rFonts w:ascii="宋体" w:hAnsi="宋体"/>
                <w:b/>
                <w:szCs w:val="21"/>
              </w:rPr>
            </w:pPr>
            <w:r>
              <w:rPr>
                <w:rFonts w:hint="eastAsia" w:ascii="宋体" w:hAnsi="宋体"/>
                <w:b/>
                <w:szCs w:val="21"/>
              </w:rPr>
              <w:t>行政村</w:t>
            </w:r>
          </w:p>
        </w:tc>
        <w:tc>
          <w:tcPr>
            <w:tcW w:w="1313" w:type="dxa"/>
            <w:noWrap w:val="0"/>
            <w:vAlign w:val="center"/>
          </w:tcPr>
          <w:p>
            <w:pPr>
              <w:spacing w:line="360" w:lineRule="auto"/>
              <w:jc w:val="center"/>
              <w:rPr>
                <w:rFonts w:ascii="宋体" w:hAnsi="宋体"/>
                <w:b/>
                <w:szCs w:val="21"/>
              </w:rPr>
            </w:pPr>
            <w:r>
              <w:rPr>
                <w:rFonts w:hint="eastAsia" w:ascii="宋体" w:hAnsi="宋体"/>
                <w:b/>
                <w:szCs w:val="21"/>
              </w:rPr>
              <w:t>自然村</w:t>
            </w:r>
          </w:p>
        </w:tc>
        <w:tc>
          <w:tcPr>
            <w:tcW w:w="1973" w:type="dxa"/>
            <w:noWrap w:val="0"/>
            <w:vAlign w:val="center"/>
          </w:tcPr>
          <w:p>
            <w:pPr>
              <w:spacing w:line="360" w:lineRule="auto"/>
              <w:jc w:val="center"/>
              <w:rPr>
                <w:rFonts w:ascii="宋体" w:hAnsi="宋体"/>
                <w:b/>
                <w:szCs w:val="21"/>
              </w:rPr>
            </w:pPr>
            <w:r>
              <w:rPr>
                <w:rFonts w:hint="eastAsia" w:ascii="宋体" w:hAnsi="宋体"/>
                <w:b/>
                <w:szCs w:val="21"/>
              </w:rPr>
              <w:t>各村垃圾桶数（个）</w:t>
            </w:r>
          </w:p>
        </w:tc>
        <w:tc>
          <w:tcPr>
            <w:tcW w:w="1849" w:type="dxa"/>
            <w:noWrap w:val="0"/>
            <w:vAlign w:val="center"/>
          </w:tcPr>
          <w:p>
            <w:pPr>
              <w:spacing w:line="360" w:lineRule="auto"/>
              <w:jc w:val="center"/>
              <w:rPr>
                <w:rFonts w:ascii="宋体" w:hAnsi="宋体"/>
                <w:b/>
                <w:szCs w:val="21"/>
              </w:rPr>
            </w:pPr>
            <w:r>
              <w:rPr>
                <w:rFonts w:hint="eastAsia" w:ascii="宋体" w:hAnsi="宋体"/>
                <w:b/>
                <w:szCs w:val="21"/>
              </w:rPr>
              <w:t>总数量（个）</w:t>
            </w:r>
          </w:p>
        </w:tc>
        <w:tc>
          <w:tcPr>
            <w:tcW w:w="2614" w:type="dxa"/>
            <w:noWrap w:val="0"/>
            <w:vAlign w:val="center"/>
          </w:tcPr>
          <w:p>
            <w:pPr>
              <w:spacing w:line="360" w:lineRule="auto"/>
              <w:jc w:val="center"/>
              <w:rPr>
                <w:rFonts w:ascii="宋体" w:hAnsi="宋体"/>
                <w:b/>
                <w:szCs w:val="21"/>
              </w:rPr>
            </w:pPr>
            <w:r>
              <w:rPr>
                <w:rFonts w:hint="eastAsia" w:ascii="宋体" w:hAnsi="宋体"/>
                <w:b/>
                <w:szCs w:val="21"/>
              </w:rPr>
              <w:t>至中转站单程公里数（KM）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5" w:hRule="atLeast"/>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茶院村</w:t>
            </w:r>
          </w:p>
        </w:tc>
        <w:tc>
          <w:tcPr>
            <w:tcW w:w="1313" w:type="dxa"/>
            <w:noWrap w:val="0"/>
            <w:vAlign w:val="center"/>
          </w:tcPr>
          <w:p>
            <w:pPr>
              <w:spacing w:line="360" w:lineRule="auto"/>
              <w:jc w:val="center"/>
              <w:rPr>
                <w:rFonts w:ascii="宋体" w:hAnsi="宋体"/>
                <w:szCs w:val="21"/>
              </w:rPr>
            </w:pPr>
            <w:r>
              <w:rPr>
                <w:rFonts w:hint="eastAsia" w:ascii="宋体" w:hAnsi="宋体"/>
                <w:szCs w:val="21"/>
              </w:rPr>
              <w:t>张家</w:t>
            </w:r>
          </w:p>
        </w:tc>
        <w:tc>
          <w:tcPr>
            <w:tcW w:w="1973" w:type="dxa"/>
            <w:noWrap w:val="0"/>
            <w:vAlign w:val="center"/>
          </w:tcPr>
          <w:p>
            <w:pPr>
              <w:spacing w:line="360" w:lineRule="auto"/>
              <w:jc w:val="center"/>
              <w:rPr>
                <w:rFonts w:ascii="宋体" w:hAnsi="宋体"/>
                <w:szCs w:val="21"/>
              </w:rPr>
            </w:pPr>
            <w:r>
              <w:rPr>
                <w:rFonts w:hint="eastAsia" w:ascii="宋体" w:hAnsi="宋体"/>
                <w:szCs w:val="21"/>
              </w:rPr>
              <w:t>44</w:t>
            </w:r>
          </w:p>
        </w:tc>
        <w:tc>
          <w:tcPr>
            <w:tcW w:w="1849" w:type="dxa"/>
            <w:vMerge w:val="restart"/>
            <w:noWrap w:val="0"/>
            <w:vAlign w:val="center"/>
          </w:tcPr>
          <w:p>
            <w:pPr>
              <w:spacing w:line="360" w:lineRule="auto"/>
              <w:jc w:val="center"/>
              <w:rPr>
                <w:rFonts w:ascii="宋体" w:hAnsi="宋体"/>
                <w:szCs w:val="21"/>
              </w:rPr>
            </w:pPr>
            <w:r>
              <w:rPr>
                <w:rFonts w:hint="eastAsia" w:ascii="宋体" w:hAnsi="宋体"/>
                <w:szCs w:val="21"/>
              </w:rPr>
              <w:t>160</w:t>
            </w:r>
          </w:p>
        </w:tc>
        <w:tc>
          <w:tcPr>
            <w:tcW w:w="2614" w:type="dxa"/>
            <w:vMerge w:val="restart"/>
            <w:noWrap w:val="0"/>
            <w:vAlign w:val="center"/>
          </w:tcPr>
          <w:p>
            <w:pPr>
              <w:spacing w:line="360" w:lineRule="auto"/>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上徐</w:t>
            </w:r>
          </w:p>
        </w:tc>
        <w:tc>
          <w:tcPr>
            <w:tcW w:w="1973" w:type="dxa"/>
            <w:noWrap w:val="0"/>
            <w:vAlign w:val="center"/>
          </w:tcPr>
          <w:p>
            <w:pPr>
              <w:spacing w:line="360" w:lineRule="auto"/>
              <w:jc w:val="center"/>
              <w:rPr>
                <w:rFonts w:ascii="宋体" w:hAnsi="宋体"/>
                <w:szCs w:val="21"/>
              </w:rPr>
            </w:pPr>
            <w:r>
              <w:rPr>
                <w:rFonts w:hint="eastAsia" w:ascii="宋体" w:hAnsi="宋体"/>
                <w:szCs w:val="21"/>
              </w:rPr>
              <w:t>44</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下王</w:t>
            </w:r>
          </w:p>
        </w:tc>
        <w:tc>
          <w:tcPr>
            <w:tcW w:w="1973" w:type="dxa"/>
            <w:noWrap w:val="0"/>
            <w:vAlign w:val="center"/>
          </w:tcPr>
          <w:p>
            <w:pPr>
              <w:spacing w:line="360" w:lineRule="auto"/>
              <w:jc w:val="center"/>
              <w:rPr>
                <w:rFonts w:ascii="宋体" w:hAnsi="宋体"/>
                <w:szCs w:val="21"/>
              </w:rPr>
            </w:pPr>
            <w:r>
              <w:rPr>
                <w:rFonts w:hint="eastAsia" w:ascii="宋体" w:hAnsi="宋体"/>
                <w:szCs w:val="21"/>
              </w:rPr>
              <w:t>39</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坑口</w:t>
            </w:r>
          </w:p>
        </w:tc>
        <w:tc>
          <w:tcPr>
            <w:tcW w:w="1973" w:type="dxa"/>
            <w:noWrap w:val="0"/>
            <w:vAlign w:val="center"/>
          </w:tcPr>
          <w:p>
            <w:pPr>
              <w:spacing w:line="360" w:lineRule="auto"/>
              <w:jc w:val="center"/>
              <w:rPr>
                <w:rFonts w:ascii="宋体" w:hAnsi="宋体"/>
                <w:szCs w:val="21"/>
              </w:rPr>
            </w:pPr>
            <w:r>
              <w:rPr>
                <w:rFonts w:hint="eastAsia" w:ascii="宋体" w:hAnsi="宋体"/>
                <w:szCs w:val="21"/>
              </w:rPr>
              <w:t>16</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郑公头</w:t>
            </w:r>
          </w:p>
        </w:tc>
        <w:tc>
          <w:tcPr>
            <w:tcW w:w="1973" w:type="dxa"/>
            <w:noWrap w:val="0"/>
            <w:vAlign w:val="center"/>
          </w:tcPr>
          <w:p>
            <w:pPr>
              <w:spacing w:line="360" w:lineRule="auto"/>
              <w:jc w:val="center"/>
              <w:rPr>
                <w:rFonts w:ascii="宋体" w:hAnsi="宋体"/>
                <w:szCs w:val="21"/>
              </w:rPr>
            </w:pPr>
            <w:r>
              <w:rPr>
                <w:rFonts w:hint="eastAsia" w:ascii="宋体" w:hAnsi="宋体"/>
                <w:szCs w:val="21"/>
              </w:rPr>
              <w:t>17</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柘浦王村</w:t>
            </w:r>
          </w:p>
        </w:tc>
        <w:tc>
          <w:tcPr>
            <w:tcW w:w="1313" w:type="dxa"/>
            <w:noWrap w:val="0"/>
            <w:vAlign w:val="center"/>
          </w:tcPr>
          <w:p>
            <w:pPr>
              <w:spacing w:line="360" w:lineRule="auto"/>
              <w:jc w:val="center"/>
              <w:rPr>
                <w:rFonts w:ascii="宋体" w:hAnsi="宋体"/>
                <w:szCs w:val="21"/>
              </w:rPr>
            </w:pPr>
            <w:r>
              <w:rPr>
                <w:rFonts w:hint="eastAsia" w:ascii="宋体" w:hAnsi="宋体"/>
                <w:szCs w:val="21"/>
              </w:rPr>
              <w:t>柘浦街</w:t>
            </w:r>
          </w:p>
        </w:tc>
        <w:tc>
          <w:tcPr>
            <w:tcW w:w="1973" w:type="dxa"/>
            <w:noWrap w:val="0"/>
            <w:vAlign w:val="center"/>
          </w:tcPr>
          <w:p>
            <w:pPr>
              <w:spacing w:line="360" w:lineRule="auto"/>
              <w:jc w:val="center"/>
              <w:rPr>
                <w:rFonts w:ascii="宋体" w:hAnsi="宋体"/>
                <w:szCs w:val="21"/>
              </w:rPr>
            </w:pPr>
            <w:r>
              <w:rPr>
                <w:rFonts w:hint="eastAsia" w:ascii="宋体" w:hAnsi="宋体"/>
                <w:szCs w:val="21"/>
              </w:rPr>
              <w:t>20</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30</w:t>
            </w:r>
          </w:p>
        </w:tc>
        <w:tc>
          <w:tcPr>
            <w:tcW w:w="2614" w:type="dxa"/>
            <w:vMerge w:val="restart"/>
            <w:noWrap w:val="0"/>
            <w:vAlign w:val="center"/>
          </w:tcPr>
          <w:p>
            <w:pPr>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8" w:hRule="atLeast"/>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寺前王</w:t>
            </w:r>
          </w:p>
        </w:tc>
        <w:tc>
          <w:tcPr>
            <w:tcW w:w="1973" w:type="dxa"/>
            <w:noWrap w:val="0"/>
            <w:vAlign w:val="center"/>
          </w:tcPr>
          <w:p>
            <w:pPr>
              <w:spacing w:line="360" w:lineRule="auto"/>
              <w:jc w:val="center"/>
              <w:rPr>
                <w:rFonts w:ascii="宋体" w:hAnsi="宋体"/>
                <w:szCs w:val="21"/>
              </w:rPr>
            </w:pPr>
            <w:r>
              <w:rPr>
                <w:rFonts w:hint="eastAsia" w:ascii="宋体" w:hAnsi="宋体"/>
                <w:szCs w:val="21"/>
              </w:rPr>
              <w:t>10</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pPr>
            <w:r>
              <w:rPr>
                <w:rFonts w:hint="eastAsia"/>
              </w:rPr>
              <w:t>下徐村</w:t>
            </w:r>
          </w:p>
        </w:tc>
        <w:tc>
          <w:tcPr>
            <w:tcW w:w="1313" w:type="dxa"/>
            <w:noWrap w:val="0"/>
            <w:vAlign w:val="center"/>
          </w:tcPr>
          <w:p>
            <w:pPr>
              <w:spacing w:line="360" w:lineRule="auto"/>
              <w:jc w:val="center"/>
              <w:rPr>
                <w:rFonts w:ascii="宋体" w:hAnsi="宋体"/>
                <w:szCs w:val="21"/>
              </w:rPr>
            </w:pPr>
            <w:r>
              <w:rPr>
                <w:rFonts w:hint="eastAsia" w:ascii="宋体" w:hAnsi="宋体"/>
                <w:szCs w:val="21"/>
              </w:rPr>
              <w:t>下徐</w:t>
            </w:r>
          </w:p>
        </w:tc>
        <w:tc>
          <w:tcPr>
            <w:tcW w:w="1973" w:type="dxa"/>
            <w:noWrap w:val="0"/>
            <w:vAlign w:val="center"/>
          </w:tcPr>
          <w:p>
            <w:pPr>
              <w:spacing w:line="360" w:lineRule="auto"/>
              <w:jc w:val="center"/>
              <w:rPr>
                <w:rFonts w:ascii="宋体" w:hAnsi="宋体"/>
                <w:szCs w:val="21"/>
              </w:rPr>
            </w:pPr>
            <w:r>
              <w:rPr>
                <w:rFonts w:hint="eastAsia" w:ascii="宋体" w:hAnsi="宋体"/>
                <w:szCs w:val="21"/>
              </w:rPr>
              <w:t>50</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84</w:t>
            </w:r>
          </w:p>
        </w:tc>
        <w:tc>
          <w:tcPr>
            <w:tcW w:w="2614" w:type="dxa"/>
            <w:vMerge w:val="restart"/>
            <w:noWrap w:val="0"/>
            <w:vAlign w:val="center"/>
          </w:tcPr>
          <w:p>
            <w:pPr>
              <w:jc w:val="center"/>
              <w:rPr>
                <w:rFonts w:ascii="宋体" w:hAnsi="宋体"/>
                <w:szCs w:val="21"/>
              </w:rPr>
            </w:pPr>
            <w:r>
              <w:rPr>
                <w:rFonts w:hint="eastAsia" w:ascii="宋体" w:hAnsi="宋体"/>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陈家山</w:t>
            </w:r>
          </w:p>
        </w:tc>
        <w:tc>
          <w:tcPr>
            <w:tcW w:w="1973" w:type="dxa"/>
            <w:noWrap w:val="0"/>
            <w:vAlign w:val="center"/>
          </w:tcPr>
          <w:p>
            <w:pPr>
              <w:spacing w:line="360" w:lineRule="auto"/>
              <w:jc w:val="center"/>
              <w:rPr>
                <w:rFonts w:ascii="宋体" w:hAnsi="宋体"/>
                <w:szCs w:val="21"/>
              </w:rPr>
            </w:pPr>
            <w:r>
              <w:rPr>
                <w:rFonts w:hint="eastAsia" w:ascii="宋体" w:hAnsi="宋体"/>
                <w:szCs w:val="21"/>
              </w:rPr>
              <w:t>2</w:t>
            </w:r>
          </w:p>
        </w:tc>
        <w:tc>
          <w:tcPr>
            <w:tcW w:w="1849" w:type="dxa"/>
            <w:vMerge w:val="continue"/>
            <w:noWrap w:val="0"/>
            <w:vAlign w:val="center"/>
          </w:tcPr>
          <w:p>
            <w:pPr>
              <w:widowControl/>
              <w:jc w:val="center"/>
              <w:textAlignment w:val="center"/>
              <w:rPr>
                <w:rFonts w:ascii="宋体" w:hAnsi="宋体"/>
                <w:szCs w:val="21"/>
              </w:rPr>
            </w:pPr>
          </w:p>
        </w:tc>
        <w:tc>
          <w:tcPr>
            <w:tcW w:w="2614"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宝岩寺</w:t>
            </w:r>
          </w:p>
        </w:tc>
        <w:tc>
          <w:tcPr>
            <w:tcW w:w="1973" w:type="dxa"/>
            <w:noWrap w:val="0"/>
            <w:vAlign w:val="center"/>
          </w:tcPr>
          <w:p>
            <w:pPr>
              <w:spacing w:line="360" w:lineRule="auto"/>
              <w:jc w:val="center"/>
              <w:rPr>
                <w:rFonts w:ascii="宋体" w:hAnsi="宋体"/>
                <w:szCs w:val="21"/>
              </w:rPr>
            </w:pPr>
            <w:r>
              <w:rPr>
                <w:rFonts w:hint="eastAsia" w:ascii="宋体" w:hAnsi="宋体"/>
                <w:szCs w:val="21"/>
              </w:rPr>
              <w:t>2</w:t>
            </w:r>
          </w:p>
        </w:tc>
        <w:tc>
          <w:tcPr>
            <w:tcW w:w="1849" w:type="dxa"/>
            <w:vMerge w:val="continue"/>
            <w:noWrap w:val="0"/>
            <w:vAlign w:val="center"/>
          </w:tcPr>
          <w:p>
            <w:pPr>
              <w:widowControl/>
              <w:jc w:val="center"/>
              <w:textAlignment w:val="center"/>
              <w:rPr>
                <w:rFonts w:ascii="宋体" w:hAnsi="宋体"/>
                <w:szCs w:val="21"/>
              </w:rPr>
            </w:pPr>
          </w:p>
        </w:tc>
        <w:tc>
          <w:tcPr>
            <w:tcW w:w="2614" w:type="dxa"/>
            <w:vMerge w:val="continue"/>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平窑</w:t>
            </w:r>
          </w:p>
        </w:tc>
        <w:tc>
          <w:tcPr>
            <w:tcW w:w="1973" w:type="dxa"/>
            <w:noWrap w:val="0"/>
            <w:vAlign w:val="center"/>
          </w:tcPr>
          <w:p>
            <w:pPr>
              <w:spacing w:line="360" w:lineRule="auto"/>
              <w:jc w:val="center"/>
              <w:rPr>
                <w:rFonts w:ascii="宋体" w:hAnsi="宋体"/>
                <w:szCs w:val="21"/>
              </w:rPr>
            </w:pPr>
            <w:r>
              <w:rPr>
                <w:rFonts w:hint="eastAsia" w:ascii="宋体" w:hAnsi="宋体"/>
                <w:szCs w:val="21"/>
              </w:rPr>
              <w:t>30</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noWrap w:val="0"/>
            <w:vAlign w:val="center"/>
          </w:tcPr>
          <w:p>
            <w:pPr>
              <w:spacing w:line="360" w:lineRule="auto"/>
              <w:jc w:val="center"/>
              <w:rPr>
                <w:rFonts w:ascii="宋体" w:hAnsi="宋体"/>
                <w:szCs w:val="21"/>
              </w:rPr>
            </w:pPr>
            <w:r>
              <w:rPr>
                <w:rFonts w:hint="eastAsia" w:ascii="宋体" w:hAnsi="宋体"/>
                <w:szCs w:val="21"/>
              </w:rPr>
              <w:t>后坑李村</w:t>
            </w:r>
          </w:p>
        </w:tc>
        <w:tc>
          <w:tcPr>
            <w:tcW w:w="1313" w:type="dxa"/>
            <w:noWrap w:val="0"/>
            <w:vAlign w:val="center"/>
          </w:tcPr>
          <w:p>
            <w:pPr>
              <w:spacing w:line="360" w:lineRule="auto"/>
              <w:jc w:val="center"/>
              <w:rPr>
                <w:rFonts w:ascii="宋体" w:hAnsi="宋体"/>
                <w:szCs w:val="21"/>
              </w:rPr>
            </w:pPr>
            <w:r>
              <w:rPr>
                <w:rFonts w:hint="eastAsia" w:ascii="宋体" w:hAnsi="宋体"/>
                <w:szCs w:val="21"/>
              </w:rPr>
              <w:t>后坑李村</w:t>
            </w:r>
          </w:p>
        </w:tc>
        <w:tc>
          <w:tcPr>
            <w:tcW w:w="1973" w:type="dxa"/>
            <w:noWrap w:val="0"/>
            <w:vAlign w:val="center"/>
          </w:tcPr>
          <w:p>
            <w:pPr>
              <w:spacing w:line="360" w:lineRule="auto"/>
              <w:jc w:val="center"/>
              <w:rPr>
                <w:rFonts w:ascii="宋体" w:hAnsi="宋体"/>
                <w:szCs w:val="21"/>
              </w:rPr>
            </w:pPr>
            <w:r>
              <w:rPr>
                <w:rFonts w:hint="eastAsia" w:ascii="宋体" w:hAnsi="宋体"/>
                <w:szCs w:val="21"/>
              </w:rPr>
              <w:t>50</w:t>
            </w:r>
          </w:p>
        </w:tc>
        <w:tc>
          <w:tcPr>
            <w:tcW w:w="1849" w:type="dxa"/>
            <w:noWrap w:val="0"/>
            <w:vAlign w:val="center"/>
          </w:tcPr>
          <w:p>
            <w:pPr>
              <w:spacing w:line="360" w:lineRule="auto"/>
              <w:jc w:val="center"/>
              <w:rPr>
                <w:rFonts w:ascii="宋体" w:hAnsi="宋体"/>
                <w:szCs w:val="21"/>
              </w:rPr>
            </w:pPr>
            <w:r>
              <w:rPr>
                <w:rFonts w:hint="eastAsia" w:ascii="宋体" w:hAnsi="宋体"/>
                <w:szCs w:val="21"/>
              </w:rPr>
              <w:t>50</w:t>
            </w:r>
          </w:p>
        </w:tc>
        <w:tc>
          <w:tcPr>
            <w:tcW w:w="2614" w:type="dxa"/>
            <w:noWrap w:val="0"/>
            <w:vAlign w:val="center"/>
          </w:tcPr>
          <w:p>
            <w:pPr>
              <w:spacing w:line="360" w:lineRule="auto"/>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noWrap w:val="0"/>
            <w:vAlign w:val="center"/>
          </w:tcPr>
          <w:p>
            <w:pPr>
              <w:spacing w:line="360" w:lineRule="auto"/>
              <w:jc w:val="center"/>
              <w:rPr>
                <w:rFonts w:ascii="宋体" w:hAnsi="宋体"/>
                <w:szCs w:val="21"/>
              </w:rPr>
            </w:pPr>
            <w:r>
              <w:rPr>
                <w:rFonts w:hint="eastAsia" w:ascii="宋体" w:hAnsi="宋体"/>
                <w:szCs w:val="21"/>
              </w:rPr>
              <w:t>庙岭村</w:t>
            </w:r>
          </w:p>
        </w:tc>
        <w:tc>
          <w:tcPr>
            <w:tcW w:w="1313" w:type="dxa"/>
            <w:noWrap w:val="0"/>
            <w:vAlign w:val="center"/>
          </w:tcPr>
          <w:p>
            <w:pPr>
              <w:spacing w:line="360" w:lineRule="auto"/>
              <w:jc w:val="center"/>
              <w:rPr>
                <w:rFonts w:ascii="宋体" w:hAnsi="宋体"/>
                <w:szCs w:val="21"/>
              </w:rPr>
            </w:pPr>
            <w:r>
              <w:rPr>
                <w:rFonts w:hint="eastAsia" w:ascii="宋体" w:hAnsi="宋体"/>
                <w:szCs w:val="21"/>
              </w:rPr>
              <w:t>庙岭村</w:t>
            </w:r>
          </w:p>
        </w:tc>
        <w:tc>
          <w:tcPr>
            <w:tcW w:w="1973" w:type="dxa"/>
            <w:noWrap w:val="0"/>
            <w:vAlign w:val="center"/>
          </w:tcPr>
          <w:p>
            <w:pPr>
              <w:spacing w:line="360" w:lineRule="auto"/>
              <w:jc w:val="center"/>
              <w:rPr>
                <w:rFonts w:ascii="宋体" w:hAnsi="宋体"/>
                <w:szCs w:val="21"/>
              </w:rPr>
            </w:pPr>
            <w:r>
              <w:rPr>
                <w:rFonts w:hint="eastAsia" w:ascii="宋体" w:hAnsi="宋体"/>
                <w:szCs w:val="21"/>
              </w:rPr>
              <w:t>80</w:t>
            </w:r>
          </w:p>
        </w:tc>
        <w:tc>
          <w:tcPr>
            <w:tcW w:w="1849" w:type="dxa"/>
            <w:noWrap w:val="0"/>
            <w:vAlign w:val="center"/>
          </w:tcPr>
          <w:p>
            <w:pPr>
              <w:spacing w:line="360" w:lineRule="auto"/>
              <w:jc w:val="center"/>
              <w:rPr>
                <w:rFonts w:ascii="宋体" w:hAnsi="宋体"/>
                <w:szCs w:val="21"/>
              </w:rPr>
            </w:pPr>
            <w:r>
              <w:rPr>
                <w:rFonts w:hint="eastAsia" w:ascii="宋体" w:hAnsi="宋体"/>
                <w:szCs w:val="21"/>
              </w:rPr>
              <w:t>80</w:t>
            </w:r>
          </w:p>
        </w:tc>
        <w:tc>
          <w:tcPr>
            <w:tcW w:w="2614" w:type="dxa"/>
            <w:noWrap w:val="0"/>
            <w:vAlign w:val="center"/>
          </w:tcPr>
          <w:p>
            <w:pPr>
              <w:spacing w:line="360" w:lineRule="auto"/>
              <w:jc w:val="center"/>
              <w:rPr>
                <w:rFonts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东腾村</w:t>
            </w:r>
          </w:p>
        </w:tc>
        <w:tc>
          <w:tcPr>
            <w:tcW w:w="1313" w:type="dxa"/>
            <w:noWrap w:val="0"/>
            <w:vAlign w:val="center"/>
          </w:tcPr>
          <w:p>
            <w:pPr>
              <w:spacing w:line="360" w:lineRule="auto"/>
              <w:jc w:val="center"/>
              <w:rPr>
                <w:rFonts w:ascii="宋体" w:hAnsi="宋体"/>
                <w:szCs w:val="21"/>
              </w:rPr>
            </w:pPr>
            <w:r>
              <w:rPr>
                <w:rFonts w:hint="eastAsia" w:ascii="宋体" w:hAnsi="宋体"/>
                <w:szCs w:val="21"/>
              </w:rPr>
              <w:t>岙里周</w:t>
            </w:r>
          </w:p>
        </w:tc>
        <w:tc>
          <w:tcPr>
            <w:tcW w:w="1973" w:type="dxa"/>
            <w:noWrap w:val="0"/>
            <w:vAlign w:val="center"/>
          </w:tcPr>
          <w:p>
            <w:pPr>
              <w:spacing w:line="360" w:lineRule="auto"/>
              <w:jc w:val="center"/>
              <w:rPr>
                <w:rFonts w:ascii="宋体" w:hAnsi="宋体"/>
                <w:szCs w:val="21"/>
              </w:rPr>
            </w:pPr>
            <w:r>
              <w:rPr>
                <w:rFonts w:hint="eastAsia" w:ascii="宋体" w:hAnsi="宋体"/>
                <w:szCs w:val="21"/>
              </w:rPr>
              <w:t>70</w:t>
            </w:r>
          </w:p>
        </w:tc>
        <w:tc>
          <w:tcPr>
            <w:tcW w:w="1849" w:type="dxa"/>
            <w:vMerge w:val="restart"/>
            <w:noWrap w:val="0"/>
            <w:vAlign w:val="center"/>
          </w:tcPr>
          <w:p>
            <w:pPr>
              <w:spacing w:line="360" w:lineRule="auto"/>
              <w:jc w:val="center"/>
              <w:rPr>
                <w:rFonts w:ascii="宋体" w:hAnsi="宋体"/>
                <w:szCs w:val="21"/>
              </w:rPr>
            </w:pPr>
            <w:r>
              <w:rPr>
                <w:rFonts w:hint="eastAsia" w:ascii="宋体" w:hAnsi="宋体"/>
                <w:szCs w:val="21"/>
              </w:rPr>
              <w:t>90</w:t>
            </w:r>
          </w:p>
        </w:tc>
        <w:tc>
          <w:tcPr>
            <w:tcW w:w="2614" w:type="dxa"/>
            <w:vMerge w:val="restart"/>
            <w:noWrap w:val="0"/>
            <w:vAlign w:val="center"/>
          </w:tcPr>
          <w:p>
            <w:pPr>
              <w:spacing w:line="360" w:lineRule="auto"/>
              <w:jc w:val="center"/>
              <w:rPr>
                <w:rFonts w:ascii="宋体" w:hAnsi="宋体"/>
                <w:szCs w:val="21"/>
              </w:rPr>
            </w:pPr>
            <w:r>
              <w:rPr>
                <w:rFonts w:hint="eastAsia" w:ascii="宋体" w:hAnsi="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岙里赵</w:t>
            </w:r>
          </w:p>
        </w:tc>
        <w:tc>
          <w:tcPr>
            <w:tcW w:w="1973" w:type="dxa"/>
            <w:noWrap w:val="0"/>
            <w:vAlign w:val="center"/>
          </w:tcPr>
          <w:p>
            <w:pPr>
              <w:spacing w:line="360" w:lineRule="auto"/>
              <w:jc w:val="center"/>
              <w:rPr>
                <w:rFonts w:ascii="宋体" w:hAnsi="宋体"/>
                <w:szCs w:val="21"/>
              </w:rPr>
            </w:pPr>
            <w:r>
              <w:rPr>
                <w:rFonts w:hint="eastAsia" w:ascii="宋体" w:hAnsi="宋体"/>
                <w:szCs w:val="21"/>
              </w:rPr>
              <w:t>20</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东南溪村</w:t>
            </w:r>
          </w:p>
        </w:tc>
        <w:tc>
          <w:tcPr>
            <w:tcW w:w="1313" w:type="dxa"/>
            <w:noWrap w:val="0"/>
            <w:vAlign w:val="center"/>
          </w:tcPr>
          <w:p>
            <w:pPr>
              <w:spacing w:line="360" w:lineRule="auto"/>
              <w:jc w:val="center"/>
              <w:rPr>
                <w:rFonts w:ascii="宋体" w:hAnsi="宋体"/>
                <w:szCs w:val="21"/>
              </w:rPr>
            </w:pPr>
            <w:r>
              <w:rPr>
                <w:rFonts w:hint="eastAsia" w:ascii="宋体" w:hAnsi="宋体"/>
                <w:szCs w:val="21"/>
              </w:rPr>
              <w:t>南溪</w:t>
            </w:r>
          </w:p>
        </w:tc>
        <w:tc>
          <w:tcPr>
            <w:tcW w:w="1973" w:type="dxa"/>
            <w:noWrap w:val="0"/>
            <w:vAlign w:val="center"/>
          </w:tcPr>
          <w:p>
            <w:pPr>
              <w:spacing w:line="360" w:lineRule="auto"/>
              <w:jc w:val="center"/>
              <w:rPr>
                <w:rFonts w:ascii="宋体" w:hAnsi="宋体"/>
                <w:szCs w:val="21"/>
              </w:rPr>
            </w:pPr>
            <w:r>
              <w:rPr>
                <w:rFonts w:hint="eastAsia" w:ascii="宋体" w:hAnsi="宋体"/>
                <w:szCs w:val="21"/>
              </w:rPr>
              <w:t>70</w:t>
            </w:r>
          </w:p>
        </w:tc>
        <w:tc>
          <w:tcPr>
            <w:tcW w:w="1849" w:type="dxa"/>
            <w:vMerge w:val="restart"/>
            <w:noWrap w:val="0"/>
            <w:vAlign w:val="center"/>
          </w:tcPr>
          <w:p>
            <w:pPr>
              <w:spacing w:line="360" w:lineRule="auto"/>
              <w:jc w:val="center"/>
              <w:rPr>
                <w:rFonts w:ascii="宋体" w:hAnsi="宋体"/>
                <w:szCs w:val="21"/>
              </w:rPr>
            </w:pPr>
            <w:r>
              <w:rPr>
                <w:rFonts w:hint="eastAsia" w:ascii="宋体" w:hAnsi="宋体"/>
                <w:szCs w:val="21"/>
              </w:rPr>
              <w:t>94</w:t>
            </w:r>
          </w:p>
        </w:tc>
        <w:tc>
          <w:tcPr>
            <w:tcW w:w="2614" w:type="dxa"/>
            <w:vMerge w:val="restart"/>
            <w:noWrap w:val="0"/>
            <w:vAlign w:val="center"/>
          </w:tcPr>
          <w:p>
            <w:pPr>
              <w:spacing w:line="360" w:lineRule="auto"/>
              <w:jc w:val="center"/>
              <w:rPr>
                <w:rFonts w:ascii="宋体" w:hAnsi="宋体"/>
                <w:szCs w:val="21"/>
              </w:rPr>
            </w:pPr>
            <w:r>
              <w:rPr>
                <w:rFonts w:hint="eastAsia" w:ascii="宋体" w:hAnsi="宋体"/>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苔芳</w:t>
            </w:r>
          </w:p>
        </w:tc>
        <w:tc>
          <w:tcPr>
            <w:tcW w:w="1973" w:type="dxa"/>
            <w:noWrap w:val="0"/>
            <w:vAlign w:val="center"/>
          </w:tcPr>
          <w:p>
            <w:pPr>
              <w:spacing w:line="360" w:lineRule="auto"/>
              <w:jc w:val="center"/>
              <w:rPr>
                <w:rFonts w:ascii="宋体" w:hAnsi="宋体"/>
                <w:szCs w:val="21"/>
              </w:rPr>
            </w:pPr>
            <w:r>
              <w:rPr>
                <w:rFonts w:hint="eastAsia" w:ascii="宋体" w:hAnsi="宋体"/>
                <w:szCs w:val="21"/>
              </w:rPr>
              <w:t>24</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noWrap w:val="0"/>
            <w:vAlign w:val="center"/>
          </w:tcPr>
          <w:p>
            <w:pPr>
              <w:spacing w:line="360" w:lineRule="auto"/>
              <w:jc w:val="center"/>
              <w:rPr>
                <w:rFonts w:ascii="宋体" w:hAnsi="宋体"/>
                <w:szCs w:val="21"/>
              </w:rPr>
            </w:pPr>
            <w:r>
              <w:rPr>
                <w:rFonts w:hint="eastAsia" w:ascii="宋体" w:hAnsi="宋体"/>
                <w:szCs w:val="21"/>
              </w:rPr>
              <w:t>塘厂村</w:t>
            </w:r>
          </w:p>
        </w:tc>
        <w:tc>
          <w:tcPr>
            <w:tcW w:w="1313" w:type="dxa"/>
            <w:noWrap w:val="0"/>
            <w:vAlign w:val="center"/>
          </w:tcPr>
          <w:p>
            <w:pPr>
              <w:spacing w:line="360" w:lineRule="auto"/>
              <w:jc w:val="center"/>
              <w:rPr>
                <w:rFonts w:ascii="宋体" w:hAnsi="宋体"/>
                <w:szCs w:val="21"/>
              </w:rPr>
            </w:pPr>
            <w:r>
              <w:rPr>
                <w:rFonts w:hint="eastAsia" w:ascii="宋体" w:hAnsi="宋体"/>
                <w:szCs w:val="21"/>
              </w:rPr>
              <w:t>塘厂村</w:t>
            </w:r>
          </w:p>
        </w:tc>
        <w:tc>
          <w:tcPr>
            <w:tcW w:w="1973" w:type="dxa"/>
            <w:noWrap w:val="0"/>
            <w:vAlign w:val="center"/>
          </w:tcPr>
          <w:p>
            <w:pPr>
              <w:spacing w:line="360" w:lineRule="auto"/>
              <w:jc w:val="center"/>
              <w:rPr>
                <w:rFonts w:ascii="宋体" w:hAnsi="宋体"/>
                <w:szCs w:val="21"/>
              </w:rPr>
            </w:pPr>
            <w:r>
              <w:rPr>
                <w:rFonts w:hint="eastAsia" w:ascii="宋体" w:hAnsi="宋体"/>
                <w:szCs w:val="21"/>
              </w:rPr>
              <w:t>30</w:t>
            </w:r>
          </w:p>
        </w:tc>
        <w:tc>
          <w:tcPr>
            <w:tcW w:w="1849" w:type="dxa"/>
            <w:noWrap w:val="0"/>
            <w:vAlign w:val="center"/>
          </w:tcPr>
          <w:p>
            <w:pPr>
              <w:spacing w:line="360" w:lineRule="auto"/>
              <w:jc w:val="center"/>
              <w:rPr>
                <w:rFonts w:ascii="宋体" w:hAnsi="宋体"/>
                <w:szCs w:val="21"/>
              </w:rPr>
            </w:pPr>
            <w:r>
              <w:rPr>
                <w:rFonts w:hint="eastAsia" w:ascii="宋体" w:hAnsi="宋体"/>
                <w:szCs w:val="21"/>
              </w:rPr>
              <w:t>30</w:t>
            </w:r>
          </w:p>
        </w:tc>
        <w:tc>
          <w:tcPr>
            <w:tcW w:w="2614" w:type="dxa"/>
            <w:noWrap w:val="0"/>
            <w:vAlign w:val="center"/>
          </w:tcPr>
          <w:p>
            <w:pPr>
              <w:spacing w:line="360" w:lineRule="auto"/>
              <w:jc w:val="center"/>
              <w:rPr>
                <w:rFonts w:ascii="宋体" w:hAnsi="宋体"/>
                <w:szCs w:val="21"/>
              </w:rPr>
            </w:pPr>
            <w:r>
              <w:rPr>
                <w:rFonts w:hint="eastAsia" w:ascii="宋体" w:hAnsi="宋体"/>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升龙村</w:t>
            </w:r>
          </w:p>
        </w:tc>
        <w:tc>
          <w:tcPr>
            <w:tcW w:w="1313" w:type="dxa"/>
            <w:noWrap w:val="0"/>
            <w:vAlign w:val="center"/>
          </w:tcPr>
          <w:p>
            <w:pPr>
              <w:spacing w:line="360" w:lineRule="auto"/>
              <w:jc w:val="center"/>
              <w:rPr>
                <w:rFonts w:ascii="宋体" w:hAnsi="宋体"/>
                <w:szCs w:val="21"/>
              </w:rPr>
            </w:pPr>
            <w:r>
              <w:rPr>
                <w:rFonts w:hint="eastAsia" w:ascii="宋体" w:hAnsi="宋体"/>
                <w:szCs w:val="21"/>
              </w:rPr>
              <w:t>龙尾巴</w:t>
            </w:r>
          </w:p>
        </w:tc>
        <w:tc>
          <w:tcPr>
            <w:tcW w:w="1973" w:type="dxa"/>
            <w:noWrap w:val="0"/>
            <w:vAlign w:val="center"/>
          </w:tcPr>
          <w:p>
            <w:pPr>
              <w:spacing w:line="360" w:lineRule="auto"/>
              <w:jc w:val="center"/>
              <w:rPr>
                <w:rFonts w:ascii="宋体" w:hAnsi="宋体"/>
                <w:szCs w:val="21"/>
              </w:rPr>
            </w:pPr>
            <w:r>
              <w:rPr>
                <w:rFonts w:hint="eastAsia" w:ascii="宋体" w:hAnsi="宋体"/>
                <w:szCs w:val="21"/>
              </w:rPr>
              <w:t>50</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100</w:t>
            </w:r>
          </w:p>
        </w:tc>
        <w:tc>
          <w:tcPr>
            <w:tcW w:w="2614" w:type="dxa"/>
            <w:vMerge w:val="restart"/>
            <w:noWrap w:val="0"/>
            <w:vAlign w:val="center"/>
          </w:tcPr>
          <w:p>
            <w:pPr>
              <w:jc w:val="center"/>
              <w:rPr>
                <w:rFonts w:ascii="宋体" w:hAnsi="宋体"/>
                <w:szCs w:val="21"/>
              </w:rPr>
            </w:pPr>
            <w:r>
              <w:rPr>
                <w:rFonts w:hint="eastAsia" w:ascii="宋体" w:hAnsi="宋体"/>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龙口</w:t>
            </w:r>
          </w:p>
        </w:tc>
        <w:tc>
          <w:tcPr>
            <w:tcW w:w="1973" w:type="dxa"/>
            <w:noWrap w:val="0"/>
            <w:vAlign w:val="center"/>
          </w:tcPr>
          <w:p>
            <w:pPr>
              <w:spacing w:line="360" w:lineRule="auto"/>
              <w:jc w:val="center"/>
              <w:rPr>
                <w:rFonts w:ascii="宋体" w:hAnsi="宋体"/>
                <w:szCs w:val="21"/>
              </w:rPr>
            </w:pPr>
            <w:r>
              <w:rPr>
                <w:rFonts w:hint="eastAsia" w:ascii="宋体" w:hAnsi="宋体"/>
                <w:szCs w:val="21"/>
              </w:rPr>
              <w:t>30</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塘湾</w:t>
            </w:r>
          </w:p>
        </w:tc>
        <w:tc>
          <w:tcPr>
            <w:tcW w:w="1973" w:type="dxa"/>
            <w:noWrap w:val="0"/>
            <w:vAlign w:val="center"/>
          </w:tcPr>
          <w:p>
            <w:pPr>
              <w:spacing w:line="360" w:lineRule="auto"/>
              <w:jc w:val="center"/>
              <w:rPr>
                <w:rFonts w:ascii="宋体" w:hAnsi="宋体"/>
                <w:szCs w:val="21"/>
              </w:rPr>
            </w:pPr>
            <w:r>
              <w:rPr>
                <w:rFonts w:hint="eastAsia" w:ascii="宋体" w:hAnsi="宋体"/>
                <w:szCs w:val="21"/>
              </w:rPr>
              <w:t>20</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noWrap w:val="0"/>
            <w:vAlign w:val="center"/>
          </w:tcPr>
          <w:p>
            <w:pPr>
              <w:spacing w:line="360" w:lineRule="auto"/>
              <w:jc w:val="center"/>
              <w:rPr>
                <w:rFonts w:ascii="宋体" w:hAnsi="宋体"/>
                <w:szCs w:val="21"/>
              </w:rPr>
            </w:pPr>
            <w:r>
              <w:rPr>
                <w:rFonts w:hint="eastAsia" w:ascii="宋体" w:hAnsi="宋体"/>
                <w:szCs w:val="21"/>
              </w:rPr>
              <w:t>毛屿村</w:t>
            </w:r>
          </w:p>
        </w:tc>
        <w:tc>
          <w:tcPr>
            <w:tcW w:w="1313" w:type="dxa"/>
            <w:noWrap w:val="0"/>
            <w:vAlign w:val="center"/>
          </w:tcPr>
          <w:p>
            <w:pPr>
              <w:spacing w:line="360" w:lineRule="auto"/>
              <w:jc w:val="center"/>
              <w:rPr>
                <w:rFonts w:ascii="宋体" w:hAnsi="宋体"/>
                <w:szCs w:val="21"/>
              </w:rPr>
            </w:pPr>
            <w:r>
              <w:rPr>
                <w:rFonts w:hint="eastAsia" w:ascii="宋体" w:hAnsi="宋体"/>
                <w:szCs w:val="21"/>
              </w:rPr>
              <w:t>毛屿村</w:t>
            </w:r>
          </w:p>
        </w:tc>
        <w:tc>
          <w:tcPr>
            <w:tcW w:w="1973" w:type="dxa"/>
            <w:noWrap w:val="0"/>
            <w:vAlign w:val="center"/>
          </w:tcPr>
          <w:p>
            <w:pPr>
              <w:spacing w:line="360" w:lineRule="auto"/>
              <w:jc w:val="center"/>
              <w:rPr>
                <w:rFonts w:ascii="宋体" w:hAnsi="宋体"/>
                <w:szCs w:val="21"/>
              </w:rPr>
            </w:pPr>
            <w:r>
              <w:rPr>
                <w:rFonts w:hint="eastAsia" w:ascii="宋体" w:hAnsi="宋体"/>
                <w:szCs w:val="21"/>
              </w:rPr>
              <w:t>110</w:t>
            </w:r>
          </w:p>
        </w:tc>
        <w:tc>
          <w:tcPr>
            <w:tcW w:w="1849" w:type="dxa"/>
            <w:noWrap w:val="0"/>
            <w:vAlign w:val="center"/>
          </w:tcPr>
          <w:p>
            <w:pPr>
              <w:widowControl/>
              <w:jc w:val="center"/>
              <w:textAlignment w:val="center"/>
              <w:rPr>
                <w:rFonts w:ascii="宋体" w:hAnsi="宋体"/>
                <w:szCs w:val="21"/>
              </w:rPr>
            </w:pPr>
            <w:r>
              <w:rPr>
                <w:rFonts w:hint="eastAsia" w:ascii="宋体" w:hAnsi="宋体"/>
                <w:szCs w:val="21"/>
              </w:rPr>
              <w:t>110</w:t>
            </w:r>
          </w:p>
        </w:tc>
        <w:tc>
          <w:tcPr>
            <w:tcW w:w="2614" w:type="dxa"/>
            <w:noWrap w:val="0"/>
            <w:vAlign w:val="center"/>
          </w:tcPr>
          <w:p>
            <w:pPr>
              <w:jc w:val="center"/>
              <w:rPr>
                <w:rFonts w:ascii="宋体" w:hAnsi="宋体"/>
                <w:szCs w:val="21"/>
              </w:rPr>
            </w:pPr>
            <w:r>
              <w:rPr>
                <w:rFonts w:hint="eastAsia" w:ascii="宋体" w:hAnsi="宋体"/>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许民村</w:t>
            </w:r>
          </w:p>
        </w:tc>
        <w:tc>
          <w:tcPr>
            <w:tcW w:w="1313" w:type="dxa"/>
            <w:noWrap w:val="0"/>
            <w:vAlign w:val="center"/>
          </w:tcPr>
          <w:p>
            <w:pPr>
              <w:spacing w:line="360" w:lineRule="auto"/>
              <w:jc w:val="center"/>
              <w:rPr>
                <w:rFonts w:ascii="宋体" w:hAnsi="宋体"/>
                <w:szCs w:val="21"/>
              </w:rPr>
            </w:pPr>
            <w:r>
              <w:rPr>
                <w:rFonts w:hint="eastAsia" w:ascii="宋体" w:hAnsi="宋体"/>
                <w:szCs w:val="21"/>
              </w:rPr>
              <w:t>许家山</w:t>
            </w:r>
          </w:p>
        </w:tc>
        <w:tc>
          <w:tcPr>
            <w:tcW w:w="1973" w:type="dxa"/>
            <w:noWrap w:val="0"/>
            <w:vAlign w:val="center"/>
          </w:tcPr>
          <w:p>
            <w:pPr>
              <w:spacing w:line="360" w:lineRule="auto"/>
              <w:jc w:val="center"/>
              <w:rPr>
                <w:rFonts w:ascii="宋体" w:hAnsi="宋体"/>
                <w:szCs w:val="21"/>
              </w:rPr>
            </w:pPr>
            <w:r>
              <w:rPr>
                <w:rFonts w:hint="eastAsia" w:ascii="宋体" w:hAnsi="宋体"/>
                <w:szCs w:val="21"/>
              </w:rPr>
              <w:t>20</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56</w:t>
            </w:r>
          </w:p>
        </w:tc>
        <w:tc>
          <w:tcPr>
            <w:tcW w:w="2614" w:type="dxa"/>
            <w:vMerge w:val="restart"/>
            <w:noWrap w:val="0"/>
            <w:vAlign w:val="center"/>
          </w:tcPr>
          <w:p>
            <w:pPr>
              <w:jc w:val="center"/>
              <w:rPr>
                <w:rFonts w:ascii="宋体" w:hAnsi="宋体"/>
                <w:szCs w:val="21"/>
              </w:rPr>
            </w:pPr>
            <w:r>
              <w:rPr>
                <w:rFonts w:hint="eastAsia" w:ascii="宋体" w:hAnsi="宋体"/>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许家</w:t>
            </w:r>
          </w:p>
        </w:tc>
        <w:tc>
          <w:tcPr>
            <w:tcW w:w="1973" w:type="dxa"/>
            <w:noWrap w:val="0"/>
            <w:vAlign w:val="center"/>
          </w:tcPr>
          <w:p>
            <w:pPr>
              <w:spacing w:line="360" w:lineRule="auto"/>
              <w:jc w:val="center"/>
              <w:rPr>
                <w:rFonts w:ascii="宋体" w:hAnsi="宋体"/>
                <w:szCs w:val="21"/>
              </w:rPr>
            </w:pPr>
            <w:r>
              <w:rPr>
                <w:rFonts w:hint="eastAsia" w:ascii="宋体" w:hAnsi="宋体"/>
                <w:szCs w:val="21"/>
              </w:rPr>
              <w:t>8</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民户田</w:t>
            </w:r>
          </w:p>
        </w:tc>
        <w:tc>
          <w:tcPr>
            <w:tcW w:w="1973" w:type="dxa"/>
            <w:noWrap w:val="0"/>
            <w:vAlign w:val="center"/>
          </w:tcPr>
          <w:p>
            <w:pPr>
              <w:spacing w:line="360" w:lineRule="auto"/>
              <w:jc w:val="center"/>
              <w:rPr>
                <w:rFonts w:ascii="宋体" w:hAnsi="宋体"/>
                <w:szCs w:val="21"/>
              </w:rPr>
            </w:pPr>
            <w:r>
              <w:rPr>
                <w:rFonts w:hint="eastAsia" w:ascii="宋体" w:hAnsi="宋体"/>
                <w:szCs w:val="21"/>
              </w:rPr>
              <w:t>28</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铜岭脚村</w:t>
            </w:r>
          </w:p>
        </w:tc>
        <w:tc>
          <w:tcPr>
            <w:tcW w:w="1313" w:type="dxa"/>
            <w:noWrap w:val="0"/>
            <w:vAlign w:val="center"/>
          </w:tcPr>
          <w:p>
            <w:pPr>
              <w:spacing w:line="360" w:lineRule="auto"/>
              <w:jc w:val="center"/>
              <w:rPr>
                <w:rFonts w:ascii="宋体" w:hAnsi="宋体"/>
                <w:szCs w:val="21"/>
              </w:rPr>
            </w:pPr>
            <w:r>
              <w:rPr>
                <w:rFonts w:hint="eastAsia" w:ascii="宋体" w:hAnsi="宋体"/>
                <w:szCs w:val="21"/>
              </w:rPr>
              <w:t>铜岭脚</w:t>
            </w:r>
          </w:p>
        </w:tc>
        <w:tc>
          <w:tcPr>
            <w:tcW w:w="1973" w:type="dxa"/>
            <w:noWrap w:val="0"/>
            <w:vAlign w:val="center"/>
          </w:tcPr>
          <w:p>
            <w:pPr>
              <w:spacing w:line="360" w:lineRule="auto"/>
              <w:jc w:val="center"/>
              <w:rPr>
                <w:rFonts w:ascii="宋体" w:hAnsi="宋体"/>
                <w:szCs w:val="21"/>
              </w:rPr>
            </w:pPr>
            <w:r>
              <w:rPr>
                <w:rFonts w:hint="eastAsia" w:ascii="宋体" w:hAnsi="宋体"/>
                <w:szCs w:val="21"/>
              </w:rPr>
              <w:t>34</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72</w:t>
            </w:r>
          </w:p>
        </w:tc>
        <w:tc>
          <w:tcPr>
            <w:tcW w:w="2614" w:type="dxa"/>
            <w:vMerge w:val="restart"/>
            <w:noWrap w:val="0"/>
            <w:vAlign w:val="center"/>
          </w:tcPr>
          <w:p>
            <w:pPr>
              <w:jc w:val="center"/>
              <w:rPr>
                <w:rFonts w:ascii="宋体" w:hAnsi="宋体"/>
                <w:szCs w:val="21"/>
              </w:rPr>
            </w:pPr>
            <w:r>
              <w:rPr>
                <w:rFonts w:hint="eastAsia" w:ascii="宋体" w:hAnsi="宋体"/>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项连山</w:t>
            </w:r>
          </w:p>
        </w:tc>
        <w:tc>
          <w:tcPr>
            <w:tcW w:w="1973" w:type="dxa"/>
            <w:noWrap w:val="0"/>
            <w:vAlign w:val="center"/>
          </w:tcPr>
          <w:p>
            <w:pPr>
              <w:spacing w:line="360" w:lineRule="auto"/>
              <w:jc w:val="center"/>
              <w:rPr>
                <w:rFonts w:ascii="宋体" w:hAnsi="宋体"/>
                <w:szCs w:val="21"/>
              </w:rPr>
            </w:pPr>
            <w:r>
              <w:rPr>
                <w:rFonts w:hint="eastAsia" w:ascii="宋体" w:hAnsi="宋体"/>
                <w:szCs w:val="21"/>
              </w:rPr>
              <w:t>18</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竹家岙</w:t>
            </w:r>
          </w:p>
        </w:tc>
        <w:tc>
          <w:tcPr>
            <w:tcW w:w="1973" w:type="dxa"/>
            <w:noWrap w:val="0"/>
            <w:vAlign w:val="center"/>
          </w:tcPr>
          <w:p>
            <w:pPr>
              <w:spacing w:line="360" w:lineRule="auto"/>
              <w:jc w:val="center"/>
              <w:rPr>
                <w:rFonts w:ascii="宋体" w:hAnsi="宋体"/>
                <w:szCs w:val="21"/>
              </w:rPr>
            </w:pPr>
            <w:r>
              <w:rPr>
                <w:rFonts w:hint="eastAsia" w:ascii="宋体" w:hAnsi="宋体"/>
                <w:szCs w:val="21"/>
              </w:rPr>
              <w:t>20</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杜岙村</w:t>
            </w:r>
          </w:p>
        </w:tc>
        <w:tc>
          <w:tcPr>
            <w:tcW w:w="1313" w:type="dxa"/>
            <w:noWrap w:val="0"/>
            <w:vAlign w:val="center"/>
          </w:tcPr>
          <w:p>
            <w:pPr>
              <w:spacing w:line="360" w:lineRule="auto"/>
              <w:jc w:val="center"/>
              <w:rPr>
                <w:rFonts w:ascii="宋体" w:hAnsi="宋体"/>
                <w:szCs w:val="21"/>
              </w:rPr>
            </w:pPr>
            <w:r>
              <w:rPr>
                <w:rFonts w:hint="eastAsia" w:ascii="宋体" w:hAnsi="宋体"/>
                <w:szCs w:val="21"/>
              </w:rPr>
              <w:t>杜岙村</w:t>
            </w:r>
          </w:p>
        </w:tc>
        <w:tc>
          <w:tcPr>
            <w:tcW w:w="1973" w:type="dxa"/>
            <w:noWrap w:val="0"/>
            <w:vAlign w:val="center"/>
          </w:tcPr>
          <w:p>
            <w:pPr>
              <w:spacing w:line="360" w:lineRule="auto"/>
              <w:jc w:val="center"/>
              <w:rPr>
                <w:rFonts w:ascii="宋体" w:hAnsi="宋体"/>
                <w:szCs w:val="21"/>
              </w:rPr>
            </w:pPr>
            <w:r>
              <w:rPr>
                <w:rFonts w:hint="eastAsia" w:ascii="宋体" w:hAnsi="宋体"/>
                <w:szCs w:val="21"/>
              </w:rPr>
              <w:t>40</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90</w:t>
            </w:r>
          </w:p>
        </w:tc>
        <w:tc>
          <w:tcPr>
            <w:tcW w:w="2614" w:type="dxa"/>
            <w:vMerge w:val="restart"/>
            <w:noWrap w:val="0"/>
            <w:vAlign w:val="center"/>
          </w:tcPr>
          <w:p>
            <w:pPr>
              <w:jc w:val="center"/>
              <w:rPr>
                <w:rFonts w:ascii="宋体" w:hAnsi="宋体"/>
                <w:szCs w:val="21"/>
              </w:rPr>
            </w:pPr>
            <w:r>
              <w:rPr>
                <w:rFonts w:hint="eastAsia" w:ascii="宋体" w:hAnsi="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邵家</w:t>
            </w:r>
          </w:p>
        </w:tc>
        <w:tc>
          <w:tcPr>
            <w:tcW w:w="1973" w:type="dxa"/>
            <w:noWrap w:val="0"/>
            <w:vAlign w:val="center"/>
          </w:tcPr>
          <w:p>
            <w:pPr>
              <w:spacing w:line="360" w:lineRule="auto"/>
              <w:jc w:val="center"/>
              <w:rPr>
                <w:rFonts w:ascii="宋体" w:hAnsi="宋体"/>
                <w:szCs w:val="21"/>
              </w:rPr>
            </w:pPr>
            <w:r>
              <w:rPr>
                <w:rFonts w:hint="eastAsia" w:ascii="宋体" w:hAnsi="宋体"/>
                <w:szCs w:val="21"/>
              </w:rPr>
              <w:t>20</w:t>
            </w:r>
          </w:p>
        </w:tc>
        <w:tc>
          <w:tcPr>
            <w:tcW w:w="1849" w:type="dxa"/>
            <w:vMerge w:val="continue"/>
            <w:noWrap w:val="0"/>
            <w:vAlign w:val="center"/>
          </w:tcPr>
          <w:p>
            <w:pPr>
              <w:widowControl/>
              <w:jc w:val="center"/>
              <w:textAlignment w:val="center"/>
              <w:rPr>
                <w:rFonts w:ascii="宋体" w:hAnsi="宋体"/>
                <w:szCs w:val="21"/>
              </w:rPr>
            </w:pPr>
          </w:p>
        </w:tc>
        <w:tc>
          <w:tcPr>
            <w:tcW w:w="2614" w:type="dxa"/>
            <w:vMerge w:val="continue"/>
            <w:noWrap w:val="0"/>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坑岙坑</w:t>
            </w:r>
          </w:p>
        </w:tc>
        <w:tc>
          <w:tcPr>
            <w:tcW w:w="1973" w:type="dxa"/>
            <w:noWrap w:val="0"/>
            <w:vAlign w:val="center"/>
          </w:tcPr>
          <w:p>
            <w:pPr>
              <w:spacing w:line="360" w:lineRule="auto"/>
              <w:jc w:val="center"/>
              <w:rPr>
                <w:rFonts w:ascii="宋体" w:hAnsi="宋体"/>
                <w:szCs w:val="21"/>
              </w:rPr>
            </w:pPr>
            <w:r>
              <w:rPr>
                <w:rFonts w:hint="eastAsia" w:ascii="宋体" w:hAnsi="宋体"/>
                <w:szCs w:val="21"/>
              </w:rPr>
              <w:t>30</w:t>
            </w:r>
          </w:p>
        </w:tc>
        <w:tc>
          <w:tcPr>
            <w:tcW w:w="1849" w:type="dxa"/>
            <w:vMerge w:val="continue"/>
            <w:noWrap w:val="0"/>
            <w:vAlign w:val="center"/>
          </w:tcPr>
          <w:p>
            <w:pPr>
              <w:widowControl/>
              <w:jc w:val="center"/>
              <w:textAlignment w:val="center"/>
              <w:rPr>
                <w:rFonts w:ascii="宋体" w:hAnsi="宋体"/>
                <w:szCs w:val="21"/>
              </w:rPr>
            </w:pPr>
          </w:p>
        </w:tc>
        <w:tc>
          <w:tcPr>
            <w:tcW w:w="2614" w:type="dxa"/>
            <w:vMerge w:val="continue"/>
            <w:noWrap w:val="0"/>
            <w:vAlign w:val="center"/>
          </w:tcPr>
          <w:p>
            <w:pPr>
              <w:widowControl/>
              <w:jc w:val="center"/>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jc w:val="center"/>
              <w:rPr>
                <w:rFonts w:ascii="宋体" w:hAnsi="宋体"/>
                <w:szCs w:val="21"/>
              </w:rPr>
            </w:pPr>
            <w:r>
              <w:rPr>
                <w:rFonts w:hint="eastAsia" w:ascii="宋体" w:hAnsi="宋体"/>
                <w:szCs w:val="21"/>
              </w:rPr>
              <w:t>道士桥村</w:t>
            </w:r>
          </w:p>
        </w:tc>
        <w:tc>
          <w:tcPr>
            <w:tcW w:w="1313" w:type="dxa"/>
            <w:noWrap w:val="0"/>
            <w:vAlign w:val="center"/>
          </w:tcPr>
          <w:p>
            <w:pPr>
              <w:spacing w:line="360" w:lineRule="auto"/>
              <w:jc w:val="center"/>
              <w:rPr>
                <w:rFonts w:ascii="宋体" w:hAnsi="宋体"/>
                <w:szCs w:val="21"/>
              </w:rPr>
            </w:pPr>
            <w:r>
              <w:rPr>
                <w:rFonts w:hint="eastAsia" w:ascii="宋体" w:hAnsi="宋体"/>
                <w:szCs w:val="21"/>
              </w:rPr>
              <w:t>道士桥</w:t>
            </w:r>
          </w:p>
        </w:tc>
        <w:tc>
          <w:tcPr>
            <w:tcW w:w="1973" w:type="dxa"/>
            <w:noWrap w:val="0"/>
            <w:vAlign w:val="center"/>
          </w:tcPr>
          <w:p>
            <w:pPr>
              <w:spacing w:line="360" w:lineRule="auto"/>
              <w:jc w:val="center"/>
              <w:rPr>
                <w:rFonts w:ascii="宋体" w:hAnsi="宋体"/>
                <w:szCs w:val="21"/>
              </w:rPr>
            </w:pPr>
            <w:r>
              <w:rPr>
                <w:rFonts w:hint="eastAsia" w:ascii="宋体" w:hAnsi="宋体"/>
                <w:szCs w:val="21"/>
              </w:rPr>
              <w:t>18</w:t>
            </w:r>
          </w:p>
        </w:tc>
        <w:tc>
          <w:tcPr>
            <w:tcW w:w="1849" w:type="dxa"/>
            <w:vMerge w:val="restart"/>
            <w:noWrap w:val="0"/>
            <w:vAlign w:val="center"/>
          </w:tcPr>
          <w:p>
            <w:pPr>
              <w:widowControl/>
              <w:jc w:val="center"/>
              <w:textAlignment w:val="center"/>
              <w:rPr>
                <w:rFonts w:ascii="宋体" w:hAnsi="宋体"/>
                <w:szCs w:val="21"/>
              </w:rPr>
            </w:pPr>
            <w:r>
              <w:rPr>
                <w:rFonts w:hint="eastAsia" w:ascii="宋体" w:hAnsi="宋体"/>
                <w:szCs w:val="21"/>
              </w:rPr>
              <w:t>24</w:t>
            </w:r>
          </w:p>
        </w:tc>
        <w:tc>
          <w:tcPr>
            <w:tcW w:w="2614" w:type="dxa"/>
            <w:vMerge w:val="restart"/>
            <w:noWrap w:val="0"/>
            <w:vAlign w:val="center"/>
          </w:tcPr>
          <w:p>
            <w:pPr>
              <w:jc w:val="center"/>
              <w:rPr>
                <w:rFonts w:ascii="宋体" w:hAnsi="宋体"/>
                <w:szCs w:val="21"/>
              </w:rPr>
            </w:pPr>
            <w:r>
              <w:rPr>
                <w:rFonts w:hint="eastAsia" w:ascii="宋体" w:hAnsi="宋体"/>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jc w:val="center"/>
              <w:rPr>
                <w:rFonts w:ascii="宋体" w:hAnsi="宋体"/>
                <w:szCs w:val="21"/>
              </w:rPr>
            </w:pPr>
          </w:p>
        </w:tc>
        <w:tc>
          <w:tcPr>
            <w:tcW w:w="1313" w:type="dxa"/>
            <w:noWrap w:val="0"/>
            <w:vAlign w:val="center"/>
          </w:tcPr>
          <w:p>
            <w:pPr>
              <w:spacing w:line="360" w:lineRule="auto"/>
              <w:jc w:val="center"/>
              <w:rPr>
                <w:rFonts w:ascii="宋体" w:hAnsi="宋体"/>
                <w:szCs w:val="21"/>
              </w:rPr>
            </w:pPr>
            <w:r>
              <w:rPr>
                <w:rFonts w:hint="eastAsia" w:ascii="宋体" w:hAnsi="宋体"/>
                <w:szCs w:val="21"/>
              </w:rPr>
              <w:t>双宫</w:t>
            </w:r>
          </w:p>
        </w:tc>
        <w:tc>
          <w:tcPr>
            <w:tcW w:w="1973" w:type="dxa"/>
            <w:noWrap w:val="0"/>
            <w:vAlign w:val="center"/>
          </w:tcPr>
          <w:p>
            <w:pPr>
              <w:spacing w:line="360" w:lineRule="auto"/>
              <w:jc w:val="center"/>
              <w:rPr>
                <w:rFonts w:ascii="宋体" w:hAnsi="宋体"/>
                <w:szCs w:val="21"/>
              </w:rPr>
            </w:pPr>
            <w:r>
              <w:rPr>
                <w:rFonts w:hint="eastAsia" w:ascii="宋体" w:hAnsi="宋体"/>
                <w:szCs w:val="21"/>
              </w:rPr>
              <w:t>6</w:t>
            </w:r>
          </w:p>
        </w:tc>
        <w:tc>
          <w:tcPr>
            <w:tcW w:w="1849" w:type="dxa"/>
            <w:vMerge w:val="continue"/>
            <w:noWrap w:val="0"/>
            <w:vAlign w:val="center"/>
          </w:tcPr>
          <w:p>
            <w:pPr>
              <w:spacing w:line="360" w:lineRule="auto"/>
              <w:jc w:val="center"/>
              <w:rPr>
                <w:rFonts w:ascii="宋体" w:hAnsi="宋体"/>
                <w:szCs w:val="21"/>
              </w:rPr>
            </w:pPr>
          </w:p>
        </w:tc>
        <w:tc>
          <w:tcPr>
            <w:tcW w:w="2614" w:type="dxa"/>
            <w:vMerge w:val="continue"/>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97" w:type="dxa"/>
            <w:gridSpan w:val="2"/>
            <w:noWrap w:val="0"/>
            <w:vAlign w:val="center"/>
          </w:tcPr>
          <w:p>
            <w:pPr>
              <w:spacing w:line="360" w:lineRule="auto"/>
              <w:jc w:val="center"/>
              <w:rPr>
                <w:rFonts w:ascii="宋体" w:hAnsi="宋体"/>
                <w:szCs w:val="21"/>
              </w:rPr>
            </w:pPr>
            <w:r>
              <w:rPr>
                <w:rFonts w:hint="eastAsia" w:ascii="宋体" w:hAnsi="宋体"/>
                <w:szCs w:val="21"/>
              </w:rPr>
              <w:t>西林水库管理处</w:t>
            </w:r>
          </w:p>
        </w:tc>
        <w:tc>
          <w:tcPr>
            <w:tcW w:w="1973" w:type="dxa"/>
            <w:noWrap w:val="0"/>
            <w:vAlign w:val="center"/>
          </w:tcPr>
          <w:p>
            <w:pPr>
              <w:spacing w:line="360" w:lineRule="auto"/>
              <w:jc w:val="center"/>
              <w:rPr>
                <w:rFonts w:ascii="宋体" w:hAnsi="宋体"/>
                <w:szCs w:val="21"/>
              </w:rPr>
            </w:pPr>
            <w:r>
              <w:rPr>
                <w:rFonts w:hint="eastAsia" w:ascii="宋体" w:hAnsi="宋体"/>
                <w:szCs w:val="21"/>
              </w:rPr>
              <w:t>4</w:t>
            </w:r>
          </w:p>
        </w:tc>
        <w:tc>
          <w:tcPr>
            <w:tcW w:w="1849" w:type="dxa"/>
            <w:noWrap w:val="0"/>
            <w:vAlign w:val="center"/>
          </w:tcPr>
          <w:p>
            <w:pPr>
              <w:spacing w:line="360" w:lineRule="auto"/>
              <w:jc w:val="center"/>
              <w:rPr>
                <w:rFonts w:ascii="宋体" w:hAnsi="宋体"/>
                <w:szCs w:val="21"/>
              </w:rPr>
            </w:pPr>
            <w:r>
              <w:rPr>
                <w:rFonts w:hint="eastAsia" w:ascii="宋体" w:hAnsi="宋体"/>
                <w:szCs w:val="21"/>
              </w:rPr>
              <w:t>4</w:t>
            </w:r>
          </w:p>
        </w:tc>
        <w:tc>
          <w:tcPr>
            <w:tcW w:w="2614" w:type="dxa"/>
            <w:noWrap w:val="0"/>
            <w:vAlign w:val="center"/>
          </w:tcPr>
          <w:p>
            <w:pPr>
              <w:spacing w:line="360" w:lineRule="auto"/>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97" w:type="dxa"/>
            <w:gridSpan w:val="2"/>
            <w:noWrap w:val="0"/>
            <w:vAlign w:val="center"/>
          </w:tcPr>
          <w:p>
            <w:pPr>
              <w:spacing w:line="360" w:lineRule="auto"/>
              <w:jc w:val="center"/>
              <w:rPr>
                <w:rFonts w:ascii="宋体" w:hAnsi="宋体"/>
                <w:szCs w:val="21"/>
              </w:rPr>
            </w:pPr>
            <w:r>
              <w:rPr>
                <w:rFonts w:hint="eastAsia" w:ascii="宋体" w:hAnsi="宋体"/>
                <w:szCs w:val="21"/>
              </w:rPr>
              <w:t>西林寺</w:t>
            </w:r>
          </w:p>
        </w:tc>
        <w:tc>
          <w:tcPr>
            <w:tcW w:w="1973" w:type="dxa"/>
            <w:noWrap w:val="0"/>
            <w:vAlign w:val="center"/>
          </w:tcPr>
          <w:p>
            <w:pPr>
              <w:spacing w:line="360" w:lineRule="auto"/>
              <w:jc w:val="center"/>
              <w:rPr>
                <w:rFonts w:ascii="宋体" w:hAnsi="宋体"/>
                <w:szCs w:val="21"/>
              </w:rPr>
            </w:pPr>
            <w:r>
              <w:rPr>
                <w:rFonts w:hint="eastAsia" w:ascii="宋体" w:hAnsi="宋体"/>
                <w:szCs w:val="21"/>
              </w:rPr>
              <w:t>10</w:t>
            </w:r>
          </w:p>
        </w:tc>
        <w:tc>
          <w:tcPr>
            <w:tcW w:w="1849" w:type="dxa"/>
            <w:noWrap w:val="0"/>
            <w:vAlign w:val="center"/>
          </w:tcPr>
          <w:p>
            <w:pPr>
              <w:spacing w:line="360" w:lineRule="auto"/>
              <w:jc w:val="center"/>
              <w:rPr>
                <w:rFonts w:ascii="宋体" w:hAnsi="宋体"/>
                <w:szCs w:val="21"/>
              </w:rPr>
            </w:pPr>
            <w:r>
              <w:rPr>
                <w:rFonts w:hint="eastAsia" w:ascii="宋体" w:hAnsi="宋体"/>
                <w:szCs w:val="21"/>
              </w:rPr>
              <w:t>10</w:t>
            </w:r>
          </w:p>
        </w:tc>
        <w:tc>
          <w:tcPr>
            <w:tcW w:w="261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97" w:type="dxa"/>
            <w:gridSpan w:val="2"/>
            <w:noWrap w:val="0"/>
            <w:vAlign w:val="center"/>
          </w:tcPr>
          <w:p>
            <w:pPr>
              <w:spacing w:line="360" w:lineRule="auto"/>
              <w:jc w:val="center"/>
              <w:rPr>
                <w:rFonts w:ascii="宋体" w:hAnsi="宋体"/>
                <w:szCs w:val="21"/>
              </w:rPr>
            </w:pPr>
            <w:r>
              <w:rPr>
                <w:rFonts w:hint="eastAsia" w:ascii="宋体" w:hAnsi="宋体"/>
                <w:szCs w:val="21"/>
              </w:rPr>
              <w:t>可回收垃圾桶</w:t>
            </w:r>
          </w:p>
        </w:tc>
        <w:tc>
          <w:tcPr>
            <w:tcW w:w="1973" w:type="dxa"/>
            <w:noWrap w:val="0"/>
            <w:vAlign w:val="center"/>
          </w:tcPr>
          <w:p>
            <w:pPr>
              <w:spacing w:line="360" w:lineRule="auto"/>
              <w:jc w:val="center"/>
              <w:rPr>
                <w:rFonts w:ascii="宋体" w:hAnsi="宋体"/>
                <w:szCs w:val="21"/>
              </w:rPr>
            </w:pPr>
            <w:r>
              <w:rPr>
                <w:rFonts w:hint="eastAsia" w:ascii="宋体" w:hAnsi="宋体"/>
                <w:szCs w:val="21"/>
              </w:rPr>
              <w:t>35</w:t>
            </w:r>
          </w:p>
        </w:tc>
        <w:tc>
          <w:tcPr>
            <w:tcW w:w="1849" w:type="dxa"/>
            <w:noWrap w:val="0"/>
            <w:vAlign w:val="center"/>
          </w:tcPr>
          <w:p>
            <w:pPr>
              <w:spacing w:line="360" w:lineRule="auto"/>
              <w:jc w:val="center"/>
              <w:rPr>
                <w:rFonts w:ascii="宋体" w:hAnsi="宋体"/>
                <w:szCs w:val="21"/>
              </w:rPr>
            </w:pPr>
            <w:r>
              <w:rPr>
                <w:rFonts w:hint="eastAsia" w:ascii="宋体" w:hAnsi="宋体"/>
                <w:szCs w:val="21"/>
              </w:rPr>
              <w:t>35</w:t>
            </w:r>
          </w:p>
        </w:tc>
        <w:tc>
          <w:tcPr>
            <w:tcW w:w="261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697" w:type="dxa"/>
            <w:gridSpan w:val="2"/>
            <w:noWrap w:val="0"/>
            <w:vAlign w:val="center"/>
          </w:tcPr>
          <w:p>
            <w:pPr>
              <w:spacing w:line="360" w:lineRule="auto"/>
              <w:jc w:val="center"/>
              <w:rPr>
                <w:rFonts w:ascii="宋体" w:hAnsi="宋体"/>
                <w:szCs w:val="21"/>
              </w:rPr>
            </w:pPr>
            <w:r>
              <w:rPr>
                <w:rFonts w:hint="eastAsia" w:ascii="宋体" w:hAnsi="宋体"/>
                <w:szCs w:val="21"/>
              </w:rPr>
              <w:t>有害垃圾桶</w:t>
            </w:r>
          </w:p>
        </w:tc>
        <w:tc>
          <w:tcPr>
            <w:tcW w:w="1973" w:type="dxa"/>
            <w:noWrap w:val="0"/>
            <w:vAlign w:val="center"/>
          </w:tcPr>
          <w:p>
            <w:pPr>
              <w:spacing w:line="360" w:lineRule="auto"/>
              <w:jc w:val="center"/>
              <w:rPr>
                <w:rFonts w:ascii="宋体" w:hAnsi="宋体"/>
                <w:szCs w:val="21"/>
              </w:rPr>
            </w:pPr>
            <w:r>
              <w:rPr>
                <w:rFonts w:hint="eastAsia" w:ascii="宋体" w:hAnsi="宋体"/>
                <w:szCs w:val="21"/>
              </w:rPr>
              <w:t>40</w:t>
            </w:r>
          </w:p>
        </w:tc>
        <w:tc>
          <w:tcPr>
            <w:tcW w:w="1849" w:type="dxa"/>
            <w:noWrap w:val="0"/>
            <w:vAlign w:val="center"/>
          </w:tcPr>
          <w:p>
            <w:pPr>
              <w:spacing w:line="360" w:lineRule="auto"/>
              <w:jc w:val="center"/>
              <w:rPr>
                <w:rFonts w:ascii="宋体" w:hAnsi="宋体"/>
                <w:szCs w:val="21"/>
              </w:rPr>
            </w:pPr>
            <w:r>
              <w:rPr>
                <w:rFonts w:hint="eastAsia" w:ascii="宋体" w:hAnsi="宋体"/>
                <w:szCs w:val="21"/>
              </w:rPr>
              <w:t>40</w:t>
            </w:r>
          </w:p>
        </w:tc>
        <w:tc>
          <w:tcPr>
            <w:tcW w:w="2614"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33" w:type="dxa"/>
            <w:gridSpan w:val="5"/>
            <w:noWrap w:val="0"/>
            <w:vAlign w:val="center"/>
          </w:tcPr>
          <w:p>
            <w:pPr>
              <w:spacing w:line="360" w:lineRule="auto"/>
              <w:rPr>
                <w:rFonts w:hint="eastAsia" w:ascii="宋体" w:hAnsi="宋体"/>
                <w:szCs w:val="21"/>
              </w:rPr>
            </w:pPr>
            <w:r>
              <w:rPr>
                <w:rFonts w:hint="eastAsia" w:ascii="宋体" w:hAnsi="宋体"/>
                <w:szCs w:val="21"/>
              </w:rPr>
              <w:t>注：1、村社级垃圾桶摆放共有1159只（140L），其中厨余数垃圾桶466个，其他垃圾618个，可回收垃圾桶40个，有害垃圾桶35个；（实际清运过程中，若垃圾桶数量增减10%以内，不予调整保洁经费）。</w:t>
            </w:r>
            <w:r>
              <w:rPr>
                <w:rFonts w:hint="eastAsia" w:ascii="宋体" w:hAnsi="宋体"/>
                <w:b/>
                <w:szCs w:val="21"/>
              </w:rPr>
              <w:t>增减超过10%（含）的按中标综合单价进行支付，以联系单为准。</w:t>
            </w:r>
          </w:p>
          <w:p>
            <w:pPr>
              <w:spacing w:line="360" w:lineRule="auto"/>
              <w:rPr>
                <w:rFonts w:ascii="宋体" w:hAnsi="宋体"/>
                <w:szCs w:val="21"/>
              </w:rPr>
            </w:pPr>
            <w:r>
              <w:rPr>
                <w:rFonts w:hint="eastAsia" w:ascii="宋体" w:hAnsi="宋体"/>
                <w:szCs w:val="21"/>
              </w:rPr>
              <w:t>2、投标人可根据自身实力合理配备机械设备，但所配的机械必须满足项目清运需要；</w:t>
            </w:r>
          </w:p>
          <w:p>
            <w:pPr>
              <w:spacing w:line="360" w:lineRule="auto"/>
              <w:jc w:val="left"/>
              <w:rPr>
                <w:rFonts w:ascii="宋体" w:hAnsi="宋体"/>
                <w:szCs w:val="21"/>
              </w:rPr>
            </w:pPr>
            <w:r>
              <w:rPr>
                <w:rFonts w:hint="eastAsia" w:ascii="宋体" w:hAnsi="宋体"/>
                <w:szCs w:val="21"/>
              </w:rPr>
              <w:t>3、清运频率每天上午一次，下午一次，上午在早上7：30前完成，下午在15：30前完成。</w:t>
            </w:r>
          </w:p>
        </w:tc>
      </w:tr>
    </w:tbl>
    <w:p>
      <w:pPr>
        <w:spacing w:line="360" w:lineRule="auto"/>
        <w:ind w:firstLine="420" w:firstLineChars="200"/>
        <w:rPr>
          <w:rFonts w:hint="eastAsia" w:ascii="宋体" w:hAnsi="宋体"/>
          <w:szCs w:val="21"/>
        </w:rPr>
      </w:pPr>
    </w:p>
    <w:p>
      <w:pPr>
        <w:pStyle w:val="26"/>
        <w:spacing w:before="0" w:after="0" w:line="360" w:lineRule="auto"/>
        <w:ind w:firstLine="411" w:firstLineChars="196"/>
        <w:jc w:val="both"/>
        <w:rPr>
          <w:rFonts w:hint="eastAsia"/>
          <w:sz w:val="21"/>
          <w:szCs w:val="21"/>
          <w:lang w:eastAsia="zh-CN"/>
        </w:rPr>
      </w:pPr>
      <w:r>
        <w:rPr>
          <w:rFonts w:hint="eastAsia"/>
          <w:sz w:val="21"/>
          <w:szCs w:val="21"/>
          <w:lang w:eastAsia="zh-CN"/>
        </w:rPr>
        <w:t>（三）中转站运营管理、垃圾分类站运营管理具体服务内容</w:t>
      </w:r>
    </w:p>
    <w:p>
      <w:pPr>
        <w:spacing w:line="360" w:lineRule="auto"/>
        <w:ind w:firstLine="420" w:firstLineChars="200"/>
        <w:rPr>
          <w:rFonts w:hint="eastAsia" w:ascii="宋体" w:hAnsi="宋体"/>
          <w:szCs w:val="21"/>
        </w:rPr>
      </w:pPr>
      <w:r>
        <w:rPr>
          <w:rFonts w:hint="eastAsia" w:ascii="宋体" w:hAnsi="宋体"/>
          <w:szCs w:val="21"/>
        </w:rPr>
        <w:t>目前茶院乡共设有垃圾中转站1座、垃圾分类站1座。投标人需派人员进行管理、保证能正常运作。</w:t>
      </w:r>
    </w:p>
    <w:p>
      <w:pPr>
        <w:spacing w:line="360" w:lineRule="auto"/>
        <w:ind w:firstLine="420" w:firstLineChars="200"/>
        <w:rPr>
          <w:rFonts w:hint="eastAsia" w:ascii="宋体" w:hAnsi="宋体"/>
          <w:b/>
          <w:szCs w:val="21"/>
        </w:rPr>
      </w:pPr>
      <w:r>
        <w:rPr>
          <w:rFonts w:hint="eastAsia" w:ascii="宋体" w:hAnsi="宋体"/>
          <w:b/>
          <w:szCs w:val="21"/>
        </w:rPr>
        <w:t>垃圾中转站运营管理内容（包含但不限于如下内容）：</w:t>
      </w:r>
    </w:p>
    <w:p>
      <w:pPr>
        <w:spacing w:line="360" w:lineRule="auto"/>
        <w:ind w:firstLine="420" w:firstLineChars="200"/>
        <w:rPr>
          <w:rFonts w:hint="eastAsia" w:ascii="宋体" w:hAnsi="宋体"/>
          <w:szCs w:val="21"/>
        </w:rPr>
      </w:pPr>
      <w:r>
        <w:rPr>
          <w:rFonts w:hint="eastAsia" w:ascii="宋体" w:hAnsi="宋体"/>
          <w:szCs w:val="21"/>
        </w:rPr>
        <w:t>（1）有序安排垃圾中转站的管理和运行。</w:t>
      </w:r>
    </w:p>
    <w:p>
      <w:pPr>
        <w:spacing w:line="360" w:lineRule="auto"/>
        <w:ind w:firstLine="420" w:firstLineChars="200"/>
        <w:rPr>
          <w:rFonts w:hint="eastAsia" w:ascii="宋体" w:hAnsi="宋体"/>
          <w:szCs w:val="21"/>
        </w:rPr>
      </w:pPr>
      <w:r>
        <w:rPr>
          <w:rFonts w:hint="eastAsia" w:ascii="宋体" w:hAnsi="宋体"/>
          <w:szCs w:val="21"/>
        </w:rPr>
        <w:t>（2）将车辆收集进站的生活垃圾全部进行压缩处置工作，配合转运车辆对装（或吊装），每天冲洗垃圾压缩机坑，清扫压缩车间、配套管理用房及中转站场内所有附属设施及周边的环境卫生工作，疏通场内污水管道，清理沉砂池，场内喷洒除臭、灭蝇药物，人工配合设备维护保养（包括配电房的维护保养工作，以确保停电期间中转站的正常运行）。</w:t>
      </w:r>
    </w:p>
    <w:p>
      <w:pPr>
        <w:spacing w:line="360" w:lineRule="auto"/>
        <w:ind w:firstLine="420" w:firstLineChars="200"/>
        <w:rPr>
          <w:rFonts w:hint="eastAsia" w:ascii="宋体" w:hAnsi="宋体"/>
          <w:szCs w:val="21"/>
        </w:rPr>
      </w:pPr>
      <w:r>
        <w:rPr>
          <w:rFonts w:hint="eastAsia" w:ascii="宋体" w:hAnsi="宋体"/>
          <w:szCs w:val="21"/>
        </w:rPr>
        <w:t>（3）负责管理中转站压缩设备、水电设施、配套用房等设施设备的看守防盗等工作，出现异常情况的，第一时间处置并向采购人汇报情况。</w:t>
      </w:r>
    </w:p>
    <w:p>
      <w:pPr>
        <w:spacing w:line="360" w:lineRule="auto"/>
        <w:ind w:firstLine="420" w:firstLineChars="200"/>
        <w:rPr>
          <w:rFonts w:hint="eastAsia" w:ascii="宋体" w:hAnsi="宋体"/>
          <w:szCs w:val="21"/>
        </w:rPr>
      </w:pPr>
      <w:r>
        <w:rPr>
          <w:rFonts w:hint="eastAsia" w:ascii="宋体" w:hAnsi="宋体"/>
          <w:szCs w:val="21"/>
        </w:rPr>
        <w:t>（4）配备必要的设备工具，如高压冲洗设备等。</w:t>
      </w:r>
    </w:p>
    <w:p>
      <w:pPr>
        <w:spacing w:line="360" w:lineRule="auto"/>
        <w:ind w:firstLine="420" w:firstLineChars="200"/>
        <w:rPr>
          <w:rFonts w:hint="eastAsia" w:ascii="宋体" w:hAnsi="宋体"/>
          <w:szCs w:val="21"/>
        </w:rPr>
      </w:pPr>
      <w:r>
        <w:rPr>
          <w:rFonts w:hint="eastAsia" w:ascii="宋体" w:hAnsi="宋体"/>
          <w:szCs w:val="21"/>
        </w:rPr>
        <w:t>（5）做好站内设施设备维修养护工作。</w:t>
      </w:r>
    </w:p>
    <w:p>
      <w:pPr>
        <w:spacing w:line="360" w:lineRule="auto"/>
        <w:ind w:firstLine="420" w:firstLineChars="200"/>
        <w:rPr>
          <w:rFonts w:hint="eastAsia" w:ascii="宋体" w:hAnsi="宋体"/>
          <w:szCs w:val="21"/>
        </w:rPr>
      </w:pPr>
      <w:r>
        <w:rPr>
          <w:rFonts w:hint="eastAsia" w:ascii="宋体" w:hAnsi="宋体"/>
          <w:szCs w:val="21"/>
        </w:rPr>
        <w:t>（6）结合环保督查工作及采购人的要求做好资料、台账等工作。</w:t>
      </w:r>
    </w:p>
    <w:p>
      <w:pPr>
        <w:spacing w:line="360" w:lineRule="auto"/>
        <w:ind w:firstLine="420" w:firstLineChars="200"/>
        <w:rPr>
          <w:rFonts w:hint="eastAsia" w:ascii="宋体" w:hAnsi="宋体"/>
          <w:szCs w:val="21"/>
        </w:rPr>
      </w:pPr>
      <w:r>
        <w:rPr>
          <w:rFonts w:hint="eastAsia" w:ascii="宋体" w:hAnsi="宋体"/>
          <w:szCs w:val="21"/>
        </w:rPr>
        <w:t>（7）应急保障：考虑到易受台风天气影响，台风影响期间，中转站运营管理需增加人员投入，提供应急保障工作。</w:t>
      </w:r>
    </w:p>
    <w:p>
      <w:pPr>
        <w:spacing w:line="360" w:lineRule="auto"/>
        <w:ind w:firstLine="420" w:firstLineChars="200"/>
        <w:rPr>
          <w:rFonts w:hint="eastAsia" w:ascii="宋体" w:hAnsi="宋体"/>
          <w:b/>
          <w:szCs w:val="21"/>
        </w:rPr>
      </w:pPr>
      <w:r>
        <w:rPr>
          <w:rFonts w:hint="eastAsia" w:ascii="宋体" w:hAnsi="宋体"/>
          <w:b/>
          <w:szCs w:val="21"/>
        </w:rPr>
        <w:t>垃圾分类站运营管理内容（包含但不限于如下内容）：</w:t>
      </w:r>
    </w:p>
    <w:p>
      <w:pPr>
        <w:spacing w:line="360" w:lineRule="auto"/>
        <w:ind w:firstLine="420" w:firstLineChars="200"/>
        <w:rPr>
          <w:rFonts w:hint="eastAsia" w:ascii="宋体" w:hAnsi="宋体"/>
          <w:szCs w:val="21"/>
        </w:rPr>
      </w:pPr>
      <w:r>
        <w:rPr>
          <w:rFonts w:hint="eastAsia" w:ascii="宋体" w:hAnsi="宋体"/>
          <w:szCs w:val="21"/>
        </w:rPr>
        <w:t>（1）有序安排垃圾分类站的管理和运行。</w:t>
      </w:r>
    </w:p>
    <w:p>
      <w:pPr>
        <w:spacing w:line="360" w:lineRule="auto"/>
        <w:ind w:firstLine="420" w:firstLineChars="200"/>
        <w:rPr>
          <w:rFonts w:hint="eastAsia" w:ascii="宋体" w:hAnsi="宋体"/>
          <w:szCs w:val="21"/>
        </w:rPr>
      </w:pPr>
      <w:r>
        <w:rPr>
          <w:rFonts w:hint="eastAsia" w:ascii="宋体" w:hAnsi="宋体"/>
          <w:szCs w:val="21"/>
        </w:rPr>
        <w:t>（2）将车辆收集进站的垃圾全部进行分类处理。</w:t>
      </w:r>
    </w:p>
    <w:p>
      <w:pPr>
        <w:spacing w:line="360" w:lineRule="auto"/>
        <w:ind w:firstLine="420" w:firstLineChars="200"/>
        <w:rPr>
          <w:rFonts w:hint="eastAsia" w:ascii="宋体" w:hAnsi="宋体"/>
          <w:szCs w:val="21"/>
        </w:rPr>
      </w:pPr>
      <w:r>
        <w:rPr>
          <w:rFonts w:hint="eastAsia" w:ascii="宋体" w:hAnsi="宋体"/>
          <w:szCs w:val="21"/>
        </w:rPr>
        <w:t>（3）每天清扫站内所有附属设施及周边的环境卫生工作。</w:t>
      </w:r>
    </w:p>
    <w:p>
      <w:pPr>
        <w:spacing w:line="360" w:lineRule="auto"/>
        <w:ind w:firstLine="420" w:firstLineChars="200"/>
        <w:rPr>
          <w:rFonts w:hint="eastAsia" w:ascii="宋体" w:hAnsi="宋体"/>
          <w:szCs w:val="21"/>
        </w:rPr>
      </w:pPr>
      <w:r>
        <w:rPr>
          <w:rFonts w:hint="eastAsia" w:ascii="宋体" w:hAnsi="宋体"/>
          <w:szCs w:val="21"/>
        </w:rPr>
        <w:t>（4）负责管理站内设备、水电设施、配套用房等设施设备的看守防盗等工作，出现异常情况的，第一时间处置并向采购人汇报情况。</w:t>
      </w:r>
    </w:p>
    <w:p>
      <w:pPr>
        <w:spacing w:line="360" w:lineRule="auto"/>
        <w:ind w:firstLine="420" w:firstLineChars="200"/>
        <w:rPr>
          <w:rFonts w:hint="eastAsia" w:ascii="宋体" w:hAnsi="宋体"/>
          <w:szCs w:val="21"/>
        </w:rPr>
      </w:pPr>
      <w:r>
        <w:rPr>
          <w:rFonts w:hint="eastAsia" w:ascii="宋体" w:hAnsi="宋体"/>
          <w:szCs w:val="21"/>
        </w:rPr>
        <w:t>（5）配备必要的设备工具。</w:t>
      </w:r>
    </w:p>
    <w:p>
      <w:pPr>
        <w:spacing w:line="360" w:lineRule="auto"/>
        <w:ind w:firstLine="420" w:firstLineChars="200"/>
        <w:rPr>
          <w:rFonts w:hint="eastAsia" w:ascii="宋体" w:hAnsi="宋体"/>
          <w:szCs w:val="21"/>
        </w:rPr>
      </w:pPr>
      <w:r>
        <w:rPr>
          <w:rFonts w:hint="eastAsia" w:ascii="宋体" w:hAnsi="宋体"/>
          <w:szCs w:val="21"/>
        </w:rPr>
        <w:t>（6）做好站内设施设备维修养护工作。</w:t>
      </w:r>
    </w:p>
    <w:p>
      <w:pPr>
        <w:spacing w:line="360" w:lineRule="auto"/>
        <w:ind w:firstLine="420" w:firstLineChars="200"/>
        <w:rPr>
          <w:rFonts w:hint="eastAsia" w:ascii="宋体" w:hAnsi="宋体"/>
          <w:szCs w:val="21"/>
        </w:rPr>
      </w:pPr>
      <w:r>
        <w:rPr>
          <w:rFonts w:hint="eastAsia" w:ascii="宋体" w:hAnsi="宋体"/>
          <w:szCs w:val="21"/>
        </w:rPr>
        <w:t>（7）结合环保督查工作及采购人的要求做好资料、台账等工作。</w:t>
      </w:r>
    </w:p>
    <w:p>
      <w:pPr>
        <w:spacing w:line="360" w:lineRule="auto"/>
        <w:ind w:firstLine="420" w:firstLineChars="200"/>
        <w:rPr>
          <w:rFonts w:hint="eastAsia" w:ascii="宋体" w:hAnsi="宋体"/>
          <w:szCs w:val="21"/>
        </w:rPr>
      </w:pPr>
    </w:p>
    <w:p>
      <w:pPr>
        <w:pStyle w:val="26"/>
        <w:spacing w:before="0" w:after="0" w:line="360" w:lineRule="auto"/>
        <w:ind w:firstLine="411" w:firstLineChars="196"/>
        <w:jc w:val="both"/>
        <w:rPr>
          <w:rFonts w:hint="eastAsia"/>
          <w:sz w:val="21"/>
          <w:szCs w:val="21"/>
          <w:lang w:eastAsia="zh-CN"/>
        </w:rPr>
      </w:pPr>
      <w:r>
        <w:rPr>
          <w:rFonts w:hint="eastAsia"/>
          <w:sz w:val="21"/>
          <w:szCs w:val="21"/>
          <w:lang w:eastAsia="zh-CN"/>
        </w:rPr>
        <w:t>三</w:t>
      </w:r>
      <w:r>
        <w:rPr>
          <w:rFonts w:hint="eastAsia"/>
          <w:sz w:val="21"/>
          <w:szCs w:val="21"/>
        </w:rPr>
        <w:t>、茶院乡镇区保洁及垃圾清运服务</w:t>
      </w:r>
      <w:r>
        <w:rPr>
          <w:rFonts w:hint="eastAsia"/>
          <w:sz w:val="21"/>
          <w:szCs w:val="21"/>
          <w:lang w:eastAsia="zh-CN"/>
        </w:rPr>
        <w:t>人员和机械车辆配置要求</w:t>
      </w:r>
    </w:p>
    <w:p>
      <w:pPr>
        <w:spacing w:line="360" w:lineRule="auto"/>
        <w:ind w:firstLine="420" w:firstLineChars="200"/>
        <w:rPr>
          <w:rFonts w:ascii="宋体" w:hAnsi="宋体"/>
          <w:b/>
          <w:szCs w:val="21"/>
        </w:rPr>
      </w:pPr>
      <w:bookmarkStart w:id="29" w:name="_Toc15047662"/>
      <w:r>
        <w:rPr>
          <w:rFonts w:hint="eastAsia" w:ascii="宋体" w:hAnsi="宋体"/>
          <w:b/>
          <w:szCs w:val="21"/>
        </w:rPr>
        <w:t>（一）人员配置及要求</w:t>
      </w:r>
      <w:bookmarkEnd w:id="29"/>
    </w:p>
    <w:p>
      <w:pPr>
        <w:spacing w:line="360" w:lineRule="auto"/>
        <w:ind w:firstLine="420" w:firstLineChars="200"/>
        <w:rPr>
          <w:rFonts w:hint="eastAsia" w:ascii="宋体" w:hAnsi="宋体"/>
          <w:szCs w:val="21"/>
        </w:rPr>
      </w:pPr>
      <w:r>
        <w:rPr>
          <w:rFonts w:hint="eastAsia" w:ascii="宋体" w:hAnsi="宋体"/>
          <w:szCs w:val="21"/>
        </w:rPr>
        <w:t>▲1、本项目要求配置最低工作人员不少于33人（含轮休人员）。具体组成如下表所示：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969"/>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ascii="宋体" w:hAnsi="宋体"/>
                <w:szCs w:val="21"/>
              </w:rPr>
            </w:pPr>
            <w:r>
              <w:rPr>
                <w:rFonts w:hint="eastAsia" w:ascii="宋体" w:hAnsi="宋体"/>
                <w:szCs w:val="21"/>
              </w:rPr>
              <w:t>序号</w:t>
            </w:r>
          </w:p>
        </w:tc>
        <w:tc>
          <w:tcPr>
            <w:tcW w:w="3969" w:type="dxa"/>
            <w:noWrap w:val="0"/>
            <w:vAlign w:val="center"/>
          </w:tcPr>
          <w:p>
            <w:pPr>
              <w:spacing w:line="360" w:lineRule="auto"/>
              <w:jc w:val="center"/>
              <w:rPr>
                <w:rFonts w:ascii="宋体" w:hAnsi="宋体"/>
                <w:szCs w:val="21"/>
              </w:rPr>
            </w:pPr>
            <w:r>
              <w:rPr>
                <w:rFonts w:hint="eastAsia" w:ascii="宋体" w:hAnsi="宋体"/>
                <w:szCs w:val="21"/>
              </w:rPr>
              <w:t>项目内容</w:t>
            </w:r>
          </w:p>
        </w:tc>
        <w:tc>
          <w:tcPr>
            <w:tcW w:w="3151" w:type="dxa"/>
            <w:noWrap w:val="0"/>
            <w:vAlign w:val="center"/>
          </w:tcPr>
          <w:p>
            <w:pPr>
              <w:spacing w:line="360" w:lineRule="auto"/>
              <w:jc w:val="center"/>
              <w:rPr>
                <w:rFonts w:ascii="宋体" w:hAnsi="宋体"/>
                <w:szCs w:val="21"/>
              </w:rPr>
            </w:pPr>
            <w:r>
              <w:rPr>
                <w:rFonts w:hint="eastAsia" w:ascii="宋体" w:hAnsi="宋体"/>
                <w:szCs w:val="21"/>
              </w:rPr>
              <w:t>人员最低配置数（人）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969" w:type="dxa"/>
            <w:noWrap w:val="0"/>
            <w:vAlign w:val="center"/>
          </w:tcPr>
          <w:p>
            <w:pPr>
              <w:spacing w:line="360" w:lineRule="auto"/>
              <w:jc w:val="center"/>
              <w:rPr>
                <w:rFonts w:hint="eastAsia" w:ascii="宋体" w:hAnsi="宋体"/>
                <w:szCs w:val="21"/>
              </w:rPr>
            </w:pPr>
            <w:r>
              <w:rPr>
                <w:rFonts w:hint="eastAsia" w:ascii="宋体" w:hAnsi="宋体"/>
                <w:szCs w:val="21"/>
              </w:rPr>
              <w:t>镇区道路保洁、果壳箱保洁</w:t>
            </w:r>
          </w:p>
        </w:tc>
        <w:tc>
          <w:tcPr>
            <w:tcW w:w="3151" w:type="dxa"/>
            <w:vMerge w:val="restart"/>
            <w:noWrap w:val="0"/>
            <w:vAlign w:val="center"/>
          </w:tcPr>
          <w:p>
            <w:pPr>
              <w:spacing w:line="360" w:lineRule="auto"/>
              <w:jc w:val="center"/>
              <w:rPr>
                <w:rFonts w:hint="eastAsia" w:ascii="宋体" w:hAnsi="宋体"/>
                <w:szCs w:val="21"/>
              </w:rPr>
            </w:pPr>
            <w:r>
              <w:rPr>
                <w:rFonts w:hint="eastAsia"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969" w:type="dxa"/>
            <w:noWrap w:val="0"/>
            <w:vAlign w:val="center"/>
          </w:tcPr>
          <w:p>
            <w:pPr>
              <w:spacing w:line="360" w:lineRule="auto"/>
              <w:jc w:val="center"/>
              <w:rPr>
                <w:rFonts w:hint="eastAsia" w:ascii="宋体" w:hAnsi="宋体"/>
                <w:szCs w:val="21"/>
              </w:rPr>
            </w:pPr>
            <w:r>
              <w:rPr>
                <w:rFonts w:hint="eastAsia" w:ascii="宋体" w:hAnsi="宋体"/>
                <w:szCs w:val="21"/>
              </w:rPr>
              <w:t>绿化保洁、公厕保洁、牛皮癣清理</w:t>
            </w:r>
          </w:p>
        </w:tc>
        <w:tc>
          <w:tcPr>
            <w:tcW w:w="3151"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969" w:type="dxa"/>
            <w:noWrap w:val="0"/>
            <w:vAlign w:val="center"/>
          </w:tcPr>
          <w:p>
            <w:pPr>
              <w:spacing w:line="360" w:lineRule="auto"/>
              <w:jc w:val="center"/>
              <w:rPr>
                <w:rFonts w:hint="eastAsia" w:ascii="宋体" w:hAnsi="宋体"/>
                <w:szCs w:val="21"/>
              </w:rPr>
            </w:pPr>
            <w:r>
              <w:rPr>
                <w:rFonts w:hint="eastAsia" w:ascii="宋体" w:hAnsi="宋体"/>
                <w:szCs w:val="21"/>
              </w:rPr>
              <w:t>全镇垃圾清运服务（日产日清）</w:t>
            </w:r>
          </w:p>
        </w:tc>
        <w:tc>
          <w:tcPr>
            <w:tcW w:w="3151" w:type="dxa"/>
            <w:noWrap w:val="0"/>
            <w:vAlign w:val="center"/>
          </w:tcPr>
          <w:p>
            <w:pPr>
              <w:spacing w:line="360" w:lineRule="auto"/>
              <w:jc w:val="center"/>
              <w:rPr>
                <w:rFonts w:hint="eastAsia"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3969" w:type="dxa"/>
            <w:noWrap w:val="0"/>
            <w:vAlign w:val="center"/>
          </w:tcPr>
          <w:p>
            <w:pPr>
              <w:spacing w:line="360" w:lineRule="auto"/>
              <w:jc w:val="center"/>
              <w:rPr>
                <w:rFonts w:hint="eastAsia" w:ascii="宋体" w:hAnsi="宋体"/>
                <w:szCs w:val="21"/>
              </w:rPr>
            </w:pPr>
            <w:r>
              <w:rPr>
                <w:rFonts w:hint="eastAsia"/>
                <w:szCs w:val="21"/>
              </w:rPr>
              <w:t>垃圾中转站运营管理</w:t>
            </w:r>
          </w:p>
        </w:tc>
        <w:tc>
          <w:tcPr>
            <w:tcW w:w="3151" w:type="dxa"/>
            <w:noWrap w:val="0"/>
            <w:vAlign w:val="center"/>
          </w:tcPr>
          <w:p>
            <w:pPr>
              <w:spacing w:line="360" w:lineRule="auto"/>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3969" w:type="dxa"/>
            <w:noWrap w:val="0"/>
            <w:vAlign w:val="center"/>
          </w:tcPr>
          <w:p>
            <w:pPr>
              <w:spacing w:line="360" w:lineRule="auto"/>
              <w:jc w:val="center"/>
              <w:rPr>
                <w:rFonts w:hint="eastAsia" w:ascii="宋体" w:hAnsi="宋体"/>
                <w:szCs w:val="21"/>
              </w:rPr>
            </w:pPr>
            <w:r>
              <w:rPr>
                <w:rFonts w:hint="eastAsia"/>
                <w:szCs w:val="21"/>
              </w:rPr>
              <w:t>垃圾分类站运营管理</w:t>
            </w:r>
          </w:p>
        </w:tc>
        <w:tc>
          <w:tcPr>
            <w:tcW w:w="3151" w:type="dxa"/>
            <w:noWrap w:val="0"/>
            <w:vAlign w:val="center"/>
          </w:tcPr>
          <w:p>
            <w:pPr>
              <w:spacing w:line="360" w:lineRule="auto"/>
              <w:jc w:val="center"/>
              <w:rPr>
                <w:rFonts w:hint="eastAsia"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3969" w:type="dxa"/>
            <w:noWrap w:val="0"/>
            <w:vAlign w:val="center"/>
          </w:tcPr>
          <w:p>
            <w:pPr>
              <w:spacing w:line="360" w:lineRule="auto"/>
              <w:jc w:val="center"/>
              <w:rPr>
                <w:rFonts w:hint="eastAsia" w:ascii="宋体" w:hAnsi="宋体"/>
                <w:szCs w:val="21"/>
              </w:rPr>
            </w:pPr>
            <w:r>
              <w:rPr>
                <w:rFonts w:hint="eastAsia" w:ascii="宋体" w:hAnsi="宋体"/>
                <w:szCs w:val="21"/>
              </w:rPr>
              <w:t>管理人员</w:t>
            </w:r>
          </w:p>
        </w:tc>
        <w:tc>
          <w:tcPr>
            <w:tcW w:w="3151" w:type="dxa"/>
            <w:noWrap w:val="0"/>
            <w:vAlign w:val="center"/>
          </w:tcPr>
          <w:p>
            <w:pPr>
              <w:spacing w:line="360" w:lineRule="auto"/>
              <w:jc w:val="center"/>
              <w:rPr>
                <w:rFonts w:hint="eastAsia"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spacing w:line="360" w:lineRule="auto"/>
              <w:jc w:val="center"/>
              <w:rPr>
                <w:rFonts w:hint="eastAsia" w:ascii="宋体" w:hAnsi="宋体"/>
                <w:szCs w:val="21"/>
              </w:rPr>
            </w:pPr>
            <w:r>
              <w:rPr>
                <w:rFonts w:hint="eastAsia" w:ascii="宋体" w:hAnsi="宋体"/>
                <w:szCs w:val="21"/>
              </w:rPr>
              <w:t>7</w:t>
            </w:r>
          </w:p>
        </w:tc>
        <w:tc>
          <w:tcPr>
            <w:tcW w:w="3969" w:type="dxa"/>
            <w:noWrap w:val="0"/>
            <w:vAlign w:val="center"/>
          </w:tcPr>
          <w:p>
            <w:pPr>
              <w:spacing w:line="360" w:lineRule="auto"/>
              <w:jc w:val="center"/>
              <w:rPr>
                <w:rFonts w:hint="eastAsia" w:ascii="宋体" w:hAnsi="宋体"/>
                <w:szCs w:val="21"/>
              </w:rPr>
            </w:pPr>
            <w:r>
              <w:rPr>
                <w:rFonts w:hint="eastAsia" w:ascii="宋体" w:hAnsi="宋体"/>
                <w:szCs w:val="21"/>
              </w:rPr>
              <w:t>合计</w:t>
            </w:r>
          </w:p>
        </w:tc>
        <w:tc>
          <w:tcPr>
            <w:tcW w:w="3151" w:type="dxa"/>
            <w:noWrap w:val="0"/>
            <w:vAlign w:val="center"/>
          </w:tcPr>
          <w:p>
            <w:pPr>
              <w:spacing w:line="360" w:lineRule="auto"/>
              <w:jc w:val="center"/>
              <w:rPr>
                <w:rFonts w:hint="eastAsia" w:ascii="宋体" w:hAnsi="宋体"/>
                <w:szCs w:val="21"/>
              </w:rPr>
            </w:pPr>
            <w:r>
              <w:rPr>
                <w:rFonts w:hint="eastAsia" w:ascii="宋体" w:hAnsi="宋体"/>
                <w:szCs w:val="21"/>
              </w:rPr>
              <w:t>33</w:t>
            </w:r>
          </w:p>
        </w:tc>
      </w:tr>
    </w:tbl>
    <w:p>
      <w:pPr>
        <w:spacing w:line="360" w:lineRule="auto"/>
        <w:ind w:firstLine="420" w:firstLineChars="200"/>
        <w:rPr>
          <w:rFonts w:hint="eastAsia" w:ascii="宋体" w:hAnsi="宋体"/>
          <w:szCs w:val="21"/>
          <w:highlight w:val="yellow"/>
        </w:rPr>
      </w:pPr>
      <w:r>
        <w:rPr>
          <w:rFonts w:hint="eastAsia" w:ascii="宋体" w:hAnsi="宋体"/>
          <w:szCs w:val="21"/>
        </w:rPr>
        <w:t>2、▲供应商拟投入本项目的人员数量不得低于上述要求的最低人员配置数量，否则作无效标处理。（投标文件中须提供相关承诺书）</w:t>
      </w:r>
    </w:p>
    <w:p>
      <w:pPr>
        <w:spacing w:line="360" w:lineRule="auto"/>
        <w:ind w:firstLine="420" w:firstLineChars="200"/>
        <w:rPr>
          <w:rFonts w:ascii="宋体" w:hAnsi="宋体"/>
          <w:szCs w:val="21"/>
        </w:rPr>
      </w:pPr>
      <w:r>
        <w:rPr>
          <w:rFonts w:hint="eastAsia" w:ascii="宋体" w:hAnsi="宋体"/>
          <w:szCs w:val="21"/>
        </w:rPr>
        <w:t>3、人员允许在中标后进行配置，但必须根据采购人要求在进驻日前内全部配置完毕。（投标文件中须提供相关承诺书），所配备男性作业人员、女性作业人员年龄最高均不得超过法定退休年龄（投标文件中须提供相关承诺书）。</w:t>
      </w:r>
    </w:p>
    <w:p>
      <w:pPr>
        <w:spacing w:line="360" w:lineRule="auto"/>
        <w:ind w:firstLine="420" w:firstLineChars="200"/>
        <w:rPr>
          <w:rFonts w:ascii="宋体" w:hAnsi="宋体"/>
          <w:szCs w:val="21"/>
        </w:rPr>
      </w:pPr>
      <w:r>
        <w:rPr>
          <w:rFonts w:hint="eastAsia" w:ascii="宋体" w:hAnsi="宋体"/>
          <w:szCs w:val="21"/>
        </w:rPr>
        <w:t>4、中标人原则上应优先聘用本项目原保洁作业人员。</w:t>
      </w:r>
    </w:p>
    <w:p>
      <w:pPr>
        <w:spacing w:line="360" w:lineRule="auto"/>
        <w:ind w:firstLine="420" w:firstLineChars="200"/>
        <w:rPr>
          <w:rFonts w:hint="eastAsia" w:ascii="宋体" w:hAnsi="宋体"/>
          <w:szCs w:val="21"/>
        </w:rPr>
      </w:pPr>
      <w:r>
        <w:rPr>
          <w:rFonts w:hint="eastAsia" w:ascii="宋体" w:hAnsi="宋体"/>
          <w:szCs w:val="21"/>
        </w:rPr>
        <w:t>▲5、驾驶员应具备相应工种资格证，带证上岗，并定时接受培训。（投标文件中须提供相关承诺书）</w:t>
      </w:r>
    </w:p>
    <w:p>
      <w:pPr>
        <w:spacing w:line="360" w:lineRule="auto"/>
        <w:ind w:firstLine="420" w:firstLineChars="200"/>
        <w:rPr>
          <w:rFonts w:ascii="宋体" w:hAnsi="宋体"/>
          <w:szCs w:val="21"/>
        </w:rPr>
      </w:pPr>
      <w:r>
        <w:rPr>
          <w:rFonts w:hint="eastAsia" w:ascii="宋体" w:hAnsi="宋体"/>
          <w:szCs w:val="21"/>
        </w:rPr>
        <w:t>6、每天在岗人员不少于26人。</w:t>
      </w:r>
    </w:p>
    <w:p>
      <w:pPr>
        <w:spacing w:line="360" w:lineRule="auto"/>
        <w:ind w:firstLine="420" w:firstLineChars="200"/>
        <w:rPr>
          <w:rFonts w:ascii="宋体" w:hAnsi="宋体"/>
          <w:szCs w:val="21"/>
        </w:rPr>
      </w:pPr>
      <w:r>
        <w:rPr>
          <w:rFonts w:hint="eastAsia" w:ascii="宋体" w:hAnsi="宋体"/>
          <w:szCs w:val="21"/>
        </w:rPr>
        <w:t>7、本项目配备的从业人员基本要求：</w:t>
      </w:r>
    </w:p>
    <w:p>
      <w:pPr>
        <w:spacing w:line="360" w:lineRule="auto"/>
        <w:ind w:firstLine="420" w:firstLineChars="200"/>
        <w:rPr>
          <w:rFonts w:ascii="宋体" w:hAnsi="宋体"/>
          <w:szCs w:val="21"/>
        </w:rPr>
      </w:pPr>
      <w:r>
        <w:rPr>
          <w:rFonts w:hint="eastAsia" w:ascii="宋体" w:hAnsi="宋体"/>
          <w:szCs w:val="21"/>
        </w:rPr>
        <w:t>1）身体健康，无品质性疾病；</w:t>
      </w:r>
    </w:p>
    <w:p>
      <w:pPr>
        <w:spacing w:line="360" w:lineRule="auto"/>
        <w:ind w:firstLine="420" w:firstLineChars="200"/>
        <w:rPr>
          <w:rFonts w:ascii="宋体" w:hAnsi="宋体"/>
          <w:szCs w:val="21"/>
        </w:rPr>
      </w:pPr>
      <w:r>
        <w:rPr>
          <w:rFonts w:hint="eastAsia" w:ascii="宋体" w:hAnsi="宋体"/>
          <w:szCs w:val="21"/>
        </w:rPr>
        <w:t>2）思想端正，无不良记录；</w:t>
      </w:r>
    </w:p>
    <w:p>
      <w:pPr>
        <w:spacing w:line="360" w:lineRule="auto"/>
        <w:ind w:firstLine="420" w:firstLineChars="200"/>
        <w:rPr>
          <w:rFonts w:ascii="宋体" w:hAnsi="宋体"/>
          <w:szCs w:val="21"/>
        </w:rPr>
      </w:pPr>
      <w:r>
        <w:rPr>
          <w:rFonts w:hint="eastAsia" w:ascii="宋体" w:hAnsi="宋体"/>
          <w:szCs w:val="21"/>
        </w:rPr>
        <w:t>3）保洁人员规范、服装统一、整洁着装，佩戴上岗证或胸牌，注意仪表；</w:t>
      </w:r>
    </w:p>
    <w:p>
      <w:pPr>
        <w:spacing w:line="360" w:lineRule="auto"/>
        <w:ind w:firstLine="420" w:firstLineChars="200"/>
        <w:rPr>
          <w:rFonts w:ascii="宋体" w:hAnsi="宋体"/>
          <w:szCs w:val="21"/>
        </w:rPr>
      </w:pPr>
      <w:r>
        <w:rPr>
          <w:rFonts w:hint="eastAsia" w:ascii="宋体" w:hAnsi="宋体"/>
          <w:szCs w:val="21"/>
        </w:rPr>
        <w:t>4）不得擅自离岗，如有特殊原因需向单位请假，且由单位安排专人代岗；</w:t>
      </w:r>
    </w:p>
    <w:p>
      <w:pPr>
        <w:spacing w:line="360" w:lineRule="auto"/>
        <w:ind w:firstLine="420" w:firstLineChars="200"/>
        <w:rPr>
          <w:rFonts w:ascii="宋体" w:hAnsi="宋体"/>
          <w:szCs w:val="21"/>
        </w:rPr>
      </w:pPr>
      <w:r>
        <w:rPr>
          <w:rFonts w:hint="eastAsia" w:ascii="宋体" w:hAnsi="宋体"/>
          <w:szCs w:val="21"/>
        </w:rPr>
        <w:t>5）工作期间禁止饮酒、文明用餐。</w:t>
      </w:r>
    </w:p>
    <w:p>
      <w:pPr>
        <w:spacing w:line="360" w:lineRule="auto"/>
        <w:ind w:firstLine="420" w:firstLineChars="200"/>
        <w:rPr>
          <w:rFonts w:ascii="宋体" w:hAnsi="宋体"/>
          <w:szCs w:val="21"/>
        </w:rPr>
      </w:pPr>
      <w:r>
        <w:rPr>
          <w:rFonts w:hint="eastAsia" w:ascii="宋体" w:hAnsi="宋体"/>
          <w:szCs w:val="21"/>
        </w:rPr>
        <w:t>8、岗位培训要求：</w:t>
      </w:r>
    </w:p>
    <w:p>
      <w:pPr>
        <w:spacing w:line="360" w:lineRule="auto"/>
        <w:ind w:firstLine="420" w:firstLineChars="200"/>
        <w:rPr>
          <w:rFonts w:ascii="宋体" w:hAnsi="宋体"/>
          <w:szCs w:val="21"/>
        </w:rPr>
      </w:pPr>
      <w:r>
        <w:rPr>
          <w:rFonts w:hint="eastAsia" w:ascii="宋体" w:hAnsi="宋体"/>
          <w:szCs w:val="21"/>
        </w:rPr>
        <w:t>1）根据法律法规规定，新入职员工必须经过入职培训合格后方可上岗；</w:t>
      </w:r>
    </w:p>
    <w:p>
      <w:pPr>
        <w:spacing w:line="360" w:lineRule="auto"/>
        <w:ind w:firstLine="420" w:firstLineChars="200"/>
        <w:rPr>
          <w:rFonts w:ascii="宋体" w:hAnsi="宋体"/>
          <w:szCs w:val="21"/>
        </w:rPr>
      </w:pPr>
      <w:r>
        <w:rPr>
          <w:rFonts w:hint="eastAsia" w:ascii="宋体" w:hAnsi="宋体"/>
          <w:szCs w:val="21"/>
        </w:rPr>
        <w:t>2）人员培训的内容包括公司规章制度、保洁操作流程、保洁质量要求、清洁工具的使用、要注意的事项及安全责任。</w:t>
      </w:r>
    </w:p>
    <w:p>
      <w:pPr>
        <w:spacing w:line="360" w:lineRule="auto"/>
        <w:ind w:firstLine="420" w:firstLineChars="200"/>
        <w:rPr>
          <w:rFonts w:ascii="宋体" w:hAnsi="宋体"/>
          <w:b/>
          <w:szCs w:val="21"/>
        </w:rPr>
      </w:pPr>
      <w:bookmarkStart w:id="30" w:name="_Toc15047663"/>
      <w:r>
        <w:rPr>
          <w:rFonts w:hint="eastAsia" w:ascii="宋体" w:hAnsi="宋体"/>
          <w:b/>
          <w:szCs w:val="21"/>
        </w:rPr>
        <w:t>（二）机械车辆配置及要求</w:t>
      </w:r>
      <w:bookmarkEnd w:id="30"/>
    </w:p>
    <w:p>
      <w:pPr>
        <w:spacing w:line="360" w:lineRule="auto"/>
        <w:ind w:firstLine="420" w:firstLineChars="200"/>
        <w:rPr>
          <w:rFonts w:ascii="宋体" w:hAnsi="宋体"/>
          <w:szCs w:val="21"/>
        </w:rPr>
      </w:pPr>
      <w:r>
        <w:rPr>
          <w:rFonts w:hint="eastAsia" w:ascii="宋体" w:hAnsi="宋体"/>
          <w:szCs w:val="21"/>
        </w:rPr>
        <w:t>1、本项目要求至少配置2辆密闭式桶装垃圾车（特种垃圾清运车厢并具备GPS系统），6辆垃圾清运车（电动三轮升降平板车）或桶</w:t>
      </w:r>
      <w:r>
        <w:rPr>
          <w:rFonts w:hint="eastAsia" w:ascii="宋体"/>
          <w:bCs/>
          <w:szCs w:val="21"/>
        </w:rPr>
        <w:t>装垃圾运输车</w:t>
      </w:r>
      <w:r>
        <w:rPr>
          <w:rFonts w:hint="eastAsia" w:ascii="宋体" w:hAnsi="宋体"/>
          <w:szCs w:val="21"/>
        </w:rPr>
        <w:t>。或者可以配置满足本项目清运要求的其他车辆，但具体配置方案需在投标文件内详细说明。</w:t>
      </w:r>
    </w:p>
    <w:p>
      <w:pPr>
        <w:pStyle w:val="26"/>
        <w:spacing w:before="0" w:after="0" w:line="360" w:lineRule="auto"/>
        <w:ind w:firstLine="411" w:firstLineChars="196"/>
        <w:jc w:val="both"/>
        <w:rPr>
          <w:b w:val="0"/>
          <w:sz w:val="21"/>
          <w:szCs w:val="21"/>
        </w:rPr>
      </w:pPr>
      <w:r>
        <w:rPr>
          <w:rFonts w:hint="eastAsia"/>
          <w:b w:val="0"/>
          <w:sz w:val="21"/>
          <w:szCs w:val="21"/>
        </w:rPr>
        <w:t>▲2、车辆允许在中标后进行配置，但必须根据采购人要求在进驻日前内全部配置完毕。（投标文件中须提供相关承诺书）</w:t>
      </w:r>
    </w:p>
    <w:p>
      <w:pPr>
        <w:pStyle w:val="26"/>
        <w:spacing w:before="0" w:after="0" w:line="360" w:lineRule="auto"/>
        <w:ind w:firstLine="411" w:firstLineChars="196"/>
        <w:jc w:val="both"/>
        <w:rPr>
          <w:sz w:val="21"/>
          <w:szCs w:val="21"/>
        </w:rPr>
      </w:pPr>
      <w:r>
        <w:rPr>
          <w:sz w:val="21"/>
          <w:szCs w:val="21"/>
          <w:lang w:eastAsia="zh-CN"/>
        </w:rPr>
        <w:br w:type="page"/>
      </w:r>
      <w:r>
        <w:rPr>
          <w:rFonts w:hint="eastAsia"/>
          <w:sz w:val="21"/>
          <w:szCs w:val="21"/>
          <w:lang w:eastAsia="zh-CN"/>
        </w:rPr>
        <w:t>四</w:t>
      </w:r>
      <w:r>
        <w:rPr>
          <w:rFonts w:hint="eastAsia"/>
          <w:sz w:val="21"/>
          <w:szCs w:val="21"/>
        </w:rPr>
        <w:t>、作业标准</w:t>
      </w:r>
    </w:p>
    <w:p>
      <w:pPr>
        <w:spacing w:line="360" w:lineRule="auto"/>
        <w:ind w:firstLine="420" w:firstLineChars="200"/>
        <w:rPr>
          <w:rFonts w:ascii="宋体" w:hAnsi="宋体"/>
          <w:b/>
          <w:szCs w:val="21"/>
        </w:rPr>
      </w:pPr>
      <w:bookmarkStart w:id="31" w:name="_Toc15047665"/>
      <w:r>
        <w:rPr>
          <w:rFonts w:hint="eastAsia" w:ascii="宋体" w:hAnsi="宋体"/>
          <w:b/>
          <w:szCs w:val="21"/>
        </w:rPr>
        <w:t>（一）道路清扫保洁质量要求</w:t>
      </w:r>
      <w:bookmarkEnd w:id="31"/>
    </w:p>
    <w:p>
      <w:pPr>
        <w:pStyle w:val="26"/>
        <w:spacing w:before="0" w:after="0" w:line="360" w:lineRule="auto"/>
        <w:ind w:firstLine="411" w:firstLineChars="196"/>
        <w:jc w:val="both"/>
        <w:rPr>
          <w:b w:val="0"/>
          <w:sz w:val="21"/>
          <w:szCs w:val="21"/>
        </w:rPr>
      </w:pPr>
      <w:r>
        <w:rPr>
          <w:rFonts w:hint="eastAsia"/>
          <w:b w:val="0"/>
          <w:sz w:val="21"/>
          <w:szCs w:val="21"/>
        </w:rPr>
        <w:t>（1）道路清扫保洁的通用质量要求应达到路面整洁，排水口清洁，无残留污水，无残积沙土，道路收集容器等环卫设施无明显污迹的要求，大面积落叶季节可适当延长滞留时间。</w:t>
      </w:r>
    </w:p>
    <w:p>
      <w:pPr>
        <w:pStyle w:val="26"/>
        <w:spacing w:before="0" w:after="0" w:line="360" w:lineRule="auto"/>
        <w:ind w:firstLine="411" w:firstLineChars="196"/>
        <w:jc w:val="both"/>
        <w:rPr>
          <w:b w:val="0"/>
          <w:sz w:val="21"/>
          <w:szCs w:val="21"/>
        </w:rPr>
      </w:pPr>
      <w:r>
        <w:rPr>
          <w:rFonts w:hint="eastAsia"/>
          <w:b w:val="0"/>
          <w:sz w:val="21"/>
          <w:szCs w:val="21"/>
        </w:rPr>
        <w:t>（2）道路路面首次普扫质量应符合下表规定。</w:t>
      </w:r>
    </w:p>
    <w:p>
      <w:pPr>
        <w:pStyle w:val="26"/>
        <w:spacing w:before="0" w:after="0" w:line="360" w:lineRule="auto"/>
        <w:ind w:firstLine="411" w:firstLineChars="196"/>
        <w:rPr>
          <w:rFonts w:hint="eastAsia"/>
          <w:sz w:val="21"/>
          <w:szCs w:val="21"/>
          <w:lang w:eastAsia="zh-CN"/>
        </w:rPr>
      </w:pPr>
      <w:r>
        <w:rPr>
          <w:rFonts w:hint="eastAsia"/>
          <w:sz w:val="21"/>
          <w:szCs w:val="21"/>
        </w:rPr>
        <w:t>道路清扫保洁感观质量要求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660" w:type="dxa"/>
            <w:noWrap w:val="0"/>
            <w:vAlign w:val="center"/>
          </w:tcPr>
          <w:p>
            <w:pPr>
              <w:spacing w:line="440" w:lineRule="exact"/>
              <w:jc w:val="center"/>
              <w:rPr>
                <w:rFonts w:hint="eastAsia" w:ascii="宋体" w:hAnsi="宋体"/>
                <w:szCs w:val="21"/>
              </w:rPr>
            </w:pPr>
            <w:r>
              <w:rPr>
                <w:rFonts w:hint="eastAsia" w:ascii="宋体" w:hAnsi="宋体"/>
                <w:szCs w:val="21"/>
              </w:rPr>
              <w:t>保洁等级</w:t>
            </w:r>
          </w:p>
        </w:tc>
        <w:tc>
          <w:tcPr>
            <w:tcW w:w="6095" w:type="dxa"/>
            <w:noWrap w:val="0"/>
            <w:vAlign w:val="center"/>
          </w:tcPr>
          <w:p>
            <w:pPr>
              <w:spacing w:line="440" w:lineRule="exact"/>
              <w:jc w:val="center"/>
              <w:rPr>
                <w:rFonts w:hint="eastAsia" w:ascii="宋体" w:hAnsi="宋体"/>
                <w:szCs w:val="21"/>
              </w:rPr>
            </w:pPr>
            <w:r>
              <w:rPr>
                <w:rFonts w:hint="eastAsia" w:ascii="宋体" w:hAnsi="宋体"/>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660" w:type="dxa"/>
            <w:noWrap w:val="0"/>
            <w:vAlign w:val="center"/>
          </w:tcPr>
          <w:p>
            <w:pPr>
              <w:spacing w:line="440" w:lineRule="exact"/>
              <w:jc w:val="center"/>
              <w:rPr>
                <w:rFonts w:hint="eastAsia" w:ascii="宋体" w:hAnsi="宋体"/>
                <w:szCs w:val="21"/>
              </w:rPr>
            </w:pPr>
            <w:r>
              <w:rPr>
                <w:rFonts w:hint="eastAsia" w:ascii="宋体" w:hAnsi="宋体"/>
                <w:szCs w:val="21"/>
              </w:rPr>
              <w:t>四级</w:t>
            </w:r>
          </w:p>
        </w:tc>
        <w:tc>
          <w:tcPr>
            <w:tcW w:w="6095" w:type="dxa"/>
            <w:noWrap w:val="0"/>
            <w:vAlign w:val="center"/>
          </w:tcPr>
          <w:p>
            <w:pPr>
              <w:spacing w:line="440" w:lineRule="exact"/>
              <w:jc w:val="left"/>
              <w:rPr>
                <w:rFonts w:hint="eastAsia" w:ascii="宋体" w:hAnsi="宋体"/>
                <w:szCs w:val="21"/>
              </w:rPr>
            </w:pPr>
            <w:r>
              <w:rPr>
                <w:rFonts w:hint="eastAsia" w:ascii="宋体" w:hAnsi="宋体"/>
                <w:szCs w:val="21"/>
              </w:rPr>
              <w:t>（三无三净）：无烟蒂白色垃圾、无果皮纸屑、无杂物堆积、路面干净、绿化隔离带树穴干净、垃圾桶等环卫设施干净。</w:t>
            </w:r>
          </w:p>
        </w:tc>
      </w:tr>
    </w:tbl>
    <w:p>
      <w:pPr>
        <w:pStyle w:val="26"/>
        <w:spacing w:before="0" w:after="0" w:line="360" w:lineRule="auto"/>
        <w:ind w:firstLine="411" w:firstLineChars="196"/>
        <w:rPr>
          <w:rFonts w:hint="eastAsia"/>
          <w:sz w:val="21"/>
          <w:szCs w:val="21"/>
        </w:rPr>
      </w:pPr>
      <w:r>
        <w:rPr>
          <w:rFonts w:hint="eastAsia"/>
          <w:sz w:val="21"/>
          <w:szCs w:val="21"/>
        </w:rPr>
        <w:t>城市道路清扫保洁可见垃圾污渍密度控制指标</w:t>
      </w:r>
    </w:p>
    <w:tbl>
      <w:tblPr>
        <w:tblStyle w:val="3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2082"/>
        <w:gridCol w:w="2082"/>
        <w:gridCol w:w="177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64" w:type="dxa"/>
            <w:vMerge w:val="restart"/>
            <w:noWrap w:val="0"/>
            <w:vAlign w:val="center"/>
          </w:tcPr>
          <w:p>
            <w:pPr>
              <w:spacing w:line="440" w:lineRule="exact"/>
              <w:jc w:val="center"/>
              <w:rPr>
                <w:rFonts w:hint="eastAsia" w:ascii="宋体" w:hAnsi="宋体"/>
                <w:szCs w:val="21"/>
              </w:rPr>
            </w:pPr>
            <w:r>
              <w:rPr>
                <w:rFonts w:hint="eastAsia" w:ascii="宋体" w:hAnsi="宋体"/>
                <w:szCs w:val="21"/>
              </w:rPr>
              <w:t>保洁等级</w:t>
            </w:r>
          </w:p>
        </w:tc>
        <w:tc>
          <w:tcPr>
            <w:tcW w:w="5935" w:type="dxa"/>
            <w:gridSpan w:val="3"/>
            <w:noWrap w:val="0"/>
            <w:vAlign w:val="center"/>
          </w:tcPr>
          <w:p>
            <w:pPr>
              <w:spacing w:line="440" w:lineRule="exact"/>
              <w:jc w:val="center"/>
              <w:rPr>
                <w:rFonts w:hint="eastAsia" w:ascii="宋体" w:hAnsi="宋体"/>
                <w:szCs w:val="21"/>
              </w:rPr>
            </w:pPr>
            <w:r>
              <w:rPr>
                <w:rFonts w:hint="eastAsia" w:ascii="宋体" w:hAnsi="宋体"/>
                <w:szCs w:val="21"/>
              </w:rPr>
              <w:t>可见垃圾污渍密度</w:t>
            </w:r>
          </w:p>
        </w:tc>
        <w:tc>
          <w:tcPr>
            <w:tcW w:w="1230" w:type="dxa"/>
            <w:vMerge w:val="restart"/>
            <w:noWrap w:val="0"/>
            <w:vAlign w:val="center"/>
          </w:tcPr>
          <w:p>
            <w:pPr>
              <w:spacing w:line="440" w:lineRule="exact"/>
              <w:jc w:val="center"/>
              <w:rPr>
                <w:rFonts w:hint="eastAsia" w:ascii="宋体" w:hAnsi="宋体"/>
                <w:szCs w:val="21"/>
              </w:rPr>
            </w:pPr>
            <w:r>
              <w:rPr>
                <w:rFonts w:hint="eastAsia" w:ascii="宋体" w:hAnsi="宋体"/>
                <w:szCs w:val="21"/>
              </w:rPr>
              <w:t>滞留时间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43" w:hRule="atLeast"/>
          <w:jc w:val="center"/>
        </w:trPr>
        <w:tc>
          <w:tcPr>
            <w:tcW w:w="1564" w:type="dxa"/>
            <w:vMerge w:val="continue"/>
            <w:noWrap w:val="0"/>
            <w:vAlign w:val="center"/>
          </w:tcPr>
          <w:p>
            <w:pPr>
              <w:spacing w:line="440" w:lineRule="exact"/>
              <w:jc w:val="center"/>
              <w:rPr>
                <w:rFonts w:hint="eastAsia" w:ascii="宋体" w:hAnsi="宋体"/>
                <w:szCs w:val="21"/>
              </w:rPr>
            </w:pPr>
          </w:p>
        </w:tc>
        <w:tc>
          <w:tcPr>
            <w:tcW w:w="2082" w:type="dxa"/>
            <w:noWrap w:val="0"/>
            <w:vAlign w:val="center"/>
          </w:tcPr>
          <w:p>
            <w:pPr>
              <w:spacing w:line="440" w:lineRule="exact"/>
              <w:jc w:val="center"/>
              <w:rPr>
                <w:rFonts w:hint="eastAsia" w:ascii="宋体" w:hAnsi="宋体"/>
                <w:szCs w:val="21"/>
              </w:rPr>
            </w:pPr>
            <w:r>
              <w:rPr>
                <w:rFonts w:hint="eastAsia" w:ascii="宋体" w:hAnsi="宋体"/>
                <w:szCs w:val="21"/>
              </w:rPr>
              <w:t>车行道（个（处）/1000 m</w:t>
            </w:r>
            <w:r>
              <w:rPr>
                <w:rFonts w:hint="eastAsia" w:ascii="宋体" w:hAnsi="宋体"/>
                <w:szCs w:val="21"/>
                <w:vertAlign w:val="superscript"/>
              </w:rPr>
              <w:t>2</w:t>
            </w:r>
            <w:r>
              <w:rPr>
                <w:rFonts w:hint="eastAsia" w:ascii="宋体" w:hAnsi="宋体"/>
                <w:szCs w:val="21"/>
              </w:rPr>
              <w:t>）</w:t>
            </w:r>
          </w:p>
        </w:tc>
        <w:tc>
          <w:tcPr>
            <w:tcW w:w="2082" w:type="dxa"/>
            <w:noWrap w:val="0"/>
            <w:vAlign w:val="center"/>
          </w:tcPr>
          <w:p>
            <w:pPr>
              <w:spacing w:line="440" w:lineRule="exact"/>
              <w:jc w:val="center"/>
              <w:rPr>
                <w:rFonts w:hint="eastAsia" w:ascii="宋体" w:hAnsi="宋体"/>
                <w:szCs w:val="21"/>
              </w:rPr>
            </w:pPr>
            <w:r>
              <w:rPr>
                <w:rFonts w:hint="eastAsia" w:ascii="宋体" w:hAnsi="宋体"/>
                <w:szCs w:val="21"/>
              </w:rPr>
              <w:t>人行道（个（处）/1000 m</w:t>
            </w:r>
            <w:r>
              <w:rPr>
                <w:rFonts w:hint="eastAsia" w:ascii="宋体" w:hAnsi="宋体"/>
                <w:szCs w:val="21"/>
                <w:vertAlign w:val="superscript"/>
              </w:rPr>
              <w:t>2</w:t>
            </w:r>
            <w:r>
              <w:rPr>
                <w:rFonts w:hint="eastAsia" w:ascii="宋体" w:hAnsi="宋体"/>
                <w:szCs w:val="21"/>
              </w:rPr>
              <w:t>）</w:t>
            </w:r>
          </w:p>
        </w:tc>
        <w:tc>
          <w:tcPr>
            <w:tcW w:w="1772" w:type="dxa"/>
            <w:noWrap w:val="0"/>
            <w:vAlign w:val="center"/>
          </w:tcPr>
          <w:p>
            <w:pPr>
              <w:spacing w:line="440" w:lineRule="exact"/>
              <w:jc w:val="center"/>
              <w:rPr>
                <w:rFonts w:hint="eastAsia" w:ascii="宋体" w:hAnsi="宋体"/>
                <w:szCs w:val="21"/>
              </w:rPr>
            </w:pPr>
            <w:r>
              <w:rPr>
                <w:rFonts w:hint="eastAsia" w:ascii="宋体" w:hAnsi="宋体"/>
                <w:szCs w:val="21"/>
              </w:rPr>
              <w:t>绿化隔离带（个（处）/100m）</w:t>
            </w:r>
          </w:p>
        </w:tc>
        <w:tc>
          <w:tcPr>
            <w:tcW w:w="1230" w:type="dxa"/>
            <w:vMerge w:val="continue"/>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92" w:hRule="atLeast"/>
          <w:jc w:val="center"/>
        </w:trPr>
        <w:tc>
          <w:tcPr>
            <w:tcW w:w="1564" w:type="dxa"/>
            <w:noWrap w:val="0"/>
            <w:vAlign w:val="center"/>
          </w:tcPr>
          <w:p>
            <w:pPr>
              <w:spacing w:line="440" w:lineRule="exact"/>
              <w:jc w:val="center"/>
              <w:rPr>
                <w:rFonts w:hint="eastAsia" w:ascii="宋体" w:hAnsi="宋体"/>
                <w:szCs w:val="21"/>
              </w:rPr>
            </w:pPr>
            <w:r>
              <w:rPr>
                <w:rFonts w:hint="eastAsia" w:ascii="宋体" w:hAnsi="宋体"/>
                <w:szCs w:val="21"/>
              </w:rPr>
              <w:t>四级</w:t>
            </w:r>
          </w:p>
        </w:tc>
        <w:tc>
          <w:tcPr>
            <w:tcW w:w="2082" w:type="dxa"/>
            <w:noWrap w:val="0"/>
            <w:vAlign w:val="center"/>
          </w:tcPr>
          <w:p>
            <w:pPr>
              <w:spacing w:line="440" w:lineRule="exact"/>
              <w:jc w:val="center"/>
              <w:rPr>
                <w:rFonts w:hint="eastAsia" w:ascii="宋体" w:hAnsi="宋体"/>
                <w:szCs w:val="21"/>
              </w:rPr>
            </w:pPr>
            <w:r>
              <w:rPr>
                <w:rFonts w:hint="eastAsia" w:ascii="宋体" w:hAnsi="宋体"/>
                <w:szCs w:val="21"/>
              </w:rPr>
              <w:t>28-35</w:t>
            </w:r>
          </w:p>
        </w:tc>
        <w:tc>
          <w:tcPr>
            <w:tcW w:w="2082" w:type="dxa"/>
            <w:noWrap w:val="0"/>
            <w:vAlign w:val="center"/>
          </w:tcPr>
          <w:p>
            <w:pPr>
              <w:spacing w:line="440" w:lineRule="exact"/>
              <w:jc w:val="center"/>
              <w:rPr>
                <w:rFonts w:hint="eastAsia" w:ascii="宋体" w:hAnsi="宋体"/>
                <w:szCs w:val="21"/>
              </w:rPr>
            </w:pPr>
            <w:r>
              <w:rPr>
                <w:rFonts w:hint="eastAsia" w:ascii="宋体" w:hAnsi="宋体"/>
                <w:szCs w:val="21"/>
              </w:rPr>
              <w:t>34-40</w:t>
            </w:r>
          </w:p>
        </w:tc>
        <w:tc>
          <w:tcPr>
            <w:tcW w:w="1772" w:type="dxa"/>
            <w:noWrap w:val="0"/>
            <w:vAlign w:val="center"/>
          </w:tcPr>
          <w:p>
            <w:pPr>
              <w:spacing w:line="440" w:lineRule="exact"/>
              <w:jc w:val="center"/>
              <w:rPr>
                <w:rFonts w:hint="eastAsia" w:ascii="宋体" w:hAnsi="宋体"/>
                <w:szCs w:val="21"/>
              </w:rPr>
            </w:pPr>
            <w:r>
              <w:rPr>
                <w:rFonts w:hint="eastAsia" w:ascii="宋体" w:hAnsi="宋体"/>
                <w:szCs w:val="21"/>
              </w:rPr>
              <w:t>28-35</w:t>
            </w:r>
          </w:p>
        </w:tc>
        <w:tc>
          <w:tcPr>
            <w:tcW w:w="1230" w:type="dxa"/>
            <w:noWrap w:val="0"/>
            <w:vAlign w:val="center"/>
          </w:tcPr>
          <w:p>
            <w:pPr>
              <w:spacing w:line="440" w:lineRule="exact"/>
              <w:jc w:val="center"/>
              <w:rPr>
                <w:rFonts w:hint="eastAsia" w:ascii="宋体" w:hAnsi="宋体"/>
                <w:szCs w:val="21"/>
              </w:rPr>
            </w:pPr>
            <w:r>
              <w:rPr>
                <w:rFonts w:hint="eastAsia" w:ascii="宋体" w:hAnsi="宋体"/>
                <w:szCs w:val="21"/>
              </w:rPr>
              <w:t>≤30</w:t>
            </w:r>
          </w:p>
        </w:tc>
      </w:tr>
    </w:tbl>
    <w:p>
      <w:pPr>
        <w:spacing w:line="360" w:lineRule="auto"/>
        <w:ind w:firstLine="420" w:firstLineChars="200"/>
        <w:rPr>
          <w:rFonts w:hint="eastAsia" w:ascii="宋体" w:hAnsi="宋体"/>
          <w:szCs w:val="21"/>
        </w:rPr>
      </w:pPr>
      <w:r>
        <w:rPr>
          <w:rFonts w:hint="eastAsia" w:ascii="宋体" w:hAnsi="宋体"/>
          <w:szCs w:val="21"/>
        </w:rPr>
        <w:t>（3）二级道路保洁实行12小时循环保洁，早晨7时前完成全面细扫。四级道路保洁实行8小时单班循环保洁。</w:t>
      </w:r>
    </w:p>
    <w:p>
      <w:pPr>
        <w:spacing w:line="360" w:lineRule="auto"/>
        <w:ind w:firstLine="420" w:firstLineChars="200"/>
        <w:rPr>
          <w:rFonts w:ascii="宋体" w:hAnsi="宋体"/>
          <w:szCs w:val="21"/>
        </w:rPr>
      </w:pPr>
      <w:r>
        <w:rPr>
          <w:rFonts w:hint="eastAsia" w:ascii="宋体" w:hAnsi="宋体"/>
          <w:szCs w:val="21"/>
        </w:rPr>
        <w:t>（4）大桥桥面的保洁质量应与所连接的道路保洁质量标准相同，阶梯、扶手、栏杆等附属物应干净整洁，无乱贴、乱画。</w:t>
      </w:r>
    </w:p>
    <w:p>
      <w:pPr>
        <w:spacing w:line="360" w:lineRule="auto"/>
        <w:ind w:firstLine="420" w:firstLineChars="200"/>
        <w:rPr>
          <w:rFonts w:ascii="宋体" w:hAnsi="宋体"/>
          <w:szCs w:val="21"/>
        </w:rPr>
      </w:pPr>
      <w:r>
        <w:rPr>
          <w:rFonts w:hint="eastAsia" w:ascii="宋体" w:hAnsi="宋体"/>
          <w:szCs w:val="21"/>
        </w:rPr>
        <w:t>（5）道路保洁作业与安全要求：</w:t>
      </w:r>
    </w:p>
    <w:p>
      <w:pPr>
        <w:spacing w:line="360" w:lineRule="auto"/>
        <w:ind w:firstLine="420" w:firstLineChars="200"/>
        <w:rPr>
          <w:rFonts w:ascii="宋体" w:hAnsi="宋体"/>
          <w:szCs w:val="21"/>
        </w:rPr>
      </w:pPr>
      <w:r>
        <w:rPr>
          <w:rFonts w:hint="eastAsia" w:ascii="宋体" w:hAnsi="宋体"/>
          <w:szCs w:val="21"/>
        </w:rPr>
        <w:t>1、道路保洁人员必须穿着反光安全工作服执证上岗，作业时，应按车行线反方向清扫，保洁车辆停放应地点适宜，不能太靠近车行线，车容应整洁。特殊情况作业时，需在来车方向设置醒目的路障，并做好防护措施。</w:t>
      </w:r>
    </w:p>
    <w:p>
      <w:pPr>
        <w:spacing w:line="360" w:lineRule="auto"/>
        <w:ind w:firstLine="420" w:firstLineChars="200"/>
        <w:rPr>
          <w:rFonts w:ascii="宋体" w:hAnsi="宋体"/>
          <w:szCs w:val="21"/>
        </w:rPr>
      </w:pPr>
      <w:r>
        <w:rPr>
          <w:rFonts w:hint="eastAsia" w:ascii="宋体" w:hAnsi="宋体"/>
          <w:szCs w:val="21"/>
        </w:rPr>
        <w:t>2、道路保洁人员清洗、冲刷道路以及冬季雪天作业时应注意自身安全，谨防跌倒。</w:t>
      </w:r>
    </w:p>
    <w:p>
      <w:pPr>
        <w:spacing w:line="360" w:lineRule="auto"/>
        <w:ind w:firstLine="420" w:firstLineChars="200"/>
        <w:rPr>
          <w:rFonts w:ascii="宋体" w:hAnsi="宋体"/>
          <w:szCs w:val="21"/>
        </w:rPr>
      </w:pPr>
      <w:r>
        <w:rPr>
          <w:rFonts w:hint="eastAsia" w:ascii="宋体" w:hAnsi="宋体"/>
          <w:szCs w:val="21"/>
        </w:rPr>
        <w:t>3、道路保洁人员应文明作业，不得将垃圾、污水扫到、溅到行人身上，禁止将垃圾堆放或停留在窨井盖上，禁止将垃圾扫入或倒入窨井、道路绿地、河道等处，必须运送指定地点。</w:t>
      </w:r>
    </w:p>
    <w:p>
      <w:pPr>
        <w:spacing w:line="360" w:lineRule="auto"/>
        <w:ind w:firstLine="420" w:firstLineChars="200"/>
        <w:rPr>
          <w:rFonts w:ascii="宋体" w:hAnsi="宋体"/>
          <w:szCs w:val="21"/>
        </w:rPr>
      </w:pPr>
      <w:r>
        <w:rPr>
          <w:rFonts w:hint="eastAsia" w:ascii="宋体" w:hAnsi="宋体"/>
          <w:szCs w:val="21"/>
        </w:rPr>
        <w:t>4、操作员应具备相应工种资格证，带证上岗，并定时接受培训。</w:t>
      </w:r>
    </w:p>
    <w:p>
      <w:pPr>
        <w:spacing w:line="360" w:lineRule="auto"/>
        <w:ind w:firstLine="420" w:firstLineChars="200"/>
        <w:rPr>
          <w:rFonts w:ascii="宋体" w:hAnsi="宋体"/>
          <w:szCs w:val="21"/>
        </w:rPr>
      </w:pPr>
      <w:r>
        <w:rPr>
          <w:rFonts w:hint="eastAsia" w:ascii="宋体" w:hAnsi="宋体"/>
          <w:szCs w:val="21"/>
        </w:rPr>
        <w:t>5、车辆应有序停放在指定场地指定位置，并服从场地管理员的统一调配。</w:t>
      </w:r>
    </w:p>
    <w:p>
      <w:pPr>
        <w:pStyle w:val="26"/>
        <w:spacing w:before="0" w:after="0" w:line="360" w:lineRule="auto"/>
        <w:ind w:firstLine="411" w:firstLineChars="196"/>
        <w:jc w:val="both"/>
        <w:rPr>
          <w:sz w:val="21"/>
          <w:szCs w:val="21"/>
        </w:rPr>
      </w:pPr>
      <w:bookmarkStart w:id="32" w:name="_Toc15047666"/>
      <w:r>
        <w:rPr>
          <w:rFonts w:hint="eastAsia"/>
          <w:sz w:val="21"/>
          <w:szCs w:val="21"/>
        </w:rPr>
        <w:t>（二）各项目具体保洁要求</w:t>
      </w:r>
      <w:bookmarkEnd w:id="32"/>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（1）道路人工清扫保洁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1.单班循环制道路早上全面普扫应在7：00之前完成，下午应在15：00前完成。普扫结束后做好巡回保洁工作。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2、道路清扫后达到无零星垃圾、瓦砾；无果皮、纸屑、烟头、塑料袋；无积泥、水；路面、非机动车道、喇叭口净；树穴、花坛周围净。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3、街、巷、弄达到无零星垃圾、瓦砾、杂草。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4、对于道路两旁明沟应每日清理，做到沟内无垃圾、杂物，沟底无淤泥（明沟指宽度少于30厘米的屋前小沟，不包括河道）。</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每日要对绿化带（含车道绿化带、树穴人行道绿地）进行清理保洁，保持绿化区域土地平整，无杂物，无枯枝烂叶、砖石、有色垃圾、煤饼、瓦砾、纸屑、果皮、烟头、塑料袋，除下的杂草、修剪的树枝应及时清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 绿地和绿地内无烟头、瓜果皮核、纸屑、包装框、箱、盒、袋等污物。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7、保洁作业人员和作业工具管理：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1）清扫保洁工作人员上岗按照规定统一着作业装，上装须有安全反光标志，并佩带胸卡，头戴工作帽。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2）清扫保洁工作人员着装要干净整齐，无破损，不得赤膊作业，作业时不得穿拖鞋，不得随地大小便。</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3）不得利用工作之便捡卖物品、干私活等。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4）清扫保洁工作人员要遵纪守法、遵守社会公德。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5）保持作业车辆安全正常运转，车体干净整洁（不准安装外挂袋），定期维护，每天擦拭或清洗作业工具。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6）保洁员不得逆向行驶、闯红灯、横穿马路。</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（2）垃圾桶保洁质量要求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1、垃圾桶应美观、实用，与周围环境协调，完好率应不低于98%，设施周围地面应无抛撒、存留垃圾。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2、垃圾桶应定位放置，摆放整齐，设置点及周围2-3米内应整洁，无散落、存留垃圾和污水。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3、垃圾桶应无残缺、破损，封闭性好、外体干净。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垃圾收集清运保洁人员对垃圾收集点的垃圾一天收集保洁二次，垃圾应直接送至垃圾转运站，做到垃圾不满溢，车走地净；垃圾收集点周围应整洁，无散落、存留垃圾和污水，清运垃圾时禁止沿途抛撒垃圾和滴漏污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5、垃圾桶应每日清洗，保持经常性清洁、完整，不得有明显的污物，每日清运后要对垃圾桶周围地面进行冲洗。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6、垃圾桶周围打扫干净，不得有建筑垃圾，不得焚烧垃圾，保持垃圾桶周边干净。</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7、对于损坏的塑料桶应按规定及时进行修理或调换，并在蚊蝇孳生季节定时喷洒灭蝇药物（4、5、6、7、8、9、10月）。</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（3）堆积物清理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1、及时清理服务范围内路边的垃圾等堆积物。</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2、及时清理及回收服务范围内三米及以上硬化道路（含沟渠），各类废弃物必须统一回收至规定回收点。</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（4）果壳箱的清洗和管理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1、每天一次清洗保洁，每日更换垃圾袋。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2、果壳箱无破损、无垃圾外溢，桶体、箱体整洁。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3、收集人员故意损坏、破坏垃圾桶，由保洁公司全额赔偿。</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4、及时修理或更换破损、缺失的果壳箱。 </w:t>
      </w:r>
    </w:p>
    <w:p>
      <w:pPr>
        <w:spacing w:line="360" w:lineRule="auto"/>
        <w:ind w:firstLine="420" w:firstLineChars="200"/>
        <w:rPr>
          <w:rFonts w:ascii="宋体" w:hAnsi="宋体" w:cs="宋体"/>
          <w:b/>
          <w:color w:val="000000"/>
          <w:kern w:val="0"/>
          <w:szCs w:val="21"/>
        </w:rPr>
      </w:pPr>
      <w:r>
        <w:rPr>
          <w:rFonts w:hint="eastAsia" w:ascii="宋体" w:hAnsi="宋体" w:cs="宋体"/>
          <w:b/>
          <w:color w:val="000000"/>
          <w:kern w:val="0"/>
          <w:szCs w:val="21"/>
        </w:rPr>
        <w:t>（5）垃圾收集及清运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1、垃圾收集及清运实行“以桶换桶”，按规定作业路线、核定的垃圾产量和顺序进行操作，服务周到、文明。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2、有义务及时反馈营业垃圾产量的增减情况。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3、作业中不得漏点、不得任意撤点、车离点前要清扫垃圾。禁止焚烧垃圾，禁止拾废品。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4、作业结束后，车辆和垃圾桶须清洗干净、停放整齐。</w:t>
      </w:r>
    </w:p>
    <w:p>
      <w:pPr>
        <w:spacing w:line="360" w:lineRule="auto"/>
        <w:ind w:firstLine="420" w:firstLineChars="200"/>
      </w:pPr>
      <w:r>
        <w:rPr>
          <w:rFonts w:hint="eastAsia" w:ascii="宋体" w:hAnsi="宋体" w:cs="宋体"/>
          <w:color w:val="000000"/>
          <w:szCs w:val="21"/>
        </w:rPr>
        <w:t>5、垃圾及时清运，不出现垃圾桶溢满现象。</w:t>
      </w:r>
    </w:p>
    <w:p>
      <w:pPr>
        <w:pStyle w:val="26"/>
        <w:spacing w:before="0" w:after="0" w:line="360" w:lineRule="auto"/>
        <w:ind w:firstLine="411" w:firstLineChars="196"/>
        <w:jc w:val="both"/>
        <w:rPr>
          <w:rFonts w:hint="eastAsia"/>
          <w:sz w:val="21"/>
          <w:szCs w:val="21"/>
          <w:lang w:eastAsia="zh-CN"/>
        </w:rPr>
      </w:pPr>
    </w:p>
    <w:p>
      <w:pPr>
        <w:pStyle w:val="26"/>
        <w:spacing w:before="0" w:after="0" w:line="360" w:lineRule="auto"/>
        <w:ind w:firstLine="411" w:firstLineChars="196"/>
        <w:jc w:val="both"/>
        <w:rPr>
          <w:sz w:val="21"/>
          <w:szCs w:val="21"/>
          <w:lang w:eastAsia="zh-CN"/>
        </w:rPr>
      </w:pPr>
      <w:bookmarkStart w:id="33" w:name="_Toc15047667"/>
      <w:r>
        <w:rPr>
          <w:rFonts w:hint="eastAsia"/>
          <w:sz w:val="21"/>
          <w:szCs w:val="21"/>
          <w:lang w:eastAsia="zh-CN"/>
        </w:rPr>
        <w:t>五</w:t>
      </w:r>
      <w:r>
        <w:rPr>
          <w:rFonts w:hint="eastAsia"/>
          <w:sz w:val="21"/>
          <w:szCs w:val="21"/>
        </w:rPr>
        <w:t>、其它</w:t>
      </w:r>
      <w:bookmarkEnd w:id="33"/>
      <w:r>
        <w:rPr>
          <w:rFonts w:hint="eastAsia"/>
          <w:sz w:val="21"/>
          <w:szCs w:val="21"/>
          <w:lang w:eastAsia="zh-CN"/>
        </w:rPr>
        <w:t>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一）若遇如突击检查、上级部门考核、各类创建活动等特殊情况，中标人须无条件做好服务范围内的相关工作，服从采购人指挥，增加或调配人员和调整作业时间，并组织完成突击性任务，所需一切费用由中标人自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（二）中标人应在签订合同之日起一个月内向招标人提交保洁管理规定、保洁负责人岗位职责、保洁人员岗位职责等规章制度，并作为合同条款。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（三）环卫服务标准：如市、县、局有新要求，中标人必须按新要求执行，并对此进行承诺。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（四）建立健全公司各项管理制度，包括岗位职责、考勤制度、考核及奖惩制度等。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（五）做好人员安排、车辆管理等台帐的记录，积极落实投诉、通报情况，并以书面形式进行上报。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（六）制定重大活动、节庆假日、突击检查、创先评优、气象灾害和极端天气等特殊时期的应急保障措施，提供应急保洁人员安排表，并无条件配合采购人做好相关保障。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（七）选择聘用身体健康、思想端正的人员，加强管理并根据预算足额发放劳动报酬（含基本工资、特殊岗位津贴、节假日加班费、高温补贴以及购买社会保险、体检、节日慰问等福利）。</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（八）选用新科技、高性能、低能耗的机械车辆，并加强保养和维护。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（九）划分科学合理的清扫区域，按要求配置足够的清扫保洁人员。</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（十）加强对公司管理人员及重要特殊岗位工作人员的相关业务培训。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（十一）安全生产管理职责：</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（1）成立安全生产领导小组，落实安全生产责任人，制定安全生产相关制度和应急预案。配备安全生产专员，合理开支安全生产专项管理经费。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（2）办公场所、停车场地和车辆必须按标准配备灭火器等消防设备，安全用水用电，定期组织消防安全演练，宣传安全生产相关知识。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（3）加强巡查，加强安全隐患排查，发现问题及时整改，彻底杜绝安全事故的发生。如发生安全事故及时上报，不得瞒报。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（4）加强交通安全教育，督促清扫保洁人员和驾驶员遵守交通法规，注意自身和行人安全。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（5）每季度召开一次安全会议。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（6）车辆须按时年检，购买保险。</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（十二）积极落实环卫行业相关文件精神，做好企业文化宣传，积极参加环卫行业重大活动。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（十三）中标人要提供完备的相关（包括安全）台账资料的登记、管理制度，制作的各类台账要规范、真实、清晰、准确。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（1）每月根据采购人要求上交花名册、工资清单、社保清单等。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（2）建立线下保洁分配表（各路段人员分配）。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（3）不得干扰、谩骂、挑衅、延误、干扰考核人员或上级检查人员正常检查（拍照取证）。</w:t>
      </w:r>
    </w:p>
    <w:p>
      <w:pPr>
        <w:pStyle w:val="26"/>
        <w:spacing w:before="0" w:after="0" w:line="360" w:lineRule="auto"/>
        <w:ind w:firstLine="411" w:firstLineChars="196"/>
        <w:jc w:val="both"/>
        <w:rPr>
          <w:rFonts w:hint="eastAsia"/>
          <w:sz w:val="21"/>
          <w:szCs w:val="21"/>
        </w:rPr>
      </w:pPr>
      <w:r>
        <w:rPr>
          <w:sz w:val="21"/>
          <w:szCs w:val="21"/>
          <w:lang w:eastAsia="zh-CN"/>
        </w:rPr>
        <w:br w:type="page"/>
      </w:r>
      <w:r>
        <w:rPr>
          <w:rFonts w:hint="eastAsia"/>
          <w:sz w:val="21"/>
          <w:szCs w:val="21"/>
          <w:lang w:eastAsia="zh-CN"/>
        </w:rPr>
        <w:t>六</w:t>
      </w:r>
      <w:r>
        <w:rPr>
          <w:rFonts w:hint="eastAsia"/>
          <w:sz w:val="21"/>
          <w:szCs w:val="21"/>
        </w:rPr>
        <w:t>、考核标准</w:t>
      </w:r>
    </w:p>
    <w:p>
      <w:pPr>
        <w:pStyle w:val="26"/>
        <w:spacing w:before="0" w:after="0" w:line="360" w:lineRule="auto"/>
        <w:ind w:firstLine="411" w:firstLineChars="196"/>
        <w:jc w:val="both"/>
        <w:rPr>
          <w:rFonts w:hint="eastAsia"/>
          <w:sz w:val="21"/>
          <w:szCs w:val="21"/>
        </w:rPr>
      </w:pPr>
      <w:r>
        <w:rPr>
          <w:rFonts w:hint="eastAsia"/>
          <w:sz w:val="21"/>
          <w:szCs w:val="21"/>
        </w:rPr>
        <w:t>（一）考核对象</w:t>
      </w:r>
    </w:p>
    <w:p>
      <w:pPr>
        <w:spacing w:line="360" w:lineRule="auto"/>
        <w:ind w:firstLine="420" w:firstLineChars="200"/>
        <w:rPr>
          <w:rFonts w:hint="eastAsia" w:ascii="宋体" w:hAnsi="宋体"/>
          <w:szCs w:val="21"/>
        </w:rPr>
      </w:pPr>
      <w:r>
        <w:rPr>
          <w:rFonts w:hint="eastAsia" w:ascii="宋体" w:hAnsi="宋体"/>
          <w:szCs w:val="21"/>
        </w:rPr>
        <w:t>在茶院乡内进行清扫保洁及垃圾清运的保洁公司均列入考核范围。</w:t>
      </w:r>
    </w:p>
    <w:p>
      <w:pPr>
        <w:spacing w:line="360" w:lineRule="auto"/>
        <w:ind w:left="420" w:leftChars="200"/>
        <w:rPr>
          <w:rFonts w:hint="eastAsia" w:ascii="Cambria" w:hAnsi="Cambria"/>
          <w:b/>
          <w:bCs/>
          <w:kern w:val="28"/>
          <w:szCs w:val="21"/>
        </w:rPr>
      </w:pPr>
      <w:r>
        <w:rPr>
          <w:rFonts w:hint="eastAsia" w:ascii="Cambria" w:hAnsi="Cambria"/>
          <w:b/>
          <w:bCs/>
          <w:kern w:val="28"/>
          <w:szCs w:val="21"/>
        </w:rPr>
        <w:t>（二）考核机制</w:t>
      </w:r>
    </w:p>
    <w:p>
      <w:pPr>
        <w:spacing w:line="360" w:lineRule="auto"/>
        <w:ind w:firstLine="420" w:firstLineChars="200"/>
        <w:rPr>
          <w:rFonts w:hint="eastAsia" w:ascii="宋体" w:hAnsi="宋体"/>
          <w:szCs w:val="21"/>
        </w:rPr>
      </w:pPr>
      <w:r>
        <w:rPr>
          <w:rFonts w:hint="eastAsia" w:ascii="宋体" w:hAnsi="宋体"/>
          <w:szCs w:val="21"/>
        </w:rPr>
        <w:t>建立承包人每日自查、茶院乡相关部门考核全面巡查的三查制度（日常巡查、抽查，空档时间突击检查），不断总结完善考核机制，达到既能提高公司积极性，又便于考核公司的各方面工作。招标方根据每月考评结果，作出综合考核评价意见，发放每月承包经费。</w:t>
      </w:r>
    </w:p>
    <w:p>
      <w:pPr>
        <w:spacing w:line="360" w:lineRule="auto"/>
        <w:ind w:firstLine="420" w:firstLineChars="200"/>
        <w:rPr>
          <w:rFonts w:hint="eastAsia" w:ascii="Cambria" w:hAnsi="Cambria"/>
          <w:b/>
          <w:bCs/>
          <w:kern w:val="28"/>
          <w:szCs w:val="21"/>
        </w:rPr>
      </w:pPr>
      <w:r>
        <w:rPr>
          <w:rFonts w:hint="eastAsia" w:ascii="Cambria" w:hAnsi="Cambria"/>
          <w:b/>
          <w:bCs/>
          <w:kern w:val="28"/>
          <w:szCs w:val="21"/>
        </w:rPr>
        <w:t>（三）考核办法</w:t>
      </w:r>
    </w:p>
    <w:p>
      <w:pPr>
        <w:spacing w:line="360" w:lineRule="auto"/>
        <w:ind w:firstLine="420" w:firstLineChars="200"/>
        <w:rPr>
          <w:rFonts w:hint="eastAsia" w:ascii="宋体" w:hAnsi="宋体"/>
          <w:szCs w:val="21"/>
        </w:rPr>
      </w:pPr>
      <w:r>
        <w:rPr>
          <w:rFonts w:hint="eastAsia" w:ascii="宋体" w:hAnsi="宋体"/>
          <w:szCs w:val="21"/>
        </w:rPr>
        <w:t>1、月评：满分为100分，考核基础分为95分。具体情况如下：</w:t>
      </w:r>
    </w:p>
    <w:p>
      <w:pPr>
        <w:spacing w:line="360" w:lineRule="auto"/>
        <w:ind w:firstLine="420" w:firstLineChars="200"/>
        <w:rPr>
          <w:rFonts w:hint="eastAsia" w:ascii="宋体" w:hAnsi="宋体"/>
          <w:szCs w:val="21"/>
        </w:rPr>
      </w:pPr>
      <w:r>
        <w:rPr>
          <w:rFonts w:hint="eastAsia" w:ascii="宋体" w:hAnsi="宋体"/>
          <w:szCs w:val="21"/>
        </w:rPr>
        <w:t>（1）考核分在95分（含）以上的为合格，全额支付当月经费；</w:t>
      </w:r>
    </w:p>
    <w:p>
      <w:pPr>
        <w:spacing w:line="360" w:lineRule="auto"/>
        <w:ind w:firstLine="420" w:firstLineChars="200"/>
        <w:rPr>
          <w:rFonts w:hint="eastAsia" w:ascii="宋体" w:hAnsi="宋体"/>
          <w:szCs w:val="21"/>
        </w:rPr>
      </w:pPr>
      <w:r>
        <w:rPr>
          <w:rFonts w:hint="eastAsia" w:ascii="宋体" w:hAnsi="宋体"/>
          <w:szCs w:val="21"/>
        </w:rPr>
        <w:t>（2）考核分在95分-90分（含）之间，以95分为基准每下降1分，扣当月经费的1%；</w:t>
      </w:r>
    </w:p>
    <w:p>
      <w:pPr>
        <w:spacing w:line="360" w:lineRule="auto"/>
        <w:ind w:firstLine="420" w:firstLineChars="200"/>
        <w:rPr>
          <w:rFonts w:hint="eastAsia" w:ascii="宋体" w:hAnsi="宋体"/>
          <w:szCs w:val="21"/>
        </w:rPr>
      </w:pPr>
      <w:r>
        <w:rPr>
          <w:rFonts w:hint="eastAsia" w:ascii="宋体" w:hAnsi="宋体"/>
          <w:szCs w:val="21"/>
        </w:rPr>
        <w:t>（3）考核分在90分-85分（含）之间，以95分为基准每下降1分，扣当月经费的2%；</w:t>
      </w:r>
    </w:p>
    <w:p>
      <w:pPr>
        <w:spacing w:line="360" w:lineRule="auto"/>
        <w:ind w:firstLine="420" w:firstLineChars="200"/>
        <w:rPr>
          <w:rFonts w:hint="eastAsia" w:ascii="宋体" w:hAnsi="宋体"/>
          <w:szCs w:val="21"/>
        </w:rPr>
      </w:pPr>
      <w:r>
        <w:rPr>
          <w:rFonts w:hint="eastAsia" w:ascii="宋体" w:hAnsi="宋体"/>
          <w:szCs w:val="21"/>
        </w:rPr>
        <w:t>（4）考核分在85分以下，以95分为基准每下降1分，扣当月经费的3%；</w:t>
      </w:r>
    </w:p>
    <w:p>
      <w:pPr>
        <w:spacing w:line="360" w:lineRule="auto"/>
        <w:ind w:firstLine="420" w:firstLineChars="200"/>
        <w:rPr>
          <w:rFonts w:hint="eastAsia" w:ascii="宋体" w:hAnsi="宋体"/>
          <w:szCs w:val="21"/>
        </w:rPr>
      </w:pPr>
      <w:r>
        <w:rPr>
          <w:rFonts w:hint="eastAsia" w:ascii="宋体" w:hAnsi="宋体"/>
          <w:szCs w:val="21"/>
        </w:rPr>
        <w:t>（5）如连续两个月或年度累计三个月份考核分在85分以下，发包方有权单方解除合同，由此产生的后果由该承包单位自行承担。</w:t>
      </w:r>
    </w:p>
    <w:p>
      <w:pPr>
        <w:spacing w:line="360" w:lineRule="auto"/>
        <w:ind w:firstLine="420" w:firstLineChars="200"/>
        <w:rPr>
          <w:rFonts w:hint="eastAsia" w:ascii="宋体" w:hAnsi="宋体"/>
          <w:szCs w:val="21"/>
        </w:rPr>
      </w:pPr>
      <w:r>
        <w:rPr>
          <w:rFonts w:hint="eastAsia" w:ascii="宋体" w:hAnsi="宋体"/>
          <w:szCs w:val="21"/>
        </w:rPr>
        <w:t>（6）被宁海县委、县政府或大整治办等相关单位点名通报批评的（包括本、上级媒体曝光），每次扣1万元，并在一年内出现三次被宁海县委、县政府或大整治办等相关单位通报批评的，业主方有权单方面终止合同。</w:t>
      </w:r>
    </w:p>
    <w:p>
      <w:pPr>
        <w:spacing w:line="360" w:lineRule="auto"/>
        <w:ind w:firstLine="420" w:firstLineChars="200"/>
        <w:rPr>
          <w:rFonts w:hint="eastAsia" w:ascii="宋体" w:hAnsi="宋体"/>
          <w:szCs w:val="21"/>
        </w:rPr>
      </w:pPr>
      <w:r>
        <w:rPr>
          <w:rFonts w:hint="eastAsia" w:ascii="宋体" w:hAnsi="宋体"/>
          <w:szCs w:val="21"/>
        </w:rPr>
        <w:t>2、明查暗查相结合，根据考核分来核拔当月保洁经费。</w:t>
      </w:r>
    </w:p>
    <w:p>
      <w:pPr>
        <w:spacing w:line="360" w:lineRule="auto"/>
        <w:ind w:firstLine="420" w:firstLineChars="200"/>
        <w:rPr>
          <w:rFonts w:hint="eastAsia" w:ascii="Cambria" w:hAnsi="Cambria"/>
          <w:b/>
          <w:bCs/>
          <w:kern w:val="28"/>
          <w:szCs w:val="21"/>
        </w:rPr>
      </w:pPr>
      <w:r>
        <w:rPr>
          <w:rFonts w:hint="eastAsia" w:ascii="Cambria" w:hAnsi="Cambria"/>
          <w:b/>
          <w:bCs/>
          <w:kern w:val="28"/>
          <w:szCs w:val="21"/>
        </w:rPr>
        <w:t>（四）具体质量考核要求及评分标准（镇区保洁、中转站管理、垃圾分类站管理）</w:t>
      </w:r>
    </w:p>
    <w:tbl>
      <w:tblPr>
        <w:tblStyle w:val="3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649"/>
        <w:gridCol w:w="73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noWrap w:val="0"/>
            <w:vAlign w:val="center"/>
          </w:tcPr>
          <w:p>
            <w:pPr>
              <w:jc w:val="center"/>
              <w:rPr>
                <w:rFonts w:ascii="宋体" w:hAnsi="宋体"/>
                <w:szCs w:val="21"/>
              </w:rPr>
            </w:pPr>
            <w:r>
              <w:rPr>
                <w:rFonts w:hint="eastAsia" w:ascii="宋体" w:hAnsi="宋体"/>
                <w:szCs w:val="21"/>
              </w:rPr>
              <w:t>序号</w:t>
            </w:r>
          </w:p>
        </w:tc>
        <w:tc>
          <w:tcPr>
            <w:tcW w:w="1134" w:type="dxa"/>
            <w:noWrap w:val="0"/>
            <w:vAlign w:val="center"/>
          </w:tcPr>
          <w:p>
            <w:pPr>
              <w:jc w:val="center"/>
              <w:rPr>
                <w:rFonts w:ascii="宋体" w:hAnsi="宋体"/>
                <w:szCs w:val="21"/>
              </w:rPr>
            </w:pPr>
            <w:r>
              <w:rPr>
                <w:rFonts w:hint="eastAsia" w:ascii="宋体" w:hAnsi="宋体"/>
                <w:szCs w:val="21"/>
              </w:rPr>
              <w:t>考核项目</w:t>
            </w:r>
          </w:p>
        </w:tc>
        <w:tc>
          <w:tcPr>
            <w:tcW w:w="5649" w:type="dxa"/>
            <w:noWrap w:val="0"/>
            <w:vAlign w:val="center"/>
          </w:tcPr>
          <w:p>
            <w:pPr>
              <w:jc w:val="center"/>
              <w:rPr>
                <w:rFonts w:ascii="宋体" w:hAnsi="宋体"/>
                <w:szCs w:val="21"/>
              </w:rPr>
            </w:pPr>
            <w:r>
              <w:rPr>
                <w:rFonts w:hint="eastAsia" w:ascii="宋体" w:hAnsi="宋体"/>
                <w:szCs w:val="21"/>
              </w:rPr>
              <w:t>考核内容及评分标准</w:t>
            </w:r>
          </w:p>
        </w:tc>
        <w:tc>
          <w:tcPr>
            <w:tcW w:w="735" w:type="dxa"/>
            <w:noWrap w:val="0"/>
            <w:vAlign w:val="center"/>
          </w:tcPr>
          <w:p>
            <w:pPr>
              <w:jc w:val="center"/>
              <w:rPr>
                <w:rFonts w:ascii="宋体" w:hAnsi="宋体"/>
                <w:szCs w:val="21"/>
              </w:rPr>
            </w:pPr>
            <w:r>
              <w:rPr>
                <w:rFonts w:hint="eastAsia" w:ascii="宋体" w:hAnsi="宋体"/>
                <w:szCs w:val="21"/>
              </w:rPr>
              <w:t>满分</w:t>
            </w:r>
          </w:p>
        </w:tc>
        <w:tc>
          <w:tcPr>
            <w:tcW w:w="840" w:type="dxa"/>
            <w:noWrap w:val="0"/>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649" w:type="dxa"/>
            <w:noWrap w:val="0"/>
            <w:vAlign w:val="center"/>
          </w:tcPr>
          <w:p>
            <w:pPr>
              <w:widowControl/>
              <w:spacing w:line="400" w:lineRule="exact"/>
              <w:jc w:val="left"/>
              <w:rPr>
                <w:rFonts w:hint="eastAsia" w:ascii="宋体" w:hAnsi="宋体"/>
                <w:szCs w:val="21"/>
              </w:rPr>
            </w:pPr>
            <w:r>
              <w:rPr>
                <w:rFonts w:ascii="宋体" w:hAnsi="宋体"/>
                <w:szCs w:val="21"/>
              </w:rPr>
              <w:t>1</w:t>
            </w:r>
            <w:r>
              <w:rPr>
                <w:rFonts w:hint="eastAsia" w:ascii="宋体" w:hAnsi="宋体"/>
                <w:szCs w:val="21"/>
              </w:rPr>
              <w:t>、有组织机构。承包单位组织机构分工明确，能顺利找到相关责任人以及各道路清扫负责人。没有落实或落实不全面，每发现一个保洁段扣0.5分。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ascii="宋体" w:hAnsi="宋体"/>
                <w:szCs w:val="21"/>
              </w:rPr>
            </w:pPr>
            <w:r>
              <w:rPr>
                <w:rFonts w:hint="eastAsia" w:ascii="宋体" w:hAnsi="宋体"/>
                <w:szCs w:val="21"/>
              </w:rPr>
              <w:t>2、切实保障环卫工人合法权益，无因劳资纠纷引起的群体性事件发生，每发生一次扣2分。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ascii="宋体" w:hAnsi="宋体"/>
                <w:szCs w:val="21"/>
              </w:rPr>
            </w:pPr>
            <w:r>
              <w:rPr>
                <w:rFonts w:hint="eastAsia" w:ascii="宋体" w:hAnsi="宋体"/>
                <w:szCs w:val="21"/>
              </w:rPr>
              <w:t>3、具有一套完整的保洁制度，没有制度扣2分。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4、具有一套完整的内部考核机制，完善管理制度，没有机制或制度扣2分。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ascii="宋体" w:hAnsi="宋体"/>
                <w:szCs w:val="21"/>
              </w:rPr>
            </w:pPr>
            <w:r>
              <w:rPr>
                <w:rFonts w:hint="eastAsia" w:ascii="宋体" w:hAnsi="宋体"/>
                <w:szCs w:val="21"/>
              </w:rPr>
              <w:t>5、按规定配备保洁人员数17人（含轮休人员），未按规定每少一人扣0.5分。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6、配备满足垃圾清扫设备，每发现一次配备不齐全的扣0.5分。（清扫设备包括：工作服、反光背心、扫帚、三轮保洁车、畚斗、手套）</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ascii="宋体" w:hAnsi="宋体"/>
                <w:szCs w:val="21"/>
              </w:rPr>
            </w:pPr>
            <w:r>
              <w:rPr>
                <w:rFonts w:hint="eastAsia" w:ascii="宋体" w:hAnsi="宋体"/>
                <w:szCs w:val="21"/>
              </w:rPr>
              <w:t>保洁质量情况及</w:t>
            </w:r>
          </w:p>
          <w:p>
            <w:pPr>
              <w:spacing w:line="400" w:lineRule="exact"/>
              <w:jc w:val="center"/>
              <w:rPr>
                <w:rFonts w:hint="eastAsia" w:ascii="宋体" w:hAnsi="宋体"/>
                <w:szCs w:val="21"/>
              </w:rPr>
            </w:pPr>
            <w:r>
              <w:rPr>
                <w:rFonts w:hint="eastAsia" w:ascii="宋体" w:hAnsi="宋体"/>
                <w:szCs w:val="21"/>
              </w:rPr>
              <w:t>作业规范</w:t>
            </w: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1、路面（100米）纸屑、果皮、烟头、塑料袋等，有1-3个扣0.1分，4-6个扣0.2分，7-9个扣0.3分，10个以上扣0.4分。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2、道路积泥（沙石）长度＜5米的每处扣0.1分，＜10米的每处扣0.2分，＜20米的每处扣0.3分，≥20米的每处扣0.4分。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3、发现道路晴天积水，有1m2扣0.1分，1-2m2扣0.2分，3-4 m2扣0.3分，4 m2以上0.4分。冬季路面积水导致路面结冰的每处扣0.1分，导致有责交通事故的每次扣0.2分。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4、人行道各类井盖间等缝隙有垃圾（杂物）的每处扣0.1分。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5、绿化带纸屑、果皮、烟头、塑料袋等，有1-3个扣0.1分，4-6个扣0.2分，7-9个扣0.3分，10个以上扣0.4分。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6、机动车道、非机动车道、人行道（含店前道路）路面油污、污渍、污迹＜10m2的每处扣0.1分，≥10m2的每处扣0.2分，路面清洗质量不到位未见本色的，每处扣0.3分。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7、三轮保洁车外观不洁、积尘、破损，实行密闭运输发生抛洒滴漏污染路面、车厢外有吊挂垃圾等问题，每次扣0.1分；靠边停放，不得阻碍交通，每发现一次扣0.2分。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8、道路、人行道（含店前道路）漏扫的每处扣0.1分，垃圾归拢、归堆未清除的每处扣0.1分，清除不彻底的每处扣0.1分，清扫保洁时将垃圾扫入窨井中或向道路两侧反扫的每次扣0.2分；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9、环卫工人着装不规范，如衣冠不整（如钮扣不扣、工作帽歪戴等）、服装不洁、未穿着统一的工作服、未使用统一的保洁工具的每人次扣0.1分。保洁员不遵守交通规则，在机动车道骑自行车逆向行驶的每人次扣0.1分；保洁员未按车道规定有序停发保洁车辆，每人次扣0.1分；乱穿、乱闯交通信号灯的每人次扣0.1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10、垃圾未倾倒在规定地点或焚烧垃圾、树叶的每次扣0.1分。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11、道路两侧废弃物超标或有成堆垃圾的每发现一次扣0.2分。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12、中转站和垃圾分类站未能有序安排管理和运行，未配备必要的设备工具，未做好站内设施设备维修养护工作，每发现一次扣0.5分。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1、群众投诉等的道路保洁问题，经确认有责的每件问题，扣所在保洁段当月清洁度0.1分；未在规定期限内整改解决的每件问题扣所在保洁段当月清洁度0.1分；重大活动保障不力的，每发生1次扣所在保洁段当月清洁度0.5分；市级以上检查失分的，每发生1次扣所在保洁段当月清洁度0.5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2、对非当月被检道路上发现的突出保洁问题，每发生1次，所在保洁段当月清洁度扣0.1分；在规定期限内未落实整改的，每发生1次，所在保洁段当月清洁度扣0.1分。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3、在次月列入复查的道路（街巷）未在规定时间内落实整改、长效保洁不落实、典型保洁问题不解决的，每发生1次所在保洁段当月清洁度扣0.5分。</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84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widowControl/>
              <w:spacing w:line="400" w:lineRule="exact"/>
              <w:jc w:val="center"/>
              <w:rPr>
                <w:rFonts w:hint="eastAsia" w:ascii="宋体" w:hAnsi="宋体"/>
                <w:szCs w:val="21"/>
              </w:rPr>
            </w:pPr>
            <w:r>
              <w:rPr>
                <w:rFonts w:hint="eastAsia" w:ascii="宋体" w:hAnsi="宋体"/>
                <w:szCs w:val="21"/>
              </w:rPr>
              <w:t>4</w:t>
            </w:r>
          </w:p>
        </w:tc>
        <w:tc>
          <w:tcPr>
            <w:tcW w:w="1134" w:type="dxa"/>
            <w:vMerge w:val="restart"/>
            <w:noWrap w:val="0"/>
            <w:vAlign w:val="center"/>
          </w:tcPr>
          <w:p>
            <w:pPr>
              <w:widowControl/>
              <w:spacing w:line="400" w:lineRule="exact"/>
              <w:jc w:val="left"/>
              <w:rPr>
                <w:rFonts w:hint="eastAsia" w:ascii="宋体" w:hAnsi="宋体"/>
                <w:szCs w:val="21"/>
              </w:rPr>
            </w:pPr>
            <w:r>
              <w:rPr>
                <w:rFonts w:hint="eastAsia" w:ascii="宋体" w:hAnsi="宋体"/>
                <w:szCs w:val="21"/>
              </w:rPr>
              <w:t>社会形象</w:t>
            </w: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1、辖区垃圾成堆面貌差，并造成社会不良影响的事件，被国家级媒体曝光的扣4分、省级媒体曝光的扣3分、市级媒体曝光的扣2分、县级媒体曝光的扣1分，累计扣完为止</w:t>
            </w:r>
          </w:p>
        </w:tc>
        <w:tc>
          <w:tcPr>
            <w:tcW w:w="735" w:type="dxa"/>
            <w:vMerge w:val="restart"/>
            <w:noWrap w:val="0"/>
            <w:vAlign w:val="center"/>
          </w:tcPr>
          <w:p>
            <w:pPr>
              <w:widowControl/>
              <w:spacing w:line="400" w:lineRule="exact"/>
              <w:jc w:val="center"/>
              <w:rPr>
                <w:rFonts w:hint="eastAsia" w:ascii="宋体" w:hAnsi="宋体"/>
                <w:szCs w:val="21"/>
              </w:rPr>
            </w:pPr>
            <w:r>
              <w:rPr>
                <w:rFonts w:hint="eastAsia" w:ascii="宋体" w:hAnsi="宋体"/>
                <w:szCs w:val="21"/>
              </w:rPr>
              <w:t>4</w:t>
            </w:r>
          </w:p>
        </w:tc>
        <w:tc>
          <w:tcPr>
            <w:tcW w:w="840" w:type="dxa"/>
            <w:vMerge w:val="restart"/>
            <w:noWrap w:val="0"/>
            <w:vAlign w:val="center"/>
          </w:tcPr>
          <w:p>
            <w:pPr>
              <w:widowControl/>
              <w:spacing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widowControl/>
              <w:spacing w:line="400" w:lineRule="exact"/>
              <w:jc w:val="left"/>
              <w:rPr>
                <w:rFonts w:hint="eastAsia" w:ascii="宋体" w:hAnsi="宋体"/>
                <w:szCs w:val="21"/>
              </w:rPr>
            </w:pPr>
          </w:p>
        </w:tc>
        <w:tc>
          <w:tcPr>
            <w:tcW w:w="1134" w:type="dxa"/>
            <w:vMerge w:val="continue"/>
            <w:noWrap w:val="0"/>
            <w:vAlign w:val="center"/>
          </w:tcPr>
          <w:p>
            <w:pPr>
              <w:widowControl/>
              <w:spacing w:line="400" w:lineRule="exact"/>
              <w:jc w:val="left"/>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2、对被曝光的问题不及时整改的，该项不得分</w:t>
            </w:r>
          </w:p>
        </w:tc>
        <w:tc>
          <w:tcPr>
            <w:tcW w:w="735" w:type="dxa"/>
            <w:vMerge w:val="continue"/>
            <w:noWrap w:val="0"/>
            <w:vAlign w:val="center"/>
          </w:tcPr>
          <w:p>
            <w:pPr>
              <w:widowControl/>
              <w:spacing w:line="400" w:lineRule="exact"/>
              <w:jc w:val="left"/>
              <w:rPr>
                <w:rFonts w:hint="eastAsia" w:ascii="宋体" w:hAnsi="宋体"/>
                <w:szCs w:val="21"/>
              </w:rPr>
            </w:pPr>
          </w:p>
        </w:tc>
        <w:tc>
          <w:tcPr>
            <w:tcW w:w="840" w:type="dxa"/>
            <w:vMerge w:val="continue"/>
            <w:noWrap w:val="0"/>
            <w:vAlign w:val="center"/>
          </w:tcPr>
          <w:p>
            <w:pPr>
              <w:widowControl/>
              <w:spacing w:line="40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noWrap w:val="0"/>
            <w:vAlign w:val="center"/>
          </w:tcPr>
          <w:p>
            <w:pPr>
              <w:jc w:val="center"/>
              <w:rPr>
                <w:rFonts w:hint="eastAsia" w:ascii="宋体" w:hAnsi="宋体"/>
                <w:szCs w:val="21"/>
              </w:rPr>
            </w:pPr>
          </w:p>
        </w:tc>
        <w:tc>
          <w:tcPr>
            <w:tcW w:w="1134" w:type="dxa"/>
            <w:noWrap w:val="0"/>
            <w:vAlign w:val="center"/>
          </w:tcPr>
          <w:p>
            <w:pPr>
              <w:spacing w:line="400" w:lineRule="exact"/>
              <w:jc w:val="center"/>
              <w:rPr>
                <w:rFonts w:hint="eastAsia" w:ascii="宋体" w:hAnsi="宋体"/>
                <w:szCs w:val="21"/>
              </w:rPr>
            </w:pPr>
          </w:p>
        </w:tc>
        <w:tc>
          <w:tcPr>
            <w:tcW w:w="5649" w:type="dxa"/>
            <w:noWrap w:val="0"/>
            <w:vAlign w:val="center"/>
          </w:tcPr>
          <w:p>
            <w:pPr>
              <w:widowControl/>
              <w:spacing w:line="400" w:lineRule="exact"/>
              <w:jc w:val="left"/>
              <w:rPr>
                <w:rFonts w:hint="eastAsia" w:ascii="宋体" w:hAnsi="宋体"/>
                <w:szCs w:val="21"/>
              </w:rPr>
            </w:pPr>
            <w:r>
              <w:rPr>
                <w:rFonts w:hint="eastAsia" w:ascii="宋体" w:hAnsi="宋体"/>
                <w:szCs w:val="21"/>
              </w:rPr>
              <w:t>合计</w:t>
            </w:r>
          </w:p>
        </w:tc>
        <w:tc>
          <w:tcPr>
            <w:tcW w:w="735" w:type="dxa"/>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840" w:type="dxa"/>
            <w:noWrap w:val="0"/>
            <w:vAlign w:val="center"/>
          </w:tcPr>
          <w:p>
            <w:pPr>
              <w:spacing w:line="400" w:lineRule="exact"/>
              <w:jc w:val="center"/>
              <w:rPr>
                <w:rFonts w:hint="eastAsia" w:ascii="宋体" w:hAnsi="宋体"/>
                <w:szCs w:val="21"/>
              </w:rPr>
            </w:pPr>
          </w:p>
        </w:tc>
      </w:tr>
    </w:tbl>
    <w:p>
      <w:pPr>
        <w:rPr>
          <w:rFonts w:hint="eastAsia" w:ascii="宋体" w:hAnsi="宋体"/>
        </w:rPr>
      </w:pPr>
    </w:p>
    <w:p>
      <w:pPr>
        <w:spacing w:line="360" w:lineRule="auto"/>
        <w:ind w:firstLine="420" w:firstLineChars="200"/>
        <w:rPr>
          <w:rFonts w:hint="eastAsia" w:ascii="Cambria" w:hAnsi="Cambria"/>
          <w:b/>
          <w:bCs/>
          <w:kern w:val="28"/>
          <w:szCs w:val="21"/>
        </w:rPr>
      </w:pPr>
      <w:r>
        <w:rPr>
          <w:rFonts w:hint="eastAsia" w:ascii="Cambria" w:hAnsi="Cambria"/>
          <w:b/>
          <w:bCs/>
          <w:kern w:val="28"/>
          <w:szCs w:val="21"/>
        </w:rPr>
        <w:t>（五）具体质量考核要求及评分标准（垃圾清运）</w:t>
      </w:r>
    </w:p>
    <w:tbl>
      <w:tblPr>
        <w:tblStyle w:val="3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noWrap w:val="0"/>
            <w:vAlign w:val="center"/>
          </w:tcPr>
          <w:p>
            <w:pPr>
              <w:spacing w:line="400" w:lineRule="exact"/>
              <w:jc w:val="center"/>
              <w:rPr>
                <w:rFonts w:ascii="宋体" w:hAnsi="宋体"/>
                <w:szCs w:val="21"/>
              </w:rPr>
            </w:pPr>
            <w:r>
              <w:rPr>
                <w:rFonts w:hint="eastAsia" w:ascii="宋体" w:hAnsi="宋体"/>
                <w:szCs w:val="21"/>
              </w:rPr>
              <w:t>序号</w:t>
            </w:r>
          </w:p>
        </w:tc>
        <w:tc>
          <w:tcPr>
            <w:tcW w:w="1134" w:type="dxa"/>
            <w:noWrap w:val="0"/>
            <w:vAlign w:val="center"/>
          </w:tcPr>
          <w:p>
            <w:pPr>
              <w:spacing w:line="400" w:lineRule="exact"/>
              <w:jc w:val="center"/>
              <w:rPr>
                <w:rFonts w:ascii="宋体" w:hAnsi="宋体"/>
                <w:szCs w:val="21"/>
              </w:rPr>
            </w:pPr>
            <w:r>
              <w:rPr>
                <w:rFonts w:hint="eastAsia" w:ascii="宋体" w:hAnsi="宋体"/>
                <w:szCs w:val="21"/>
              </w:rPr>
              <w:t>考核项目</w:t>
            </w:r>
          </w:p>
        </w:tc>
        <w:tc>
          <w:tcPr>
            <w:tcW w:w="5529" w:type="dxa"/>
            <w:noWrap w:val="0"/>
            <w:vAlign w:val="center"/>
          </w:tcPr>
          <w:p>
            <w:pPr>
              <w:spacing w:line="400" w:lineRule="exact"/>
              <w:jc w:val="center"/>
              <w:rPr>
                <w:rFonts w:ascii="宋体" w:hAnsi="宋体"/>
                <w:szCs w:val="21"/>
              </w:rPr>
            </w:pPr>
            <w:r>
              <w:rPr>
                <w:rFonts w:hint="eastAsia" w:ascii="宋体" w:hAnsi="宋体"/>
                <w:szCs w:val="21"/>
              </w:rPr>
              <w:t>考核内容及评分标准</w:t>
            </w:r>
          </w:p>
        </w:tc>
        <w:tc>
          <w:tcPr>
            <w:tcW w:w="850" w:type="dxa"/>
            <w:noWrap w:val="0"/>
            <w:vAlign w:val="center"/>
          </w:tcPr>
          <w:p>
            <w:pPr>
              <w:spacing w:line="400" w:lineRule="exact"/>
              <w:jc w:val="center"/>
              <w:rPr>
                <w:rFonts w:ascii="宋体" w:hAnsi="宋体"/>
                <w:szCs w:val="21"/>
              </w:rPr>
            </w:pPr>
            <w:r>
              <w:rPr>
                <w:rFonts w:hint="eastAsia" w:ascii="宋体" w:hAnsi="宋体"/>
                <w:szCs w:val="21"/>
              </w:rPr>
              <w:t>满分</w:t>
            </w:r>
          </w:p>
        </w:tc>
        <w:tc>
          <w:tcPr>
            <w:tcW w:w="992" w:type="dxa"/>
            <w:noWrap w:val="0"/>
            <w:vAlign w:val="center"/>
          </w:tcPr>
          <w:p>
            <w:pPr>
              <w:spacing w:line="400" w:lineRule="exact"/>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529" w:type="dxa"/>
            <w:noWrap w:val="0"/>
            <w:vAlign w:val="center"/>
          </w:tcPr>
          <w:p>
            <w:pPr>
              <w:widowControl/>
              <w:spacing w:line="400" w:lineRule="exact"/>
              <w:jc w:val="left"/>
              <w:rPr>
                <w:rFonts w:hint="eastAsia" w:ascii="宋体" w:hAnsi="宋体"/>
                <w:szCs w:val="21"/>
              </w:rPr>
            </w:pPr>
            <w:r>
              <w:rPr>
                <w:rFonts w:ascii="宋体" w:hAnsi="宋体"/>
                <w:szCs w:val="21"/>
              </w:rPr>
              <w:t>1</w:t>
            </w:r>
            <w:r>
              <w:rPr>
                <w:rFonts w:hint="eastAsia" w:ascii="宋体" w:hAnsi="宋体"/>
                <w:szCs w:val="21"/>
              </w:rPr>
              <w:t>、有组织机构。承包单位组织机构分工明确，能顺利找到相关责任人以及各区域负责人。没有落实或落实不全面，每发现一个片区扣0.5分。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hint="eastAsia" w:ascii="宋体" w:hAnsi="宋体"/>
                <w:szCs w:val="21"/>
              </w:rPr>
              <w:t>2、切实保障垃圾清运员工合法权益，无因劳资纠纷引起的群体性事件发生，每发生一次扣2分。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hint="eastAsia" w:ascii="宋体" w:hAnsi="宋体"/>
                <w:szCs w:val="21"/>
              </w:rPr>
              <w:t>3、具有一套完整的垃圾清运制度，没有制度扣3分。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4、具有一套完整的内部考核机制，完善管理制度，没有机制或制度扣3分。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hint="eastAsia" w:ascii="宋体" w:hAnsi="宋体"/>
                <w:szCs w:val="21"/>
              </w:rPr>
              <w:t>5、按规定配备16人（含轮休人员），未按规定每少一人扣1分。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6、垃圾清运车辆使用、维保制度，没有制度扣3分。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7、垃圾清运实行定点定车定人，固定清运的原则，不满足扣2分。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ascii="宋体" w:hAnsi="宋体"/>
                <w:szCs w:val="21"/>
              </w:rPr>
            </w:pPr>
            <w:r>
              <w:rPr>
                <w:rFonts w:hint="eastAsia" w:ascii="宋体" w:hAnsi="宋体"/>
                <w:szCs w:val="21"/>
              </w:rPr>
              <w:t>垃圾清运质量情况及</w:t>
            </w:r>
          </w:p>
          <w:p>
            <w:pPr>
              <w:spacing w:line="400" w:lineRule="exact"/>
              <w:jc w:val="center"/>
              <w:rPr>
                <w:rFonts w:hint="eastAsia" w:ascii="宋体" w:hAnsi="宋体"/>
                <w:szCs w:val="21"/>
              </w:rPr>
            </w:pPr>
            <w:r>
              <w:rPr>
                <w:rFonts w:hint="eastAsia" w:ascii="宋体" w:hAnsi="宋体"/>
                <w:szCs w:val="21"/>
              </w:rPr>
              <w:t>作业规范</w:t>
            </w: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1、生活垃圾日产日清，清运率达到100％。每发现有一处地方没有清运或者清运不干净扣0.2分。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2、垃圾清运车外观不洁、积尘、破损、设备完好无损，实行密闭运输发生抛洒滴漏污染路面、车厢外有吊挂垃圾等问题，每次扣0.5分。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3、垃圾清运车将垃圾直接接触路面（或地面）进行转运的每次扣0.2分；垃圾盘布清扫干净，做到车走地净，每发现一次不合格扣0.1分。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4、垃圾清运不及时，垃圾超出垃圾桶、垃圾桶投放口平面的每处扣0.1分。垃圾收集容器边有暴露垃圾的每处扣0.1分。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5、垃圾必须排放在指定地点，不得乱倒滥卸，每发现一次未排放到指定地点或乱倒滥卸扣0.5分。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6、垃圾清运车司机必须持证上岗，不允许搞其他营运活动，每发现一次扣0.5分。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7、垃圾容器如有遗失、损坏的应及时逐级上报并查追，否则每发现少一个垃圾容器扣0.5分。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8、垃圾容器需摆正放端，否则每发现一个垃圾箱歪斜扣0.2分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9、垃圾清运司机必须严格遵守安全管理规定，自觉遵守交通法规，做到不酒后驾车、疲劳驾车、带病驾车，确保安全。每发现一次不安全行为扣0.5分。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10、每天必须按时完成清运任务，否则每发现一次扣0.5分。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1、群众投诉等的垃圾清运问题，经确认有责的每件问题，扣所在片区0.2分；未在规定期限内整改解决的每件问题扣所在片区0.1分；重大活动保障不力的，每发生1次扣所在片区0.5分；市级以上检查失分的，每发生1次扣所在片区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2、对非当月被检片区上发现的突出问题，每发生1次，所在片区扣0.1分；在规定期限内未落实整改的，每发生1次，所在片区扣0.1分。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hint="eastAsia" w:ascii="宋体" w:hAnsi="宋体"/>
                <w:szCs w:val="21"/>
              </w:rPr>
            </w:pPr>
            <w:r>
              <w:rPr>
                <w:rFonts w:hint="eastAsia" w:ascii="宋体" w:hAnsi="宋体"/>
                <w:szCs w:val="21"/>
              </w:rPr>
              <w:t>3、在次月列入复查的片区未在规定时间内落实整改、长效保洁不落实、典型保洁问题不解决的，每发生1次所在片区扣0.5分。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1、辖区垃圾成堆面貌差，并造成社会不良影响的事件，被国家级媒体曝光的扣4分、省级媒体曝光的扣3分、市级媒体曝光的扣2分、县级媒体曝光的扣1分，累计扣完为止</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2、对被曝光的问题不及时整改的，该项不得分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tabs>
          <w:tab w:val="left" w:pos="780"/>
        </w:tabs>
        <w:spacing w:line="440" w:lineRule="exact"/>
        <w:rPr>
          <w:rFonts w:hint="eastAsia" w:ascii="宋体" w:hAnsi="宋体"/>
          <w:b/>
          <w:sz w:val="24"/>
        </w:rPr>
      </w:pPr>
    </w:p>
    <w:p>
      <w:pPr>
        <w:rPr>
          <w:rFonts w:hint="eastAsia"/>
        </w:rPr>
      </w:pPr>
    </w:p>
    <w:p>
      <w:pPr>
        <w:pStyle w:val="26"/>
        <w:spacing w:before="0" w:after="0" w:line="360" w:lineRule="auto"/>
        <w:ind w:firstLine="411" w:firstLineChars="196"/>
        <w:jc w:val="both"/>
        <w:rPr>
          <w:sz w:val="21"/>
          <w:szCs w:val="21"/>
        </w:rPr>
      </w:pPr>
      <w:r>
        <w:rPr>
          <w:sz w:val="21"/>
          <w:szCs w:val="21"/>
          <w:lang w:eastAsia="zh-CN"/>
        </w:rPr>
        <w:br w:type="page"/>
      </w:r>
      <w:r>
        <w:rPr>
          <w:rFonts w:hint="eastAsia"/>
          <w:sz w:val="21"/>
          <w:szCs w:val="21"/>
          <w:lang w:eastAsia="zh-CN"/>
        </w:rPr>
        <w:t>七</w:t>
      </w:r>
      <w:r>
        <w:rPr>
          <w:rFonts w:hint="eastAsia"/>
          <w:sz w:val="21"/>
          <w:szCs w:val="21"/>
        </w:rPr>
        <w:t>、商务条款</w:t>
      </w:r>
    </w:p>
    <w:p>
      <w:pPr>
        <w:spacing w:line="360" w:lineRule="auto"/>
        <w:ind w:firstLine="420" w:firstLineChars="200"/>
        <w:rPr>
          <w:rFonts w:hint="eastAsia" w:ascii="宋体" w:hAnsi="宋体"/>
          <w:szCs w:val="21"/>
        </w:rPr>
      </w:pPr>
      <w:r>
        <w:rPr>
          <w:rFonts w:hint="eastAsia" w:ascii="宋体" w:hAnsi="宋体"/>
          <w:szCs w:val="21"/>
        </w:rPr>
        <w:t>1、服务期限：本项目一招定三</w:t>
      </w:r>
      <w:r>
        <w:rPr>
          <w:rFonts w:ascii="宋体" w:hAnsi="宋体"/>
          <w:szCs w:val="21"/>
        </w:rPr>
        <w:t>年，合同一年一签</w:t>
      </w:r>
      <w:r>
        <w:rPr>
          <w:rFonts w:hint="eastAsia" w:ascii="宋体" w:hAnsi="宋体"/>
          <w:szCs w:val="21"/>
        </w:rPr>
        <w:t>（经政府采购管理部门批准和招标人考核合格，双方同意后，续签下一年度的合同）</w:t>
      </w:r>
      <w:r>
        <w:rPr>
          <w:rFonts w:ascii="宋体" w:hAnsi="宋体"/>
          <w:szCs w:val="21"/>
        </w:rPr>
        <w:t>。</w:t>
      </w:r>
      <w:r>
        <w:rPr>
          <w:rFonts w:hint="eastAsia" w:ascii="宋体" w:hAnsi="宋体"/>
          <w:szCs w:val="21"/>
        </w:rPr>
        <w:t>合同续签后，应经原政府采购代理机构鉴证，并报宁海县政府采购管理办公室备案。</w:t>
      </w:r>
    </w:p>
    <w:p>
      <w:pPr>
        <w:spacing w:line="360" w:lineRule="auto"/>
        <w:ind w:firstLine="420" w:firstLineChars="200"/>
        <w:rPr>
          <w:rFonts w:hint="eastAsia" w:ascii="宋体" w:hAnsi="宋体"/>
          <w:szCs w:val="21"/>
        </w:rPr>
      </w:pPr>
      <w:r>
        <w:rPr>
          <w:rFonts w:hint="eastAsia" w:ascii="宋体" w:hAnsi="宋体"/>
          <w:szCs w:val="21"/>
        </w:rPr>
        <w:t>2、签订合同时间：中标通知书发出后30天内。</w:t>
      </w:r>
    </w:p>
    <w:p>
      <w:pPr>
        <w:spacing w:line="360" w:lineRule="auto"/>
        <w:ind w:firstLine="420" w:firstLineChars="200"/>
        <w:rPr>
          <w:rFonts w:hint="eastAsia" w:ascii="宋体" w:hAnsi="宋体"/>
          <w:szCs w:val="21"/>
        </w:rPr>
      </w:pPr>
      <w:r>
        <w:rPr>
          <w:rFonts w:hint="eastAsia" w:ascii="宋体" w:hAnsi="宋体"/>
          <w:szCs w:val="21"/>
        </w:rPr>
        <w:t>3、付款方式：在确认完成当月工作并通过考核后，按月支付给中标方。以上付款方式结合每月考核结果予以支付，具体方法为：</w:t>
      </w:r>
    </w:p>
    <w:p>
      <w:pPr>
        <w:spacing w:line="360" w:lineRule="auto"/>
        <w:ind w:firstLine="420" w:firstLineChars="200"/>
        <w:rPr>
          <w:rFonts w:hint="eastAsia" w:ascii="宋体" w:hAnsi="宋体"/>
          <w:szCs w:val="21"/>
        </w:rPr>
      </w:pPr>
      <w:r>
        <w:rPr>
          <w:rFonts w:hint="eastAsia" w:ascii="宋体" w:hAnsi="宋体"/>
          <w:szCs w:val="21"/>
        </w:rPr>
        <w:t>（1）考核分在95分（含）以上的为合格，全额支付当月经费；</w:t>
      </w:r>
    </w:p>
    <w:p>
      <w:pPr>
        <w:spacing w:line="360" w:lineRule="auto"/>
        <w:ind w:firstLine="420" w:firstLineChars="200"/>
        <w:rPr>
          <w:rFonts w:hint="eastAsia" w:ascii="宋体" w:hAnsi="宋体"/>
          <w:szCs w:val="21"/>
        </w:rPr>
      </w:pPr>
      <w:r>
        <w:rPr>
          <w:rFonts w:hint="eastAsia" w:ascii="宋体" w:hAnsi="宋体"/>
          <w:szCs w:val="21"/>
        </w:rPr>
        <w:t>（2）考核分在95分-90分（含）之间，以95分为基准每下降1分，扣当月经费的1%；</w:t>
      </w:r>
    </w:p>
    <w:p>
      <w:pPr>
        <w:spacing w:line="360" w:lineRule="auto"/>
        <w:ind w:firstLine="420" w:firstLineChars="200"/>
        <w:rPr>
          <w:rFonts w:hint="eastAsia" w:ascii="宋体" w:hAnsi="宋体"/>
          <w:szCs w:val="21"/>
        </w:rPr>
      </w:pPr>
      <w:r>
        <w:rPr>
          <w:rFonts w:hint="eastAsia" w:ascii="宋体" w:hAnsi="宋体"/>
          <w:szCs w:val="21"/>
        </w:rPr>
        <w:t>（3）考核分在90分-85分（含）之间，以95分为基准每下降1分，扣当月经费的2%；</w:t>
      </w:r>
    </w:p>
    <w:p>
      <w:pPr>
        <w:spacing w:line="360" w:lineRule="auto"/>
        <w:ind w:firstLine="420" w:firstLineChars="200"/>
        <w:rPr>
          <w:rFonts w:hint="eastAsia" w:ascii="宋体" w:hAnsi="宋体"/>
          <w:szCs w:val="21"/>
        </w:rPr>
      </w:pPr>
      <w:r>
        <w:rPr>
          <w:rFonts w:hint="eastAsia" w:ascii="宋体" w:hAnsi="宋体"/>
          <w:szCs w:val="21"/>
        </w:rPr>
        <w:t>（4）考核分在85分以下，以95分为基准每下降1分，扣当月经费的3%；</w:t>
      </w:r>
    </w:p>
    <w:p>
      <w:pPr>
        <w:spacing w:line="360" w:lineRule="auto"/>
        <w:ind w:firstLine="420" w:firstLineChars="200"/>
        <w:rPr>
          <w:rFonts w:hint="eastAsia" w:ascii="宋体" w:hAnsi="宋体"/>
          <w:szCs w:val="21"/>
        </w:rPr>
      </w:pPr>
      <w:r>
        <w:rPr>
          <w:rFonts w:hint="eastAsia" w:ascii="宋体" w:hAnsi="宋体"/>
          <w:szCs w:val="21"/>
        </w:rPr>
        <w:t>（5）如连续两个月或年度累计三个月份考核分在85分以下，发包方有权单方解除合同，由此产生的后果由该承包单位自行承担。</w:t>
      </w:r>
    </w:p>
    <w:p>
      <w:pPr>
        <w:spacing w:line="360" w:lineRule="auto"/>
        <w:ind w:firstLine="420" w:firstLineChars="200"/>
        <w:rPr>
          <w:rFonts w:hint="eastAsia" w:ascii="宋体" w:hAnsi="宋体"/>
          <w:szCs w:val="21"/>
        </w:rPr>
      </w:pPr>
      <w:r>
        <w:rPr>
          <w:rFonts w:hint="eastAsia" w:ascii="宋体" w:hAnsi="宋体"/>
          <w:szCs w:val="21"/>
        </w:rPr>
        <w:t>（6）被宁海县委、县政府或大整治办等相关单位点名通报批评的（包括本、上级媒体曝光），每次扣1万元，并在一年内出现三次被宁海县委、县政府或大整治办等相关单位通报批评的，业主方有权单方面终止合同。</w:t>
      </w:r>
    </w:p>
    <w:p>
      <w:pPr>
        <w:spacing w:line="360" w:lineRule="auto"/>
        <w:ind w:firstLine="420" w:firstLineChars="200"/>
        <w:rPr>
          <w:rFonts w:hint="eastAsia" w:ascii="宋体" w:hAnsi="宋体"/>
          <w:szCs w:val="21"/>
        </w:rPr>
      </w:pPr>
      <w:r>
        <w:rPr>
          <w:rFonts w:hint="eastAsia" w:ascii="宋体" w:hAnsi="宋体"/>
          <w:szCs w:val="21"/>
        </w:rPr>
        <w:t>4、履约保证金：履约保证金为合同总金额的5%，签订合同前支付。</w:t>
      </w:r>
    </w:p>
    <w:p>
      <w:pPr>
        <w:spacing w:line="360" w:lineRule="auto"/>
        <w:ind w:firstLine="420" w:firstLineChars="200"/>
        <w:rPr>
          <w:rFonts w:hint="eastAsia" w:ascii="宋体" w:hAnsi="宋体"/>
          <w:szCs w:val="21"/>
        </w:rPr>
      </w:pPr>
      <w:r>
        <w:rPr>
          <w:rFonts w:hint="eastAsia" w:ascii="宋体" w:hAnsi="宋体"/>
          <w:szCs w:val="21"/>
        </w:rPr>
        <w:t>履约保证金形式：以银行汇票、转账、电汇、保函等形式缴纳至专用帐户。</w:t>
      </w:r>
      <w:r>
        <w:rPr>
          <w:rFonts w:ascii="宋体" w:hAnsi="宋体"/>
          <w:szCs w:val="21"/>
        </w:rPr>
        <w:t>履约保证金在</w:t>
      </w:r>
      <w:r>
        <w:rPr>
          <w:rFonts w:hint="eastAsia" w:ascii="宋体" w:hAnsi="宋体"/>
          <w:szCs w:val="21"/>
        </w:rPr>
        <w:t>保洁服务合同完成</w:t>
      </w:r>
      <w:r>
        <w:rPr>
          <w:rFonts w:ascii="宋体" w:hAnsi="宋体"/>
          <w:szCs w:val="21"/>
        </w:rPr>
        <w:t>后</w:t>
      </w:r>
      <w:r>
        <w:rPr>
          <w:rFonts w:hint="eastAsia" w:ascii="宋体" w:hAnsi="宋体"/>
          <w:szCs w:val="21"/>
        </w:rPr>
        <w:t>无息</w:t>
      </w:r>
      <w:r>
        <w:rPr>
          <w:rFonts w:ascii="宋体" w:hAnsi="宋体"/>
          <w:szCs w:val="21"/>
        </w:rPr>
        <w:t>退还。</w:t>
      </w:r>
      <w:r>
        <w:rPr>
          <w:rFonts w:hint="eastAsia" w:ascii="宋体" w:hAnsi="宋体"/>
          <w:szCs w:val="21"/>
        </w:rPr>
        <w:t>如中标方未能履行合同规定的任何义务，招标人有权从履约保证金中得到补偿。</w:t>
      </w:r>
    </w:p>
    <w:p>
      <w:pPr>
        <w:spacing w:line="360" w:lineRule="auto"/>
        <w:ind w:firstLine="420" w:firstLineChars="200"/>
        <w:rPr>
          <w:rFonts w:hint="eastAsia" w:ascii="宋体" w:hAnsi="宋体"/>
          <w:szCs w:val="21"/>
        </w:rPr>
      </w:pPr>
      <w:r>
        <w:rPr>
          <w:rFonts w:hint="eastAsia" w:ascii="宋体" w:hAnsi="宋体"/>
          <w:szCs w:val="21"/>
        </w:rPr>
        <w:t>5、对招标内容变更的处理：</w:t>
      </w:r>
    </w:p>
    <w:p>
      <w:pPr>
        <w:spacing w:line="360" w:lineRule="auto"/>
        <w:ind w:firstLine="420" w:firstLineChars="200"/>
        <w:rPr>
          <w:rFonts w:hint="eastAsia" w:ascii="宋体" w:hAnsi="宋体"/>
          <w:szCs w:val="21"/>
        </w:rPr>
      </w:pPr>
      <w:r>
        <w:rPr>
          <w:rFonts w:hint="eastAsia" w:ascii="宋体" w:hAnsi="宋体"/>
          <w:szCs w:val="21"/>
        </w:rPr>
        <w:t>（1）合同期内，因故致使本合同保洁项目面积、设施发生变更的，由招标人根据实际变更量，按中标综合单价进行增减，按实结算保洁服务费（已明确承包范围的除外），以联系单为准。</w:t>
      </w:r>
    </w:p>
    <w:p>
      <w:pPr>
        <w:spacing w:line="360" w:lineRule="auto"/>
        <w:ind w:firstLine="420" w:firstLineChars="200"/>
        <w:rPr>
          <w:rFonts w:hint="eastAsia" w:ascii="宋体" w:hAnsi="宋体"/>
          <w:szCs w:val="21"/>
        </w:rPr>
      </w:pPr>
      <w:r>
        <w:rPr>
          <w:rFonts w:hint="eastAsia" w:ascii="宋体" w:hAnsi="宋体"/>
          <w:szCs w:val="21"/>
        </w:rPr>
        <w:t>（2）村社级垃圾桶摆放共有1159只（140L），其中厨余数垃圾桶466个，其他垃圾618个，可回收垃圾桶40个，有害垃圾桶35个；（实际清运过程中，若垃圾桶数量增减10%以内，不予调整保洁经费）。增减超过10%（含）的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（3）国家上调最低工资标准的，按实际上调额及税收另行追加人员工资费；</w:t>
      </w:r>
    </w:p>
    <w:p>
      <w:pPr>
        <w:spacing w:line="360" w:lineRule="auto"/>
        <w:ind w:firstLine="420" w:firstLineChars="200"/>
        <w:rPr>
          <w:rFonts w:hint="eastAsia" w:ascii="宋体" w:hAnsi="宋体"/>
          <w:szCs w:val="21"/>
        </w:rPr>
      </w:pPr>
      <w:r>
        <w:rPr>
          <w:rFonts w:hint="eastAsia" w:ascii="宋体" w:hAnsi="宋体"/>
          <w:szCs w:val="21"/>
        </w:rPr>
        <w:t>（4）因工作需要调整保洁、垃圾清运标准的，按新标准重新测算服务费。</w:t>
      </w:r>
    </w:p>
    <w:p>
      <w:pPr>
        <w:pStyle w:val="34"/>
      </w:pPr>
      <w:r>
        <w:rPr>
          <w:rFonts w:ascii="宋体" w:hAnsi="宋体"/>
          <w:kern w:val="0"/>
          <w:szCs w:val="21"/>
        </w:rPr>
        <w:br w:type="page"/>
      </w:r>
      <w:bookmarkStart w:id="34" w:name="_Toc481567074"/>
      <w:bookmarkStart w:id="35" w:name="_Toc494480062"/>
      <w:r>
        <w:rPr>
          <w:rFonts w:hint="eastAsia"/>
        </w:rPr>
        <w:t>第四章 开标及评标</w:t>
      </w:r>
      <w:bookmarkEnd w:id="34"/>
      <w:bookmarkEnd w:id="35"/>
    </w:p>
    <w:p>
      <w:pPr>
        <w:spacing w:line="360" w:lineRule="auto"/>
        <w:ind w:firstLine="420" w:firstLineChars="200"/>
      </w:pPr>
      <w:r>
        <w:rPr>
          <w:rFonts w:hint="eastAsia"/>
        </w:rPr>
        <w:t>采购代理机构将在规定的时间和地点进行开标，投标人的法定代表人或其授权代表应参加开标会并签到。投标人的法定代表人或其授权代表未到场的，视同放弃开标监督权利、认可开标结果。</w:t>
      </w:r>
    </w:p>
    <w:p>
      <w:pPr>
        <w:pStyle w:val="26"/>
        <w:spacing w:before="0" w:after="0" w:line="360" w:lineRule="auto"/>
        <w:ind w:firstLine="411" w:firstLineChars="196"/>
        <w:jc w:val="both"/>
        <w:rPr>
          <w:sz w:val="21"/>
          <w:szCs w:val="21"/>
        </w:rPr>
      </w:pPr>
      <w:bookmarkStart w:id="36" w:name="_Toc481567075"/>
      <w:bookmarkStart w:id="37" w:name="_Toc494480063"/>
      <w:r>
        <w:rPr>
          <w:rFonts w:hint="eastAsia"/>
          <w:sz w:val="21"/>
          <w:szCs w:val="21"/>
        </w:rPr>
        <w:t>一、开标程序</w:t>
      </w:r>
      <w:bookmarkEnd w:id="36"/>
      <w:bookmarkEnd w:id="37"/>
    </w:p>
    <w:p>
      <w:pPr>
        <w:spacing w:line="360" w:lineRule="auto"/>
        <w:ind w:firstLine="420" w:firstLineChars="200"/>
      </w:pPr>
      <w:bookmarkStart w:id="38" w:name="_Toc494480064"/>
      <w:bookmarkStart w:id="39" w:name="_Toc249866769"/>
      <w:bookmarkStart w:id="40" w:name="_Toc259108326"/>
      <w:r>
        <w:rPr>
          <w:rFonts w:hint="eastAsia"/>
        </w:rPr>
        <w:t>（一）开标会由采购代理机构主持，主持人宣布开标会议开始；</w:t>
      </w:r>
    </w:p>
    <w:p>
      <w:pPr>
        <w:spacing w:line="360" w:lineRule="auto"/>
        <w:ind w:firstLine="420" w:firstLineChars="200"/>
      </w:pPr>
      <w:r>
        <w:rPr>
          <w:rFonts w:hint="eastAsia"/>
        </w:rPr>
        <w:t>（二）主持人介绍参加开标会的人员名单；</w:t>
      </w:r>
      <w:r>
        <w:t xml:space="preserve"> </w:t>
      </w:r>
    </w:p>
    <w:p>
      <w:pPr>
        <w:spacing w:line="360" w:lineRule="auto"/>
        <w:ind w:firstLine="420" w:firstLineChars="200"/>
      </w:pPr>
      <w:r>
        <w:rPr>
          <w:rFonts w:hint="eastAsia"/>
        </w:rPr>
        <w:t>（三）主持人宣布评标期间的有关事项，告知应当回避的情形，提请有关人员回避；</w:t>
      </w:r>
    </w:p>
    <w:p>
      <w:pPr>
        <w:spacing w:line="360" w:lineRule="auto"/>
        <w:ind w:firstLine="420" w:firstLineChars="200"/>
      </w:pPr>
      <w:r>
        <w:rPr>
          <w:rFonts w:hint="eastAsia"/>
        </w:rPr>
        <w:t>（四）投标人或其当场推荐的代表检查投标文件密封的完整性并签名确认；</w:t>
      </w:r>
    </w:p>
    <w:p>
      <w:pPr>
        <w:spacing w:line="360" w:lineRule="auto"/>
        <w:ind w:firstLine="420" w:firstLineChars="200"/>
      </w:pPr>
      <w:r>
        <w:rPr>
          <w:rFonts w:hint="eastAsia"/>
        </w:rPr>
        <w:t>（五）按各投标人提交投标文件时间的先后顺序打开资信技术文件外包装，清点投标文件正本、副本数量，符合采购文件要求的送评标室评审；不符合要求的，当场退还投标人，并由投标人代表签名确认；</w:t>
      </w:r>
    </w:p>
    <w:p>
      <w:pPr>
        <w:spacing w:line="360" w:lineRule="auto"/>
        <w:ind w:firstLine="420" w:firstLineChars="200"/>
      </w:pPr>
      <w:r>
        <w:rPr>
          <w:rFonts w:hint="eastAsia"/>
        </w:rPr>
        <w:t>（六）资信技术评分结束后，由主持人公布无效投标的投标人名单、投标无效的原因及其他有效投标的评分结果；</w:t>
      </w:r>
    </w:p>
    <w:p>
      <w:pPr>
        <w:spacing w:line="360" w:lineRule="auto"/>
        <w:ind w:firstLine="420" w:firstLineChars="200"/>
      </w:pPr>
      <w:r>
        <w:rPr>
          <w:rFonts w:hint="eastAsia"/>
        </w:rPr>
        <w:t>（七）由主持人宣读《开标一览表》中的投标人名称及在其投标文件中承诺的投标报价、投标内容（投标设备名称、规格型号或者服务项目名称），以及采购代理机构认为有必要宣读的其他内容；</w:t>
      </w:r>
    </w:p>
    <w:p>
      <w:pPr>
        <w:spacing w:line="360" w:lineRule="auto"/>
        <w:ind w:firstLine="420" w:firstLineChars="200"/>
      </w:pPr>
      <w:r>
        <w:rPr>
          <w:rFonts w:hint="eastAsia"/>
        </w:rPr>
        <w:t>（八）采购代理机构做开标记录，</w:t>
      </w:r>
      <w:r>
        <w:t xml:space="preserve"> </w:t>
      </w:r>
      <w:r>
        <w:rPr>
          <w:rFonts w:hint="eastAsia"/>
        </w:rPr>
        <w:t>同时由记录人、监督人当场签名确认；</w:t>
      </w:r>
    </w:p>
    <w:p>
      <w:pPr>
        <w:spacing w:line="360" w:lineRule="auto"/>
        <w:ind w:firstLine="420" w:firstLineChars="200"/>
      </w:pPr>
      <w:r>
        <w:rPr>
          <w:rFonts w:hint="eastAsia"/>
        </w:rPr>
        <w:t>（九）公布中标候选人名单；</w:t>
      </w:r>
    </w:p>
    <w:p>
      <w:pPr>
        <w:spacing w:line="360" w:lineRule="auto"/>
        <w:ind w:firstLine="420" w:firstLineChars="200"/>
      </w:pPr>
      <w:r>
        <w:rPr>
          <w:rFonts w:hint="eastAsia"/>
        </w:rPr>
        <w:t>（十）开标会议结束。</w:t>
      </w:r>
    </w:p>
    <w:p>
      <w:pPr>
        <w:pStyle w:val="26"/>
        <w:spacing w:before="0" w:after="0" w:line="360" w:lineRule="auto"/>
        <w:ind w:firstLine="411" w:firstLineChars="196"/>
        <w:jc w:val="both"/>
        <w:rPr>
          <w:rFonts w:hint="eastAsia"/>
          <w:sz w:val="21"/>
          <w:szCs w:val="21"/>
        </w:rPr>
      </w:pPr>
      <w:r>
        <w:rPr>
          <w:rFonts w:hint="eastAsia"/>
          <w:sz w:val="21"/>
          <w:szCs w:val="21"/>
        </w:rPr>
        <w:t>二、评标委员会</w:t>
      </w:r>
      <w:bookmarkEnd w:id="38"/>
    </w:p>
    <w:p>
      <w:pPr>
        <w:spacing w:line="360" w:lineRule="auto"/>
        <w:ind w:firstLine="420" w:firstLineChars="200"/>
        <w:rPr>
          <w:rFonts w:hint="eastAsia"/>
        </w:rPr>
      </w:pPr>
      <w:r>
        <w:rPr>
          <w:rFonts w:hint="eastAsia"/>
        </w:rPr>
        <w:t>（一）本次招标依法组建评标委员会。评标委员会共计5人，均从政采云平台随机抽取，采购人不派代表评审。</w:t>
      </w:r>
    </w:p>
    <w:p>
      <w:pPr>
        <w:spacing w:line="360" w:lineRule="auto"/>
        <w:ind w:firstLine="420" w:firstLineChars="200"/>
      </w:pPr>
      <w:r>
        <w:rPr>
          <w:rFonts w:hint="eastAsia"/>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420" w:firstLineChars="200"/>
        <w:rPr>
          <w:rFonts w:hint="eastAsia"/>
        </w:rPr>
      </w:pPr>
      <w:r>
        <w:rPr>
          <w:rFonts w:hint="eastAsia"/>
        </w:rPr>
        <w:t>（三）评审专家有下列情形之一的，受到邀请应主动提出回避，采购当事人也可以要求该评审专家回避：</w:t>
      </w:r>
    </w:p>
    <w:p>
      <w:pPr>
        <w:spacing w:line="360" w:lineRule="auto"/>
        <w:ind w:firstLine="420" w:firstLineChars="200"/>
        <w:rPr>
          <w:rFonts w:hint="eastAsia"/>
        </w:rPr>
      </w:pPr>
      <w:r>
        <w:rPr>
          <w:rFonts w:hint="eastAsia"/>
        </w:rPr>
        <w:t>1、本人、配偶或直系亲属3年内曾在参加该采购项目的投标人中任职（包括一般工作）或担任顾问，或与参加该采购项目的投标人发生过法律纠纷；</w:t>
      </w:r>
    </w:p>
    <w:p>
      <w:pPr>
        <w:spacing w:line="360" w:lineRule="auto"/>
        <w:ind w:firstLine="420" w:firstLineChars="200"/>
        <w:rPr>
          <w:rFonts w:hint="eastAsia"/>
        </w:rPr>
      </w:pPr>
      <w:r>
        <w:rPr>
          <w:rFonts w:hint="eastAsia"/>
        </w:rPr>
        <w:t>2、任职单位与采购人或参加该采购项目投标人存在行政隶属关系；</w:t>
      </w:r>
    </w:p>
    <w:p>
      <w:pPr>
        <w:spacing w:line="360" w:lineRule="auto"/>
        <w:ind w:firstLine="420" w:firstLineChars="200"/>
        <w:rPr>
          <w:rFonts w:hint="eastAsia"/>
        </w:rPr>
      </w:pPr>
      <w:r>
        <w:rPr>
          <w:rFonts w:hint="eastAsia"/>
        </w:rPr>
        <w:t>3、曾经参加过该采购项目的进口产品或采购文件、采购需求、采购方式的论证和咨询服务工作；</w:t>
      </w:r>
    </w:p>
    <w:p>
      <w:pPr>
        <w:spacing w:line="360" w:lineRule="auto"/>
        <w:ind w:firstLine="420" w:firstLineChars="200"/>
        <w:rPr>
          <w:rFonts w:hint="eastAsia"/>
        </w:rPr>
      </w:pPr>
      <w:r>
        <w:rPr>
          <w:rFonts w:hint="eastAsia"/>
        </w:rPr>
        <w:t>4、是参加该采购项目投标人的上级主管部门、控股或参股单位的工作人员，或与该投标人存在其他经济利益关系；</w:t>
      </w:r>
    </w:p>
    <w:p>
      <w:pPr>
        <w:spacing w:line="360" w:lineRule="auto"/>
        <w:ind w:firstLine="420" w:firstLineChars="200"/>
        <w:rPr>
          <w:rFonts w:hint="eastAsia"/>
        </w:rPr>
      </w:pPr>
      <w:r>
        <w:rPr>
          <w:rFonts w:hint="eastAsia"/>
        </w:rPr>
        <w:t>5、评审委员会成员之间具有配偶、近亲属关系；</w:t>
      </w:r>
    </w:p>
    <w:p>
      <w:pPr>
        <w:spacing w:line="360" w:lineRule="auto"/>
        <w:ind w:firstLine="420" w:firstLineChars="200"/>
        <w:rPr>
          <w:rFonts w:hint="eastAsia"/>
        </w:rPr>
      </w:pPr>
      <w:r>
        <w:rPr>
          <w:rFonts w:hint="eastAsia"/>
        </w:rPr>
        <w:t>6、同一单位的评审专家在同一项目评审委员会成员中超过一名；</w:t>
      </w:r>
    </w:p>
    <w:p>
      <w:pPr>
        <w:spacing w:line="360" w:lineRule="auto"/>
        <w:ind w:firstLine="420" w:firstLineChars="200"/>
        <w:rPr>
          <w:rFonts w:hint="eastAsia"/>
        </w:rPr>
      </w:pPr>
      <w:r>
        <w:rPr>
          <w:rFonts w:hint="eastAsia"/>
        </w:rPr>
        <w:t>7、法律、法规、规章规定应当回避以及其他可能影响公正评审的。</w:t>
      </w:r>
    </w:p>
    <w:p>
      <w:pPr>
        <w:spacing w:line="360" w:lineRule="auto"/>
        <w:ind w:firstLine="420" w:firstLineChars="200"/>
        <w:rPr>
          <w:rFonts w:hint="eastAsia"/>
        </w:rPr>
      </w:pPr>
      <w:r>
        <w:rPr>
          <w:rFonts w:hint="eastAsia"/>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420" w:firstLineChars="200"/>
        <w:rPr>
          <w:rFonts w:hint="eastAsia"/>
        </w:rPr>
      </w:pPr>
      <w:r>
        <w:rPr>
          <w:rFonts w:hint="eastAsia"/>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6"/>
        <w:spacing w:before="0" w:after="0" w:line="360" w:lineRule="auto"/>
        <w:ind w:firstLine="411" w:firstLineChars="196"/>
        <w:jc w:val="both"/>
        <w:rPr>
          <w:sz w:val="21"/>
          <w:szCs w:val="21"/>
        </w:rPr>
      </w:pPr>
      <w:bookmarkStart w:id="41" w:name="_Toc494480065"/>
      <w:bookmarkStart w:id="42" w:name="_Toc481567076"/>
      <w:r>
        <w:rPr>
          <w:rFonts w:hint="eastAsia"/>
          <w:sz w:val="21"/>
          <w:szCs w:val="21"/>
        </w:rPr>
        <w:t>三、评标方法</w:t>
      </w:r>
      <w:bookmarkEnd w:id="41"/>
      <w:bookmarkEnd w:id="42"/>
    </w:p>
    <w:p>
      <w:pPr>
        <w:spacing w:line="360" w:lineRule="auto"/>
        <w:ind w:firstLine="420" w:firstLineChars="200"/>
        <w:rPr>
          <w:rFonts w:hint="eastAsia"/>
        </w:rPr>
      </w:pPr>
      <w:r>
        <w:rPr>
          <w:rFonts w:hint="eastAsia"/>
        </w:rPr>
        <w:t>（一）本次采购项目的评标方法为：综合评分法。</w:t>
      </w:r>
    </w:p>
    <w:p>
      <w:pPr>
        <w:spacing w:line="360" w:lineRule="auto"/>
        <w:ind w:firstLine="420" w:firstLineChars="200"/>
        <w:rPr>
          <w:rFonts w:hint="eastAsia"/>
        </w:rPr>
      </w:pPr>
      <w:r>
        <w:rPr>
          <w:rFonts w:hint="eastAsia"/>
        </w:rPr>
        <w:t>（二）评分权重</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375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878" w:type="dxa"/>
            <w:noWrap w:val="0"/>
            <w:vAlign w:val="top"/>
          </w:tcPr>
          <w:p>
            <w:pPr>
              <w:spacing w:line="360" w:lineRule="auto"/>
              <w:jc w:val="center"/>
              <w:rPr>
                <w:szCs w:val="21"/>
              </w:rPr>
            </w:pPr>
            <w:r>
              <w:rPr>
                <w:rFonts w:hint="eastAsia"/>
                <w:szCs w:val="21"/>
              </w:rPr>
              <w:t>评分项目</w:t>
            </w:r>
          </w:p>
        </w:tc>
        <w:tc>
          <w:tcPr>
            <w:tcW w:w="3756" w:type="dxa"/>
            <w:noWrap w:val="0"/>
            <w:vAlign w:val="top"/>
          </w:tcPr>
          <w:p>
            <w:pPr>
              <w:spacing w:line="360" w:lineRule="auto"/>
              <w:jc w:val="center"/>
              <w:rPr>
                <w:szCs w:val="21"/>
              </w:rPr>
            </w:pPr>
            <w:r>
              <w:rPr>
                <w:rFonts w:hint="eastAsia"/>
                <w:szCs w:val="21"/>
              </w:rPr>
              <w:t>资信技术评分（分）</w:t>
            </w:r>
          </w:p>
        </w:tc>
        <w:tc>
          <w:tcPr>
            <w:tcW w:w="1879" w:type="dxa"/>
            <w:noWrap w:val="0"/>
            <w:vAlign w:val="top"/>
          </w:tcPr>
          <w:p>
            <w:pPr>
              <w:spacing w:line="360" w:lineRule="auto"/>
              <w:jc w:val="center"/>
              <w:rPr>
                <w:szCs w:val="21"/>
              </w:rPr>
            </w:pPr>
            <w:r>
              <w:rPr>
                <w:rFonts w:hint="eastAsia"/>
                <w:szCs w:val="21"/>
              </w:rPr>
              <w:t>价格评分（分）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878" w:type="dxa"/>
            <w:noWrap w:val="0"/>
            <w:vAlign w:val="top"/>
          </w:tcPr>
          <w:p>
            <w:pPr>
              <w:spacing w:line="360" w:lineRule="auto"/>
              <w:jc w:val="center"/>
              <w:rPr>
                <w:szCs w:val="21"/>
              </w:rPr>
            </w:pPr>
            <w:r>
              <w:rPr>
                <w:rFonts w:hint="eastAsia"/>
                <w:szCs w:val="21"/>
              </w:rPr>
              <w:t>权重</w:t>
            </w:r>
          </w:p>
        </w:tc>
        <w:tc>
          <w:tcPr>
            <w:tcW w:w="3756" w:type="dxa"/>
            <w:noWrap w:val="0"/>
            <w:vAlign w:val="top"/>
          </w:tcPr>
          <w:p>
            <w:pPr>
              <w:spacing w:line="360" w:lineRule="auto"/>
              <w:jc w:val="center"/>
              <w:rPr>
                <w:rFonts w:hint="eastAsia"/>
                <w:szCs w:val="21"/>
              </w:rPr>
            </w:pPr>
            <w:r>
              <w:rPr>
                <w:szCs w:val="21"/>
              </w:rPr>
              <w:t>80</w:t>
            </w:r>
          </w:p>
        </w:tc>
        <w:tc>
          <w:tcPr>
            <w:tcW w:w="1879" w:type="dxa"/>
            <w:noWrap w:val="0"/>
            <w:vAlign w:val="top"/>
          </w:tcPr>
          <w:p>
            <w:pPr>
              <w:spacing w:line="360" w:lineRule="auto"/>
              <w:jc w:val="center"/>
              <w:rPr>
                <w:rFonts w:hint="eastAsia"/>
                <w:szCs w:val="21"/>
              </w:rPr>
            </w:pPr>
            <w:r>
              <w:rPr>
                <w:rFonts w:hint="eastAsia"/>
                <w:szCs w:val="21"/>
              </w:rPr>
              <w:t>20</w:t>
            </w:r>
          </w:p>
        </w:tc>
      </w:tr>
    </w:tbl>
    <w:p>
      <w:pPr>
        <w:spacing w:line="360" w:lineRule="auto"/>
        <w:ind w:firstLine="420" w:firstLineChars="200"/>
      </w:pPr>
      <w:r>
        <w:rPr>
          <w:rFonts w:hint="eastAsia"/>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hint="eastAsia"/>
        </w:rPr>
      </w:pPr>
      <w:r>
        <w:rPr>
          <w:rFonts w:hint="eastAsia"/>
        </w:rPr>
        <w:t>参与评审的价格=投标报价－小微企业价格扣除优惠值6%（如有）</w:t>
      </w:r>
    </w:p>
    <w:p>
      <w:pPr>
        <w:spacing w:line="360" w:lineRule="auto"/>
        <w:ind w:firstLine="420" w:firstLineChars="200"/>
      </w:pPr>
      <w:r>
        <w:rPr>
          <w:rFonts w:hint="eastAsia"/>
        </w:rPr>
        <w:t>价格分=（评标基准价/参与评审的价格）×价格权值×100</w:t>
      </w:r>
    </w:p>
    <w:p>
      <w:pPr>
        <w:spacing w:line="360" w:lineRule="auto"/>
        <w:ind w:firstLine="420" w:firstLineChars="200"/>
      </w:pPr>
      <w:r>
        <w:rPr>
          <w:rFonts w:hint="eastAsia"/>
        </w:rPr>
        <w:t>2、合格投标人评标综合得分=价格分+资信技术分。</w:t>
      </w:r>
    </w:p>
    <w:p>
      <w:pPr>
        <w:spacing w:line="360" w:lineRule="auto"/>
        <w:ind w:firstLine="420" w:firstLineChars="200"/>
        <w:rPr>
          <w:rFonts w:hint="eastAsia"/>
        </w:rPr>
      </w:pPr>
      <w:r>
        <w:rPr>
          <w:rFonts w:hint="eastAsia"/>
        </w:rPr>
        <w:t>3、报价要求：本次采购设有预算价(或最高限价或综合单价最高限价)，投标人报价超出预算价(或最高限价或综合单价最高限价)的投标文件作无效处理。</w:t>
      </w:r>
    </w:p>
    <w:p>
      <w:pPr>
        <w:spacing w:line="360" w:lineRule="auto"/>
        <w:ind w:firstLine="420" w:firstLineChars="200"/>
        <w:rPr>
          <w:rFonts w:hint="eastAsia"/>
        </w:rPr>
      </w:pPr>
      <w:r>
        <w:rPr>
          <w:rFonts w:hint="eastAsia"/>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420" w:firstLineChars="200"/>
      </w:pPr>
      <w:r>
        <w:rPr>
          <w:rFonts w:hint="eastAsia"/>
        </w:rPr>
        <w:t>（三）</w:t>
      </w:r>
      <w:bookmarkStart w:id="43" w:name="_Toc481567079"/>
      <w:r>
        <w:rPr>
          <w:rFonts w:hint="eastAsia"/>
        </w:rPr>
        <w:t>投标文件的澄清</w:t>
      </w:r>
      <w:bookmarkEnd w:id="43"/>
    </w:p>
    <w:p>
      <w:pPr>
        <w:spacing w:line="360" w:lineRule="auto"/>
        <w:ind w:firstLine="420" w:firstLineChars="200"/>
        <w:rPr>
          <w:rFonts w:hint="eastAsia"/>
        </w:rPr>
      </w:pPr>
      <w:r>
        <w:rPr>
          <w:rFonts w:hint="eastAsia"/>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rPr>
      </w:pPr>
      <w:r>
        <w:rPr>
          <w:rFonts w:hint="eastAsia"/>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pPr>
      <w:r>
        <w:rPr>
          <w:rFonts w:hint="eastAsia"/>
        </w:rPr>
        <w:t>（四）投标文件错误修正原则</w:t>
      </w:r>
    </w:p>
    <w:p>
      <w:pPr>
        <w:spacing w:line="360" w:lineRule="auto"/>
        <w:ind w:firstLine="420" w:firstLineChars="200"/>
      </w:pPr>
      <w:r>
        <w:rPr>
          <w:rFonts w:hint="eastAsia"/>
        </w:rPr>
        <w:t>投标文件如果出现计算或表达上的错误，修正错误的原则如下：</w:t>
      </w:r>
    </w:p>
    <w:p>
      <w:pPr>
        <w:spacing w:line="360" w:lineRule="auto"/>
        <w:ind w:firstLine="420" w:firstLineChars="200"/>
        <w:rPr>
          <w:rFonts w:hint="eastAsia"/>
        </w:rPr>
      </w:pPr>
      <w:r>
        <w:rPr>
          <w:rFonts w:hint="eastAsia"/>
        </w:rPr>
        <w:t>1、投标文件中开标一览表（报价表）内容与投标文件中相应内容不一致的，以开标一览表（报价表）为准；</w:t>
      </w:r>
    </w:p>
    <w:p>
      <w:pPr>
        <w:spacing w:line="360" w:lineRule="auto"/>
        <w:ind w:firstLine="420" w:firstLineChars="200"/>
        <w:rPr>
          <w:rFonts w:hint="eastAsia"/>
        </w:rPr>
      </w:pPr>
      <w:r>
        <w:rPr>
          <w:rFonts w:hint="eastAsia"/>
        </w:rPr>
        <w:t>2、大写金额和小写金额不一致的，以大写金额为准；</w:t>
      </w:r>
    </w:p>
    <w:p>
      <w:pPr>
        <w:spacing w:line="360" w:lineRule="auto"/>
        <w:ind w:firstLine="420" w:firstLineChars="200"/>
        <w:rPr>
          <w:rFonts w:hint="eastAsia"/>
        </w:rPr>
      </w:pPr>
      <w:r>
        <w:rPr>
          <w:rFonts w:hint="eastAsia"/>
        </w:rPr>
        <w:t>3、单价金额小数点或者百分比有明显错位的，以开标一览表的总价为准，并修改单价；</w:t>
      </w:r>
    </w:p>
    <w:p>
      <w:pPr>
        <w:spacing w:line="360" w:lineRule="auto"/>
        <w:ind w:firstLine="420" w:firstLineChars="200"/>
        <w:rPr>
          <w:rFonts w:hint="eastAsia"/>
        </w:rPr>
      </w:pPr>
      <w:r>
        <w:rPr>
          <w:rFonts w:hint="eastAsia"/>
        </w:rPr>
        <w:t>4、总价金额与按单价汇总金额不一致的，以单价金额计算结果为准。</w:t>
      </w:r>
    </w:p>
    <w:p>
      <w:pPr>
        <w:spacing w:line="360" w:lineRule="auto"/>
        <w:ind w:firstLine="420" w:firstLineChars="200"/>
        <w:rPr>
          <w:rFonts w:hint="eastAsia"/>
        </w:rPr>
      </w:pPr>
      <w:r>
        <w:rPr>
          <w:rFonts w:hint="eastAsia"/>
        </w:rPr>
        <w:t>同时出现两种以上不一致的，按照前款规定的顺序修正。修正后的报价按照投标文件的澄清第2款的规定经投标人确认后产生约束力，投标人不确认的，其投标无效。</w:t>
      </w:r>
    </w:p>
    <w:p>
      <w:pPr>
        <w:pStyle w:val="26"/>
        <w:spacing w:before="0" w:after="0" w:line="360" w:lineRule="auto"/>
        <w:ind w:firstLine="411" w:firstLineChars="196"/>
        <w:jc w:val="both"/>
        <w:rPr>
          <w:sz w:val="21"/>
          <w:szCs w:val="21"/>
        </w:rPr>
      </w:pPr>
      <w:bookmarkStart w:id="44" w:name="_Toc481567077"/>
      <w:bookmarkStart w:id="45" w:name="_Toc494480066"/>
      <w:r>
        <w:rPr>
          <w:rFonts w:hint="eastAsia"/>
          <w:sz w:val="21"/>
          <w:szCs w:val="21"/>
        </w:rPr>
        <w:t>四、评标</w:t>
      </w:r>
      <w:bookmarkEnd w:id="39"/>
      <w:bookmarkEnd w:id="40"/>
      <w:bookmarkEnd w:id="44"/>
      <w:r>
        <w:rPr>
          <w:rFonts w:hint="eastAsia"/>
          <w:sz w:val="21"/>
          <w:szCs w:val="21"/>
        </w:rPr>
        <w:t>程序</w:t>
      </w:r>
      <w:bookmarkEnd w:id="45"/>
    </w:p>
    <w:p>
      <w:pPr>
        <w:pStyle w:val="26"/>
        <w:spacing w:before="0" w:after="0" w:line="360" w:lineRule="auto"/>
        <w:ind w:firstLine="411" w:firstLineChars="196"/>
        <w:jc w:val="both"/>
        <w:rPr>
          <w:rFonts w:hint="eastAsia"/>
          <w:sz w:val="21"/>
          <w:szCs w:val="21"/>
        </w:rPr>
      </w:pPr>
      <w:r>
        <w:rPr>
          <w:rFonts w:hint="eastAsia"/>
          <w:sz w:val="21"/>
          <w:szCs w:val="21"/>
        </w:rPr>
        <w:t>（一）资格条件审查</w:t>
      </w:r>
    </w:p>
    <w:p>
      <w:pPr>
        <w:spacing w:line="360" w:lineRule="auto"/>
        <w:ind w:firstLine="420" w:firstLineChars="200"/>
        <w:rPr>
          <w:rFonts w:hint="eastAsia"/>
        </w:rPr>
      </w:pPr>
      <w:r>
        <w:rPr>
          <w:rFonts w:hint="eastAsia"/>
        </w:rPr>
        <w:t>由招标采购机构对投标人的资格进行审查。</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noWrap w:val="0"/>
            <w:vAlign w:val="top"/>
          </w:tcPr>
          <w:p>
            <w:pPr>
              <w:spacing w:line="360" w:lineRule="auto"/>
              <w:jc w:val="center"/>
              <w:rPr>
                <w:szCs w:val="21"/>
              </w:rPr>
            </w:pPr>
            <w:r>
              <w:rPr>
                <w:rFonts w:hint="eastAsia"/>
                <w:szCs w:val="21"/>
              </w:rPr>
              <w:t>审查类别</w:t>
            </w:r>
          </w:p>
        </w:tc>
        <w:tc>
          <w:tcPr>
            <w:tcW w:w="7584" w:type="dxa"/>
            <w:noWrap w:val="0"/>
            <w:vAlign w:val="top"/>
          </w:tcPr>
          <w:p>
            <w:pPr>
              <w:spacing w:line="360" w:lineRule="auto"/>
              <w:jc w:val="center"/>
              <w:rPr>
                <w:szCs w:val="21"/>
              </w:rPr>
            </w:pPr>
            <w:r>
              <w:rPr>
                <w:rFonts w:hint="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restart"/>
            <w:noWrap w:val="0"/>
            <w:vAlign w:val="center"/>
          </w:tcPr>
          <w:p>
            <w:pPr>
              <w:spacing w:line="360" w:lineRule="auto"/>
              <w:jc w:val="center"/>
              <w:rPr>
                <w:szCs w:val="21"/>
              </w:rPr>
            </w:pPr>
            <w:r>
              <w:rPr>
                <w:rFonts w:hint="eastAsia"/>
                <w:szCs w:val="21"/>
              </w:rPr>
              <w:t>资格条件审查</w:t>
            </w:r>
          </w:p>
        </w:tc>
        <w:tc>
          <w:tcPr>
            <w:tcW w:w="7584" w:type="dxa"/>
            <w:noWrap w:val="0"/>
            <w:vAlign w:val="top"/>
          </w:tcPr>
          <w:p>
            <w:pPr>
              <w:spacing w:line="360" w:lineRule="auto"/>
              <w:rPr>
                <w:rFonts w:ascii="宋体" w:hAnsi="宋体"/>
              </w:rPr>
            </w:pPr>
            <w:r>
              <w:rPr>
                <w:rFonts w:hint="eastAsia" w:ascii="宋体" w:hAnsi="宋体"/>
              </w:rPr>
              <w:t>（一）投标人资格声明函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center"/>
          </w:tcPr>
          <w:p>
            <w:pPr>
              <w:spacing w:line="360" w:lineRule="auto"/>
              <w:jc w:val="center"/>
              <w:rPr>
                <w:rFonts w:hint="eastAsia"/>
                <w:szCs w:val="21"/>
              </w:rPr>
            </w:pPr>
          </w:p>
        </w:tc>
        <w:tc>
          <w:tcPr>
            <w:tcW w:w="7584" w:type="dxa"/>
            <w:noWrap w:val="0"/>
            <w:vAlign w:val="top"/>
          </w:tcPr>
          <w:p>
            <w:pPr>
              <w:spacing w:line="360" w:lineRule="auto"/>
              <w:rPr>
                <w:rFonts w:hint="eastAsia" w:ascii="宋体" w:hAnsi="宋体"/>
              </w:rPr>
            </w:pPr>
            <w:r>
              <w:rPr>
                <w:rFonts w:hint="eastAsia" w:ascii="宋体" w:hAnsi="宋体"/>
              </w:rPr>
              <w:t>（二）符合《中华人民共和国政府采购法》第二十二条第一款规定的投标人资格条件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szCs w:val="21"/>
              </w:rPr>
            </w:pPr>
            <w:r>
              <w:rPr>
                <w:rFonts w:hint="eastAsia" w:ascii="宋体" w:hAnsi="宋体"/>
              </w:rPr>
              <w:t>（三）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szCs w:val="21"/>
              </w:rPr>
            </w:pPr>
            <w:r>
              <w:rPr>
                <w:rFonts w:hint="eastAsia" w:ascii="宋体" w:hAnsi="宋体"/>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szCs w:val="21"/>
              </w:rPr>
            </w:pPr>
            <w:r>
              <w:rPr>
                <w:rFonts w:hint="eastAsia" w:ascii="宋体" w:hAnsi="宋体"/>
              </w:rPr>
              <w:t>（五）</w:t>
            </w:r>
            <w:r>
              <w:rPr>
                <w:rFonts w:hint="eastAsia" w:ascii="宋体" w:hAnsi="宋体"/>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投标截止日当天在“信用中国”网站（www.creditchina.gov.cn）</w:t>
            </w:r>
            <w:r>
              <w:rPr>
                <w:rFonts w:hint="eastAsia"/>
              </w:rPr>
              <w:t>及中国政府采购网</w:t>
            </w:r>
            <w:r>
              <w:rPr>
                <w:rFonts w:hint="eastAsia" w:ascii="宋体" w:hAnsi="宋体"/>
                <w:szCs w:val="21"/>
              </w:rPr>
              <w:t>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8" w:hRule="atLeast"/>
        </w:trPr>
        <w:tc>
          <w:tcPr>
            <w:tcW w:w="1521" w:type="dxa"/>
            <w:vMerge w:val="continue"/>
            <w:noWrap w:val="0"/>
            <w:vAlign w:val="top"/>
          </w:tcPr>
          <w:p>
            <w:pPr>
              <w:spacing w:line="360" w:lineRule="auto"/>
              <w:rPr>
                <w:szCs w:val="21"/>
              </w:rPr>
            </w:pPr>
          </w:p>
        </w:tc>
        <w:tc>
          <w:tcPr>
            <w:tcW w:w="7584" w:type="dxa"/>
            <w:noWrap w:val="0"/>
            <w:vAlign w:val="top"/>
          </w:tcPr>
          <w:p>
            <w:pPr>
              <w:spacing w:line="360" w:lineRule="auto"/>
              <w:rPr>
                <w:rFonts w:hint="eastAsia" w:ascii="宋体" w:hAnsi="宋体"/>
                <w:szCs w:val="21"/>
              </w:rPr>
            </w:pPr>
            <w:r>
              <w:rPr>
                <w:rFonts w:hint="eastAsia" w:ascii="宋体" w:hAnsi="宋体"/>
              </w:rPr>
              <w:t>（六）特定</w:t>
            </w:r>
            <w:r>
              <w:rPr>
                <w:rFonts w:hint="eastAsia" w:ascii="宋体" w:hAnsi="宋体"/>
                <w:szCs w:val="21"/>
              </w:rPr>
              <w:t>条件：无。</w:t>
            </w:r>
          </w:p>
        </w:tc>
      </w:tr>
    </w:tbl>
    <w:p>
      <w:pPr>
        <w:pStyle w:val="26"/>
        <w:spacing w:before="0" w:after="0" w:line="360" w:lineRule="auto"/>
        <w:ind w:firstLine="411" w:firstLineChars="196"/>
        <w:jc w:val="both"/>
        <w:rPr>
          <w:rFonts w:hint="eastAsia"/>
          <w:sz w:val="21"/>
          <w:szCs w:val="21"/>
        </w:rPr>
      </w:pPr>
      <w:r>
        <w:rPr>
          <w:rFonts w:hint="eastAsia"/>
          <w:sz w:val="21"/>
          <w:szCs w:val="21"/>
        </w:rPr>
        <w:t>（二）符合性审查</w:t>
      </w:r>
    </w:p>
    <w:p>
      <w:pPr>
        <w:spacing w:line="360" w:lineRule="auto"/>
        <w:ind w:firstLine="420" w:firstLineChars="200"/>
        <w:rPr>
          <w:rFonts w:hint="eastAsia"/>
        </w:rPr>
      </w:pPr>
      <w:r>
        <w:rPr>
          <w:rFonts w:hint="eastAsia"/>
        </w:rPr>
        <w:t>评标委员会应当对符合资格条件的投标人的投标文件进行符合性审查，以确定其是否满足采购文件的实质性要求。</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532" w:type="dxa"/>
            <w:noWrap w:val="0"/>
            <w:vAlign w:val="top"/>
          </w:tcPr>
          <w:p>
            <w:pPr>
              <w:spacing w:line="360" w:lineRule="auto"/>
              <w:jc w:val="center"/>
              <w:rPr>
                <w:szCs w:val="21"/>
              </w:rPr>
            </w:pPr>
            <w:r>
              <w:rPr>
                <w:rFonts w:hint="eastAsia"/>
                <w:szCs w:val="21"/>
              </w:rPr>
              <w:t>审查类别</w:t>
            </w:r>
          </w:p>
        </w:tc>
        <w:tc>
          <w:tcPr>
            <w:tcW w:w="7573" w:type="dxa"/>
            <w:noWrap w:val="0"/>
            <w:vAlign w:val="top"/>
          </w:tcPr>
          <w:p>
            <w:pPr>
              <w:spacing w:line="360" w:lineRule="auto"/>
              <w:jc w:val="center"/>
              <w:rPr>
                <w:szCs w:val="21"/>
              </w:rPr>
            </w:pPr>
            <w:r>
              <w:rPr>
                <w:rFonts w:hint="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restart"/>
            <w:noWrap w:val="0"/>
            <w:vAlign w:val="center"/>
          </w:tcPr>
          <w:p>
            <w:pPr>
              <w:spacing w:line="360" w:lineRule="auto"/>
              <w:jc w:val="center"/>
              <w:rPr>
                <w:szCs w:val="21"/>
              </w:rPr>
            </w:pPr>
            <w:r>
              <w:rPr>
                <w:rFonts w:hint="eastAsia"/>
                <w:szCs w:val="21"/>
              </w:rPr>
              <w:t>符合性审查</w:t>
            </w:r>
          </w:p>
        </w:tc>
        <w:tc>
          <w:tcPr>
            <w:tcW w:w="7573" w:type="dxa"/>
            <w:noWrap w:val="0"/>
            <w:vAlign w:val="center"/>
          </w:tcPr>
          <w:p>
            <w:pPr>
              <w:tabs>
                <w:tab w:val="left" w:pos="612"/>
              </w:tabs>
              <w:spacing w:before="156" w:beforeLines="50" w:after="156" w:afterLines="50"/>
              <w:rPr>
                <w:rFonts w:hint="eastAsia" w:ascii="宋体" w:hAnsi="宋体" w:cs="宋体"/>
              </w:rPr>
            </w:pPr>
            <w:r>
              <w:rPr>
                <w:rFonts w:hint="eastAsia" w:ascii="宋体" w:hAnsi="宋体" w:cs="宋体"/>
              </w:rPr>
              <w:t>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tabs>
                <w:tab w:val="left" w:pos="612"/>
              </w:tabs>
              <w:spacing w:before="156" w:beforeLines="50" w:after="156" w:afterLines="50"/>
              <w:rPr>
                <w:rFonts w:ascii="宋体" w:hAnsi="宋体" w:cs="宋体"/>
              </w:rPr>
            </w:pPr>
            <w:r>
              <w:rPr>
                <w:rFonts w:hint="eastAsia" w:ascii="宋体" w:hAnsi="宋体" w:cs="宋体"/>
              </w:rPr>
              <w:t>投标人按采购文件要求缴纳投标保证金的；</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tabs>
                <w:tab w:val="left" w:pos="612"/>
              </w:tabs>
              <w:spacing w:before="156" w:beforeLines="50" w:after="156" w:afterLines="50"/>
              <w:rPr>
                <w:rFonts w:ascii="宋体" w:hAnsi="宋体" w:cs="宋体"/>
              </w:rPr>
            </w:pPr>
            <w:r>
              <w:rPr>
                <w:rFonts w:hint="eastAsia" w:ascii="宋体" w:hAnsi="宋体" w:cs="宋体"/>
              </w:rPr>
              <w:t>按照采购文件规定要求签署、盖章且投标文件有法定代表人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rPr>
              <w:t>，或</w:t>
            </w:r>
            <w:r>
              <w:rPr>
                <w:rFonts w:hint="eastAsia" w:ascii="宋体" w:hAnsi="宋体" w:cs="宋体"/>
                <w:szCs w:val="21"/>
                <w:lang w:eastAsia="zh-TW"/>
              </w:rPr>
              <w:t>签署</w:t>
            </w:r>
            <w:r>
              <w:rPr>
                <w:rFonts w:hint="eastAsia" w:ascii="宋体" w:hAnsi="宋体" w:cs="宋体"/>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tabs>
                <w:tab w:val="left" w:pos="612"/>
              </w:tabs>
              <w:spacing w:before="156" w:beforeLines="50" w:after="156" w:afterLines="50"/>
              <w:rPr>
                <w:rFonts w:hint="eastAsia" w:ascii="宋体" w:hAnsi="宋体" w:cs="宋体"/>
                <w:kern w:val="0"/>
              </w:rPr>
            </w:pPr>
            <w:r>
              <w:rPr>
                <w:rFonts w:hint="eastAsia" w:ascii="宋体" w:hAnsi="宋体" w:cs="宋体"/>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spacing w:before="156" w:beforeLines="50" w:after="156" w:afterLines="50"/>
              <w:rPr>
                <w:rFonts w:ascii="宋体" w:hAnsi="宋体" w:cs="宋体"/>
              </w:rPr>
            </w:pPr>
            <w:r>
              <w:rPr>
                <w:rFonts w:hint="eastAsia" w:ascii="宋体" w:hAnsi="宋体" w:cs="宋体"/>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szCs w:val="21"/>
              </w:rPr>
            </w:pPr>
          </w:p>
        </w:tc>
        <w:tc>
          <w:tcPr>
            <w:tcW w:w="7573" w:type="dxa"/>
            <w:noWrap w:val="0"/>
            <w:vAlign w:val="center"/>
          </w:tcPr>
          <w:p>
            <w:pPr>
              <w:spacing w:before="156" w:beforeLines="50" w:after="156" w:afterLines="50"/>
              <w:rPr>
                <w:rFonts w:hint="eastAsia" w:ascii="宋体" w:hAnsi="宋体" w:cs="宋体"/>
              </w:rPr>
            </w:pPr>
            <w:r>
              <w:rPr>
                <w:rFonts w:hint="eastAsia" w:ascii="宋体" w:hAnsi="宋体" w:cs="宋体"/>
              </w:rPr>
              <w:t>按有关法律、法规、规章不属于投标无效的。</w:t>
            </w:r>
          </w:p>
        </w:tc>
      </w:tr>
    </w:tbl>
    <w:p>
      <w:pPr>
        <w:pStyle w:val="26"/>
        <w:spacing w:before="0" w:after="0" w:line="360" w:lineRule="auto"/>
        <w:ind w:firstLine="411" w:firstLineChars="196"/>
        <w:jc w:val="both"/>
        <w:rPr>
          <w:sz w:val="21"/>
          <w:szCs w:val="21"/>
        </w:rPr>
      </w:pPr>
      <w:bookmarkStart w:id="46" w:name="_Toc249866767"/>
      <w:bookmarkStart w:id="47" w:name="_Toc259108323"/>
      <w:r>
        <w:rPr>
          <w:rFonts w:hint="eastAsia"/>
          <w:sz w:val="21"/>
          <w:szCs w:val="21"/>
        </w:rPr>
        <w:t>（三）投标无效的情形</w:t>
      </w:r>
      <w:bookmarkEnd w:id="46"/>
      <w:bookmarkEnd w:id="47"/>
    </w:p>
    <w:p>
      <w:pPr>
        <w:spacing w:line="360" w:lineRule="auto"/>
        <w:ind w:firstLine="420" w:firstLineChars="200"/>
      </w:pPr>
      <w:r>
        <w:rPr>
          <w:rFonts w:hint="eastAsia"/>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360" w:lineRule="auto"/>
        <w:ind w:firstLine="420" w:firstLineChars="200"/>
      </w:pPr>
      <w:r>
        <w:rPr>
          <w:rFonts w:hint="eastAsia"/>
        </w:rPr>
        <w:t>A、在符合性审查和商务评审时，如发现下列情形之一的，将被视为无效投标文件：</w:t>
      </w:r>
    </w:p>
    <w:p>
      <w:pPr>
        <w:spacing w:line="360" w:lineRule="auto"/>
        <w:ind w:firstLine="420" w:firstLineChars="200"/>
      </w:pPr>
      <w:r>
        <w:rPr>
          <w:rFonts w:hint="eastAsia"/>
        </w:rPr>
        <w:t xml:space="preserve">1、投标人未按要求提交投标保证金的； </w:t>
      </w:r>
    </w:p>
    <w:p>
      <w:pPr>
        <w:spacing w:line="360" w:lineRule="auto"/>
        <w:ind w:firstLine="420" w:firstLineChars="200"/>
      </w:pPr>
      <w:r>
        <w:rPr>
          <w:rFonts w:hint="eastAsia"/>
        </w:rPr>
        <w:t>2、投标人资格要求证明文件不全的或者不符合采购文件标明的资格要求的；</w:t>
      </w:r>
    </w:p>
    <w:p>
      <w:pPr>
        <w:spacing w:line="360" w:lineRule="auto"/>
        <w:ind w:firstLine="420" w:firstLineChars="200"/>
      </w:pPr>
      <w:r>
        <w:rPr>
          <w:rFonts w:hint="eastAsia"/>
        </w:rPr>
        <w:t>3、投标人资格声明函、投标承诺函无法定代表人签名，或委托人未提供法定代表人授权委托书、填写项目不齐全的；</w:t>
      </w:r>
    </w:p>
    <w:p>
      <w:pPr>
        <w:spacing w:line="360" w:lineRule="auto"/>
        <w:ind w:firstLine="420" w:firstLineChars="200"/>
      </w:pPr>
      <w:r>
        <w:rPr>
          <w:rFonts w:hint="eastAsia"/>
        </w:rPr>
        <w:t xml:space="preserve">4、投标代表人未能出具身份证明或与法定代表人授权委托人身份不符的； </w:t>
      </w:r>
    </w:p>
    <w:p>
      <w:pPr>
        <w:spacing w:line="360" w:lineRule="auto"/>
        <w:ind w:firstLine="420" w:firstLineChars="200"/>
      </w:pPr>
      <w:r>
        <w:rPr>
          <w:rFonts w:hint="eastAsia"/>
        </w:rPr>
        <w:t>5、投标文件格式不规范、项目不齐全或者内容虚假的；</w:t>
      </w:r>
    </w:p>
    <w:p>
      <w:pPr>
        <w:spacing w:line="360" w:lineRule="auto"/>
        <w:ind w:firstLine="420" w:firstLineChars="200"/>
      </w:pPr>
      <w:r>
        <w:rPr>
          <w:rFonts w:hint="eastAsia"/>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pPr>
      <w:r>
        <w:rPr>
          <w:rFonts w:hint="eastAsia"/>
        </w:rPr>
        <w:t>7、投标有效期、交货时间、质保期等商务条款不能满足采购文件要求的；</w:t>
      </w:r>
    </w:p>
    <w:p>
      <w:pPr>
        <w:spacing w:line="360" w:lineRule="auto"/>
        <w:ind w:firstLine="420" w:firstLineChars="200"/>
      </w:pPr>
      <w:r>
        <w:rPr>
          <w:rFonts w:hint="eastAsia"/>
        </w:rPr>
        <w:t>8、带“▲”的条款不能满足采购文件要求、未实质性响应采购文件要求或者投标文件有采购方不能接受的附加条件的。</w:t>
      </w:r>
    </w:p>
    <w:p>
      <w:pPr>
        <w:spacing w:line="360" w:lineRule="auto"/>
        <w:ind w:firstLine="420" w:firstLineChars="200"/>
      </w:pPr>
      <w:r>
        <w:rPr>
          <w:rFonts w:hint="eastAsia"/>
        </w:rPr>
        <w:t>B、在技术评审时，如发现下列情形之一的，将被视为无效投标文件：</w:t>
      </w:r>
    </w:p>
    <w:p>
      <w:pPr>
        <w:spacing w:line="360" w:lineRule="auto"/>
        <w:ind w:firstLine="420" w:firstLineChars="200"/>
      </w:pPr>
      <w:r>
        <w:rPr>
          <w:rFonts w:hint="eastAsia"/>
        </w:rPr>
        <w:t>1、未提供或未如实提供投标货物的技术参数，或者投标文件标明的响应或偏离与事实不符或虚假投标的；</w:t>
      </w:r>
    </w:p>
    <w:p>
      <w:pPr>
        <w:spacing w:line="360" w:lineRule="auto"/>
        <w:ind w:firstLine="420" w:firstLineChars="200"/>
      </w:pPr>
      <w:r>
        <w:rPr>
          <w:rFonts w:hint="eastAsia"/>
        </w:rPr>
        <w:t>2、明显不符合采购文件要求的规格型号、质量标准，或者与采购文件中标“▲”的技术指标、主要功能项目发生实质性偏离的；</w:t>
      </w:r>
    </w:p>
    <w:p>
      <w:pPr>
        <w:spacing w:line="360" w:lineRule="auto"/>
        <w:ind w:firstLine="420" w:firstLineChars="200"/>
      </w:pPr>
      <w:r>
        <w:rPr>
          <w:rFonts w:hint="eastAsia"/>
        </w:rPr>
        <w:t>3、允许偏离的技术、性能指标或者辅助功能项目发生负偏离达</w:t>
      </w:r>
      <w:r>
        <w:rPr>
          <w:rFonts w:hint="eastAsia"/>
          <w:u w:val="single"/>
        </w:rPr>
        <w:t xml:space="preserve">  /  </w:t>
      </w:r>
      <w:r>
        <w:rPr>
          <w:rFonts w:hint="eastAsia"/>
        </w:rPr>
        <w:t>项（含）以上的；</w:t>
      </w:r>
    </w:p>
    <w:p>
      <w:pPr>
        <w:spacing w:line="360" w:lineRule="auto"/>
        <w:ind w:firstLine="420" w:firstLineChars="200"/>
      </w:pPr>
      <w:r>
        <w:rPr>
          <w:rFonts w:hint="eastAsia"/>
        </w:rPr>
        <w:t>4、投标技术方案不明确，存在一个或一个以上备选（替代）投标方案的；</w:t>
      </w:r>
    </w:p>
    <w:p>
      <w:pPr>
        <w:spacing w:line="360" w:lineRule="auto"/>
        <w:ind w:firstLine="420" w:firstLineChars="200"/>
      </w:pPr>
      <w:r>
        <w:rPr>
          <w:rFonts w:hint="eastAsia"/>
        </w:rPr>
        <w:t>5、资信技术文件中出现报价或单价的。</w:t>
      </w:r>
    </w:p>
    <w:p>
      <w:pPr>
        <w:spacing w:line="360" w:lineRule="auto"/>
        <w:ind w:firstLine="420" w:firstLineChars="200"/>
      </w:pPr>
      <w:r>
        <w:rPr>
          <w:rFonts w:hint="eastAsia"/>
        </w:rPr>
        <w:t>C、在报价评审时，如发现下列情形之一的，投标文件将被视为无效：</w:t>
      </w:r>
    </w:p>
    <w:p>
      <w:pPr>
        <w:spacing w:line="360" w:lineRule="auto"/>
        <w:ind w:firstLine="420" w:firstLineChars="200"/>
      </w:pPr>
      <w:r>
        <w:rPr>
          <w:rFonts w:hint="eastAsia"/>
        </w:rPr>
        <w:t>1、未采用人民币报价或者未按照采购文件标明的币种报价的；</w:t>
      </w:r>
    </w:p>
    <w:p>
      <w:pPr>
        <w:spacing w:line="360" w:lineRule="auto"/>
        <w:ind w:firstLine="420" w:firstLineChars="200"/>
      </w:pPr>
      <w:r>
        <w:rPr>
          <w:rFonts w:hint="eastAsia"/>
        </w:rPr>
        <w:t>2、报价超出最高限价，或者超出采购预算金额，采购人不能支付的；</w:t>
      </w:r>
    </w:p>
    <w:p>
      <w:pPr>
        <w:spacing w:line="360" w:lineRule="auto"/>
        <w:ind w:firstLine="420" w:firstLineChars="200"/>
      </w:pPr>
      <w:r>
        <w:rPr>
          <w:rFonts w:hint="eastAsia"/>
        </w:rPr>
        <w:t>3、投标报价具有选择性的；</w:t>
      </w:r>
    </w:p>
    <w:p>
      <w:pPr>
        <w:spacing w:line="360" w:lineRule="auto"/>
        <w:ind w:firstLine="420" w:firstLineChars="200"/>
        <w:rPr>
          <w:rFonts w:hint="eastAsia"/>
        </w:rPr>
      </w:pPr>
      <w:r>
        <w:rPr>
          <w:rFonts w:hint="eastAsia"/>
        </w:rPr>
        <w:t>4、评委会认为投标人报价明显低于其他通过符合性审查投标人的报价，有可能影响产品质量或者不能诚信履约的且投标人不能提交相关证明材料或提交的证明材料不被评委会认可，不能证明其报价合理性的。</w:t>
      </w:r>
    </w:p>
    <w:p>
      <w:pPr>
        <w:pStyle w:val="26"/>
        <w:spacing w:before="0" w:after="0" w:line="360" w:lineRule="auto"/>
        <w:ind w:firstLine="411" w:firstLineChars="196"/>
        <w:jc w:val="both"/>
        <w:rPr>
          <w:rFonts w:hint="eastAsia"/>
          <w:sz w:val="21"/>
          <w:szCs w:val="21"/>
        </w:rPr>
      </w:pPr>
      <w:r>
        <w:rPr>
          <w:sz w:val="21"/>
          <w:szCs w:val="21"/>
        </w:rPr>
        <w:br w:type="page"/>
      </w:r>
      <w:r>
        <w:rPr>
          <w:rFonts w:hint="eastAsia"/>
          <w:sz w:val="21"/>
          <w:szCs w:val="21"/>
        </w:rPr>
        <w:t>（四）评分表</w:t>
      </w:r>
    </w:p>
    <w:p>
      <w:pPr>
        <w:pStyle w:val="26"/>
        <w:rPr>
          <w:rFonts w:hint="eastAsia"/>
          <w:lang w:eastAsia="zh-CN"/>
        </w:rPr>
      </w:pPr>
      <w:bookmarkStart w:id="48" w:name="_Toc494480067"/>
      <w:r>
        <w:rPr>
          <w:rFonts w:hint="eastAsia"/>
        </w:rPr>
        <w:t>评分标准（兼评委打分表）</w:t>
      </w:r>
      <w:bookmarkEnd w:id="48"/>
    </w:p>
    <w:tbl>
      <w:tblPr>
        <w:tblStyle w:val="35"/>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jc w:val="center"/>
        </w:trPr>
        <w:tc>
          <w:tcPr>
            <w:tcW w:w="1293" w:type="dxa"/>
            <w:noWrap w:val="0"/>
            <w:vAlign w:val="center"/>
          </w:tcPr>
          <w:p>
            <w:pPr>
              <w:spacing w:line="240" w:lineRule="atLeast"/>
              <w:jc w:val="center"/>
              <w:rPr>
                <w:b/>
                <w:szCs w:val="21"/>
              </w:rPr>
            </w:pPr>
            <w:r>
              <w:rPr>
                <w:rFonts w:hint="eastAsia"/>
                <w:b/>
                <w:szCs w:val="21"/>
              </w:rPr>
              <w:t>评审项目</w:t>
            </w:r>
          </w:p>
        </w:tc>
        <w:tc>
          <w:tcPr>
            <w:tcW w:w="8363" w:type="dxa"/>
            <w:noWrap w:val="0"/>
            <w:vAlign w:val="center"/>
          </w:tcPr>
          <w:p>
            <w:pPr>
              <w:spacing w:line="240" w:lineRule="atLeast"/>
              <w:jc w:val="center"/>
              <w:rPr>
                <w:b/>
                <w:szCs w:val="21"/>
              </w:rPr>
            </w:pPr>
            <w:r>
              <w:rPr>
                <w:rFonts w:hint="eastAsia"/>
                <w:b/>
                <w:szCs w:val="21"/>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restart"/>
            <w:noWrap w:val="0"/>
            <w:vAlign w:val="center"/>
          </w:tcPr>
          <w:p>
            <w:pPr>
              <w:spacing w:line="360" w:lineRule="exact"/>
              <w:jc w:val="center"/>
              <w:rPr>
                <w:rFonts w:hint="eastAsia"/>
                <w:b/>
                <w:sz w:val="24"/>
                <w:szCs w:val="21"/>
              </w:rPr>
            </w:pPr>
            <w:r>
              <w:rPr>
                <w:rFonts w:hint="eastAsia"/>
                <w:b/>
                <w:sz w:val="24"/>
                <w:szCs w:val="21"/>
              </w:rPr>
              <w:t>资信技术分</w:t>
            </w:r>
          </w:p>
          <w:p>
            <w:pPr>
              <w:spacing w:line="360" w:lineRule="exact"/>
              <w:jc w:val="center"/>
              <w:rPr>
                <w:szCs w:val="21"/>
              </w:rPr>
            </w:pPr>
            <w:r>
              <w:rPr>
                <w:rFonts w:hint="eastAsia"/>
                <w:b/>
                <w:sz w:val="24"/>
                <w:szCs w:val="21"/>
              </w:rPr>
              <w:t>（80分）</w:t>
            </w:r>
          </w:p>
        </w:tc>
        <w:tc>
          <w:tcPr>
            <w:tcW w:w="8363" w:type="dxa"/>
            <w:noWrap w:val="0"/>
            <w:vAlign w:val="center"/>
          </w:tcPr>
          <w:p>
            <w:pPr>
              <w:spacing w:line="360" w:lineRule="exact"/>
              <w:rPr>
                <w:rFonts w:ascii="宋体"/>
                <w:bCs/>
                <w:szCs w:val="21"/>
              </w:rPr>
            </w:pPr>
            <w:r>
              <w:rPr>
                <w:rFonts w:hint="eastAsia" w:ascii="宋体"/>
                <w:bCs/>
                <w:szCs w:val="21"/>
              </w:rPr>
              <w:t>1、保洁管理整体设想及策划（9分）：评委根据投标人提供的保洁管理整体设想及策划方案进行评比，综合评议</w:t>
            </w:r>
            <w:r>
              <w:rPr>
                <w:rFonts w:ascii="宋体"/>
                <w:bCs/>
                <w:szCs w:val="21"/>
              </w:rPr>
              <w:t>:</w:t>
            </w:r>
          </w:p>
          <w:p>
            <w:pPr>
              <w:spacing w:line="360" w:lineRule="exact"/>
              <w:rPr>
                <w:rFonts w:hint="eastAsia" w:ascii="宋体"/>
                <w:bCs/>
                <w:szCs w:val="21"/>
              </w:rPr>
            </w:pPr>
            <w:r>
              <w:rPr>
                <w:rFonts w:ascii="宋体"/>
                <w:bCs/>
                <w:szCs w:val="21"/>
              </w:rPr>
              <w:t>服务管理理念及目标</w:t>
            </w:r>
            <w:r>
              <w:rPr>
                <w:rFonts w:hint="eastAsia" w:ascii="宋体"/>
                <w:bCs/>
                <w:szCs w:val="21"/>
              </w:rPr>
              <w:t>（0-3分）；</w:t>
            </w:r>
          </w:p>
          <w:p>
            <w:pPr>
              <w:spacing w:line="360" w:lineRule="exact"/>
              <w:rPr>
                <w:rFonts w:hint="eastAsia" w:ascii="宋体"/>
                <w:bCs/>
                <w:szCs w:val="21"/>
              </w:rPr>
            </w:pPr>
            <w:r>
              <w:rPr>
                <w:rFonts w:hint="eastAsia" w:ascii="宋体"/>
                <w:bCs/>
                <w:szCs w:val="21"/>
              </w:rPr>
              <w:t>作业人员安排与机械作业配置方案（0-3分）；</w:t>
            </w:r>
          </w:p>
          <w:p>
            <w:pPr>
              <w:spacing w:line="360" w:lineRule="exact"/>
              <w:rPr>
                <w:rFonts w:hint="eastAsia" w:ascii="宋体"/>
                <w:bCs/>
                <w:szCs w:val="21"/>
              </w:rPr>
            </w:pPr>
            <w:r>
              <w:rPr>
                <w:rFonts w:hint="eastAsia" w:ascii="宋体"/>
                <w:bCs/>
                <w:szCs w:val="21"/>
              </w:rPr>
              <w:t>保洁管理实施计划和方案（0-3分）；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rFonts w:hint="eastAsia"/>
                <w:b/>
                <w:sz w:val="24"/>
                <w:szCs w:val="21"/>
              </w:rPr>
            </w:pPr>
          </w:p>
        </w:tc>
        <w:tc>
          <w:tcPr>
            <w:tcW w:w="8363" w:type="dxa"/>
            <w:noWrap w:val="0"/>
            <w:vAlign w:val="center"/>
          </w:tcPr>
          <w:p>
            <w:pPr>
              <w:spacing w:line="360" w:lineRule="exact"/>
              <w:rPr>
                <w:rFonts w:hint="eastAsia" w:ascii="宋体"/>
                <w:bCs/>
                <w:szCs w:val="21"/>
              </w:rPr>
            </w:pPr>
            <w:r>
              <w:rPr>
                <w:rFonts w:hint="eastAsia" w:ascii="宋体"/>
                <w:bCs/>
                <w:szCs w:val="21"/>
              </w:rPr>
              <w:t>2、</w:t>
            </w:r>
            <w:r>
              <w:rPr>
                <w:rFonts w:hint="eastAsia" w:ascii="宋体" w:hAnsi="宋体"/>
              </w:rPr>
              <w:t>镇区保洁服务</w:t>
            </w:r>
            <w:r>
              <w:rPr>
                <w:rFonts w:hint="eastAsia" w:ascii="宋体"/>
                <w:bCs/>
                <w:szCs w:val="21"/>
              </w:rPr>
              <w:t>方案及流程（9分）：评委根据投标人提供的</w:t>
            </w:r>
            <w:r>
              <w:rPr>
                <w:rFonts w:hint="eastAsia" w:ascii="宋体" w:hAnsi="宋体"/>
              </w:rPr>
              <w:t>镇区保洁服务</w:t>
            </w:r>
            <w:r>
              <w:rPr>
                <w:rFonts w:hint="eastAsia" w:ascii="宋体"/>
                <w:bCs/>
                <w:szCs w:val="21"/>
              </w:rPr>
              <w:t>方案及流程进行评比，综合评议：</w:t>
            </w:r>
          </w:p>
          <w:p>
            <w:pPr>
              <w:spacing w:line="360" w:lineRule="exact"/>
              <w:rPr>
                <w:rFonts w:hint="eastAsia" w:ascii="宋体"/>
                <w:bCs/>
                <w:szCs w:val="21"/>
              </w:rPr>
            </w:pPr>
            <w:r>
              <w:rPr>
                <w:rFonts w:hint="eastAsia" w:ascii="宋体"/>
                <w:bCs/>
                <w:szCs w:val="21"/>
              </w:rPr>
              <w:t>方案科学合理，工作操作规程及流程规范可行性（0-3分）；</w:t>
            </w:r>
          </w:p>
          <w:p>
            <w:pPr>
              <w:spacing w:line="360" w:lineRule="exact"/>
              <w:rPr>
                <w:rFonts w:hint="eastAsia" w:ascii="宋体"/>
                <w:bCs/>
                <w:szCs w:val="21"/>
              </w:rPr>
            </w:pPr>
            <w:r>
              <w:rPr>
                <w:rFonts w:hint="eastAsia" w:ascii="宋体"/>
                <w:bCs/>
                <w:szCs w:val="21"/>
              </w:rPr>
              <w:t>服务质量保障措施（0-3分）；</w:t>
            </w:r>
          </w:p>
          <w:p>
            <w:pPr>
              <w:spacing w:line="360" w:lineRule="exact"/>
              <w:rPr>
                <w:rFonts w:hint="eastAsia" w:ascii="宋体"/>
                <w:bCs/>
                <w:szCs w:val="21"/>
              </w:rPr>
            </w:pPr>
            <w:r>
              <w:rPr>
                <w:rFonts w:hint="eastAsia" w:ascii="宋体"/>
                <w:bCs/>
                <w:szCs w:val="21"/>
              </w:rPr>
              <w:t>设施设备使用管理合理、可行（0-3分）。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3、垃圾清运（日产日清）服务方案及流程（9分）：评委根据投标人提供的垃圾清运（日产日清）服务方案及流程进行评比，综合评议：</w:t>
            </w:r>
          </w:p>
          <w:p>
            <w:pPr>
              <w:spacing w:line="360" w:lineRule="exact"/>
              <w:rPr>
                <w:rFonts w:hint="eastAsia" w:ascii="宋体"/>
                <w:bCs/>
                <w:szCs w:val="21"/>
              </w:rPr>
            </w:pPr>
            <w:r>
              <w:rPr>
                <w:rFonts w:hint="eastAsia" w:ascii="宋体"/>
                <w:bCs/>
                <w:szCs w:val="21"/>
              </w:rPr>
              <w:t>方案科学合理，工作操作规程及流程规范可行性（0-3分）；</w:t>
            </w:r>
          </w:p>
          <w:p>
            <w:pPr>
              <w:spacing w:line="360" w:lineRule="exact"/>
              <w:rPr>
                <w:rFonts w:hint="eastAsia" w:ascii="宋体"/>
                <w:bCs/>
                <w:szCs w:val="21"/>
              </w:rPr>
            </w:pPr>
            <w:r>
              <w:rPr>
                <w:rFonts w:hint="eastAsia" w:ascii="宋体"/>
                <w:bCs/>
                <w:szCs w:val="21"/>
              </w:rPr>
              <w:t>服务质量保障措施（0-3分）；</w:t>
            </w:r>
          </w:p>
          <w:p>
            <w:pPr>
              <w:spacing w:line="360" w:lineRule="exact"/>
              <w:rPr>
                <w:rFonts w:hint="eastAsia" w:ascii="宋体"/>
                <w:bCs/>
                <w:szCs w:val="21"/>
              </w:rPr>
            </w:pPr>
            <w:r>
              <w:rPr>
                <w:rFonts w:hint="eastAsia" w:ascii="宋体"/>
                <w:bCs/>
                <w:szCs w:val="21"/>
              </w:rPr>
              <w:t>设施设备使用管理合理、可行（0-3分）。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4、中转站及垃圾分类站运营管理方案及流程（9分）：评委根据投标人提供的中转站及垃圾分类站运营管理方案及流程进行评比，综合评议：</w:t>
            </w:r>
          </w:p>
          <w:p>
            <w:pPr>
              <w:spacing w:line="360" w:lineRule="exact"/>
              <w:rPr>
                <w:rFonts w:hint="eastAsia" w:ascii="宋体"/>
                <w:bCs/>
                <w:szCs w:val="21"/>
              </w:rPr>
            </w:pPr>
            <w:r>
              <w:rPr>
                <w:rFonts w:hint="eastAsia" w:ascii="宋体"/>
                <w:bCs/>
                <w:szCs w:val="21"/>
              </w:rPr>
              <w:t>方案科学合理，工作操作规程及流程规范可行性（0-3分）；</w:t>
            </w:r>
          </w:p>
          <w:p>
            <w:pPr>
              <w:spacing w:line="360" w:lineRule="exact"/>
              <w:rPr>
                <w:rFonts w:hint="eastAsia" w:ascii="宋体"/>
                <w:bCs/>
                <w:szCs w:val="21"/>
              </w:rPr>
            </w:pPr>
            <w:r>
              <w:rPr>
                <w:rFonts w:hint="eastAsia" w:ascii="宋体"/>
                <w:bCs/>
                <w:szCs w:val="21"/>
              </w:rPr>
              <w:t>服务质量保障措施（0-3分）；</w:t>
            </w:r>
          </w:p>
          <w:p>
            <w:pPr>
              <w:spacing w:line="360" w:lineRule="exact"/>
              <w:rPr>
                <w:rFonts w:hint="eastAsia" w:ascii="宋体"/>
                <w:bCs/>
                <w:szCs w:val="21"/>
                <w:highlight w:val="yellow"/>
              </w:rPr>
            </w:pPr>
            <w:r>
              <w:rPr>
                <w:rFonts w:hint="eastAsia" w:ascii="宋体"/>
                <w:bCs/>
                <w:szCs w:val="21"/>
              </w:rPr>
              <w:t>设施设备使用管理合理、可行（0-3分）。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5、交接方案（4分）：评委根据投标人提供的项目交接方案进行评比，根据方案的操作性、可行性进行比较打分，综合评议：</w:t>
            </w:r>
          </w:p>
          <w:p>
            <w:pPr>
              <w:spacing w:line="360" w:lineRule="exact"/>
              <w:rPr>
                <w:rFonts w:hint="eastAsia" w:ascii="宋体"/>
                <w:bCs/>
                <w:szCs w:val="21"/>
              </w:rPr>
            </w:pPr>
            <w:r>
              <w:rPr>
                <w:rFonts w:hint="eastAsia" w:ascii="宋体"/>
                <w:bCs/>
                <w:szCs w:val="21"/>
              </w:rPr>
              <w:t>交接过程中存在的风险及控制措施（0-2分）；</w:t>
            </w:r>
          </w:p>
          <w:p>
            <w:pPr>
              <w:spacing w:line="360" w:lineRule="exact"/>
              <w:rPr>
                <w:rFonts w:hint="eastAsia" w:ascii="宋体"/>
                <w:bCs/>
                <w:szCs w:val="21"/>
              </w:rPr>
            </w:pPr>
            <w:r>
              <w:rPr>
                <w:rFonts w:hint="eastAsia" w:ascii="宋体"/>
                <w:bCs/>
                <w:szCs w:val="21"/>
              </w:rPr>
              <w:t>若存在原有保洁人员人事关系的交接合理性（0-2分）。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6、安全文明作业措施（4分）：评委根据投标人提供的安全文明作业措施方案进行评比，综合评议：</w:t>
            </w:r>
          </w:p>
          <w:p>
            <w:pPr>
              <w:spacing w:line="360" w:lineRule="exact"/>
              <w:rPr>
                <w:rFonts w:hint="eastAsia" w:ascii="宋体"/>
                <w:bCs/>
                <w:szCs w:val="21"/>
              </w:rPr>
            </w:pPr>
            <w:r>
              <w:rPr>
                <w:rFonts w:hint="eastAsia" w:ascii="宋体"/>
                <w:bCs/>
                <w:szCs w:val="21"/>
              </w:rPr>
              <w:t>作业人员安全保障措施（0-1分）；</w:t>
            </w:r>
          </w:p>
          <w:p>
            <w:pPr>
              <w:spacing w:line="360" w:lineRule="exact"/>
              <w:rPr>
                <w:rFonts w:hint="eastAsia" w:ascii="宋体"/>
                <w:bCs/>
                <w:szCs w:val="21"/>
              </w:rPr>
            </w:pPr>
            <w:r>
              <w:rPr>
                <w:rFonts w:hint="eastAsia" w:ascii="宋体"/>
                <w:bCs/>
                <w:szCs w:val="21"/>
              </w:rPr>
              <w:t>安全生产责任分配制度（0-1分）；</w:t>
            </w:r>
          </w:p>
          <w:p>
            <w:pPr>
              <w:spacing w:line="360" w:lineRule="exact"/>
              <w:rPr>
                <w:rFonts w:hint="eastAsia" w:ascii="宋体"/>
                <w:bCs/>
                <w:szCs w:val="21"/>
              </w:rPr>
            </w:pPr>
            <w:r>
              <w:rPr>
                <w:rFonts w:hint="eastAsia" w:ascii="宋体"/>
                <w:bCs/>
                <w:szCs w:val="21"/>
              </w:rPr>
              <w:t>安全事故善后措施及赔偿方案（0-1分）；</w:t>
            </w:r>
          </w:p>
          <w:p>
            <w:pPr>
              <w:spacing w:line="360" w:lineRule="exact"/>
              <w:rPr>
                <w:rFonts w:hint="eastAsia" w:ascii="宋体"/>
                <w:bCs/>
                <w:szCs w:val="21"/>
              </w:rPr>
            </w:pPr>
            <w:r>
              <w:rPr>
                <w:rFonts w:hint="eastAsia" w:ascii="宋体"/>
                <w:bCs/>
                <w:szCs w:val="21"/>
              </w:rPr>
              <w:t>安全文明作业培训教育方案（0-1分）。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7、特殊时期的应急保障措施（4分）：评委根据投标人提供的特殊时期的应急保障措施方案进行评比，综合评议：</w:t>
            </w:r>
          </w:p>
          <w:p>
            <w:pPr>
              <w:spacing w:line="360" w:lineRule="exact"/>
              <w:rPr>
                <w:rFonts w:hint="eastAsia" w:ascii="宋体" w:hAnsi="宋体"/>
                <w:szCs w:val="21"/>
              </w:rPr>
            </w:pPr>
            <w:r>
              <w:rPr>
                <w:rFonts w:hint="eastAsia" w:ascii="宋体" w:hAnsi="宋体"/>
                <w:szCs w:val="21"/>
              </w:rPr>
              <w:t>大型活动时期的应急保障措施、应急预案</w:t>
            </w:r>
            <w:r>
              <w:rPr>
                <w:rFonts w:hint="eastAsia" w:ascii="宋体"/>
                <w:bCs/>
                <w:szCs w:val="21"/>
              </w:rPr>
              <w:t>（0-1分）；</w:t>
            </w:r>
          </w:p>
          <w:p>
            <w:pPr>
              <w:spacing w:line="360" w:lineRule="exact"/>
              <w:rPr>
                <w:rFonts w:hint="eastAsia" w:ascii="宋体" w:hAnsi="宋体"/>
                <w:szCs w:val="21"/>
              </w:rPr>
            </w:pPr>
            <w:r>
              <w:rPr>
                <w:rFonts w:hint="eastAsia" w:ascii="宋体" w:hAnsi="宋体"/>
                <w:szCs w:val="21"/>
              </w:rPr>
              <w:t>防台防汛期时期的应急保障措施、应急预案</w:t>
            </w:r>
            <w:r>
              <w:rPr>
                <w:rFonts w:hint="eastAsia" w:ascii="宋体"/>
                <w:bCs/>
                <w:szCs w:val="21"/>
              </w:rPr>
              <w:t>（0-1分）；</w:t>
            </w:r>
          </w:p>
          <w:p>
            <w:pPr>
              <w:spacing w:line="360" w:lineRule="exact"/>
              <w:rPr>
                <w:rFonts w:hint="eastAsia" w:ascii="宋体" w:hAnsi="宋体"/>
                <w:szCs w:val="21"/>
              </w:rPr>
            </w:pPr>
            <w:r>
              <w:rPr>
                <w:rFonts w:hint="eastAsia" w:ascii="宋体" w:hAnsi="宋体"/>
                <w:szCs w:val="21"/>
              </w:rPr>
              <w:t>创优评优时期的应急保障措施、应急预案</w:t>
            </w:r>
            <w:r>
              <w:rPr>
                <w:rFonts w:hint="eastAsia" w:ascii="宋体"/>
                <w:bCs/>
                <w:szCs w:val="21"/>
              </w:rPr>
              <w:t>（0-1分）；</w:t>
            </w:r>
          </w:p>
          <w:p>
            <w:pPr>
              <w:spacing w:line="360" w:lineRule="exact"/>
              <w:rPr>
                <w:rFonts w:hint="eastAsia" w:ascii="宋体"/>
                <w:bCs/>
                <w:szCs w:val="21"/>
              </w:rPr>
            </w:pPr>
            <w:r>
              <w:rPr>
                <w:rFonts w:hint="eastAsia" w:ascii="宋体" w:hAnsi="宋体"/>
                <w:szCs w:val="21"/>
              </w:rPr>
              <w:t>突击检查时期的应急保障措施、应急预案</w:t>
            </w:r>
            <w:r>
              <w:rPr>
                <w:rFonts w:hint="eastAsia" w:ascii="宋体"/>
                <w:bCs/>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ascii="宋体" w:hAnsi="宋体"/>
                <w:szCs w:val="21"/>
              </w:rPr>
            </w:pPr>
            <w:r>
              <w:rPr>
                <w:rFonts w:hint="eastAsia" w:ascii="宋体" w:hAnsi="宋体"/>
                <w:szCs w:val="21"/>
              </w:rPr>
              <w:t>8、针对本项目的督检制度（4分）:评委根据供应商提供的针对本项目的巡回保洁制度、检查监督制度、违规处罚制度进行综合评议</w:t>
            </w:r>
            <w:r>
              <w:rPr>
                <w:rFonts w:hint="eastAsia" w:ascii="宋体"/>
                <w:bCs/>
                <w:szCs w:val="21"/>
              </w:rPr>
              <w:t>（0-4分）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ascii="宋体" w:hAnsi="宋体"/>
                <w:szCs w:val="21"/>
              </w:rPr>
            </w:pPr>
            <w:r>
              <w:rPr>
                <w:rFonts w:hint="eastAsia" w:ascii="宋体" w:hAnsi="宋体"/>
                <w:szCs w:val="21"/>
              </w:rPr>
              <w:t>9、企业管理制度（4分）：评委根据各供应商提供的企业内部管理制度，如人事管理制度、考核制度、奖惩制度、保洁管理制度等进行综合评议</w:t>
            </w:r>
            <w:r>
              <w:rPr>
                <w:rFonts w:hint="eastAsia" w:ascii="宋体"/>
                <w:bCs/>
                <w:szCs w:val="21"/>
              </w:rPr>
              <w:t>（0-4分）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10、车辆等保洁服务机械设备的配置情况（8分）：</w:t>
            </w:r>
          </w:p>
          <w:p>
            <w:pPr>
              <w:spacing w:line="360" w:lineRule="exact"/>
              <w:rPr>
                <w:rFonts w:ascii="宋体"/>
                <w:bCs/>
                <w:szCs w:val="21"/>
              </w:rPr>
            </w:pPr>
            <w:r>
              <w:rPr>
                <w:rFonts w:hint="eastAsia" w:ascii="宋体"/>
                <w:bCs/>
                <w:szCs w:val="21"/>
              </w:rPr>
              <w:t>投标人具有桶装垃圾运输车（轻型普通货车）或密闭式桶装垃圾车（轻型特殊结构货车）或</w:t>
            </w:r>
            <w:r>
              <w:rPr>
                <w:rFonts w:hint="eastAsia" w:ascii="宋体" w:hAnsi="宋体"/>
                <w:szCs w:val="21"/>
              </w:rPr>
              <w:t>垃圾清运车（电动三轮升降平板车）</w:t>
            </w:r>
            <w:r>
              <w:rPr>
                <w:rFonts w:hint="eastAsia" w:ascii="宋体"/>
                <w:bCs/>
                <w:szCs w:val="21"/>
              </w:rPr>
              <w:t>，每提供一辆得1分，最高5分；</w:t>
            </w:r>
          </w:p>
          <w:p>
            <w:pPr>
              <w:spacing w:line="360" w:lineRule="exact"/>
              <w:rPr>
                <w:rFonts w:hint="eastAsia" w:ascii="宋体"/>
                <w:bCs/>
                <w:szCs w:val="21"/>
              </w:rPr>
            </w:pPr>
            <w:r>
              <w:rPr>
                <w:rFonts w:hint="eastAsia" w:ascii="宋体"/>
                <w:bCs/>
                <w:szCs w:val="21"/>
              </w:rPr>
              <w:t>投标人具有厨余垃圾运输车（重型特殊结构货车）的，得3分。</w:t>
            </w:r>
          </w:p>
          <w:p>
            <w:pPr>
              <w:spacing w:line="360" w:lineRule="exact"/>
              <w:rPr>
                <w:rFonts w:hint="eastAsia" w:ascii="宋体"/>
                <w:bCs/>
                <w:szCs w:val="21"/>
                <w:highlight w:val="yellow"/>
              </w:rPr>
            </w:pPr>
            <w:r>
              <w:rPr>
                <w:rFonts w:hint="eastAsia" w:ascii="宋体"/>
                <w:bCs/>
                <w:szCs w:val="21"/>
              </w:rPr>
              <w:t>提供证明资料包括行驶证、车辆登记证和发票，证明资料缺一不得分，复印件编入资信技术标内，开标时原件备查。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11、管理人员及工作岗位人员配置（4分）：</w:t>
            </w:r>
          </w:p>
          <w:p>
            <w:pPr>
              <w:spacing w:line="360" w:lineRule="exact"/>
              <w:rPr>
                <w:rFonts w:hint="eastAsia" w:ascii="宋体"/>
                <w:bCs/>
                <w:szCs w:val="21"/>
              </w:rPr>
            </w:pPr>
            <w:r>
              <w:rPr>
                <w:rFonts w:hint="eastAsia" w:ascii="宋体"/>
                <w:bCs/>
                <w:szCs w:val="21"/>
              </w:rPr>
              <w:t>（1）按比例配置安全管理员，安全管理员必须经县级及以上安监部门统一培训，拥有安全培训合格证书的1份得1分，满分2分；</w:t>
            </w:r>
          </w:p>
          <w:p>
            <w:pPr>
              <w:spacing w:line="360" w:lineRule="exact"/>
              <w:rPr>
                <w:rFonts w:hint="eastAsia" w:ascii="宋体"/>
                <w:bCs/>
                <w:szCs w:val="21"/>
              </w:rPr>
            </w:pPr>
            <w:r>
              <w:rPr>
                <w:rFonts w:hint="eastAsia" w:ascii="宋体"/>
                <w:bCs/>
                <w:szCs w:val="21"/>
              </w:rPr>
              <w:t>（2）拟派本项目成员具有政府部门颁发的环卫行业人员岗位素质提升培训结业证书，每个得1分，满分2分。</w:t>
            </w:r>
          </w:p>
          <w:p>
            <w:pPr>
              <w:spacing w:line="360" w:lineRule="exact"/>
              <w:rPr>
                <w:rFonts w:hint="eastAsia" w:ascii="宋体"/>
                <w:bCs/>
                <w:szCs w:val="21"/>
                <w:highlight w:val="yellow"/>
              </w:rPr>
            </w:pPr>
            <w:r>
              <w:rPr>
                <w:rFonts w:hint="eastAsia" w:ascii="宋体"/>
                <w:bCs/>
                <w:szCs w:val="21"/>
              </w:rPr>
              <w:t>以上人员必须提供有效证书、开标前至少3个月的当地劳动局社保部门确认的有效证明，复印件编入投标文件，原件备查。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12、日常管理办公用房情况（3分）：</w:t>
            </w:r>
          </w:p>
          <w:p>
            <w:pPr>
              <w:spacing w:line="360" w:lineRule="exact"/>
              <w:rPr>
                <w:rFonts w:hint="eastAsia" w:ascii="宋体"/>
                <w:bCs/>
                <w:szCs w:val="21"/>
              </w:rPr>
            </w:pPr>
            <w:r>
              <w:rPr>
                <w:rFonts w:hint="eastAsia" w:ascii="宋体"/>
                <w:bCs/>
                <w:szCs w:val="21"/>
              </w:rPr>
              <w:t xml:space="preserve">有满足项目管理、人员管理制度、制度上墙及仓储条件的办公用房，综合评议0-3分； </w:t>
            </w:r>
          </w:p>
          <w:p>
            <w:pPr>
              <w:spacing w:line="360" w:lineRule="exact"/>
              <w:rPr>
                <w:rFonts w:hint="eastAsia" w:ascii="宋体"/>
                <w:bCs/>
                <w:szCs w:val="21"/>
                <w:highlight w:val="yellow"/>
              </w:rPr>
            </w:pPr>
            <w:r>
              <w:rPr>
                <w:rFonts w:hint="eastAsia" w:ascii="宋体"/>
                <w:bCs/>
                <w:szCs w:val="21"/>
              </w:rPr>
              <w:t>说明：提供租赁证明和相应的办公场所实景照片。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13、行业信誉及经验（5分）：</w:t>
            </w:r>
          </w:p>
          <w:p>
            <w:pPr>
              <w:spacing w:line="360" w:lineRule="exact"/>
              <w:rPr>
                <w:rFonts w:hint="eastAsia" w:ascii="宋体"/>
                <w:bCs/>
                <w:szCs w:val="21"/>
              </w:rPr>
            </w:pPr>
            <w:r>
              <w:rPr>
                <w:rFonts w:hint="eastAsia" w:ascii="宋体"/>
                <w:bCs/>
                <w:szCs w:val="21"/>
              </w:rPr>
              <w:t>（1）投标人具有覆盖范围与本项目相关内容的质量管理体系、环境管理体系、职业健康安全管理体系认证证书，每个得1分，满分2分。</w:t>
            </w:r>
          </w:p>
          <w:p>
            <w:pPr>
              <w:spacing w:line="360" w:lineRule="exact"/>
              <w:rPr>
                <w:rFonts w:hint="eastAsia" w:ascii="宋体"/>
                <w:bCs/>
                <w:szCs w:val="21"/>
              </w:rPr>
            </w:pPr>
            <w:r>
              <w:rPr>
                <w:rFonts w:hint="eastAsia" w:ascii="宋体"/>
                <w:bCs/>
                <w:szCs w:val="21"/>
              </w:rPr>
              <w:t>（2）投标人获得政府部门颁发的“守合同重信用”或“重合同守信用”企业的得3分。</w:t>
            </w:r>
          </w:p>
          <w:p>
            <w:pPr>
              <w:spacing w:line="360" w:lineRule="exact"/>
              <w:rPr>
                <w:rFonts w:hint="eastAsia" w:ascii="宋体"/>
                <w:bCs/>
                <w:szCs w:val="21"/>
                <w:highlight w:val="yellow"/>
              </w:rPr>
            </w:pPr>
            <w:r>
              <w:rPr>
                <w:rFonts w:hint="eastAsia" w:ascii="宋体"/>
                <w:bCs/>
                <w:szCs w:val="21"/>
              </w:rPr>
              <w:t>提供证明资料复印件编入资信技术标内，开标时原件备查。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14、业绩（3分）：</w:t>
            </w:r>
          </w:p>
          <w:p>
            <w:pPr>
              <w:spacing w:line="360" w:lineRule="exact"/>
              <w:rPr>
                <w:rFonts w:hint="eastAsia" w:ascii="宋体"/>
                <w:bCs/>
                <w:szCs w:val="21"/>
              </w:rPr>
            </w:pPr>
            <w:r>
              <w:rPr>
                <w:rFonts w:hint="eastAsia" w:ascii="宋体"/>
                <w:bCs/>
                <w:szCs w:val="21"/>
              </w:rPr>
              <w:t>2016年以来（以合同签定时间为准）承担过单项合同包含道路保洁及垃圾清运的项目每个得1分，共3分。</w:t>
            </w:r>
          </w:p>
          <w:p>
            <w:pPr>
              <w:spacing w:line="360" w:lineRule="exact"/>
              <w:rPr>
                <w:rFonts w:hint="eastAsia" w:ascii="宋体"/>
                <w:bCs/>
                <w:szCs w:val="21"/>
              </w:rPr>
            </w:pPr>
            <w:r>
              <w:rPr>
                <w:rFonts w:hint="eastAsia" w:ascii="宋体"/>
                <w:bCs/>
                <w:szCs w:val="21"/>
              </w:rPr>
              <w:t>说明：以上资料需同时提供中标通知书、书面合同，在投标文件业绩表中提供服务单位的名称及联系人，复印件编入投标文件内并加盖公章，开标时携带原件备查。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top"/>
          </w:tcPr>
          <w:p>
            <w:pPr>
              <w:spacing w:line="360" w:lineRule="exact"/>
              <w:rPr>
                <w:rFonts w:hint="eastAsia" w:ascii="宋体"/>
                <w:bCs/>
                <w:szCs w:val="21"/>
              </w:rPr>
            </w:pPr>
            <w:r>
              <w:rPr>
                <w:rFonts w:hint="eastAsia" w:ascii="宋体"/>
                <w:bCs/>
                <w:szCs w:val="21"/>
              </w:rPr>
              <w:t>15、政府采购政策（1分）：</w:t>
            </w:r>
          </w:p>
          <w:p>
            <w:pPr>
              <w:spacing w:line="360" w:lineRule="exact"/>
              <w:rPr>
                <w:rFonts w:hint="eastAsia" w:ascii="宋体"/>
                <w:bCs/>
                <w:szCs w:val="21"/>
              </w:rPr>
            </w:pPr>
            <w:r>
              <w:rPr>
                <w:rFonts w:hint="eastAsia" w:ascii="宋体"/>
                <w:bCs/>
                <w:szCs w:val="21"/>
              </w:rPr>
              <w:t>投标人是国家认定的不发达地区或少数民族地区企业的加1分。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4" w:hRule="atLeast"/>
          <w:jc w:val="center"/>
        </w:trPr>
        <w:tc>
          <w:tcPr>
            <w:tcW w:w="1293" w:type="dxa"/>
            <w:noWrap w:val="0"/>
            <w:vAlign w:val="center"/>
          </w:tcPr>
          <w:p>
            <w:pPr>
              <w:spacing w:line="360" w:lineRule="exact"/>
              <w:jc w:val="center"/>
              <w:rPr>
                <w:rFonts w:hint="eastAsia"/>
                <w:b/>
                <w:sz w:val="24"/>
                <w:szCs w:val="21"/>
              </w:rPr>
            </w:pPr>
            <w:r>
              <w:rPr>
                <w:rFonts w:hint="eastAsia"/>
                <w:b/>
                <w:sz w:val="24"/>
                <w:szCs w:val="21"/>
              </w:rPr>
              <w:t>价格分</w:t>
            </w:r>
          </w:p>
          <w:p>
            <w:pPr>
              <w:spacing w:line="360" w:lineRule="exact"/>
              <w:jc w:val="center"/>
              <w:rPr>
                <w:szCs w:val="21"/>
              </w:rPr>
            </w:pPr>
            <w:r>
              <w:rPr>
                <w:rFonts w:hint="eastAsia"/>
                <w:b/>
                <w:sz w:val="24"/>
                <w:szCs w:val="21"/>
              </w:rPr>
              <w:t>（20分）</w:t>
            </w:r>
          </w:p>
        </w:tc>
        <w:tc>
          <w:tcPr>
            <w:tcW w:w="8363" w:type="dxa"/>
            <w:noWrap w:val="0"/>
            <w:vAlign w:val="top"/>
          </w:tcPr>
          <w:p>
            <w:pPr>
              <w:spacing w:line="400" w:lineRule="exact"/>
              <w:jc w:val="left"/>
              <w:rPr>
                <w:rFonts w:hint="eastAsia" w:ascii="宋体" w:hAnsi="宋体"/>
                <w:color w:val="000000"/>
                <w:szCs w:val="21"/>
              </w:rPr>
            </w:pPr>
            <w:r>
              <w:rPr>
                <w:rFonts w:hint="eastAsia" w:ascii="宋体" w:hAnsi="宋体"/>
                <w:color w:val="000000"/>
                <w:szCs w:val="21"/>
              </w:rPr>
              <w:t>参与评审的价格=投标报价-小微企业价格扣除优惠值6%（如有）</w:t>
            </w:r>
          </w:p>
          <w:p>
            <w:pPr>
              <w:spacing w:line="400" w:lineRule="exact"/>
              <w:jc w:val="left"/>
              <w:rPr>
                <w:rFonts w:hint="eastAsia" w:ascii="宋体" w:hAnsi="宋体"/>
                <w:color w:val="000000"/>
                <w:szCs w:val="21"/>
              </w:rPr>
            </w:pPr>
            <w:r>
              <w:rPr>
                <w:rFonts w:hint="eastAsia" w:ascii="宋体" w:hAnsi="宋体"/>
                <w:color w:val="000000"/>
                <w:szCs w:val="21"/>
              </w:rPr>
              <w:t>基准价=满足招标文件要求且最低的参与评审的价格。</w:t>
            </w:r>
          </w:p>
          <w:p>
            <w:pPr>
              <w:spacing w:line="400" w:lineRule="exact"/>
              <w:jc w:val="left"/>
              <w:rPr>
                <w:rFonts w:hint="eastAsia" w:ascii="宋体" w:hAnsi="宋体"/>
                <w:color w:val="000000"/>
                <w:szCs w:val="21"/>
              </w:rPr>
            </w:pPr>
            <w:r>
              <w:rPr>
                <w:rFonts w:hint="eastAsia" w:ascii="宋体" w:hAnsi="宋体"/>
                <w:color w:val="000000"/>
                <w:szCs w:val="21"/>
              </w:rPr>
              <w:t>得分：投标报价为评标基准价的得满分20分，其他投标报价得分计算公式如下：投标报价得分=（评标基准价/参与评审的价格）×20%×100。</w:t>
            </w:r>
          </w:p>
          <w:p>
            <w:pPr>
              <w:spacing w:line="360" w:lineRule="exact"/>
              <w:rPr>
                <w:rFonts w:ascii="宋体" w:hAnsi="宋体"/>
                <w:szCs w:val="21"/>
              </w:rPr>
            </w:pPr>
            <w:r>
              <w:rPr>
                <w:rFonts w:hint="eastAsia" w:ascii="宋体" w:hAnsi="宋体"/>
                <w:color w:val="000000"/>
                <w:szCs w:val="21"/>
              </w:rPr>
              <w:t>投标报价得分以四舍五入保留小数点后二位。</w:t>
            </w:r>
          </w:p>
        </w:tc>
      </w:tr>
    </w:tbl>
    <w:p>
      <w:pPr>
        <w:spacing w:line="360" w:lineRule="auto"/>
        <w:ind w:firstLine="420" w:firstLineChars="200"/>
      </w:pPr>
      <w:r>
        <w:rPr>
          <w:rFonts w:hint="eastAsia"/>
        </w:rPr>
        <w:t xml:space="preserve">注：①评委在上表设定的分值范围内打分(四舍五入保留一位小数)，平均分值计算四舍五入保留两位小数点。 </w:t>
      </w:r>
    </w:p>
    <w:p>
      <w:pPr>
        <w:spacing w:line="360" w:lineRule="auto"/>
        <w:ind w:firstLine="420" w:firstLineChars="200"/>
      </w:pPr>
      <w:r>
        <w:rPr>
          <w:rFonts w:hint="eastAsia"/>
        </w:rPr>
        <w:t>②本项目为</w:t>
      </w:r>
      <w:r>
        <w:t>非专门面向中小企业的</w:t>
      </w:r>
      <w:r>
        <w:rPr>
          <w:rFonts w:hint="eastAsia"/>
        </w:rPr>
        <w:t>采购</w:t>
      </w:r>
      <w:r>
        <w:t>项目，根据《政府采购促进中小企业发展暂行办法》（财库〔2011〕181号）的规定</w:t>
      </w:r>
      <w:r>
        <w:rPr>
          <w:rFonts w:hint="eastAsia"/>
        </w:rPr>
        <w:t>，</w:t>
      </w:r>
      <w:r>
        <w:t>对小型和微型企业产品的价格给予6%的扣除，用扣除后的价格参与评审。</w:t>
      </w:r>
    </w:p>
    <w:p>
      <w:pPr>
        <w:spacing w:line="360" w:lineRule="auto"/>
        <w:ind w:firstLine="420" w:firstLineChars="200"/>
        <w:rPr>
          <w:rFonts w:hint="eastAsia"/>
        </w:rPr>
      </w:pPr>
      <w:r>
        <w:rPr>
          <w:rFonts w:hint="eastAsia"/>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rPr>
      </w:pPr>
      <w:r>
        <w:rPr>
          <w:rFonts w:hint="eastAsia" w:ascii="宋体" w:hAnsi="宋体"/>
        </w:rPr>
        <w:t>④根据《关于促进残疾人就业政府采购政策的通知》</w:t>
      </w:r>
      <w:r>
        <w:rPr>
          <w:rFonts w:hint="eastAsia" w:ascii="宋体" w:hAnsi="宋体"/>
          <w:bCs/>
          <w:szCs w:val="20"/>
        </w:rPr>
        <w:t>（财库[2017]141号）规定</w:t>
      </w:r>
      <w:r>
        <w:rPr>
          <w:rFonts w:hint="eastAsia"/>
        </w:rPr>
        <w:t>，残疾人福利性单位视同小型、微型企业。残疾人福利性单位参加政府采购活动时，应当提供由主管部门认定的证明文件。</w:t>
      </w:r>
    </w:p>
    <w:p>
      <w:pPr>
        <w:pStyle w:val="26"/>
        <w:spacing w:before="0" w:after="0" w:line="360" w:lineRule="auto"/>
        <w:ind w:firstLine="411" w:firstLineChars="196"/>
        <w:jc w:val="both"/>
        <w:rPr>
          <w:sz w:val="21"/>
          <w:szCs w:val="21"/>
        </w:rPr>
      </w:pPr>
      <w:bookmarkStart w:id="49" w:name="_Toc481567078"/>
      <w:bookmarkStart w:id="50" w:name="_Toc494480068"/>
      <w:r>
        <w:rPr>
          <w:rFonts w:hint="eastAsia"/>
          <w:sz w:val="21"/>
          <w:szCs w:val="21"/>
        </w:rPr>
        <w:t>五、定标</w:t>
      </w:r>
      <w:bookmarkEnd w:id="49"/>
      <w:bookmarkEnd w:id="50"/>
    </w:p>
    <w:p>
      <w:pPr>
        <w:spacing w:line="360" w:lineRule="auto"/>
        <w:ind w:firstLine="420" w:firstLineChars="200"/>
      </w:pPr>
      <w:r>
        <w:rPr>
          <w:rFonts w:hint="eastAsia"/>
        </w:rPr>
        <w:t>（一）确定中标候选人。本项目由评标委员会推荐中标候选人，采购人不得在评标委员会推荐的中标候选人以外确定中标候选人。</w:t>
      </w:r>
    </w:p>
    <w:p>
      <w:pPr>
        <w:spacing w:line="360" w:lineRule="auto"/>
        <w:ind w:firstLine="420" w:firstLineChars="200"/>
      </w:pPr>
      <w:r>
        <w:rPr>
          <w:rFonts w:hint="eastAsia"/>
        </w:rPr>
        <w:t>（二）评标结果经采购人确认后，采购代理机构将在浙江省政府采购网、宁波市政府采购网、宁波公共资源交易网宁海县分网上公告。不在中标名单之列者即为落标人，采购代理机构不再以其它方式另行通知。</w:t>
      </w:r>
    </w:p>
    <w:p>
      <w:pPr>
        <w:spacing w:line="360" w:lineRule="auto"/>
        <w:ind w:firstLine="420" w:firstLineChars="200"/>
        <w:rPr>
          <w:rFonts w:hint="eastAsia"/>
        </w:rPr>
      </w:pPr>
      <w:r>
        <w:rPr>
          <w:rFonts w:hint="eastAsia"/>
        </w:rPr>
        <w:t>（三）</w:t>
      </w:r>
      <w:bookmarkStart w:id="51" w:name="_Toc481567080"/>
      <w:r>
        <w:rPr>
          <w:rFonts w:hint="eastAsia"/>
        </w:rPr>
        <w:t>在公告中标结果的同时，采购人或者采购代理机构向中标人发出中标通知书。</w:t>
      </w:r>
    </w:p>
    <w:p>
      <w:pPr>
        <w:spacing w:line="360" w:lineRule="auto"/>
        <w:ind w:firstLine="420" w:firstLineChars="200"/>
        <w:rPr>
          <w:rFonts w:hint="eastAsia"/>
        </w:rPr>
      </w:pPr>
      <w:r>
        <w:rPr>
          <w:rFonts w:hint="eastAsia"/>
        </w:rPr>
        <w:t>（四）中标投标人放弃中标的，应当依法承担相应的法律责任。</w:t>
      </w:r>
    </w:p>
    <w:p>
      <w:pPr>
        <w:spacing w:line="360" w:lineRule="auto"/>
        <w:ind w:firstLine="420" w:firstLineChars="200"/>
        <w:rPr>
          <w:rFonts w:hint="eastAsia"/>
        </w:rPr>
      </w:pPr>
      <w:r>
        <w:rPr>
          <w:rFonts w:hint="eastAsia"/>
        </w:rPr>
        <w:t>（五）凡发现中标投标人有下列行为之一的，将移交政府采购监督管理部门依法处理：</w:t>
      </w:r>
    </w:p>
    <w:p>
      <w:pPr>
        <w:spacing w:line="360" w:lineRule="auto"/>
        <w:ind w:firstLine="420" w:firstLineChars="200"/>
        <w:rPr>
          <w:rFonts w:hint="eastAsia"/>
        </w:rPr>
      </w:pPr>
      <w:r>
        <w:rPr>
          <w:rFonts w:hint="eastAsia"/>
        </w:rPr>
        <w:t>1、提供虚假材料谋取中标的；</w:t>
      </w:r>
    </w:p>
    <w:p>
      <w:pPr>
        <w:spacing w:line="360" w:lineRule="auto"/>
        <w:ind w:firstLine="420" w:firstLineChars="200"/>
        <w:rPr>
          <w:rFonts w:hint="eastAsia"/>
        </w:rPr>
      </w:pPr>
      <w:r>
        <w:rPr>
          <w:rFonts w:hint="eastAsia"/>
        </w:rPr>
        <w:t>2、采取不正当手段诋毁、排挤其他投标人的；</w:t>
      </w:r>
    </w:p>
    <w:p>
      <w:pPr>
        <w:spacing w:line="360" w:lineRule="auto"/>
        <w:ind w:firstLine="420" w:firstLineChars="200"/>
        <w:rPr>
          <w:rFonts w:hint="eastAsia"/>
        </w:rPr>
      </w:pPr>
      <w:r>
        <w:rPr>
          <w:rFonts w:hint="eastAsia"/>
        </w:rPr>
        <w:t>3、与采购人、其他投标人或者交易中心工作人员恶意串通的；</w:t>
      </w:r>
    </w:p>
    <w:p>
      <w:pPr>
        <w:spacing w:line="360" w:lineRule="auto"/>
        <w:ind w:firstLine="420" w:firstLineChars="200"/>
        <w:rPr>
          <w:rFonts w:hint="eastAsia"/>
        </w:rPr>
      </w:pPr>
      <w:r>
        <w:rPr>
          <w:rFonts w:hint="eastAsia"/>
        </w:rPr>
        <w:t>4、向采购人或代理机构人员行贿或者提供其他不正当利益的；</w:t>
      </w:r>
    </w:p>
    <w:p>
      <w:pPr>
        <w:spacing w:line="360" w:lineRule="auto"/>
        <w:ind w:firstLine="420" w:firstLineChars="200"/>
        <w:rPr>
          <w:rFonts w:hint="eastAsia"/>
        </w:rPr>
      </w:pPr>
      <w:r>
        <w:rPr>
          <w:rFonts w:hint="eastAsia"/>
        </w:rPr>
        <w:t>5、拒绝有关部门监督检查或者提供虚假情况的；</w:t>
      </w:r>
    </w:p>
    <w:p>
      <w:pPr>
        <w:spacing w:line="360" w:lineRule="auto"/>
        <w:ind w:firstLine="420" w:firstLineChars="200"/>
        <w:rPr>
          <w:rFonts w:hint="eastAsia"/>
        </w:rPr>
      </w:pPr>
      <w:r>
        <w:rPr>
          <w:rFonts w:hint="eastAsia"/>
        </w:rPr>
        <w:t>6、有法律、法规规定的其他损害采购人利益和社会公共利益情形的。</w:t>
      </w:r>
    </w:p>
    <w:p>
      <w:pPr>
        <w:pStyle w:val="26"/>
        <w:spacing w:before="0" w:after="0" w:line="360" w:lineRule="auto"/>
        <w:ind w:firstLine="411" w:firstLineChars="196"/>
        <w:jc w:val="both"/>
        <w:rPr>
          <w:sz w:val="21"/>
          <w:szCs w:val="21"/>
        </w:rPr>
      </w:pPr>
      <w:bookmarkStart w:id="52" w:name="_Toc494480069"/>
      <w:r>
        <w:rPr>
          <w:rFonts w:hint="eastAsia"/>
          <w:sz w:val="21"/>
          <w:szCs w:val="21"/>
        </w:rPr>
        <w:t>六、评标过程的监控与保密</w:t>
      </w:r>
      <w:bookmarkEnd w:id="51"/>
      <w:bookmarkEnd w:id="52"/>
    </w:p>
    <w:p>
      <w:pPr>
        <w:spacing w:line="360" w:lineRule="auto"/>
        <w:ind w:firstLine="420" w:firstLineChars="200"/>
      </w:pPr>
      <w:r>
        <w:rPr>
          <w:rFonts w:hint="eastAsia"/>
        </w:rPr>
        <w:t>1、本项目评标过程实行全程录音、录像监控，投标人在评标过程中所进行的试图影响评标结果的不公正活动，可能导致其投标被拒绝。</w:t>
      </w:r>
      <w:bookmarkStart w:id="53" w:name="_Toc249866770"/>
      <w:bookmarkStart w:id="54" w:name="_Toc259108327"/>
    </w:p>
    <w:p>
      <w:pPr>
        <w:spacing w:line="360" w:lineRule="auto"/>
        <w:ind w:firstLine="420" w:firstLineChars="200"/>
      </w:pPr>
      <w:r>
        <w:rPr>
          <w:rFonts w:hint="eastAsia"/>
        </w:rPr>
        <w:t>2、开标后到中标通知书发出之前，所有涉及评标委员会名单以及对投标文件的澄清、评价、比较等情况，评标委员会成员、采购人和采购代理机构的有关人员均不得向投标人或其他无关人员透露。</w:t>
      </w:r>
      <w:bookmarkEnd w:id="53"/>
      <w:bookmarkEnd w:id="54"/>
    </w:p>
    <w:p>
      <w:pPr>
        <w:pStyle w:val="26"/>
        <w:spacing w:before="0" w:after="0" w:line="360" w:lineRule="auto"/>
        <w:ind w:firstLine="411" w:firstLineChars="196"/>
        <w:jc w:val="both"/>
        <w:rPr>
          <w:sz w:val="21"/>
          <w:szCs w:val="21"/>
        </w:rPr>
      </w:pPr>
      <w:bookmarkStart w:id="55" w:name="_Toc481567081"/>
      <w:bookmarkStart w:id="56" w:name="_Toc494480070"/>
      <w:r>
        <w:rPr>
          <w:rFonts w:hint="eastAsia"/>
          <w:sz w:val="21"/>
          <w:szCs w:val="21"/>
        </w:rPr>
        <w:t>七、合同</w:t>
      </w:r>
      <w:bookmarkEnd w:id="55"/>
      <w:r>
        <w:rPr>
          <w:rFonts w:hint="eastAsia"/>
          <w:sz w:val="21"/>
          <w:szCs w:val="21"/>
        </w:rPr>
        <w:t>签订</w:t>
      </w:r>
      <w:bookmarkEnd w:id="56"/>
    </w:p>
    <w:p>
      <w:pPr>
        <w:spacing w:line="360" w:lineRule="auto"/>
        <w:ind w:firstLine="420" w:firstLineChars="200"/>
        <w:rPr>
          <w:rFonts w:hint="eastAsia"/>
        </w:rPr>
      </w:pPr>
      <w:r>
        <w:rPr>
          <w:rFonts w:hint="eastAsia"/>
        </w:rPr>
        <w:t>1、采购人应当自中标通知书发出之日起30日内，按照采购文件和中标人投标文件的规定，与中标人签订书面合同。所签订的合同不得对采购文件确定的事项和中标人投标文件作实质性修改。</w:t>
      </w:r>
    </w:p>
    <w:p>
      <w:pPr>
        <w:spacing w:line="360" w:lineRule="auto"/>
        <w:ind w:firstLine="420" w:firstLineChars="200"/>
        <w:rPr>
          <w:rFonts w:hint="eastAsia"/>
        </w:rPr>
      </w:pPr>
      <w:r>
        <w:rPr>
          <w:rFonts w:hint="eastAsia"/>
        </w:rPr>
        <w:t>采购人不得向中标人提出任何不合理的要求作为签订合同的条件。</w:t>
      </w:r>
    </w:p>
    <w:p>
      <w:pPr>
        <w:spacing w:line="360" w:lineRule="auto"/>
        <w:ind w:firstLine="420" w:firstLineChars="200"/>
      </w:pPr>
      <w:r>
        <w:rPr>
          <w:rFonts w:hint="eastAsia"/>
        </w:rPr>
        <w:t>2、采购人在签订合同时，在合同金额变更范围内，如需审批的办理相关审批手续。有权变更采购项目的数量和服务内容，但不能对单价或其他条款和条件作任何改变。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pPr>
      <w:r>
        <w:rPr>
          <w:rFonts w:hint="eastAsia"/>
        </w:rPr>
        <w:t>3、采购文件、中标投标人的投标文件及评标过程中有关的澄清文件均应作为合同签订的附件。</w:t>
      </w:r>
    </w:p>
    <w:p>
      <w:pPr>
        <w:spacing w:line="360" w:lineRule="auto"/>
        <w:ind w:firstLine="420" w:firstLineChars="200"/>
        <w:rPr>
          <w:rFonts w:hint="eastAsia"/>
        </w:rPr>
      </w:pPr>
      <w:r>
        <w:rPr>
          <w:rFonts w:hint="eastAsia"/>
        </w:rPr>
        <w:t>4、中标或者成交投标人拒绝与采购人签订合同的，采购人应重新招标。</w:t>
      </w:r>
    </w:p>
    <w:p>
      <w:pPr>
        <w:pStyle w:val="26"/>
        <w:spacing w:before="0" w:after="0" w:line="360" w:lineRule="auto"/>
        <w:ind w:firstLine="411" w:firstLineChars="196"/>
        <w:jc w:val="both"/>
        <w:rPr>
          <w:sz w:val="21"/>
          <w:szCs w:val="21"/>
        </w:rPr>
      </w:pPr>
      <w:bookmarkStart w:id="57" w:name="_Toc494480071"/>
      <w:r>
        <w:rPr>
          <w:rFonts w:hint="eastAsia"/>
          <w:sz w:val="21"/>
          <w:szCs w:val="21"/>
        </w:rPr>
        <w:t>八、</w:t>
      </w:r>
      <w:bookmarkEnd w:id="57"/>
      <w:r>
        <w:rPr>
          <w:rFonts w:hint="eastAsia"/>
          <w:sz w:val="21"/>
          <w:szCs w:val="21"/>
        </w:rPr>
        <w:t>考核与验收</w:t>
      </w:r>
    </w:p>
    <w:p>
      <w:pPr>
        <w:spacing w:line="360" w:lineRule="auto"/>
        <w:ind w:firstLine="420" w:firstLineChars="200"/>
        <w:rPr>
          <w:rFonts w:hint="eastAsia"/>
        </w:rPr>
      </w:pPr>
      <w:r>
        <w:rPr>
          <w:rFonts w:hint="eastAsia"/>
        </w:rPr>
        <w:t>1、采购人负责对本项目履约情况进行考核。</w:t>
      </w:r>
    </w:p>
    <w:p>
      <w:pPr>
        <w:spacing w:line="360" w:lineRule="auto"/>
        <w:ind w:firstLine="420" w:firstLineChars="200"/>
      </w:pPr>
      <w:r>
        <w:rPr>
          <w:rFonts w:hint="eastAsia"/>
        </w:rPr>
        <w:t>2、采购项目履约完成后，采购人必须成立验收小组进行验收，并出具验收报告，作为财务货款支出的原始凭证。</w:t>
      </w:r>
    </w:p>
    <w:p>
      <w:pPr>
        <w:spacing w:line="360" w:lineRule="auto"/>
        <w:ind w:firstLine="420" w:firstLineChars="200"/>
      </w:pPr>
    </w:p>
    <w:p>
      <w:pPr>
        <w:pStyle w:val="34"/>
      </w:pPr>
      <w:bookmarkStart w:id="58" w:name="_Toc249866771"/>
      <w:bookmarkStart w:id="59" w:name="_Toc259108328"/>
      <w:r>
        <w:br w:type="page"/>
      </w:r>
      <w:bookmarkEnd w:id="58"/>
      <w:bookmarkEnd w:id="59"/>
      <w:bookmarkStart w:id="60" w:name="_Toc494480072"/>
      <w:r>
        <w:rPr>
          <w:rFonts w:hint="eastAsia"/>
        </w:rPr>
        <w:t>第五章 合同主要条款</w:t>
      </w:r>
      <w:bookmarkEnd w:id="60"/>
      <w:r>
        <w:rPr>
          <w:rFonts w:hint="eastAsia"/>
        </w:rPr>
        <w:t xml:space="preserve"> </w:t>
      </w:r>
    </w:p>
    <w:p/>
    <w:p>
      <w:pPr>
        <w:jc w:val="center"/>
        <w:rPr>
          <w:rFonts w:hint="eastAsia"/>
          <w:b/>
          <w:sz w:val="32"/>
          <w:szCs w:val="32"/>
        </w:rPr>
      </w:pPr>
      <w:r>
        <w:rPr>
          <w:rFonts w:hint="eastAsia"/>
          <w:b/>
          <w:sz w:val="32"/>
          <w:szCs w:val="32"/>
        </w:rPr>
        <w:t>宁海县茶院乡镇区保洁及垃圾清运服务项目承包合同</w:t>
      </w:r>
      <w:r>
        <w:rPr>
          <w:rFonts w:hint="eastAsia" w:ascii="宋体" w:hAnsi="宋体"/>
          <w:b/>
          <w:szCs w:val="21"/>
        </w:rPr>
        <w:t>（仅供参考）</w:t>
      </w:r>
    </w:p>
    <w:p>
      <w:pPr>
        <w:spacing w:line="360" w:lineRule="auto"/>
        <w:rPr>
          <w:rFonts w:hint="eastAsia"/>
          <w:b/>
          <w:sz w:val="24"/>
        </w:rPr>
      </w:pPr>
    </w:p>
    <w:p>
      <w:pPr>
        <w:spacing w:line="360" w:lineRule="auto"/>
        <w:rPr>
          <w:b/>
          <w:sz w:val="24"/>
          <w:u w:val="single"/>
        </w:rPr>
      </w:pPr>
      <w:r>
        <w:rPr>
          <w:rFonts w:hint="eastAsia"/>
          <w:b/>
          <w:sz w:val="24"/>
        </w:rPr>
        <w:t>甲方（发包人）：</w:t>
      </w:r>
      <w:r>
        <w:rPr>
          <w:rFonts w:hint="eastAsia"/>
          <w:b/>
          <w:sz w:val="24"/>
          <w:u w:val="thick"/>
        </w:rPr>
        <w:t xml:space="preserve">宁海县茶院乡人民政府               </w:t>
      </w:r>
      <w:r>
        <w:rPr>
          <w:rFonts w:hint="eastAsia" w:ascii="宋体" w:hAnsi="宋体" w:cs="宋体"/>
          <w:bCs/>
          <w:szCs w:val="21"/>
        </w:rPr>
        <w:t>（以下简称甲方）</w:t>
      </w:r>
    </w:p>
    <w:p>
      <w:pPr>
        <w:spacing w:line="360" w:lineRule="auto"/>
        <w:rPr>
          <w:b/>
          <w:sz w:val="24"/>
        </w:rPr>
      </w:pPr>
      <w:r>
        <w:rPr>
          <w:rFonts w:hint="eastAsia"/>
          <w:b/>
          <w:sz w:val="24"/>
        </w:rPr>
        <w:t>乙方（承包人）：</w:t>
      </w:r>
      <w:r>
        <w:rPr>
          <w:rFonts w:hint="eastAsia"/>
          <w:b/>
          <w:sz w:val="24"/>
          <w:u w:val="single"/>
        </w:rPr>
        <w:t xml:space="preserve">                                   </w:t>
      </w:r>
      <w:r>
        <w:rPr>
          <w:rFonts w:hint="eastAsia" w:ascii="宋体" w:hAnsi="宋体" w:cs="宋体"/>
          <w:bCs/>
          <w:szCs w:val="21"/>
        </w:rPr>
        <w:t>（以下简称乙方）</w:t>
      </w:r>
    </w:p>
    <w:p>
      <w:pPr>
        <w:spacing w:line="360" w:lineRule="auto"/>
        <w:ind w:firstLine="540"/>
        <w:rPr>
          <w:rFonts w:hint="eastAsia"/>
          <w:sz w:val="24"/>
        </w:rPr>
      </w:pPr>
    </w:p>
    <w:p>
      <w:pPr>
        <w:spacing w:line="360" w:lineRule="auto"/>
        <w:ind w:firstLine="420" w:firstLineChars="200"/>
        <w:rPr>
          <w:rFonts w:hint="eastAsia"/>
        </w:rPr>
      </w:pPr>
      <w:r>
        <w:rPr>
          <w:rFonts w:hint="eastAsia" w:ascii="宋体" w:hAnsi="宋体"/>
        </w:rPr>
        <w:t>依照《中华人民共和国政府采购法》，宁海县茶院乡人民政府宁海县茶院乡镇区保洁及垃圾清运服务项目（招标编号：NBJX190207G）于2019年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根据《中华人民共和国合同法》和政府采购结果，经甲、乙双方友好协商，本着平等、自愿的原则，就甲方委托乙方</w:t>
      </w:r>
      <w:r>
        <w:rPr>
          <w:rFonts w:hint="eastAsia" w:ascii="宋体" w:hAnsi="宋体"/>
        </w:rPr>
        <w:t>宁海县茶院乡镇区保洁及垃圾清运服务项目</w:t>
      </w:r>
      <w:r>
        <w:rPr>
          <w:rFonts w:hint="eastAsia"/>
        </w:rPr>
        <w:t>一事，达成以下协议：</w:t>
      </w:r>
    </w:p>
    <w:p>
      <w:pPr>
        <w:spacing w:line="360" w:lineRule="auto"/>
        <w:ind w:firstLine="420" w:firstLineChars="200"/>
        <w:rPr>
          <w:rFonts w:hint="eastAsia" w:ascii="宋体" w:hAnsi="宋体"/>
          <w:szCs w:val="21"/>
        </w:rPr>
      </w:pPr>
      <w:bookmarkStart w:id="61" w:name="_Toc462649508"/>
      <w:bookmarkStart w:id="62" w:name="_Toc494480073"/>
      <w:r>
        <w:rPr>
          <w:rFonts w:hint="eastAsia" w:ascii="宋体" w:hAnsi="宋体"/>
          <w:szCs w:val="21"/>
        </w:rPr>
        <w:t>一、合同履行期限：</w:t>
      </w:r>
    </w:p>
    <w:p>
      <w:pPr>
        <w:spacing w:line="360" w:lineRule="auto"/>
        <w:ind w:firstLine="420" w:firstLineChars="200"/>
        <w:rPr>
          <w:rFonts w:hint="eastAsia" w:ascii="宋体" w:hAnsi="宋体"/>
          <w:szCs w:val="21"/>
        </w:rPr>
      </w:pPr>
      <w:r>
        <w:rPr>
          <w:rFonts w:hint="eastAsia" w:ascii="宋体" w:hAnsi="宋体"/>
          <w:szCs w:val="21"/>
        </w:rPr>
        <w:t>本合同自2019年  月  日起生效至2022年  月  日终止。</w:t>
      </w:r>
    </w:p>
    <w:p>
      <w:pPr>
        <w:spacing w:line="360" w:lineRule="auto"/>
        <w:ind w:firstLine="420" w:firstLineChars="200"/>
        <w:rPr>
          <w:rFonts w:hint="eastAsia" w:ascii="宋体" w:hAnsi="宋体"/>
          <w:szCs w:val="21"/>
        </w:rPr>
      </w:pPr>
      <w:r>
        <w:rPr>
          <w:rFonts w:hint="eastAsia" w:ascii="宋体" w:hAnsi="宋体"/>
          <w:szCs w:val="21"/>
        </w:rPr>
        <w:t>（本项目一招定三</w:t>
      </w:r>
      <w:r>
        <w:rPr>
          <w:rFonts w:ascii="宋体" w:hAnsi="宋体"/>
          <w:szCs w:val="21"/>
        </w:rPr>
        <w:t>年，合同一年一签</w:t>
      </w:r>
      <w:r>
        <w:rPr>
          <w:rFonts w:hint="eastAsia" w:ascii="宋体" w:hAnsi="宋体"/>
          <w:szCs w:val="21"/>
        </w:rPr>
        <w:t>。经政府采购管理部门批准和招标人考核合格，双方同意后，续签下一年度的合同）</w:t>
      </w:r>
      <w:r>
        <w:rPr>
          <w:rFonts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二、保洁范围及内容</w:t>
      </w:r>
    </w:p>
    <w:p>
      <w:pPr>
        <w:spacing w:line="360" w:lineRule="auto"/>
        <w:ind w:firstLine="420" w:firstLineChars="200"/>
        <w:rPr>
          <w:rFonts w:hint="eastAsia" w:ascii="宋体" w:hAnsi="宋体"/>
          <w:szCs w:val="21"/>
        </w:rPr>
      </w:pPr>
      <w:r>
        <w:rPr>
          <w:rFonts w:hint="eastAsia" w:ascii="宋体" w:hAnsi="宋体"/>
          <w:szCs w:val="21"/>
        </w:rPr>
        <w:t>乙方负责对</w:t>
      </w:r>
      <w:r>
        <w:rPr>
          <w:rFonts w:hint="eastAsia" w:ascii="宋体" w:hAnsi="宋体"/>
        </w:rPr>
        <w:t>茶院乡镇区保洁服务（包括道路保洁、绿化带保洁、果壳箱保洁、公厕保洁、牛皮癣清理）、茶院乡全镇垃圾清运服务（日产日清）、中转站运营管理、垃圾分类站运营管理</w:t>
      </w:r>
      <w:r>
        <w:rPr>
          <w:rFonts w:hint="eastAsia" w:ascii="宋体" w:hAnsi="宋体"/>
          <w:szCs w:val="21"/>
        </w:rPr>
        <w:t>（以下简称卫生保洁）。</w:t>
      </w:r>
    </w:p>
    <w:p>
      <w:pPr>
        <w:spacing w:line="360" w:lineRule="auto"/>
        <w:ind w:firstLine="420" w:firstLineChars="200"/>
        <w:rPr>
          <w:rFonts w:hint="eastAsia" w:ascii="宋体" w:hAnsi="宋体"/>
          <w:szCs w:val="21"/>
        </w:rPr>
      </w:pPr>
      <w:r>
        <w:rPr>
          <w:rFonts w:hint="eastAsia" w:ascii="宋体" w:hAnsi="宋体"/>
          <w:szCs w:val="21"/>
        </w:rPr>
        <w:t>三、保洁经费及拨款方式：</w:t>
      </w:r>
    </w:p>
    <w:p>
      <w:pPr>
        <w:spacing w:line="360" w:lineRule="auto"/>
        <w:ind w:firstLine="420" w:firstLineChars="200"/>
        <w:rPr>
          <w:rFonts w:hint="eastAsia" w:ascii="宋体" w:hAnsi="宋体"/>
          <w:szCs w:val="21"/>
          <w:u w:val="single"/>
        </w:rPr>
      </w:pPr>
      <w:r>
        <w:rPr>
          <w:rFonts w:hint="eastAsia" w:ascii="宋体" w:hAnsi="宋体"/>
          <w:szCs w:val="21"/>
        </w:rPr>
        <w:t>本项目合计总金额为人民币</w:t>
      </w:r>
      <w:r>
        <w:rPr>
          <w:rFonts w:hint="eastAsia" w:ascii="宋体" w:hAnsi="宋体"/>
          <w:szCs w:val="21"/>
          <w:u w:val="single"/>
        </w:rPr>
        <w:t>（大写）                            （￥      元）。</w:t>
      </w:r>
    </w:p>
    <w:p>
      <w:pPr>
        <w:spacing w:line="360" w:lineRule="auto"/>
        <w:ind w:firstLine="420" w:firstLineChars="200"/>
        <w:rPr>
          <w:rFonts w:hint="eastAsia" w:ascii="宋体" w:hAnsi="宋体"/>
          <w:szCs w:val="21"/>
          <w:u w:val="single"/>
        </w:rPr>
      </w:pPr>
      <w:r>
        <w:rPr>
          <w:rFonts w:hint="eastAsia" w:ascii="宋体" w:hAnsi="宋体"/>
          <w:szCs w:val="21"/>
        </w:rPr>
        <w:t>其中：镇区保洁：</w:t>
      </w:r>
      <w:r>
        <w:rPr>
          <w:rFonts w:hint="eastAsia" w:ascii="宋体" w:hAnsi="宋体"/>
          <w:szCs w:val="21"/>
          <w:u w:val="single"/>
        </w:rPr>
        <w:t>（大写）                                （￥      元）</w:t>
      </w:r>
      <w:r>
        <w:rPr>
          <w:rFonts w:hint="eastAsia" w:ascii="宋体" w:hAnsi="宋体"/>
          <w:szCs w:val="21"/>
        </w:rPr>
        <w:t>；</w:t>
      </w:r>
    </w:p>
    <w:p>
      <w:pPr>
        <w:spacing w:line="360" w:lineRule="auto"/>
        <w:ind w:firstLine="1050" w:firstLineChars="500"/>
        <w:rPr>
          <w:rFonts w:hint="eastAsia" w:ascii="宋体" w:hAnsi="宋体"/>
          <w:szCs w:val="21"/>
        </w:rPr>
      </w:pPr>
      <w:r>
        <w:rPr>
          <w:rFonts w:hint="eastAsia" w:ascii="宋体" w:hAnsi="宋体"/>
          <w:szCs w:val="21"/>
        </w:rPr>
        <w:t>垃圾清运：</w:t>
      </w:r>
      <w:r>
        <w:rPr>
          <w:rFonts w:hint="eastAsia" w:ascii="宋体" w:hAnsi="宋体"/>
          <w:szCs w:val="21"/>
          <w:u w:val="single"/>
        </w:rPr>
        <w:t>（大写）                                （￥      元）</w:t>
      </w:r>
      <w:r>
        <w:rPr>
          <w:rFonts w:hint="eastAsia" w:ascii="宋体" w:hAnsi="宋体"/>
          <w:szCs w:val="21"/>
        </w:rPr>
        <w:t>；</w:t>
      </w:r>
    </w:p>
    <w:p>
      <w:pPr>
        <w:spacing w:line="360" w:lineRule="auto"/>
        <w:ind w:firstLine="1050" w:firstLineChars="500"/>
        <w:rPr>
          <w:rFonts w:hint="eastAsia" w:ascii="宋体" w:hAnsi="宋体"/>
          <w:szCs w:val="21"/>
          <w:u w:val="single"/>
        </w:rPr>
      </w:pPr>
      <w:r>
        <w:rPr>
          <w:rFonts w:hint="eastAsia" w:ascii="宋体" w:hAnsi="宋体"/>
        </w:rPr>
        <w:t>中转站及垃圾分类站运营管理：</w:t>
      </w:r>
      <w:r>
        <w:rPr>
          <w:rFonts w:hint="eastAsia" w:ascii="宋体" w:hAnsi="宋体"/>
          <w:szCs w:val="21"/>
          <w:u w:val="single"/>
        </w:rPr>
        <w:t>（大写）              （￥      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付款方式：甲方在确认完成当月工作并在乙方通过考核后，按月支付给乙方。原则上每月10日为上月保洁经费拨款日期。</w:t>
      </w:r>
    </w:p>
    <w:p>
      <w:pPr>
        <w:spacing w:line="360" w:lineRule="auto"/>
        <w:ind w:firstLine="420" w:firstLineChars="200"/>
        <w:rPr>
          <w:rFonts w:hint="eastAsia" w:ascii="宋体" w:hAnsi="宋体"/>
          <w:szCs w:val="21"/>
        </w:rPr>
      </w:pPr>
      <w:r>
        <w:rPr>
          <w:rFonts w:hint="eastAsia" w:ascii="宋体" w:hAnsi="宋体"/>
          <w:szCs w:val="21"/>
        </w:rPr>
        <w:t>四、付款方式结合每月考核结果予以支付，具体方法为：</w:t>
      </w:r>
    </w:p>
    <w:p>
      <w:pPr>
        <w:spacing w:line="360" w:lineRule="auto"/>
        <w:ind w:firstLine="420" w:firstLineChars="200"/>
        <w:rPr>
          <w:rFonts w:hint="eastAsia" w:ascii="宋体" w:hAnsi="宋体"/>
          <w:szCs w:val="21"/>
        </w:rPr>
      </w:pPr>
      <w:r>
        <w:rPr>
          <w:rFonts w:hint="eastAsia" w:ascii="宋体" w:hAnsi="宋体"/>
          <w:szCs w:val="21"/>
        </w:rPr>
        <w:t>（1）考核分在95分（含）以上的为合格，全额支付当月经费；</w:t>
      </w:r>
    </w:p>
    <w:p>
      <w:pPr>
        <w:spacing w:line="360" w:lineRule="auto"/>
        <w:ind w:firstLine="420" w:firstLineChars="200"/>
        <w:rPr>
          <w:rFonts w:hint="eastAsia" w:ascii="宋体" w:hAnsi="宋体"/>
          <w:szCs w:val="21"/>
        </w:rPr>
      </w:pPr>
      <w:r>
        <w:rPr>
          <w:rFonts w:hint="eastAsia" w:ascii="宋体" w:hAnsi="宋体"/>
          <w:szCs w:val="21"/>
        </w:rPr>
        <w:t>（2）考核分在95分-90分（含）之间，以95分为基准每下降1分，扣当月经费的1%；</w:t>
      </w:r>
    </w:p>
    <w:p>
      <w:pPr>
        <w:spacing w:line="360" w:lineRule="auto"/>
        <w:ind w:firstLine="420" w:firstLineChars="200"/>
        <w:rPr>
          <w:rFonts w:hint="eastAsia" w:ascii="宋体" w:hAnsi="宋体"/>
          <w:szCs w:val="21"/>
        </w:rPr>
      </w:pPr>
      <w:r>
        <w:rPr>
          <w:rFonts w:hint="eastAsia" w:ascii="宋体" w:hAnsi="宋体"/>
          <w:szCs w:val="21"/>
        </w:rPr>
        <w:t>（3）考核分在90分-85分（含）之间，以95分为基准每下降1分，扣当月经费的2%；</w:t>
      </w:r>
    </w:p>
    <w:p>
      <w:pPr>
        <w:spacing w:line="360" w:lineRule="auto"/>
        <w:ind w:firstLine="420" w:firstLineChars="200"/>
        <w:rPr>
          <w:rFonts w:hint="eastAsia" w:ascii="宋体" w:hAnsi="宋体"/>
          <w:szCs w:val="21"/>
        </w:rPr>
      </w:pPr>
      <w:r>
        <w:rPr>
          <w:rFonts w:hint="eastAsia" w:ascii="宋体" w:hAnsi="宋体"/>
          <w:szCs w:val="21"/>
        </w:rPr>
        <w:t>（4）考核分在85分以下，以95分为基准每下降1分，扣当月经费的3%；</w:t>
      </w:r>
    </w:p>
    <w:p>
      <w:pPr>
        <w:spacing w:line="360" w:lineRule="auto"/>
        <w:ind w:firstLine="420" w:firstLineChars="200"/>
        <w:rPr>
          <w:rFonts w:hint="eastAsia" w:ascii="宋体" w:hAnsi="宋体"/>
          <w:szCs w:val="21"/>
        </w:rPr>
      </w:pPr>
      <w:r>
        <w:rPr>
          <w:rFonts w:hint="eastAsia" w:ascii="宋体" w:hAnsi="宋体"/>
          <w:szCs w:val="21"/>
        </w:rPr>
        <w:t>（5）如连续两个月或年度累计三个月份考核分在85分以下，甲方有权单方解除合同，由此产生的后果由该承包单位自行承担。</w:t>
      </w:r>
    </w:p>
    <w:p>
      <w:pPr>
        <w:spacing w:line="360" w:lineRule="auto"/>
        <w:ind w:firstLine="420" w:firstLineChars="200"/>
        <w:rPr>
          <w:rFonts w:hint="eastAsia" w:ascii="宋体" w:hAnsi="宋体"/>
          <w:szCs w:val="21"/>
        </w:rPr>
      </w:pPr>
      <w:r>
        <w:rPr>
          <w:rFonts w:hint="eastAsia" w:ascii="宋体" w:hAnsi="宋体"/>
          <w:szCs w:val="21"/>
        </w:rPr>
        <w:t>（6）被宁海县委、县政府或大整治办等相关单位点名通报批评的（包括本、上级媒体曝光），每次扣1万元，并在一年内出现三次被宁海县委、县政府或大整治办等相关单位通报批评的，业主方有权单方面终止合同。</w:t>
      </w:r>
    </w:p>
    <w:p>
      <w:pPr>
        <w:spacing w:line="360" w:lineRule="auto"/>
        <w:ind w:firstLine="420" w:firstLineChars="200"/>
        <w:rPr>
          <w:rFonts w:hint="eastAsia" w:ascii="宋体" w:hAnsi="宋体"/>
          <w:szCs w:val="21"/>
        </w:rPr>
      </w:pPr>
      <w:r>
        <w:rPr>
          <w:rFonts w:hint="eastAsia" w:ascii="宋体" w:hAnsi="宋体"/>
          <w:szCs w:val="21"/>
        </w:rPr>
        <w:t>五、甲、乙双方的权利和义务</w:t>
      </w:r>
    </w:p>
    <w:p>
      <w:pPr>
        <w:spacing w:line="360" w:lineRule="auto"/>
        <w:ind w:firstLine="420" w:firstLineChars="200"/>
        <w:rPr>
          <w:rFonts w:hint="eastAsia" w:ascii="宋体" w:hAnsi="宋体"/>
          <w:szCs w:val="21"/>
        </w:rPr>
      </w:pPr>
      <w:r>
        <w:rPr>
          <w:rFonts w:hint="eastAsia" w:ascii="宋体" w:hAnsi="宋体"/>
          <w:szCs w:val="21"/>
        </w:rPr>
        <w:t>（一）、甲方的权利和义务</w:t>
      </w:r>
    </w:p>
    <w:p>
      <w:pPr>
        <w:spacing w:line="360" w:lineRule="auto"/>
        <w:ind w:firstLine="420" w:firstLineChars="200"/>
        <w:rPr>
          <w:rFonts w:hint="eastAsia" w:ascii="宋体" w:hAnsi="宋体"/>
          <w:szCs w:val="21"/>
        </w:rPr>
      </w:pPr>
      <w:r>
        <w:rPr>
          <w:rFonts w:hint="eastAsia" w:ascii="宋体" w:hAnsi="宋体"/>
          <w:szCs w:val="21"/>
        </w:rPr>
        <w:t>1、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4、甲方应按合同条款及时核拨卫生保洁经费。</w:t>
      </w:r>
    </w:p>
    <w:p>
      <w:pPr>
        <w:spacing w:line="360" w:lineRule="auto"/>
        <w:ind w:firstLine="420" w:firstLineChars="200"/>
        <w:rPr>
          <w:rFonts w:hint="eastAsia" w:ascii="宋体" w:hAnsi="宋体"/>
          <w:szCs w:val="21"/>
        </w:rPr>
      </w:pPr>
      <w:r>
        <w:rPr>
          <w:rFonts w:hint="eastAsia" w:ascii="宋体" w:hAnsi="宋体"/>
          <w:szCs w:val="21"/>
        </w:rPr>
        <w:t>5、本合同期满，且在履约期间乙方没有发生任何违约行为的，乙方不打算继续履约下一年的卫生保洁，甲方将保证金（无息）予以全额退回。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6、由于乙方与上一年度保洁单位交接协商不妥，影响日常保洁工作无法正常运行，甲方有权终止合同。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（二）、乙方的权利和义务</w:t>
      </w:r>
    </w:p>
    <w:p>
      <w:pPr>
        <w:spacing w:line="360" w:lineRule="auto"/>
        <w:ind w:firstLine="420" w:firstLineChars="200"/>
        <w:rPr>
          <w:rFonts w:hint="eastAsia" w:ascii="宋体" w:hAnsi="宋体"/>
          <w:szCs w:val="21"/>
        </w:rPr>
      </w:pPr>
      <w:r>
        <w:rPr>
          <w:rFonts w:hint="eastAsia" w:ascii="宋体" w:hAnsi="宋体"/>
          <w:szCs w:val="21"/>
        </w:rPr>
        <w:t>1、在签订合同前，按招标文件规定向甲方缴纳合同总金额</w:t>
      </w:r>
      <w:r>
        <w:rPr>
          <w:rFonts w:hint="eastAsia" w:ascii="宋体" w:hAnsi="宋体"/>
          <w:szCs w:val="21"/>
          <w:u w:val="single"/>
        </w:rPr>
        <w:t xml:space="preserve"> 5% </w:t>
      </w:r>
      <w:r>
        <w:rPr>
          <w:rFonts w:hint="eastAsia" w:ascii="宋体" w:hAnsi="宋体"/>
          <w:szCs w:val="21"/>
        </w:rPr>
        <w:t>的履约保证金。</w:t>
      </w:r>
    </w:p>
    <w:p>
      <w:pPr>
        <w:spacing w:line="360" w:lineRule="auto"/>
        <w:ind w:firstLine="420" w:firstLineChars="200"/>
        <w:rPr>
          <w:rFonts w:hint="eastAsia" w:ascii="宋体" w:hAnsi="宋体"/>
          <w:szCs w:val="21"/>
        </w:rPr>
      </w:pPr>
      <w:r>
        <w:rPr>
          <w:rFonts w:hint="eastAsia" w:ascii="宋体" w:hAnsi="宋体"/>
          <w:szCs w:val="21"/>
        </w:rPr>
        <w:t>2、乙方严格按照宁海县相关环境保洁的质量标准对划定的责任区域范围内的所有项目实行规范化的卫生保洁作业，确保卫生保洁质量。</w:t>
      </w:r>
    </w:p>
    <w:p>
      <w:pPr>
        <w:spacing w:line="360" w:lineRule="auto"/>
        <w:ind w:firstLine="420" w:firstLineChars="200"/>
        <w:rPr>
          <w:rFonts w:hint="eastAsia" w:ascii="宋体" w:hAnsi="宋体"/>
          <w:szCs w:val="21"/>
        </w:rPr>
      </w:pPr>
      <w:r>
        <w:rPr>
          <w:rFonts w:hint="eastAsia" w:ascii="宋体" w:hAnsi="宋体"/>
          <w:szCs w:val="21"/>
        </w:rPr>
        <w:t>3、乙方必须严格按要求配备足够的保洁人员，所有保洁人员及管理人员必须身体健康，能胜任日常保洁及管理工作。</w:t>
      </w:r>
      <w:r>
        <w:rPr>
          <w:rFonts w:hint="eastAsia" w:ascii="宋体" w:hAnsi="宋体"/>
          <w:b/>
          <w:szCs w:val="21"/>
        </w:rPr>
        <w:t>本项目共需配备人员33人（含轮休人员），每天在岗人员不少于26人。</w:t>
      </w:r>
    </w:p>
    <w:p>
      <w:pPr>
        <w:spacing w:line="360" w:lineRule="auto"/>
        <w:ind w:firstLine="315" w:firstLineChars="150"/>
        <w:rPr>
          <w:rFonts w:hint="eastAsia" w:ascii="宋体" w:hAnsi="宋体"/>
          <w:szCs w:val="21"/>
        </w:rPr>
      </w:pPr>
      <w:r>
        <w:rPr>
          <w:rFonts w:hint="eastAsia" w:ascii="宋体" w:hAnsi="宋体"/>
          <w:szCs w:val="21"/>
        </w:rPr>
        <w:t xml:space="preserve"> 4、乙方的卫生保洁人员必须按规定统一着装，服装及保洁车辆、作业工具由乙方自行解决，车辆能耗、维修等相关费用由乙方自理。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5、乙方应按保洁作业要求在规定的时间进行卫生保洁，及时做好清扫保洁后发生严重影响环境卫生现象的清除工作。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6、乙方保洁及管理人员必须遵纪守法，敬业爱岗，招标保洁范围内发生的保洁作业相关的一切事务，均由乙方负责。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7、乙方必须自觉接受，配合甲方有关工作指导及考核检查，并自觉做好县各项大型活动期间的环境保障和其它临时性、突击性工作（费用已包含在本合同中）。</w:t>
      </w:r>
    </w:p>
    <w:p>
      <w:pPr>
        <w:spacing w:line="360" w:lineRule="auto"/>
        <w:ind w:firstLine="420" w:firstLineChars="200"/>
        <w:rPr>
          <w:rFonts w:hint="eastAsia" w:ascii="宋体" w:hAnsi="宋体"/>
          <w:szCs w:val="21"/>
        </w:rPr>
      </w:pPr>
      <w:r>
        <w:rPr>
          <w:rFonts w:hint="eastAsia" w:ascii="宋体" w:hAnsi="宋体"/>
          <w:szCs w:val="21"/>
        </w:rPr>
        <w:t>8、乙方必须按甲方要求设立24小时值守的“双联”应急机制，完成各项应急处置工作任务和处理县长电话。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9、乙方保证所有聘用的人员年龄不得超过国家法定退休年龄。乙方用工应按国家规定签订规范劳动合同、工资待遇不得低于宁海县保洁工人的最低工资标准，并给员工缴纳社保或意外保险等国家规定的各项保险。</w:t>
      </w:r>
    </w:p>
    <w:p>
      <w:pPr>
        <w:spacing w:line="360" w:lineRule="auto"/>
        <w:ind w:firstLine="420" w:firstLineChars="200"/>
        <w:rPr>
          <w:rFonts w:ascii="宋体" w:hAnsi="宋体"/>
          <w:szCs w:val="21"/>
        </w:rPr>
      </w:pPr>
      <w:r>
        <w:rPr>
          <w:rFonts w:hint="eastAsia" w:ascii="宋体" w:hAnsi="宋体"/>
          <w:szCs w:val="21"/>
        </w:rPr>
        <w:t>9.1实际用工人员中，若出现超过法定退休人员，则甲方有权从服务经费中扣回相应的社保费用。</w:t>
      </w:r>
    </w:p>
    <w:p>
      <w:pPr>
        <w:spacing w:line="360" w:lineRule="auto"/>
        <w:ind w:firstLine="420" w:firstLineChars="200"/>
        <w:rPr>
          <w:rFonts w:ascii="宋体" w:hAnsi="宋体"/>
          <w:szCs w:val="21"/>
        </w:rPr>
      </w:pPr>
      <w:r>
        <w:rPr>
          <w:rFonts w:hint="eastAsia" w:ascii="宋体" w:hAnsi="宋体"/>
          <w:szCs w:val="21"/>
        </w:rPr>
        <w:t>9.2实际用工人员中，若发现员工未缴纳社保的，则甲方有权从服务经费中扣回相应的社保费用。</w:t>
      </w:r>
    </w:p>
    <w:p>
      <w:pPr>
        <w:spacing w:line="360" w:lineRule="auto"/>
        <w:ind w:firstLine="420" w:firstLineChars="200"/>
        <w:rPr>
          <w:rFonts w:hint="eastAsia" w:ascii="宋体" w:hAnsi="宋体"/>
          <w:szCs w:val="21"/>
        </w:rPr>
      </w:pPr>
      <w:r>
        <w:rPr>
          <w:rFonts w:hint="eastAsia" w:ascii="宋体" w:hAnsi="宋体"/>
          <w:szCs w:val="21"/>
        </w:rPr>
        <w:t>10、乙方在合同履行期间，在不影响本区域保洁服务质量的情况下，通过增加机械设备等方式提高工作效率，需减少保洁工人人数的，必须事先经由甲方同意，设备添置的费用自行解决，保洁经费不予增加。</w:t>
      </w:r>
    </w:p>
    <w:p>
      <w:pPr>
        <w:spacing w:line="360" w:lineRule="auto"/>
        <w:ind w:firstLine="420" w:firstLineChars="200"/>
        <w:rPr>
          <w:rFonts w:hint="eastAsia" w:ascii="宋体" w:hAnsi="宋体"/>
          <w:szCs w:val="21"/>
        </w:rPr>
      </w:pPr>
      <w:r>
        <w:rPr>
          <w:rFonts w:hint="eastAsia" w:ascii="宋体" w:hAnsi="宋体"/>
          <w:szCs w:val="21"/>
        </w:rPr>
        <w:t>11、乙方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12、乙方应及时上报管理、人员安排等考核台帐等管理状况，投诉落实情况等必须及时以书面形式反馈。</w:t>
      </w:r>
    </w:p>
    <w:p>
      <w:pPr>
        <w:spacing w:line="360" w:lineRule="auto"/>
        <w:ind w:firstLine="420" w:firstLineChars="200"/>
        <w:rPr>
          <w:rFonts w:hint="eastAsia" w:ascii="宋体" w:hAnsi="宋体"/>
          <w:szCs w:val="21"/>
        </w:rPr>
      </w:pPr>
      <w:r>
        <w:rPr>
          <w:rFonts w:hint="eastAsia" w:ascii="宋体" w:hAnsi="宋体"/>
          <w:szCs w:val="21"/>
        </w:rPr>
        <w:t>六、其它事项约定</w:t>
      </w:r>
    </w:p>
    <w:p>
      <w:pPr>
        <w:spacing w:line="360" w:lineRule="auto"/>
        <w:ind w:firstLine="420" w:firstLineChars="200"/>
        <w:rPr>
          <w:rFonts w:hint="eastAsia" w:ascii="宋体" w:hAnsi="宋体"/>
          <w:szCs w:val="21"/>
        </w:rPr>
      </w:pPr>
      <w:r>
        <w:rPr>
          <w:rFonts w:hint="eastAsia" w:ascii="宋体" w:hAnsi="宋体"/>
          <w:szCs w:val="21"/>
        </w:rPr>
        <w:t>1、甲方拨付乙方的保洁经费中包括不低于合同总价的</w:t>
      </w:r>
      <w:r>
        <w:rPr>
          <w:rFonts w:hint="eastAsia" w:ascii="宋体" w:hAnsi="宋体"/>
          <w:szCs w:val="21"/>
          <w:u w:val="single"/>
        </w:rPr>
        <w:t xml:space="preserve">    %</w:t>
      </w:r>
      <w:r>
        <w:rPr>
          <w:rFonts w:hint="eastAsia" w:ascii="宋体" w:hAnsi="宋体"/>
          <w:szCs w:val="21"/>
        </w:rPr>
        <w:t>的安全生产专项经费，乙方必须有拥有上岗证书的专职安全生产管理员，并制定完善的安全生产管理制度和经费使用预决算，不得将安全生产专项经费挪作它用。</w:t>
      </w:r>
    </w:p>
    <w:p>
      <w:pPr>
        <w:spacing w:line="360" w:lineRule="auto"/>
        <w:ind w:firstLine="420" w:firstLineChars="200"/>
        <w:rPr>
          <w:rFonts w:hint="eastAsia" w:ascii="宋体" w:hAnsi="宋体"/>
          <w:szCs w:val="21"/>
        </w:rPr>
      </w:pPr>
      <w:r>
        <w:rPr>
          <w:rFonts w:hint="eastAsia" w:ascii="宋体" w:hAnsi="宋体"/>
          <w:szCs w:val="21"/>
        </w:rPr>
        <w:t>2、乙方必须与甲方签订安全生产责任书（详见本合同附件），责任书时效以保洁合同起止时间为准，并落实安全生产责任制度。</w:t>
      </w:r>
    </w:p>
    <w:p>
      <w:pPr>
        <w:spacing w:line="360" w:lineRule="auto"/>
        <w:ind w:firstLine="420" w:firstLineChars="200"/>
        <w:rPr>
          <w:rFonts w:hint="eastAsia" w:ascii="宋体" w:hAnsi="宋体"/>
          <w:szCs w:val="21"/>
        </w:rPr>
      </w:pPr>
      <w:r>
        <w:rPr>
          <w:rFonts w:hint="eastAsia" w:ascii="宋体" w:hAnsi="宋体"/>
          <w:szCs w:val="21"/>
        </w:rPr>
        <w:t>3、合同期内，因故致使本合同保洁项目面积、设施发生变更的，由招标人根据实际变更量，按中标综合单价进行增减，按实结算保洁服务费（已明确承包范围的除外），以联系单为准。</w:t>
      </w:r>
    </w:p>
    <w:p>
      <w:pPr>
        <w:spacing w:line="360" w:lineRule="auto"/>
        <w:ind w:firstLine="420" w:firstLineChars="200"/>
        <w:rPr>
          <w:rFonts w:hint="eastAsia" w:ascii="宋体" w:hAnsi="宋体"/>
          <w:szCs w:val="21"/>
        </w:rPr>
      </w:pPr>
      <w:r>
        <w:rPr>
          <w:rFonts w:hint="eastAsia" w:ascii="宋体" w:hAnsi="宋体"/>
          <w:szCs w:val="21"/>
        </w:rPr>
        <w:t>4、村社级垃圾桶摆放共有1159只（140L），其中厨余数垃圾桶466个，其他垃圾618个，可回收垃圾桶40个，有害垃圾桶35个；（实际清运过程中，若垃圾桶数量增减10%以内，不予调整保洁经费）。增减超过10%（含）的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5、国家上调最低工资标准的，按实际上调额及税收另行追加人员工资费；</w:t>
      </w:r>
    </w:p>
    <w:p>
      <w:pPr>
        <w:spacing w:line="360" w:lineRule="auto"/>
        <w:ind w:firstLine="420" w:firstLineChars="200"/>
        <w:rPr>
          <w:rFonts w:hint="eastAsia" w:ascii="宋体" w:hAnsi="宋体"/>
          <w:szCs w:val="21"/>
        </w:rPr>
      </w:pPr>
      <w:r>
        <w:rPr>
          <w:rFonts w:hint="eastAsia" w:ascii="宋体" w:hAnsi="宋体"/>
          <w:szCs w:val="21"/>
        </w:rPr>
        <w:t>6、因工作需要调整保洁、垃圾清运标准的，按新标准重新测算服务费。</w:t>
      </w:r>
    </w:p>
    <w:p>
      <w:pPr>
        <w:spacing w:line="360" w:lineRule="auto"/>
        <w:ind w:firstLine="420" w:firstLineChars="200"/>
        <w:rPr>
          <w:rFonts w:hint="eastAsia" w:ascii="宋体" w:hAnsi="宋体"/>
          <w:szCs w:val="21"/>
        </w:rPr>
      </w:pPr>
      <w:r>
        <w:rPr>
          <w:rFonts w:hint="eastAsia" w:ascii="宋体" w:hAnsi="宋体"/>
          <w:szCs w:val="21"/>
        </w:rPr>
        <w:t>7、乙方应按投标文书中承诺内容执行各项工作，投标文书视作合同组成部分，未达到的甲方有权扣罚并责令乙方改正。</w:t>
      </w:r>
    </w:p>
    <w:p>
      <w:pPr>
        <w:spacing w:line="360" w:lineRule="auto"/>
        <w:ind w:firstLine="420" w:firstLineChars="200"/>
        <w:rPr>
          <w:rFonts w:hint="eastAsia" w:ascii="宋体" w:hAnsi="宋体"/>
          <w:szCs w:val="21"/>
        </w:rPr>
      </w:pPr>
      <w:r>
        <w:rPr>
          <w:rFonts w:hint="eastAsia" w:ascii="宋体" w:hAnsi="宋体"/>
          <w:szCs w:val="21"/>
        </w:rPr>
        <w:t>七、有下列情况之一的，甲方有权加重对乙方处罚，情节特别严重的终止合同的履行：</w:t>
      </w:r>
    </w:p>
    <w:p>
      <w:pPr>
        <w:spacing w:line="360" w:lineRule="auto"/>
        <w:ind w:firstLine="420" w:firstLineChars="200"/>
        <w:rPr>
          <w:rFonts w:hint="eastAsia" w:ascii="宋体" w:hAnsi="宋体"/>
          <w:szCs w:val="21"/>
        </w:rPr>
      </w:pPr>
      <w:r>
        <w:rPr>
          <w:rFonts w:hint="eastAsia" w:ascii="宋体" w:hAnsi="宋体"/>
          <w:szCs w:val="21"/>
        </w:rPr>
        <w:t>1、乙方在签定合同后一个月内未足额配备人员，或中途减少人员的；</w:t>
      </w:r>
    </w:p>
    <w:p>
      <w:pPr>
        <w:spacing w:line="360" w:lineRule="auto"/>
        <w:ind w:firstLine="420" w:firstLineChars="200"/>
        <w:rPr>
          <w:rFonts w:hint="eastAsia" w:ascii="宋体" w:hAnsi="宋体"/>
          <w:szCs w:val="21"/>
        </w:rPr>
      </w:pPr>
      <w:r>
        <w:rPr>
          <w:rFonts w:hint="eastAsia" w:ascii="宋体" w:hAnsi="宋体"/>
          <w:szCs w:val="21"/>
        </w:rPr>
        <w:t>2、考核时发现的情况及时反馈给作业单位，并限期改正，而未改正的；</w:t>
      </w:r>
    </w:p>
    <w:p>
      <w:pPr>
        <w:spacing w:line="360" w:lineRule="auto"/>
        <w:ind w:firstLine="420" w:firstLineChars="200"/>
        <w:rPr>
          <w:rFonts w:hint="eastAsia" w:ascii="宋体" w:hAnsi="宋体"/>
          <w:szCs w:val="21"/>
        </w:rPr>
      </w:pPr>
      <w:r>
        <w:rPr>
          <w:rFonts w:hint="eastAsia" w:ascii="宋体" w:hAnsi="宋体"/>
          <w:szCs w:val="21"/>
        </w:rPr>
        <w:t>3、被新闻媒体曝光批评，累计三次（含）以上；</w:t>
      </w:r>
    </w:p>
    <w:p>
      <w:pPr>
        <w:spacing w:line="360" w:lineRule="auto"/>
        <w:ind w:firstLine="420" w:firstLineChars="200"/>
        <w:rPr>
          <w:rFonts w:hint="eastAsia" w:ascii="宋体" w:hAnsi="宋体"/>
          <w:szCs w:val="21"/>
        </w:rPr>
      </w:pPr>
      <w:r>
        <w:rPr>
          <w:rFonts w:hint="eastAsia" w:ascii="宋体" w:hAnsi="宋体"/>
          <w:szCs w:val="21"/>
        </w:rPr>
        <w:t>4、因乙方管理不善致使保洁质量下降，使我县创建工作或重大活动受到严重影响的；</w:t>
      </w:r>
    </w:p>
    <w:p>
      <w:pPr>
        <w:spacing w:line="360" w:lineRule="auto"/>
        <w:ind w:firstLine="420" w:firstLineChars="200"/>
        <w:rPr>
          <w:rFonts w:hint="eastAsia" w:ascii="宋体" w:hAnsi="宋体"/>
          <w:szCs w:val="21"/>
        </w:rPr>
      </w:pPr>
      <w:r>
        <w:rPr>
          <w:rFonts w:hint="eastAsia" w:ascii="宋体" w:hAnsi="宋体"/>
          <w:szCs w:val="21"/>
        </w:rPr>
        <w:t>5、因乙方原因，造成重大安全生产责任事故的；</w:t>
      </w:r>
    </w:p>
    <w:p>
      <w:pPr>
        <w:spacing w:line="360" w:lineRule="auto"/>
        <w:ind w:firstLine="420" w:firstLineChars="200"/>
        <w:rPr>
          <w:rFonts w:hint="eastAsia" w:ascii="宋体" w:hAnsi="宋体"/>
          <w:szCs w:val="21"/>
        </w:rPr>
      </w:pPr>
      <w:r>
        <w:rPr>
          <w:rFonts w:hint="eastAsia" w:ascii="宋体" w:hAnsi="宋体"/>
          <w:szCs w:val="21"/>
        </w:rPr>
        <w:t>6、因乙方处置不当，形成群体性事件，造成不良影响和后果的；</w:t>
      </w:r>
    </w:p>
    <w:p>
      <w:pPr>
        <w:spacing w:line="360" w:lineRule="auto"/>
        <w:ind w:firstLine="420" w:firstLineChars="200"/>
        <w:rPr>
          <w:rFonts w:hint="eastAsia" w:ascii="宋体" w:hAnsi="宋体"/>
          <w:szCs w:val="21"/>
        </w:rPr>
      </w:pPr>
      <w:r>
        <w:rPr>
          <w:rFonts w:hint="eastAsia" w:ascii="宋体" w:hAnsi="宋体"/>
          <w:szCs w:val="21"/>
        </w:rPr>
        <w:t>7、乙方无力履行本合同的；</w:t>
      </w:r>
    </w:p>
    <w:p>
      <w:pPr>
        <w:spacing w:line="360" w:lineRule="auto"/>
        <w:ind w:firstLine="420" w:firstLineChars="200"/>
        <w:rPr>
          <w:rFonts w:hint="eastAsia" w:ascii="宋体" w:hAnsi="宋体"/>
          <w:szCs w:val="21"/>
        </w:rPr>
      </w:pPr>
      <w:r>
        <w:rPr>
          <w:rFonts w:hint="eastAsia" w:ascii="宋体" w:hAnsi="宋体"/>
          <w:szCs w:val="21"/>
        </w:rPr>
        <w:t>八、违约责任：</w:t>
      </w:r>
    </w:p>
    <w:p>
      <w:pPr>
        <w:spacing w:line="360" w:lineRule="auto"/>
        <w:ind w:firstLine="420" w:firstLineChars="200"/>
        <w:rPr>
          <w:rFonts w:hint="eastAsia" w:ascii="宋体" w:hAnsi="宋体"/>
          <w:szCs w:val="21"/>
        </w:rPr>
      </w:pPr>
      <w:r>
        <w:rPr>
          <w:rFonts w:hint="eastAsia" w:ascii="宋体" w:hAnsi="宋体"/>
          <w:szCs w:val="21"/>
        </w:rPr>
        <w:t>1、甲方无故不按时向乙方支付承保费用，乙方有权要求甲方按当月承保费的2%向乙方支付滞纳金。</w:t>
      </w:r>
    </w:p>
    <w:p>
      <w:pPr>
        <w:spacing w:line="360" w:lineRule="auto"/>
        <w:ind w:firstLine="420" w:firstLineChars="200"/>
        <w:rPr>
          <w:rFonts w:hint="eastAsia" w:ascii="宋体" w:hAnsi="宋体"/>
          <w:szCs w:val="21"/>
        </w:rPr>
      </w:pPr>
      <w:r>
        <w:rPr>
          <w:rFonts w:hint="eastAsia" w:ascii="宋体" w:hAnsi="宋体"/>
          <w:szCs w:val="21"/>
        </w:rPr>
        <w:t>2、由乙方原因导致合同终止，对甲方造成的损失由乙方负责赔偿，乙方的损失自行承担。</w:t>
      </w:r>
    </w:p>
    <w:p>
      <w:pPr>
        <w:spacing w:line="360" w:lineRule="auto"/>
        <w:ind w:firstLine="420" w:firstLineChars="200"/>
        <w:rPr>
          <w:rFonts w:hint="eastAsia" w:ascii="宋体" w:hAnsi="宋体"/>
          <w:szCs w:val="21"/>
        </w:rPr>
      </w:pPr>
      <w:r>
        <w:rPr>
          <w:rFonts w:hint="eastAsia" w:ascii="宋体" w:hAnsi="宋体"/>
          <w:szCs w:val="21"/>
        </w:rPr>
        <w:t>2、由甲方原因导致合同终止，对乙方造成的损失由甲方负责赔偿，甲方的损失自行承担。</w:t>
      </w:r>
    </w:p>
    <w:p>
      <w:pPr>
        <w:spacing w:line="360" w:lineRule="auto"/>
        <w:ind w:firstLine="420" w:firstLineChars="200"/>
        <w:rPr>
          <w:rFonts w:hint="eastAsia" w:ascii="宋体" w:hAnsi="宋体"/>
          <w:bCs/>
          <w:szCs w:val="21"/>
        </w:rPr>
      </w:pPr>
      <w:r>
        <w:rPr>
          <w:rFonts w:hint="eastAsia" w:ascii="宋体" w:hAnsi="宋体"/>
          <w:bCs/>
          <w:szCs w:val="21"/>
        </w:rPr>
        <w:t>3、乙方不得将项目分包或整体转包给任何单位和个人，否则甲方有权即刻终止合同，并要求乙方赔偿相应损失。</w:t>
      </w:r>
    </w:p>
    <w:p>
      <w:pPr>
        <w:spacing w:line="360" w:lineRule="auto"/>
        <w:ind w:firstLine="420" w:firstLineChars="200"/>
        <w:rPr>
          <w:rFonts w:hint="eastAsia" w:ascii="宋体" w:hAnsi="宋体"/>
          <w:szCs w:val="21"/>
        </w:rPr>
      </w:pPr>
      <w:r>
        <w:rPr>
          <w:rFonts w:hint="eastAsia" w:ascii="宋体" w:hAnsi="宋体"/>
          <w:szCs w:val="21"/>
        </w:rPr>
        <w:t>九、未尽事宜由甲乙双方共同协商解决。甲、乙双方对合同条款有争议的，由双方在招标文件框架内协商解决。无法协商的，向宁海县人民法院提起诉讼。</w:t>
      </w:r>
    </w:p>
    <w:p>
      <w:pPr>
        <w:spacing w:line="360" w:lineRule="auto"/>
        <w:ind w:firstLine="420" w:firstLineChars="200"/>
        <w:rPr>
          <w:rFonts w:hint="eastAsia" w:ascii="宋体" w:hAnsi="宋体"/>
          <w:szCs w:val="21"/>
        </w:rPr>
      </w:pPr>
      <w:r>
        <w:rPr>
          <w:rFonts w:hint="eastAsia" w:ascii="宋体" w:hAnsi="宋体"/>
          <w:szCs w:val="21"/>
        </w:rPr>
        <w:t>十、本合同一式肆份，甲乙方各执一份，宁波建兴招标有限公司一份，宁海县财政局采购办一份。</w:t>
      </w:r>
    </w:p>
    <w:p>
      <w:pPr>
        <w:spacing w:line="360" w:lineRule="auto"/>
        <w:ind w:firstLine="420" w:firstLineChars="200"/>
        <w:rPr>
          <w:rFonts w:hint="eastAsia" w:ascii="宋体" w:hAnsi="宋体"/>
          <w:szCs w:val="21"/>
        </w:rPr>
      </w:pPr>
      <w:r>
        <w:rPr>
          <w:rFonts w:hint="eastAsia" w:ascii="宋体" w:hAnsi="宋体"/>
          <w:szCs w:val="21"/>
        </w:rPr>
        <w:t>十一、本合同双方盖章签字后生效。</w:t>
      </w:r>
    </w:p>
    <w:p>
      <w:pPr>
        <w:spacing w:line="360" w:lineRule="auto"/>
        <w:rPr>
          <w:rFonts w:hint="eastAsia" w:ascii="宋体" w:hAnsi="宋体"/>
          <w:szCs w:val="21"/>
        </w:rPr>
      </w:pPr>
      <w:r>
        <w:rPr>
          <w:rFonts w:ascii="宋体" w:hAnsi="宋体"/>
          <w:szCs w:val="21"/>
        </w:rPr>
        <w:br w:type="page"/>
      </w:r>
      <w:r>
        <w:rPr>
          <w:rFonts w:hint="eastAsia" w:ascii="宋体" w:hAnsi="宋体"/>
          <w:szCs w:val="21"/>
        </w:rPr>
        <w:t>此页无正文</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电话：                                                      电话：</w:t>
      </w:r>
    </w:p>
    <w:p>
      <w:pPr>
        <w:spacing w:line="360" w:lineRule="auto"/>
        <w:rPr>
          <w:rFonts w:hint="eastAsia" w:ascii="宋体" w:hAnsi="宋体"/>
          <w:szCs w:val="21"/>
        </w:rPr>
      </w:pPr>
      <w:r>
        <w:rPr>
          <w:rFonts w:hint="eastAsia" w:ascii="宋体" w:hAnsi="宋体"/>
          <w:szCs w:val="21"/>
        </w:rPr>
        <w:t>日期：                                                      日期：</w:t>
      </w: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r>
        <w:rPr>
          <w:rFonts w:hint="eastAsia" w:ascii="宋体" w:hAnsi="宋体"/>
          <w:szCs w:val="21"/>
        </w:rPr>
        <w:t>鉴证方：宁波建兴招标有限公司</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spacing w:line="360" w:lineRule="auto"/>
        <w:rPr>
          <w:rFonts w:hint="eastAsia" w:ascii="宋体" w:hAnsi="宋体"/>
          <w:szCs w:val="21"/>
        </w:rPr>
      </w:pPr>
      <w:r>
        <w:rPr>
          <w:rFonts w:hint="eastAsia" w:ascii="宋体" w:hAnsi="宋体"/>
          <w:szCs w:val="21"/>
        </w:rPr>
        <w:t xml:space="preserve">电话：                                                      </w:t>
      </w:r>
    </w:p>
    <w:p>
      <w:pPr>
        <w:tabs>
          <w:tab w:val="left" w:pos="2310"/>
        </w:tabs>
        <w:spacing w:line="360" w:lineRule="auto"/>
        <w:rPr>
          <w:rFonts w:hint="eastAsia" w:ascii="宋体" w:hAnsi="宋体"/>
          <w:szCs w:val="21"/>
        </w:rPr>
      </w:pPr>
      <w:r>
        <w:rPr>
          <w:rFonts w:hint="eastAsia" w:ascii="宋体" w:hAnsi="宋体"/>
          <w:szCs w:val="21"/>
        </w:rPr>
        <w:t>日期：</w:t>
      </w:r>
    </w:p>
    <w:p>
      <w:pPr>
        <w:spacing w:line="400" w:lineRule="exact"/>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附件1：</w:t>
      </w:r>
    </w:p>
    <w:p>
      <w:pPr>
        <w:jc w:val="center"/>
        <w:rPr>
          <w:rFonts w:hint="eastAsia" w:ascii="宋体" w:hAnsi="宋体"/>
          <w:b/>
          <w:szCs w:val="21"/>
        </w:rPr>
      </w:pPr>
      <w:r>
        <w:rPr>
          <w:rFonts w:hint="eastAsia" w:ascii="宋体" w:hAnsi="宋体"/>
          <w:b/>
          <w:szCs w:val="21"/>
        </w:rPr>
        <w:t>安全生产责任状</w:t>
      </w:r>
    </w:p>
    <w:p>
      <w:pPr>
        <w:spacing w:line="360" w:lineRule="auto"/>
        <w:ind w:firstLine="420" w:firstLineChars="200"/>
        <w:rPr>
          <w:rFonts w:hint="eastAsia" w:ascii="宋体" w:hAnsi="宋体" w:cs="宋体"/>
          <w:bCs/>
          <w:szCs w:val="21"/>
        </w:rPr>
      </w:pPr>
      <w:r>
        <w:rPr>
          <w:rFonts w:hint="eastAsia" w:ascii="宋体" w:hAnsi="宋体" w:cs="宋体"/>
          <w:bCs/>
          <w:szCs w:val="21"/>
        </w:rPr>
        <w:t>甲方：</w:t>
      </w:r>
      <w:r>
        <w:rPr>
          <w:rFonts w:hint="eastAsia" w:ascii="宋体" w:hAnsi="宋体" w:cs="宋体"/>
          <w:b/>
          <w:bCs/>
          <w:szCs w:val="21"/>
          <w:u w:val="single"/>
        </w:rPr>
        <w:t xml:space="preserve">                                  </w:t>
      </w:r>
      <w:r>
        <w:rPr>
          <w:rFonts w:hint="eastAsia" w:ascii="宋体" w:hAnsi="宋体" w:cs="宋体"/>
          <w:bCs/>
          <w:szCs w:val="21"/>
        </w:rPr>
        <w:t>（以下简称甲方）</w:t>
      </w:r>
    </w:p>
    <w:p>
      <w:pPr>
        <w:spacing w:line="360" w:lineRule="auto"/>
        <w:ind w:firstLine="420" w:firstLineChars="200"/>
        <w:rPr>
          <w:rFonts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cs="宋体"/>
          <w:szCs w:val="21"/>
        </w:rPr>
      </w:pPr>
      <w:r>
        <w:rPr>
          <w:rFonts w:hint="eastAsia" w:ascii="宋体" w:hAnsi="宋体" w:cs="宋体"/>
          <w:szCs w:val="21"/>
        </w:rPr>
        <w:t xml:space="preserve">为了进一步贯彻落实“安全第一，预防为主”的方针，全面落实乙方安全生产责任，强化安全管理，有效遏制重、特大事故的发生，维护环卫保洁工作和生活秩序，特签订安全生产责任状。                     </w:t>
      </w:r>
    </w:p>
    <w:p>
      <w:pPr>
        <w:spacing w:line="360" w:lineRule="auto"/>
        <w:ind w:firstLine="420" w:firstLineChars="200"/>
        <w:rPr>
          <w:rFonts w:hint="eastAsia" w:ascii="宋体" w:hAnsi="宋体" w:cs="宋体"/>
          <w:szCs w:val="21"/>
        </w:rPr>
      </w:pPr>
      <w:r>
        <w:rPr>
          <w:rFonts w:hint="eastAsia" w:ascii="宋体" w:hAnsi="宋体" w:cs="宋体"/>
          <w:szCs w:val="21"/>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cs="宋体"/>
          <w:szCs w:val="21"/>
        </w:rPr>
      </w:pPr>
      <w:r>
        <w:rPr>
          <w:rFonts w:hint="eastAsia" w:ascii="宋体" w:hAnsi="宋体" w:cs="宋体"/>
          <w:szCs w:val="21"/>
        </w:rPr>
        <w:t>二、责任对象：乙方的法人代表是安全生产第一责任人，对该公司安全生产工作负全面责任。</w:t>
      </w:r>
    </w:p>
    <w:p>
      <w:pPr>
        <w:spacing w:line="360" w:lineRule="auto"/>
        <w:ind w:firstLine="420" w:firstLineChars="200"/>
        <w:rPr>
          <w:rFonts w:hint="eastAsia" w:ascii="宋体" w:hAnsi="宋体" w:cs="宋体"/>
          <w:szCs w:val="21"/>
        </w:rPr>
      </w:pPr>
      <w:r>
        <w:rPr>
          <w:rFonts w:hint="eastAsia" w:ascii="宋体" w:hAnsi="宋体" w:cs="宋体"/>
          <w:szCs w:val="21"/>
        </w:rPr>
        <w:t>三、责任目标</w:t>
      </w:r>
    </w:p>
    <w:p>
      <w:pPr>
        <w:spacing w:line="360" w:lineRule="auto"/>
        <w:ind w:firstLine="420" w:firstLineChars="200"/>
        <w:rPr>
          <w:rFonts w:hint="eastAsia" w:ascii="宋体" w:hAnsi="宋体" w:cs="宋体"/>
          <w:szCs w:val="21"/>
        </w:rPr>
      </w:pPr>
      <w:r>
        <w:rPr>
          <w:rFonts w:hint="eastAsia" w:ascii="宋体" w:hAnsi="宋体" w:cs="宋体"/>
          <w:szCs w:val="21"/>
        </w:rPr>
        <w:t>1、建立健全安全生产责任制，制定并落实各项安全生产的规章制度。</w:t>
      </w:r>
    </w:p>
    <w:p>
      <w:pPr>
        <w:spacing w:line="360" w:lineRule="auto"/>
        <w:ind w:firstLine="420" w:firstLineChars="200"/>
        <w:rPr>
          <w:rFonts w:hint="eastAsia" w:ascii="宋体" w:hAnsi="宋体" w:cs="宋体"/>
          <w:szCs w:val="21"/>
        </w:rPr>
      </w:pPr>
      <w:r>
        <w:rPr>
          <w:rFonts w:hint="eastAsia" w:ascii="宋体" w:hAnsi="宋体" w:cs="宋体"/>
          <w:szCs w:val="21"/>
        </w:rPr>
        <w:t>2．对所有符合参加人身意外伤害保险的人员统一进行参保（社会保险参保人员除外）；</w:t>
      </w:r>
    </w:p>
    <w:p>
      <w:pPr>
        <w:spacing w:line="360" w:lineRule="auto"/>
        <w:ind w:firstLine="420" w:firstLineChars="200"/>
        <w:rPr>
          <w:rFonts w:hint="eastAsia" w:ascii="宋体" w:hAnsi="宋体" w:cs="宋体"/>
          <w:szCs w:val="21"/>
        </w:rPr>
      </w:pPr>
      <w:r>
        <w:rPr>
          <w:rFonts w:hint="eastAsia" w:ascii="宋体" w:hAnsi="宋体" w:cs="宋体"/>
          <w:szCs w:val="21"/>
        </w:rPr>
        <w:t>3、对所管理车辆（包括非机动车）落实保险责任，建立车辆管理制度。</w:t>
      </w:r>
    </w:p>
    <w:p>
      <w:pPr>
        <w:spacing w:line="360" w:lineRule="auto"/>
        <w:ind w:firstLine="420" w:firstLineChars="200"/>
        <w:rPr>
          <w:rFonts w:hint="eastAsia" w:ascii="宋体" w:hAnsi="宋体" w:cs="宋体"/>
          <w:szCs w:val="21"/>
        </w:rPr>
      </w:pPr>
      <w:r>
        <w:rPr>
          <w:rFonts w:hint="eastAsia" w:ascii="宋体" w:hAnsi="宋体" w:cs="宋体"/>
          <w:szCs w:val="21"/>
        </w:rPr>
        <w:t>4．不发生</w:t>
      </w:r>
      <w:r>
        <w:rPr>
          <w:rFonts w:ascii="宋体" w:hAnsi="宋体" w:cs="宋体"/>
          <w:szCs w:val="21"/>
        </w:rPr>
        <w:t>重伤及以上人身伤亡事故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年度人身轻伤事故率不超过本</w:t>
      </w:r>
      <w:r>
        <w:rPr>
          <w:rFonts w:hint="eastAsia" w:ascii="宋体" w:hAnsi="宋体" w:cs="宋体"/>
          <w:szCs w:val="21"/>
        </w:rPr>
        <w:t>公司总人数</w:t>
      </w:r>
      <w:r>
        <w:rPr>
          <w:rFonts w:ascii="宋体" w:hAnsi="宋体" w:cs="宋体"/>
          <w:szCs w:val="21"/>
        </w:rPr>
        <w:t>的</w:t>
      </w:r>
      <w:r>
        <w:rPr>
          <w:rFonts w:hint="eastAsia" w:ascii="宋体" w:hAnsi="宋体" w:cs="宋体"/>
          <w:szCs w:val="21"/>
        </w:rPr>
        <w:t>3%；</w:t>
      </w:r>
    </w:p>
    <w:p>
      <w:pPr>
        <w:spacing w:line="360" w:lineRule="auto"/>
        <w:ind w:firstLine="420" w:firstLineChars="200"/>
        <w:rPr>
          <w:rFonts w:ascii="宋体" w:hAnsi="宋体" w:cs="宋体"/>
          <w:szCs w:val="21"/>
        </w:rPr>
      </w:pPr>
      <w:r>
        <w:rPr>
          <w:rFonts w:hint="eastAsia" w:ascii="宋体" w:hAnsi="宋体" w:cs="宋体"/>
          <w:szCs w:val="21"/>
        </w:rPr>
        <w:t>6．保证所辖职工宿舍区内不发生消防等安全</w:t>
      </w:r>
      <w:r>
        <w:rPr>
          <w:rFonts w:ascii="宋体" w:hAnsi="宋体" w:cs="宋体"/>
          <w:szCs w:val="21"/>
        </w:rPr>
        <w:t>事故；</w:t>
      </w:r>
    </w:p>
    <w:p>
      <w:pPr>
        <w:spacing w:line="360" w:lineRule="auto"/>
        <w:ind w:firstLine="420" w:firstLineChars="200"/>
        <w:rPr>
          <w:rFonts w:hint="eastAsia" w:ascii="宋体" w:hAnsi="宋体" w:cs="宋体"/>
          <w:szCs w:val="21"/>
        </w:rPr>
      </w:pPr>
      <w:r>
        <w:rPr>
          <w:rFonts w:hint="eastAsia" w:ascii="宋体" w:hAnsi="宋体" w:cs="宋体"/>
          <w:szCs w:val="21"/>
        </w:rPr>
        <w:t>7．不发生</w:t>
      </w:r>
      <w:r>
        <w:rPr>
          <w:rFonts w:ascii="宋体" w:hAnsi="宋体" w:cs="宋体"/>
          <w:szCs w:val="21"/>
        </w:rPr>
        <w:t>大面积传染病事件；</w:t>
      </w:r>
    </w:p>
    <w:p>
      <w:pPr>
        <w:spacing w:line="360" w:lineRule="auto"/>
        <w:ind w:firstLine="420" w:firstLineChars="200"/>
        <w:rPr>
          <w:rFonts w:hint="eastAsia"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不发生5万元及以上的设备、机械事故；</w:t>
      </w:r>
    </w:p>
    <w:p>
      <w:pPr>
        <w:spacing w:line="360" w:lineRule="auto"/>
        <w:ind w:firstLine="420" w:firstLineChars="200"/>
        <w:rPr>
          <w:rFonts w:ascii="宋体" w:hAnsi="宋体" w:cs="宋体"/>
          <w:szCs w:val="21"/>
        </w:rPr>
      </w:pPr>
      <w:r>
        <w:rPr>
          <w:rFonts w:hint="eastAsia" w:ascii="宋体" w:hAnsi="宋体" w:cs="宋体"/>
          <w:szCs w:val="21"/>
        </w:rPr>
        <w:t>9．驾驶员、</w:t>
      </w:r>
      <w:r>
        <w:rPr>
          <w:rFonts w:ascii="宋体" w:hAnsi="宋体" w:cs="宋体"/>
          <w:szCs w:val="21"/>
        </w:rPr>
        <w:t>安全员、特种作业人员全部持证上岗；</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安全设施、安全标志、安全警示的设置率、规范率达到100%；</w:t>
      </w:r>
    </w:p>
    <w:p>
      <w:pPr>
        <w:spacing w:line="360" w:lineRule="auto"/>
        <w:ind w:firstLine="420" w:firstLineChars="200"/>
        <w:rPr>
          <w:rFonts w:hint="eastAsia" w:ascii="宋体" w:hAnsi="宋体" w:cs="宋体"/>
          <w:szCs w:val="21"/>
        </w:rPr>
      </w:pPr>
      <w:r>
        <w:rPr>
          <w:rFonts w:hint="eastAsia" w:ascii="宋体" w:hAnsi="宋体" w:cs="宋体"/>
          <w:szCs w:val="21"/>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hint="eastAsia" w:ascii="宋体" w:hAnsi="宋体" w:cs="宋体"/>
          <w:szCs w:val="21"/>
        </w:rPr>
      </w:pPr>
      <w:r>
        <w:rPr>
          <w:rFonts w:hint="eastAsia" w:ascii="宋体" w:hAnsi="宋体" w:cs="宋体"/>
          <w:szCs w:val="21"/>
        </w:rPr>
        <w:t>12．认真贯彻《安全生产法》并抓好宣传培训工作；</w:t>
      </w:r>
    </w:p>
    <w:p>
      <w:pPr>
        <w:spacing w:line="360" w:lineRule="auto"/>
        <w:ind w:firstLine="420" w:firstLineChars="200"/>
        <w:rPr>
          <w:rFonts w:hint="eastAsia" w:ascii="宋体" w:hAnsi="宋体" w:cs="宋体"/>
          <w:szCs w:val="21"/>
        </w:rPr>
      </w:pPr>
      <w:r>
        <w:rPr>
          <w:rFonts w:hint="eastAsia" w:ascii="宋体" w:hAnsi="宋体" w:cs="宋体"/>
          <w:szCs w:val="21"/>
        </w:rPr>
        <w:t>13．本责任状有效期与双方所签订保洁合同挂钩，随保洁合同时间起讫。</w:t>
      </w:r>
    </w:p>
    <w:p>
      <w:pPr>
        <w:spacing w:line="360" w:lineRule="auto"/>
        <w:ind w:firstLine="420" w:firstLineChars="200"/>
        <w:rPr>
          <w:rFonts w:hint="eastAsia" w:ascii="宋体" w:hAnsi="宋体" w:cs="宋体"/>
          <w:szCs w:val="21"/>
        </w:rPr>
      </w:pPr>
      <w:r>
        <w:rPr>
          <w:rFonts w:hint="eastAsia" w:ascii="宋体" w:hAnsi="宋体" w:cs="宋体"/>
          <w:szCs w:val="21"/>
        </w:rPr>
        <w:t>本责任状一式肆份，甲乙双方各执一份；代理机构、</w:t>
      </w:r>
      <w:r>
        <w:rPr>
          <w:rFonts w:hint="eastAsia" w:ascii="宋体" w:hAnsi="宋体"/>
          <w:szCs w:val="21"/>
        </w:rPr>
        <w:t>宁海县财政局</w:t>
      </w:r>
      <w:r>
        <w:rPr>
          <w:rFonts w:hint="eastAsia" w:ascii="宋体" w:hAnsi="宋体" w:cs="宋体"/>
          <w:szCs w:val="21"/>
        </w:rPr>
        <w:t>采购办各执一份。</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r>
        <w:rPr>
          <w:rFonts w:ascii="宋体" w:hAnsi="宋体" w:cs="宋体"/>
          <w:b/>
          <w:bCs/>
          <w:szCs w:val="21"/>
        </w:rPr>
        <w:br w:type="page"/>
      </w:r>
      <w:r>
        <w:rPr>
          <w:rFonts w:hint="eastAsia" w:ascii="宋体" w:hAnsi="宋体" w:cs="宋体"/>
          <w:b/>
          <w:bCs/>
          <w:szCs w:val="21"/>
        </w:rPr>
        <w:t>附件2：</w:t>
      </w:r>
    </w:p>
    <w:p>
      <w:pPr>
        <w:jc w:val="center"/>
        <w:rPr>
          <w:rFonts w:hint="eastAsia" w:ascii="宋体" w:hAnsi="宋体"/>
          <w:b/>
          <w:szCs w:val="21"/>
        </w:rPr>
      </w:pPr>
      <w:r>
        <w:rPr>
          <w:rFonts w:hint="eastAsia" w:ascii="宋体" w:hAnsi="宋体"/>
          <w:b/>
          <w:szCs w:val="21"/>
        </w:rPr>
        <w:t>落实“双联中心”工作相关制度</w:t>
      </w:r>
    </w:p>
    <w:p>
      <w:pPr>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（以下简称甲方）</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（以下简称乙方）</w:t>
      </w:r>
    </w:p>
    <w:p>
      <w:pPr>
        <w:widowControl/>
        <w:spacing w:line="360" w:lineRule="auto"/>
        <w:ind w:firstLine="630"/>
        <w:jc w:val="left"/>
        <w:rPr>
          <w:rFonts w:hint="eastAsia" w:ascii="宋体" w:hAnsi="宋体"/>
          <w:szCs w:val="21"/>
        </w:rPr>
      </w:pPr>
      <w:r>
        <w:rPr>
          <w:rFonts w:hint="eastAsia" w:ascii="宋体" w:hAnsi="宋体"/>
          <w:szCs w:val="21"/>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hint="eastAsia" w:ascii="宋体" w:hAnsi="宋体"/>
          <w:szCs w:val="21"/>
        </w:rPr>
      </w:pPr>
      <w:r>
        <w:rPr>
          <w:rFonts w:hint="eastAsia" w:ascii="宋体" w:hAnsi="宋体"/>
          <w:szCs w:val="21"/>
        </w:rPr>
        <w:t>一、值班制度</w:t>
      </w:r>
    </w:p>
    <w:p>
      <w:pPr>
        <w:widowControl/>
        <w:spacing w:line="360" w:lineRule="auto"/>
        <w:ind w:firstLine="630"/>
        <w:jc w:val="left"/>
        <w:rPr>
          <w:rFonts w:hint="eastAsia" w:ascii="宋体" w:hAnsi="宋体"/>
          <w:szCs w:val="21"/>
        </w:rPr>
      </w:pPr>
      <w:r>
        <w:rPr>
          <w:rFonts w:hint="eastAsia" w:ascii="宋体" w:hAnsi="宋体"/>
          <w:szCs w:val="21"/>
        </w:rPr>
        <w:t>1、乙方实行24小时值班制，值班人员应严格按照值班安排到岗到位。</w:t>
      </w:r>
    </w:p>
    <w:p>
      <w:pPr>
        <w:widowControl/>
        <w:spacing w:line="360" w:lineRule="auto"/>
        <w:ind w:firstLine="630"/>
        <w:jc w:val="left"/>
        <w:rPr>
          <w:rFonts w:hint="eastAsia" w:ascii="宋体" w:hAnsi="宋体"/>
          <w:szCs w:val="21"/>
        </w:rPr>
      </w:pPr>
      <w:r>
        <w:rPr>
          <w:rFonts w:hint="eastAsia" w:ascii="宋体" w:hAnsi="宋体"/>
          <w:szCs w:val="21"/>
        </w:rPr>
        <w:t>2、如遇突发事件、重要电传应及时报告公司负责人，同时，要及时报告甲方。</w:t>
      </w:r>
    </w:p>
    <w:p>
      <w:pPr>
        <w:widowControl/>
        <w:spacing w:line="360" w:lineRule="auto"/>
        <w:ind w:firstLine="630"/>
        <w:jc w:val="left"/>
        <w:rPr>
          <w:rFonts w:hint="eastAsia" w:ascii="宋体" w:hAnsi="宋体"/>
          <w:szCs w:val="21"/>
        </w:rPr>
      </w:pPr>
      <w:r>
        <w:rPr>
          <w:rFonts w:hint="eastAsia" w:ascii="宋体" w:hAnsi="宋体"/>
          <w:szCs w:val="21"/>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hint="eastAsia" w:ascii="宋体" w:hAnsi="宋体"/>
          <w:szCs w:val="21"/>
        </w:rPr>
      </w:pPr>
      <w:r>
        <w:rPr>
          <w:rFonts w:hint="eastAsia" w:ascii="宋体" w:hAnsi="宋体"/>
          <w:szCs w:val="21"/>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hint="eastAsia" w:ascii="宋体" w:hAnsi="宋体"/>
          <w:szCs w:val="21"/>
        </w:rPr>
      </w:pPr>
      <w:r>
        <w:rPr>
          <w:rFonts w:hint="eastAsia" w:ascii="宋体" w:hAnsi="宋体"/>
          <w:szCs w:val="21"/>
        </w:rPr>
        <w:t>5、值班人员应妥善保管值班记录，值班记录作为年度工作目标考核检查台帐资料的重要依据，列入档案管理。</w:t>
      </w:r>
    </w:p>
    <w:p>
      <w:pPr>
        <w:widowControl/>
        <w:spacing w:line="360" w:lineRule="auto"/>
        <w:ind w:firstLine="630"/>
        <w:jc w:val="left"/>
        <w:rPr>
          <w:rFonts w:hint="eastAsia" w:ascii="宋体" w:hAnsi="宋体"/>
          <w:szCs w:val="21"/>
        </w:rPr>
      </w:pPr>
      <w:r>
        <w:rPr>
          <w:rFonts w:hint="eastAsia" w:ascii="宋体" w:hAnsi="宋体"/>
          <w:szCs w:val="21"/>
        </w:rPr>
        <w:t>二、接处警制度</w:t>
      </w:r>
    </w:p>
    <w:p>
      <w:pPr>
        <w:widowControl/>
        <w:spacing w:line="360" w:lineRule="auto"/>
        <w:ind w:firstLine="630"/>
        <w:jc w:val="left"/>
        <w:rPr>
          <w:rFonts w:hint="eastAsia" w:ascii="宋体" w:hAnsi="宋体"/>
          <w:szCs w:val="21"/>
        </w:rPr>
      </w:pPr>
      <w:r>
        <w:rPr>
          <w:rFonts w:hint="eastAsia" w:ascii="宋体" w:hAnsi="宋体"/>
          <w:szCs w:val="21"/>
        </w:rPr>
        <w:t>1、乙方值班人员根据甲方的指令，按照自身职责分工，迅速组织力量到现场进行处置。</w:t>
      </w:r>
    </w:p>
    <w:p>
      <w:pPr>
        <w:widowControl/>
        <w:spacing w:line="360" w:lineRule="auto"/>
        <w:ind w:firstLine="630"/>
        <w:jc w:val="left"/>
        <w:rPr>
          <w:rFonts w:hint="eastAsia" w:ascii="宋体" w:hAnsi="宋体"/>
          <w:szCs w:val="21"/>
        </w:rPr>
      </w:pPr>
      <w:r>
        <w:rPr>
          <w:rFonts w:hint="eastAsia" w:ascii="宋体" w:hAnsi="宋体"/>
          <w:szCs w:val="21"/>
        </w:rPr>
        <w:t>2、值班人员对 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hint="eastAsia" w:ascii="宋体" w:hAnsi="宋体"/>
          <w:szCs w:val="21"/>
        </w:rPr>
      </w:pPr>
      <w:r>
        <w:rPr>
          <w:rFonts w:hint="eastAsia" w:ascii="宋体" w:hAnsi="宋体"/>
          <w:szCs w:val="21"/>
        </w:rPr>
        <w:t>3、白天接警，应急值班人员自接到处置指令到到达现场（辖区范围内），时间不得超过20分钟；夜间接警，应急值班人员自接到处置指令到到达现场（辖区范围内），时间不得超过40分钟；辖区区以外根据实际情况以最快速度到达现场。</w:t>
      </w:r>
    </w:p>
    <w:p>
      <w:pPr>
        <w:widowControl/>
        <w:spacing w:line="360" w:lineRule="auto"/>
        <w:ind w:firstLine="630"/>
        <w:jc w:val="left"/>
        <w:rPr>
          <w:rFonts w:hint="eastAsia" w:ascii="宋体" w:hAnsi="宋体"/>
          <w:szCs w:val="21"/>
        </w:rPr>
      </w:pPr>
      <w:r>
        <w:rPr>
          <w:rFonts w:hint="eastAsia" w:ascii="宋体" w:hAnsi="宋体"/>
          <w:szCs w:val="21"/>
        </w:rPr>
        <w:t>三、信息反馈报告制度</w:t>
      </w:r>
    </w:p>
    <w:p>
      <w:pPr>
        <w:widowControl/>
        <w:spacing w:line="360" w:lineRule="auto"/>
        <w:ind w:firstLine="630"/>
        <w:jc w:val="left"/>
        <w:rPr>
          <w:rFonts w:hint="eastAsia" w:ascii="宋体" w:hAnsi="宋体"/>
          <w:szCs w:val="21"/>
        </w:rPr>
      </w:pPr>
      <w:r>
        <w:rPr>
          <w:rFonts w:hint="eastAsia" w:ascii="宋体" w:hAnsi="宋体"/>
          <w:szCs w:val="21"/>
        </w:rPr>
        <w:t>1、落实信息报送专人负责制，对不稳定因素、网上舆情、重大突发事件等信息要及上报甲方。</w:t>
      </w:r>
    </w:p>
    <w:p>
      <w:pPr>
        <w:widowControl/>
        <w:spacing w:line="360" w:lineRule="auto"/>
        <w:ind w:firstLine="630"/>
        <w:jc w:val="left"/>
        <w:rPr>
          <w:rFonts w:hint="eastAsia" w:ascii="宋体" w:hAnsi="宋体"/>
          <w:szCs w:val="21"/>
        </w:rPr>
      </w:pPr>
      <w:r>
        <w:rPr>
          <w:rFonts w:hint="eastAsia" w:ascii="宋体" w:hAnsi="宋体"/>
          <w:szCs w:val="21"/>
        </w:rPr>
        <w:t>2、应急值班人员接到指令到达现场后，应立即向甲方报告。</w:t>
      </w:r>
    </w:p>
    <w:p>
      <w:pPr>
        <w:widowControl/>
        <w:spacing w:line="360" w:lineRule="auto"/>
        <w:ind w:firstLine="630"/>
        <w:jc w:val="left"/>
        <w:rPr>
          <w:rFonts w:hint="eastAsia" w:ascii="宋体" w:hAnsi="宋体"/>
          <w:szCs w:val="21"/>
        </w:rPr>
      </w:pPr>
      <w:r>
        <w:rPr>
          <w:rFonts w:hint="eastAsia" w:ascii="宋体" w:hAnsi="宋体"/>
          <w:szCs w:val="21"/>
        </w:rPr>
        <w:t>3、若应急值班人员到达现场后，发现接到的警情非职责范围，应迅速将该警情退回，并说明退回理由。</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szCs w:val="21"/>
        </w:rPr>
      </w:pPr>
    </w:p>
    <w:p>
      <w:pPr>
        <w:spacing w:line="400" w:lineRule="exact"/>
        <w:rPr>
          <w:rFonts w:hint="eastAsia" w:ascii="宋体" w:hAnsi="宋体" w:cs="宋体"/>
          <w:b/>
          <w:bCs/>
          <w:szCs w:val="21"/>
        </w:rPr>
      </w:pPr>
    </w:p>
    <w:p>
      <w:pPr>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附件3：</w:t>
      </w:r>
    </w:p>
    <w:p>
      <w:pPr>
        <w:spacing w:line="460" w:lineRule="exact"/>
        <w:jc w:val="center"/>
        <w:rPr>
          <w:rFonts w:hint="eastAsia" w:ascii="宋体" w:hAnsi="宋体"/>
          <w:b/>
          <w:szCs w:val="21"/>
        </w:rPr>
      </w:pPr>
      <w:r>
        <w:rPr>
          <w:rFonts w:hint="eastAsia" w:ascii="宋体" w:hAnsi="宋体"/>
          <w:b/>
          <w:szCs w:val="21"/>
        </w:rPr>
        <w:t>安全管理制度</w:t>
      </w:r>
    </w:p>
    <w:p>
      <w:pPr>
        <w:widowControl/>
        <w:spacing w:line="360" w:lineRule="auto"/>
        <w:ind w:firstLine="629"/>
        <w:jc w:val="left"/>
        <w:rPr>
          <w:rFonts w:hint="eastAsia" w:ascii="宋体" w:hAnsi="宋体" w:cs="宋体"/>
          <w:kern w:val="0"/>
          <w:szCs w:val="21"/>
        </w:rPr>
      </w:pPr>
    </w:p>
    <w:p>
      <w:pPr>
        <w:widowControl/>
        <w:spacing w:line="360" w:lineRule="auto"/>
        <w:ind w:firstLine="630"/>
        <w:jc w:val="left"/>
        <w:rPr>
          <w:rFonts w:hint="eastAsia" w:ascii="宋体" w:hAnsi="宋体"/>
          <w:szCs w:val="21"/>
        </w:rPr>
      </w:pPr>
      <w:r>
        <w:rPr>
          <w:rFonts w:hint="eastAsia" w:ascii="宋体" w:hAnsi="宋体"/>
          <w:szCs w:val="21"/>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szCs w:val="21"/>
        </w:rPr>
      </w:pPr>
      <w:r>
        <w:rPr>
          <w:rFonts w:hint="eastAsia" w:ascii="宋体" w:hAnsi="宋体"/>
          <w:szCs w:val="21"/>
        </w:rPr>
        <w:t>1、建立安全台账，及时登记安全工作检查情况、落实情况，配备专职安全员，安全会议每半年召开一次。</w:t>
      </w:r>
    </w:p>
    <w:p>
      <w:pPr>
        <w:widowControl/>
        <w:spacing w:line="360" w:lineRule="auto"/>
        <w:ind w:firstLine="630"/>
        <w:jc w:val="left"/>
        <w:rPr>
          <w:rFonts w:hint="eastAsia" w:ascii="宋体" w:hAnsi="宋体"/>
          <w:szCs w:val="21"/>
        </w:rPr>
      </w:pPr>
      <w:r>
        <w:rPr>
          <w:rFonts w:hint="eastAsia" w:ascii="宋体" w:hAnsi="宋体"/>
          <w:szCs w:val="21"/>
        </w:rPr>
        <w:t>2、重视消防安全，消防设施完全无损，应急措施落实到位，有应急预案。</w:t>
      </w:r>
    </w:p>
    <w:p>
      <w:pPr>
        <w:widowControl/>
        <w:spacing w:line="360" w:lineRule="auto"/>
        <w:ind w:firstLine="630"/>
        <w:jc w:val="left"/>
        <w:rPr>
          <w:rFonts w:hint="eastAsia" w:ascii="宋体" w:hAnsi="宋体"/>
          <w:szCs w:val="21"/>
        </w:rPr>
      </w:pPr>
      <w:r>
        <w:rPr>
          <w:rFonts w:hint="eastAsia" w:ascii="宋体" w:hAnsi="宋体"/>
          <w:szCs w:val="21"/>
        </w:rPr>
        <w:t>3、严格遵守机械操作规程，做到安全操作无事故，操作人员须经过专业培训，持证上岗。</w:t>
      </w:r>
    </w:p>
    <w:p>
      <w:pPr>
        <w:widowControl/>
        <w:spacing w:line="360" w:lineRule="auto"/>
        <w:ind w:firstLine="630"/>
        <w:jc w:val="left"/>
        <w:rPr>
          <w:rFonts w:hint="eastAsia" w:ascii="宋体" w:hAnsi="宋体"/>
          <w:szCs w:val="21"/>
        </w:rPr>
      </w:pPr>
      <w:r>
        <w:rPr>
          <w:rFonts w:hint="eastAsia" w:ascii="宋体" w:hAnsi="宋体"/>
          <w:szCs w:val="21"/>
        </w:rPr>
        <w:t>4、精心维护机械设备，经常对机件部位加注黄油，延长机器使用寿命。</w:t>
      </w:r>
    </w:p>
    <w:p>
      <w:pPr>
        <w:widowControl/>
        <w:spacing w:line="360" w:lineRule="auto"/>
        <w:ind w:firstLine="630"/>
        <w:jc w:val="left"/>
        <w:rPr>
          <w:rFonts w:hint="eastAsia" w:ascii="宋体" w:hAnsi="宋体"/>
          <w:szCs w:val="21"/>
        </w:rPr>
      </w:pPr>
      <w:r>
        <w:rPr>
          <w:rFonts w:hint="eastAsia" w:ascii="宋体" w:hAnsi="宋体"/>
          <w:szCs w:val="21"/>
        </w:rPr>
        <w:t>5、保持场内外环境、设备整洁，物品摆放整齐，车辆停放整齐，安全用电无事故。</w:t>
      </w:r>
    </w:p>
    <w:p>
      <w:pPr>
        <w:widowControl/>
        <w:spacing w:line="360" w:lineRule="auto"/>
        <w:ind w:firstLine="630"/>
        <w:jc w:val="left"/>
        <w:rPr>
          <w:rFonts w:hint="eastAsia" w:ascii="宋体" w:hAnsi="宋体"/>
          <w:szCs w:val="21"/>
        </w:rPr>
      </w:pPr>
      <w:r>
        <w:rPr>
          <w:rFonts w:hint="eastAsia" w:ascii="宋体" w:hAnsi="宋体"/>
          <w:szCs w:val="21"/>
        </w:rPr>
        <w:t>6、设施缺损，设备故障及特殊情况及时汇报，保持日常工作运行良好。</w:t>
      </w:r>
    </w:p>
    <w:p>
      <w:pPr>
        <w:widowControl/>
        <w:spacing w:line="360" w:lineRule="auto"/>
        <w:ind w:firstLine="630"/>
        <w:jc w:val="left"/>
        <w:rPr>
          <w:rFonts w:hint="eastAsia" w:ascii="宋体" w:hAnsi="宋体"/>
          <w:szCs w:val="21"/>
        </w:rPr>
      </w:pPr>
      <w:r>
        <w:rPr>
          <w:rFonts w:hint="eastAsia" w:ascii="宋体" w:hAnsi="宋体"/>
          <w:szCs w:val="21"/>
        </w:rPr>
        <w:t>7、遵守安全法规，谨慎驾驶，规范操作，文明礼让，安全行车，严禁酒后驾驶。</w:t>
      </w:r>
    </w:p>
    <w:p>
      <w:pPr>
        <w:widowControl/>
        <w:spacing w:line="360" w:lineRule="auto"/>
        <w:ind w:firstLine="630"/>
        <w:jc w:val="left"/>
        <w:rPr>
          <w:rFonts w:hint="eastAsia" w:ascii="宋体" w:hAnsi="宋体"/>
          <w:szCs w:val="21"/>
        </w:rPr>
      </w:pPr>
      <w:r>
        <w:rPr>
          <w:rFonts w:hint="eastAsia" w:ascii="宋体" w:hAnsi="宋体"/>
          <w:szCs w:val="21"/>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szCs w:val="21"/>
        </w:rPr>
      </w:pPr>
      <w:r>
        <w:rPr>
          <w:rFonts w:hint="eastAsia" w:ascii="宋体" w:hAnsi="宋体"/>
          <w:szCs w:val="21"/>
        </w:rPr>
        <w:t>9、保持宿舍内外环境整洁、不得在宿舍区内的房间、走廊、消防通道、车库及公共场所堆放废品垃圾。</w:t>
      </w:r>
    </w:p>
    <w:p>
      <w:pPr>
        <w:widowControl/>
        <w:spacing w:line="360" w:lineRule="auto"/>
        <w:ind w:firstLine="630"/>
        <w:jc w:val="left"/>
        <w:rPr>
          <w:rFonts w:hint="eastAsia" w:ascii="宋体" w:hAnsi="宋体"/>
          <w:szCs w:val="21"/>
        </w:rPr>
      </w:pPr>
      <w:r>
        <w:rPr>
          <w:rFonts w:hint="eastAsia" w:ascii="宋体" w:hAnsi="宋体"/>
          <w:szCs w:val="21"/>
        </w:rPr>
        <w:t>10、重视消防安全，消防通道保持通畅，消防设施完全无损，应急措施落实到位。</w:t>
      </w:r>
    </w:p>
    <w:p>
      <w:pPr>
        <w:widowControl/>
        <w:spacing w:line="360" w:lineRule="auto"/>
        <w:ind w:firstLine="630"/>
        <w:jc w:val="left"/>
        <w:rPr>
          <w:rFonts w:hint="eastAsia" w:ascii="宋体" w:hAnsi="宋体"/>
          <w:szCs w:val="21"/>
        </w:rPr>
      </w:pPr>
      <w:r>
        <w:rPr>
          <w:rFonts w:hint="eastAsia" w:ascii="宋体" w:hAnsi="宋体"/>
          <w:szCs w:val="21"/>
        </w:rPr>
        <w:t>11、确保用电、用气安全，禁止宿舍区内私自安装各种电器和拉接电线。</w:t>
      </w:r>
    </w:p>
    <w:p>
      <w:pPr>
        <w:widowControl/>
        <w:spacing w:line="360" w:lineRule="auto"/>
        <w:ind w:firstLine="630"/>
        <w:jc w:val="left"/>
        <w:rPr>
          <w:rFonts w:hint="eastAsia" w:ascii="宋体" w:hAnsi="宋体"/>
          <w:szCs w:val="21"/>
        </w:rPr>
      </w:pPr>
      <w:r>
        <w:rPr>
          <w:rFonts w:hint="eastAsia" w:ascii="宋体" w:hAnsi="宋体"/>
          <w:szCs w:val="21"/>
        </w:rPr>
        <w:t>12、禁止将各种危险、易燃、有毒、有害物质带入宿舍内隐藏使用，严禁饲养家禽、家畜及宠物。</w:t>
      </w:r>
    </w:p>
    <w:p>
      <w:pPr>
        <w:widowControl/>
        <w:spacing w:line="360" w:lineRule="auto"/>
        <w:ind w:firstLine="630"/>
        <w:jc w:val="left"/>
        <w:rPr>
          <w:rFonts w:ascii="宋体" w:hAnsi="宋体"/>
          <w:szCs w:val="21"/>
        </w:rPr>
      </w:pPr>
      <w:r>
        <w:rPr>
          <w:rFonts w:hint="eastAsia" w:ascii="宋体" w:hAnsi="宋体"/>
          <w:szCs w:val="21"/>
        </w:rPr>
        <w:t>13、禁止未经同意对房屋进行装修，破坏房屋原有结构，禁止损坏房屋内外设施设备。</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附件4：</w:t>
      </w:r>
    </w:p>
    <w:p>
      <w:pPr>
        <w:spacing w:line="400" w:lineRule="exact"/>
        <w:ind w:right="-178" w:rightChars="-85"/>
        <w:jc w:val="center"/>
        <w:rPr>
          <w:rFonts w:hint="eastAsia" w:ascii="宋体" w:hAnsi="宋体"/>
          <w:b/>
          <w:szCs w:val="21"/>
        </w:rPr>
      </w:pPr>
      <w:r>
        <w:rPr>
          <w:rFonts w:hint="eastAsia" w:ascii="宋体" w:hAnsi="宋体"/>
          <w:b/>
          <w:szCs w:val="21"/>
        </w:rPr>
        <w:t>宿舍安全防范制度</w:t>
      </w:r>
    </w:p>
    <w:p>
      <w:pPr>
        <w:widowControl/>
        <w:spacing w:line="460" w:lineRule="exact"/>
        <w:ind w:firstLine="630"/>
        <w:jc w:val="left"/>
        <w:rPr>
          <w:rFonts w:hint="eastAsia" w:ascii="宋体" w:hAnsi="宋体"/>
          <w:szCs w:val="21"/>
        </w:rPr>
      </w:pPr>
    </w:p>
    <w:p>
      <w:pPr>
        <w:widowControl/>
        <w:spacing w:line="360" w:lineRule="auto"/>
        <w:ind w:firstLine="630"/>
        <w:jc w:val="left"/>
        <w:rPr>
          <w:rFonts w:hint="eastAsia" w:ascii="宋体" w:hAnsi="宋体"/>
          <w:szCs w:val="21"/>
        </w:rPr>
      </w:pPr>
      <w:r>
        <w:rPr>
          <w:rFonts w:hint="eastAsia" w:ascii="宋体" w:hAnsi="宋体"/>
          <w:szCs w:val="21"/>
        </w:rPr>
        <w:t>为贯彻“安全第一，预防为主”的方针，切实加强宿舍安全防范工作，特制定本制度。</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禁止室内外（包括外环境）及公共通道堆放杂物。</w:t>
      </w:r>
    </w:p>
    <w:p>
      <w:pPr>
        <w:widowControl/>
        <w:spacing w:line="360" w:lineRule="auto"/>
        <w:ind w:firstLine="630"/>
        <w:jc w:val="left"/>
        <w:rPr>
          <w:rFonts w:hint="eastAsia" w:ascii="宋体" w:hAnsi="宋体"/>
          <w:szCs w:val="21"/>
        </w:rPr>
      </w:pPr>
      <w:r>
        <w:rPr>
          <w:rFonts w:hint="eastAsia" w:ascii="宋体" w:hAnsi="宋体"/>
          <w:szCs w:val="21"/>
        </w:rPr>
        <w:t xml:space="preserve">2. </w:t>
      </w:r>
      <w:r>
        <w:rPr>
          <w:rFonts w:ascii="宋体" w:hAnsi="宋体"/>
          <w:szCs w:val="21"/>
        </w:rPr>
        <w:t>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hint="eastAsia" w:ascii="宋体" w:hAnsi="宋体"/>
          <w:szCs w:val="21"/>
        </w:rPr>
      </w:pPr>
      <w:r>
        <w:rPr>
          <w:rFonts w:hint="eastAsia" w:ascii="宋体" w:hAnsi="宋体"/>
          <w:szCs w:val="21"/>
        </w:rPr>
        <w:t>3</w:t>
      </w:r>
      <w:r>
        <w:rPr>
          <w:rFonts w:ascii="宋体" w:hAnsi="宋体"/>
          <w:szCs w:val="21"/>
        </w:rPr>
        <w:t>．禁止携入或私存易燃、易爆、有毒、剧毒以及有腐蚀性、传染性等妨碍公共安全和卫生的危险物品。</w:t>
      </w:r>
    </w:p>
    <w:p>
      <w:pPr>
        <w:widowControl/>
        <w:spacing w:line="360" w:lineRule="auto"/>
        <w:ind w:firstLine="630"/>
        <w:jc w:val="left"/>
        <w:rPr>
          <w:rFonts w:hint="eastAsia" w:ascii="宋体" w:hAnsi="宋体"/>
          <w:szCs w:val="21"/>
        </w:rPr>
      </w:pPr>
      <w:r>
        <w:rPr>
          <w:rFonts w:hint="eastAsia" w:ascii="宋体" w:hAnsi="宋体"/>
          <w:szCs w:val="21"/>
        </w:rPr>
        <w:t>4</w:t>
      </w:r>
      <w:r>
        <w:rPr>
          <w:rFonts w:ascii="宋体" w:hAnsi="宋体"/>
          <w:szCs w:val="21"/>
        </w:rPr>
        <w:t>．宿舍内安全用电</w:t>
      </w:r>
      <w:r>
        <w:rPr>
          <w:rFonts w:hint="eastAsia" w:ascii="宋体" w:hAnsi="宋体"/>
          <w:szCs w:val="21"/>
        </w:rPr>
        <w:t>、用气</w:t>
      </w:r>
      <w:r>
        <w:rPr>
          <w:rFonts w:ascii="宋体" w:hAnsi="宋体"/>
          <w:szCs w:val="21"/>
        </w:rPr>
        <w:t>，严防火灾</w:t>
      </w:r>
      <w:r>
        <w:rPr>
          <w:rFonts w:hint="eastAsia" w:ascii="宋体" w:hAnsi="宋体"/>
          <w:szCs w:val="21"/>
        </w:rPr>
        <w:t>，经常检查煤气管、减压阀使用情况，及时更换陈旧、破损的煤气管，确保煤气口紧密。</w:t>
      </w:r>
    </w:p>
    <w:p>
      <w:pPr>
        <w:widowControl/>
        <w:spacing w:line="360" w:lineRule="auto"/>
        <w:ind w:firstLine="630"/>
        <w:jc w:val="left"/>
        <w:rPr>
          <w:rFonts w:hint="eastAsia" w:ascii="宋体" w:hAnsi="宋体"/>
          <w:szCs w:val="21"/>
        </w:rPr>
      </w:pPr>
      <w:r>
        <w:rPr>
          <w:rFonts w:hint="eastAsia" w:ascii="宋体" w:hAnsi="宋体"/>
          <w:szCs w:val="21"/>
        </w:rPr>
        <w:t>5</w:t>
      </w:r>
      <w:r>
        <w:rPr>
          <w:rFonts w:ascii="宋体" w:hAnsi="宋体"/>
          <w:szCs w:val="21"/>
        </w:rPr>
        <w:t>．禁止在宿舍</w:t>
      </w:r>
      <w:r>
        <w:rPr>
          <w:rFonts w:hint="eastAsia" w:ascii="宋体" w:hAnsi="宋体"/>
          <w:szCs w:val="21"/>
        </w:rPr>
        <w:t>区域</w:t>
      </w:r>
      <w:r>
        <w:rPr>
          <w:rFonts w:ascii="宋体" w:hAnsi="宋体"/>
          <w:szCs w:val="21"/>
        </w:rPr>
        <w:t>内私接电源</w:t>
      </w:r>
      <w:r>
        <w:rPr>
          <w:rFonts w:hint="eastAsia" w:ascii="宋体" w:hAnsi="宋体"/>
          <w:szCs w:val="21"/>
        </w:rPr>
        <w:t>、</w:t>
      </w:r>
      <w:r>
        <w:rPr>
          <w:rFonts w:ascii="宋体" w:hAnsi="宋体"/>
          <w:szCs w:val="21"/>
        </w:rPr>
        <w:t>安装插座</w:t>
      </w:r>
      <w:r>
        <w:rPr>
          <w:rFonts w:hint="eastAsia" w:ascii="宋体" w:hAnsi="宋体"/>
          <w:szCs w:val="21"/>
        </w:rPr>
        <w:t>、乱拉电线，</w:t>
      </w:r>
      <w:r>
        <w:rPr>
          <w:rFonts w:ascii="宋体" w:hAnsi="宋体"/>
          <w:szCs w:val="21"/>
        </w:rPr>
        <w:t>不准</w:t>
      </w:r>
      <w:r>
        <w:rPr>
          <w:rFonts w:hint="eastAsia" w:ascii="宋体" w:hAnsi="宋体"/>
          <w:szCs w:val="21"/>
        </w:rPr>
        <w:t>烤火取暖，不准</w:t>
      </w:r>
      <w:r>
        <w:rPr>
          <w:rFonts w:ascii="宋体" w:hAnsi="宋体"/>
          <w:szCs w:val="21"/>
        </w:rPr>
        <w:t>使用</w:t>
      </w:r>
      <w:r>
        <w:rPr>
          <w:rFonts w:hint="eastAsia" w:ascii="宋体" w:hAnsi="宋体"/>
          <w:szCs w:val="21"/>
        </w:rPr>
        <w:t>电茶壶、电炉、煤饼炉、烧柴开水炉等。</w:t>
      </w:r>
      <w:r>
        <w:rPr>
          <w:rFonts w:ascii="宋体" w:hAnsi="宋体"/>
          <w:szCs w:val="21"/>
        </w:rPr>
        <w:t>　　</w:t>
      </w:r>
    </w:p>
    <w:p>
      <w:pPr>
        <w:widowControl/>
        <w:spacing w:line="360" w:lineRule="auto"/>
        <w:ind w:firstLine="630"/>
        <w:jc w:val="left"/>
        <w:rPr>
          <w:rFonts w:hint="eastAsia" w:ascii="宋体" w:hAnsi="宋体"/>
          <w:szCs w:val="21"/>
        </w:rPr>
      </w:pPr>
      <w:r>
        <w:rPr>
          <w:rFonts w:hint="eastAsia" w:ascii="宋体" w:hAnsi="宋体"/>
          <w:szCs w:val="21"/>
        </w:rPr>
        <w:t>6</w:t>
      </w:r>
      <w:r>
        <w:rPr>
          <w:rFonts w:ascii="宋体" w:hAnsi="宋体"/>
          <w:szCs w:val="21"/>
        </w:rPr>
        <w:t>．禁止私自拆卸水暖设备、电气设施，私自修理供电设施。</w:t>
      </w:r>
    </w:p>
    <w:p>
      <w:pPr>
        <w:widowControl/>
        <w:spacing w:line="360" w:lineRule="auto"/>
        <w:ind w:firstLine="630"/>
        <w:jc w:val="left"/>
        <w:rPr>
          <w:rFonts w:hint="eastAsia" w:ascii="宋体" w:hAnsi="宋体"/>
          <w:szCs w:val="21"/>
        </w:rPr>
      </w:pPr>
      <w:r>
        <w:rPr>
          <w:rFonts w:hint="eastAsia" w:ascii="宋体" w:hAnsi="宋体"/>
          <w:szCs w:val="21"/>
        </w:rPr>
        <w:t>7</w:t>
      </w:r>
      <w:r>
        <w:rPr>
          <w:rFonts w:ascii="宋体" w:hAnsi="宋体"/>
          <w:szCs w:val="21"/>
        </w:rPr>
        <w:t>．禁止将插座、电器等带电体放于床上、从席子里下穿过或与可燃物连接(例如电扇放在床内吹风)。</w:t>
      </w:r>
    </w:p>
    <w:p>
      <w:pPr>
        <w:widowControl/>
        <w:spacing w:line="360" w:lineRule="auto"/>
        <w:ind w:firstLine="630"/>
        <w:jc w:val="left"/>
        <w:rPr>
          <w:rFonts w:hint="eastAsia" w:ascii="宋体" w:hAnsi="宋体"/>
          <w:szCs w:val="21"/>
        </w:rPr>
      </w:pPr>
      <w:r>
        <w:rPr>
          <w:rFonts w:hint="eastAsia" w:ascii="宋体" w:hAnsi="宋体"/>
          <w:szCs w:val="21"/>
        </w:rPr>
        <w:t>8</w:t>
      </w:r>
      <w:r>
        <w:rPr>
          <w:rFonts w:ascii="宋体" w:hAnsi="宋体"/>
          <w:szCs w:val="21"/>
        </w:rPr>
        <w:t>．禁止在电线灯头、灯管等电器设备上搭挂衣物或烘烤物品。</w:t>
      </w:r>
    </w:p>
    <w:p>
      <w:pPr>
        <w:widowControl/>
        <w:spacing w:line="360" w:lineRule="auto"/>
        <w:ind w:firstLine="630"/>
        <w:jc w:val="left"/>
        <w:rPr>
          <w:rFonts w:hint="eastAsia" w:ascii="宋体" w:hAnsi="宋体"/>
          <w:szCs w:val="21"/>
        </w:rPr>
      </w:pPr>
      <w:r>
        <w:rPr>
          <w:rFonts w:hint="eastAsia" w:ascii="宋体" w:hAnsi="宋体"/>
          <w:szCs w:val="21"/>
        </w:rPr>
        <w:t>9</w:t>
      </w:r>
      <w:r>
        <w:rPr>
          <w:rFonts w:ascii="宋体" w:hAnsi="宋体"/>
          <w:szCs w:val="21"/>
        </w:rPr>
        <w:t>．禁止在宿舍内聚众赌博、酗酒、扔摔酒瓶、故意起哄、打架斗殴、**、色情等一切影响公共安全和公共秩序的不正当行为。</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0</w:t>
      </w:r>
      <w:r>
        <w:rPr>
          <w:rFonts w:ascii="宋体" w:hAnsi="宋体"/>
          <w:szCs w:val="21"/>
        </w:rPr>
        <w:t>．禁止攀爬及破坏门窗、阳台、防护网。禁止站在窗台或活动物体上收晒衣服，以免造成危险。</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1</w:t>
      </w:r>
      <w:r>
        <w:rPr>
          <w:rFonts w:ascii="宋体" w:hAnsi="宋体"/>
          <w:szCs w:val="21"/>
        </w:rPr>
        <w:t>．禁止任何人携带管制刀具或者其他凶器进入宿舍</w:t>
      </w:r>
      <w:r>
        <w:rPr>
          <w:rFonts w:hint="eastAsia" w:ascii="宋体" w:hAnsi="宋体"/>
          <w:szCs w:val="21"/>
        </w:rPr>
        <w:t xml:space="preserve">。                   </w:t>
      </w:r>
    </w:p>
    <w:p>
      <w:pPr>
        <w:widowControl/>
        <w:spacing w:line="360" w:lineRule="auto"/>
        <w:ind w:firstLine="630"/>
        <w:jc w:val="left"/>
        <w:rPr>
          <w:rFonts w:hint="eastAsia" w:ascii="宋体" w:hAnsi="宋体"/>
          <w:szCs w:val="21"/>
        </w:rPr>
      </w:pPr>
      <w:r>
        <w:rPr>
          <w:rFonts w:hint="eastAsia" w:ascii="宋体" w:hAnsi="宋体"/>
          <w:szCs w:val="21"/>
        </w:rPr>
        <w:t xml:space="preserve">12. </w:t>
      </w:r>
      <w:r>
        <w:rPr>
          <w:rFonts w:ascii="宋体" w:hAnsi="宋体"/>
          <w:szCs w:val="21"/>
        </w:rPr>
        <w:t>人员离室锁门时，务必检查并关闭窗户</w:t>
      </w:r>
      <w:r>
        <w:rPr>
          <w:rFonts w:hint="eastAsia" w:ascii="宋体" w:hAnsi="宋体"/>
          <w:szCs w:val="21"/>
        </w:rPr>
        <w:t>及</w:t>
      </w:r>
      <w:r>
        <w:rPr>
          <w:rFonts w:ascii="宋体" w:hAnsi="宋体"/>
          <w:szCs w:val="21"/>
        </w:rPr>
        <w:t>电灯、电扇、电脑、充电器等所有电器设备的电源。</w:t>
      </w:r>
    </w:p>
    <w:p>
      <w:pPr>
        <w:widowControl/>
        <w:spacing w:line="360" w:lineRule="auto"/>
        <w:ind w:firstLine="630"/>
        <w:jc w:val="left"/>
        <w:rPr>
          <w:rFonts w:hint="eastAsia" w:ascii="宋体" w:hAnsi="宋体"/>
          <w:szCs w:val="21"/>
        </w:rPr>
      </w:pPr>
      <w:r>
        <w:rPr>
          <w:rFonts w:hint="eastAsia" w:ascii="宋体" w:hAnsi="宋体"/>
          <w:szCs w:val="21"/>
        </w:rPr>
        <w:t>13. 禁止乱搭建，禁止无关人员入住。</w:t>
      </w:r>
    </w:p>
    <w:p>
      <w:pPr>
        <w:widowControl/>
        <w:spacing w:line="360" w:lineRule="auto"/>
        <w:ind w:firstLine="630"/>
        <w:jc w:val="left"/>
        <w:rPr>
          <w:rFonts w:hint="eastAsia" w:ascii="宋体" w:hAnsi="宋体"/>
          <w:szCs w:val="21"/>
        </w:rPr>
      </w:pPr>
      <w:r>
        <w:rPr>
          <w:rFonts w:hint="eastAsia" w:ascii="宋体" w:hAnsi="宋体"/>
          <w:szCs w:val="21"/>
        </w:rPr>
        <w:t>14. 禁止破坏消防器材（灭火器、水管、水带、消防枪等），保持消防设施周边畅通无阻。</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rPr>
          <w:rFonts w:hint="eastAsia"/>
        </w:rPr>
      </w:pPr>
      <w:r>
        <w:br w:type="page"/>
      </w:r>
      <w:r>
        <w:rPr>
          <w:rFonts w:hint="eastAsia"/>
        </w:rPr>
        <w:t>第六章 投标文件格式内容</w:t>
      </w:r>
      <w:bookmarkEnd w:id="61"/>
      <w:bookmarkEnd w:id="62"/>
    </w:p>
    <w:p>
      <w:pPr>
        <w:rPr>
          <w:rFonts w:hint="eastAsia"/>
        </w:rPr>
      </w:pPr>
    </w:p>
    <w:p>
      <w:pPr>
        <w:rPr>
          <w:rFonts w:hint="eastAsia"/>
        </w:rPr>
      </w:pPr>
      <w:r>
        <w:rPr>
          <w:rFonts w:hint="eastAsia"/>
        </w:rPr>
        <w:t>一、资信技术文件的外包装封面格式：</w:t>
      </w:r>
    </w:p>
    <w:p>
      <w:pPr>
        <w:rPr>
          <w:rFonts w:hint="eastAsia"/>
        </w:rPr>
      </w:pPr>
    </w:p>
    <w:p>
      <w:pPr>
        <w:rPr>
          <w:rFonts w:hint="eastAsia"/>
        </w:rPr>
      </w:pPr>
    </w:p>
    <w:p>
      <w:pPr>
        <w:jc w:val="center"/>
        <w:rPr>
          <w:rFonts w:hint="eastAsia"/>
          <w:sz w:val="44"/>
          <w:szCs w:val="44"/>
        </w:rPr>
      </w:pPr>
      <w:r>
        <w:rPr>
          <w:rFonts w:hint="eastAsia"/>
          <w:sz w:val="44"/>
          <w:szCs w:val="44"/>
        </w:rPr>
        <w:t>资信技术文件</w:t>
      </w:r>
    </w:p>
    <w:p>
      <w:pPr>
        <w:rPr>
          <w:rFonts w:hint="eastAsia"/>
        </w:rPr>
      </w:pPr>
    </w:p>
    <w:p>
      <w:pPr>
        <w:spacing w:line="360" w:lineRule="auto"/>
        <w:rPr>
          <w:rFonts w:hint="eastAsia"/>
        </w:rPr>
      </w:pPr>
      <w:r>
        <w:rPr>
          <w:rFonts w:hint="eastAsia"/>
        </w:rPr>
        <w:t>项目名称：                        项目</w:t>
      </w:r>
    </w:p>
    <w:p>
      <w:pPr>
        <w:spacing w:line="360" w:lineRule="auto"/>
        <w:rPr>
          <w:rFonts w:hint="eastAsia"/>
        </w:rPr>
      </w:pPr>
      <w:r>
        <w:rPr>
          <w:rFonts w:hint="eastAsia"/>
        </w:rPr>
        <w:t xml:space="preserve">项目编号： </w:t>
      </w:r>
    </w:p>
    <w:p>
      <w:pPr>
        <w:spacing w:line="360" w:lineRule="auto"/>
        <w:rPr>
          <w:rFonts w:hint="eastAsia"/>
        </w:rPr>
      </w:pPr>
      <w:r>
        <w:rPr>
          <w:rFonts w:hint="eastAsia"/>
        </w:rPr>
        <w:t>投标人名称：</w:t>
      </w:r>
    </w:p>
    <w:p>
      <w:pPr>
        <w:spacing w:line="360" w:lineRule="auto"/>
        <w:rPr>
          <w:rFonts w:hint="eastAsia"/>
        </w:rPr>
      </w:pPr>
      <w:r>
        <w:rPr>
          <w:rFonts w:hint="eastAsia"/>
        </w:rPr>
        <w:t>投标人地址：</w:t>
      </w:r>
    </w:p>
    <w:p>
      <w:pPr>
        <w:spacing w:line="360" w:lineRule="auto"/>
        <w:rPr>
          <w:rFonts w:hint="eastAsia"/>
        </w:rPr>
      </w:pPr>
      <w:r>
        <w:rPr>
          <w:rFonts w:hint="eastAsia"/>
        </w:rPr>
        <w:t>在  年  月  日  时  分之前不得启封</w:t>
      </w:r>
    </w:p>
    <w:p>
      <w:pPr>
        <w:spacing w:line="360" w:lineRule="auto"/>
        <w:rPr>
          <w:rFonts w:hint="eastAsia"/>
        </w:rPr>
      </w:pPr>
      <w:r>
        <w:rPr>
          <w:rFonts w:hint="eastAsia"/>
        </w:rPr>
        <w:t xml:space="preserve">      </w:t>
      </w:r>
    </w:p>
    <w:p>
      <w:pPr>
        <w:spacing w:line="360" w:lineRule="auto"/>
        <w:rPr>
          <w:rFonts w:hint="eastAsia"/>
        </w:rPr>
      </w:pPr>
      <w:r>
        <w:rPr>
          <w:rFonts w:hint="eastAsia"/>
        </w:rPr>
        <w:t xml:space="preserve">                                                    （投标人公章）</w:t>
      </w:r>
    </w:p>
    <w:p>
      <w:pPr>
        <w:spacing w:line="360" w:lineRule="auto"/>
        <w:rPr>
          <w:rFonts w:hint="eastAsia"/>
        </w:rPr>
      </w:pPr>
      <w:r>
        <w:rPr>
          <w:rFonts w:hint="eastAsia"/>
        </w:rPr>
        <w:t xml:space="preserve">                                                      年  月  日</w:t>
      </w:r>
    </w:p>
    <w:p>
      <w:pPr>
        <w:rPr>
          <w:rFonts w:hint="eastAsia"/>
        </w:rPr>
      </w:pPr>
    </w:p>
    <w:p>
      <w:pPr>
        <w:rPr>
          <w:rFonts w:hint="eastAsia"/>
        </w:rPr>
      </w:pPr>
      <w:r>
        <w:rPr>
          <w:rFonts w:hint="eastAsia"/>
        </w:rPr>
        <w:t xml:space="preserve">二、资信技术文件封面格式： </w:t>
      </w:r>
    </w:p>
    <w:p>
      <w:pPr>
        <w:rPr>
          <w:rFonts w:hint="eastAsia"/>
        </w:rPr>
      </w:pPr>
      <w:r>
        <w:rPr>
          <w:rFonts w:hint="eastAsia"/>
        </w:rPr>
        <w:t xml:space="preserve">                                                        正本/或副本</w:t>
      </w:r>
    </w:p>
    <w:p>
      <w:pPr>
        <w:rPr>
          <w:rFonts w:hint="eastAsia"/>
        </w:rPr>
      </w:pPr>
    </w:p>
    <w:p>
      <w:pPr>
        <w:rPr>
          <w:rFonts w:hint="eastAsia"/>
        </w:rPr>
      </w:pPr>
    </w:p>
    <w:p>
      <w:pPr>
        <w:jc w:val="center"/>
        <w:rPr>
          <w:rFonts w:hint="eastAsia"/>
          <w:sz w:val="44"/>
          <w:szCs w:val="44"/>
        </w:rPr>
      </w:pPr>
      <w:r>
        <w:rPr>
          <w:rFonts w:hint="eastAsia"/>
          <w:sz w:val="44"/>
          <w:szCs w:val="44"/>
        </w:rPr>
        <w:t>资信技术文件</w:t>
      </w:r>
    </w:p>
    <w:p>
      <w:pPr>
        <w:rPr>
          <w:rFonts w:hint="eastAsia"/>
        </w:rPr>
      </w:pPr>
    </w:p>
    <w:p>
      <w:pPr>
        <w:spacing w:line="360" w:lineRule="auto"/>
        <w:rPr>
          <w:rFonts w:hint="eastAsia"/>
        </w:rPr>
      </w:pPr>
      <w:r>
        <w:rPr>
          <w:rFonts w:hint="eastAsia"/>
        </w:rPr>
        <w:t>项目名称：                        项目</w:t>
      </w:r>
    </w:p>
    <w:p>
      <w:pPr>
        <w:spacing w:line="360" w:lineRule="auto"/>
        <w:rPr>
          <w:rFonts w:hint="eastAsia"/>
        </w:rPr>
      </w:pPr>
      <w:r>
        <w:rPr>
          <w:rFonts w:hint="eastAsia"/>
        </w:rPr>
        <w:t xml:space="preserve">项目编号： </w:t>
      </w:r>
    </w:p>
    <w:p>
      <w:pPr>
        <w:spacing w:line="360" w:lineRule="auto"/>
        <w:rPr>
          <w:rFonts w:hint="eastAsia"/>
        </w:rPr>
      </w:pPr>
      <w:r>
        <w:rPr>
          <w:rFonts w:hint="eastAsia"/>
        </w:rPr>
        <w:t>投标人名称：</w:t>
      </w:r>
    </w:p>
    <w:p>
      <w:pPr>
        <w:spacing w:line="360" w:lineRule="auto"/>
        <w:rPr>
          <w:rFonts w:hint="eastAsia"/>
        </w:rPr>
      </w:pPr>
      <w:r>
        <w:rPr>
          <w:rFonts w:hint="eastAsia"/>
        </w:rPr>
        <w:t>投标人地址：</w:t>
      </w:r>
    </w:p>
    <w:p>
      <w:pPr>
        <w:spacing w:line="360" w:lineRule="auto"/>
        <w:rPr>
          <w:rFonts w:hint="eastAsia"/>
        </w:rPr>
      </w:pPr>
    </w:p>
    <w:p>
      <w:pPr>
        <w:spacing w:line="360" w:lineRule="auto"/>
        <w:ind w:firstLine="5355" w:firstLineChars="2550"/>
        <w:rPr>
          <w:rFonts w:hint="eastAsia"/>
        </w:rPr>
      </w:pPr>
      <w:r>
        <w:rPr>
          <w:rFonts w:hint="eastAsia"/>
        </w:rPr>
        <w:t>（投标人公章）</w:t>
      </w:r>
    </w:p>
    <w:p>
      <w:pPr>
        <w:spacing w:line="360" w:lineRule="auto"/>
        <w:rPr>
          <w:rFonts w:hint="eastAsia"/>
        </w:rPr>
      </w:pPr>
      <w:r>
        <w:rPr>
          <w:rFonts w:hint="eastAsia"/>
        </w:rPr>
        <w:t xml:space="preserve">                                                       年  月  日</w:t>
      </w:r>
    </w:p>
    <w:p>
      <w:pPr>
        <w:rPr>
          <w:rFonts w:hint="eastAsia"/>
        </w:rPr>
      </w:pPr>
    </w:p>
    <w:p>
      <w:pPr>
        <w:rPr>
          <w:rFonts w:hint="eastAsia"/>
        </w:rPr>
      </w:pPr>
    </w:p>
    <w:p>
      <w:pPr>
        <w:rPr>
          <w:rFonts w:hint="eastAsia"/>
        </w:rPr>
      </w:pPr>
      <w:r>
        <w:br w:type="page"/>
      </w:r>
      <w:r>
        <w:rPr>
          <w:rFonts w:hint="eastAsia"/>
        </w:rPr>
        <w:t>（一）资信技术文件内容：</w:t>
      </w:r>
    </w:p>
    <w:p>
      <w:pPr>
        <w:spacing w:line="360" w:lineRule="auto"/>
        <w:ind w:firstLine="420" w:firstLineChars="200"/>
        <w:rPr>
          <w:rFonts w:hint="eastAsia"/>
        </w:rPr>
      </w:pPr>
      <w:r>
        <w:rPr>
          <w:rFonts w:hint="eastAsia"/>
        </w:rPr>
        <w:t>1、投标保证金收据复印件（或原件单独提交核查）；</w:t>
      </w:r>
    </w:p>
    <w:p>
      <w:pPr>
        <w:spacing w:line="360" w:lineRule="auto"/>
        <w:ind w:firstLine="420" w:firstLineChars="200"/>
      </w:pPr>
      <w:r>
        <w:rPr>
          <w:rFonts w:hint="eastAsia"/>
        </w:rPr>
        <w:t>2、投标人自查表；</w:t>
      </w:r>
    </w:p>
    <w:p>
      <w:pPr>
        <w:spacing w:line="360" w:lineRule="auto"/>
        <w:ind w:firstLine="420" w:firstLineChars="200"/>
      </w:pPr>
      <w:r>
        <w:rPr>
          <w:rFonts w:hint="eastAsia"/>
        </w:rPr>
        <w:t>3、投标人响应表（格式见附件）；</w:t>
      </w:r>
    </w:p>
    <w:p>
      <w:pPr>
        <w:spacing w:line="360" w:lineRule="auto"/>
        <w:ind w:firstLine="420" w:firstLineChars="200"/>
        <w:rPr>
          <w:rFonts w:hint="eastAsia"/>
        </w:rPr>
      </w:pPr>
      <w:r>
        <w:rPr>
          <w:rFonts w:hint="eastAsia"/>
        </w:rPr>
        <w:t>4、商务响应表（格式见附件）；</w:t>
      </w:r>
    </w:p>
    <w:p>
      <w:pPr>
        <w:spacing w:line="360" w:lineRule="auto"/>
        <w:ind w:firstLine="420" w:firstLineChars="200"/>
      </w:pPr>
      <w:r>
        <w:rPr>
          <w:rFonts w:hint="eastAsia"/>
        </w:rPr>
        <w:t>5、投标人资格声明函（格式见附件）；</w:t>
      </w:r>
    </w:p>
    <w:p>
      <w:pPr>
        <w:spacing w:line="360" w:lineRule="auto"/>
        <w:ind w:firstLine="420" w:firstLineChars="200"/>
        <w:rPr>
          <w:rFonts w:hint="eastAsia"/>
        </w:rPr>
      </w:pPr>
      <w:r>
        <w:rPr>
          <w:rFonts w:hint="eastAsia"/>
        </w:rPr>
        <w:t>6、法定代表人身份证明或法定代表人授权委托书（格式见附件）；</w:t>
      </w:r>
    </w:p>
    <w:p>
      <w:pPr>
        <w:spacing w:line="360" w:lineRule="auto"/>
        <w:ind w:firstLine="420" w:firstLineChars="200"/>
        <w:rPr>
          <w:rFonts w:hint="eastAsia"/>
        </w:rPr>
      </w:pPr>
      <w:r>
        <w:rPr>
          <w:rFonts w:hint="eastAsia"/>
        </w:rPr>
        <w:t>7、符合《中华人民共和国政府采购法》第二十二条第一款规定的投标人资格条件，提供以下材料（原件备查）：</w:t>
      </w:r>
    </w:p>
    <w:p>
      <w:pPr>
        <w:spacing w:line="360" w:lineRule="auto"/>
        <w:ind w:firstLine="630" w:firstLineChars="3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630" w:firstLineChars="300"/>
        <w:rPr>
          <w:rFonts w:hint="eastAsia"/>
        </w:rPr>
      </w:pPr>
      <w:r>
        <w:rPr>
          <w:rFonts w:hint="eastAsia"/>
        </w:rPr>
        <w:t>2）2018年财务状况报告复印件，其他组织或投标人新成立不足一年，提供银行出具的资信证明材料复印件；</w:t>
      </w:r>
    </w:p>
    <w:p>
      <w:pPr>
        <w:spacing w:line="360" w:lineRule="auto"/>
        <w:ind w:firstLine="630" w:firstLineChars="300"/>
        <w:rPr>
          <w:rFonts w:hint="eastAsia"/>
        </w:rPr>
      </w:pPr>
      <w:r>
        <w:rPr>
          <w:rFonts w:hint="eastAsia"/>
        </w:rPr>
        <w:t>3）2019年开具的缴纳税收的凭据证明材料复印件；如依法免税的，应提供相应文件证明其依法免税；</w:t>
      </w:r>
    </w:p>
    <w:p>
      <w:pPr>
        <w:spacing w:line="360" w:lineRule="auto"/>
        <w:ind w:firstLine="630" w:firstLineChars="300"/>
        <w:rPr>
          <w:rFonts w:hint="eastAsia"/>
        </w:rPr>
      </w:pPr>
      <w:r>
        <w:rPr>
          <w:rFonts w:hint="eastAsia"/>
        </w:rPr>
        <w:t>4）2019年开具的缴纳社会保险的凭据证明材料复印件；如依法不需要缴纳社会保障资金的，应提供相应文件证明其依法不需要缴纳社会保障资金；</w:t>
      </w:r>
    </w:p>
    <w:p>
      <w:pPr>
        <w:spacing w:line="360" w:lineRule="auto"/>
        <w:ind w:firstLine="630" w:firstLineChars="300"/>
        <w:rPr>
          <w:rFonts w:hint="eastAsia"/>
        </w:rPr>
      </w:pPr>
      <w:r>
        <w:rPr>
          <w:rFonts w:hint="eastAsia"/>
        </w:rPr>
        <w:t>5）提供</w:t>
      </w:r>
      <w:r>
        <w:t>具有履行合同所必需的设备和专业技术能力</w:t>
      </w:r>
      <w:r>
        <w:rPr>
          <w:rFonts w:hint="eastAsia"/>
        </w:rPr>
        <w:t>的书面声明；</w:t>
      </w:r>
    </w:p>
    <w:p>
      <w:pPr>
        <w:spacing w:line="360" w:lineRule="auto"/>
        <w:ind w:firstLine="630" w:firstLineChars="300"/>
        <w:rPr>
          <w:rFonts w:hint="eastAsia"/>
        </w:rPr>
      </w:pPr>
      <w:r>
        <w:rPr>
          <w:rFonts w:hint="eastAsia"/>
        </w:rPr>
        <w:t>6）提供参加政府采购活动前</w:t>
      </w:r>
      <w:r>
        <w:t>3</w:t>
      </w:r>
      <w:r>
        <w:rPr>
          <w:rFonts w:hint="eastAsia"/>
        </w:rPr>
        <w:t>年内在经营活动中没有重大违法记录的书面声明。</w:t>
      </w:r>
    </w:p>
    <w:p>
      <w:pPr>
        <w:spacing w:line="360" w:lineRule="auto"/>
        <w:ind w:firstLine="420" w:firstLineChars="200"/>
        <w:rPr>
          <w:rFonts w:hint="eastAsia"/>
        </w:rPr>
      </w:pPr>
      <w:r>
        <w:rPr>
          <w:rFonts w:hint="eastAsia"/>
        </w:rPr>
        <w:t>8、投标人的特定条件的证明文件：</w:t>
      </w:r>
      <w:r>
        <w:rPr>
          <w:rFonts w:hint="eastAsia" w:ascii="宋体" w:hAnsi="宋体"/>
          <w:szCs w:val="21"/>
        </w:rPr>
        <w:t>（如有）</w:t>
      </w:r>
      <w:r>
        <w:rPr>
          <w:rFonts w:hint="eastAsia"/>
        </w:rPr>
        <w:t>；</w:t>
      </w:r>
    </w:p>
    <w:p>
      <w:pPr>
        <w:spacing w:line="360" w:lineRule="auto"/>
        <w:ind w:firstLine="420" w:firstLineChars="200"/>
        <w:rPr>
          <w:rFonts w:hint="eastAsia"/>
        </w:rPr>
      </w:pPr>
      <w:r>
        <w:rPr>
          <w:rFonts w:hint="eastAsia"/>
        </w:rPr>
        <w:t>9、投标承诺函（格式见附件）；</w:t>
      </w:r>
    </w:p>
    <w:p>
      <w:pPr>
        <w:spacing w:line="360" w:lineRule="auto"/>
        <w:ind w:firstLine="420" w:firstLineChars="200"/>
        <w:rPr>
          <w:rFonts w:hint="eastAsia"/>
        </w:rPr>
      </w:pPr>
      <w:r>
        <w:rPr>
          <w:rFonts w:hint="eastAsia"/>
        </w:rPr>
        <w:t>10、技术（服务）响应一览表（格式见附件）；</w:t>
      </w:r>
    </w:p>
    <w:p>
      <w:pPr>
        <w:spacing w:line="360" w:lineRule="auto"/>
        <w:ind w:firstLine="420" w:firstLineChars="200"/>
        <w:rPr>
          <w:rFonts w:hint="eastAsia"/>
        </w:rPr>
      </w:pPr>
      <w:r>
        <w:rPr>
          <w:rFonts w:hint="eastAsia"/>
        </w:rPr>
        <w:t>11、投标人基本情况表（格式见附件）；</w:t>
      </w:r>
    </w:p>
    <w:p>
      <w:pPr>
        <w:spacing w:line="360" w:lineRule="auto"/>
        <w:ind w:firstLine="420" w:firstLineChars="200"/>
        <w:rPr>
          <w:rFonts w:hint="eastAsia"/>
        </w:rPr>
      </w:pPr>
      <w:r>
        <w:rPr>
          <w:rFonts w:hint="eastAsia"/>
        </w:rPr>
        <w:t>12、同类业绩情况一览表；</w:t>
      </w:r>
    </w:p>
    <w:p>
      <w:pPr>
        <w:spacing w:line="360" w:lineRule="auto"/>
        <w:ind w:firstLine="420" w:firstLineChars="200"/>
        <w:rPr>
          <w:rFonts w:hint="eastAsia"/>
        </w:rPr>
      </w:pPr>
      <w:r>
        <w:rPr>
          <w:rFonts w:hint="eastAsia"/>
        </w:rPr>
        <w:t>13、评分标准或采购文件需要提供的证明材料：</w:t>
      </w:r>
    </w:p>
    <w:p>
      <w:pPr>
        <w:spacing w:line="360" w:lineRule="auto"/>
        <w:ind w:firstLine="840" w:firstLineChars="400"/>
        <w:rPr>
          <w:rFonts w:hint="eastAsia"/>
        </w:rPr>
      </w:pPr>
      <w:r>
        <w:rPr>
          <w:rFonts w:hint="eastAsia"/>
        </w:rPr>
        <w:t>（1）保洁管理整体设想及策划；</w:t>
      </w:r>
    </w:p>
    <w:p>
      <w:pPr>
        <w:spacing w:line="360" w:lineRule="auto"/>
        <w:ind w:firstLine="840" w:firstLineChars="400"/>
        <w:rPr>
          <w:rFonts w:hint="eastAsia"/>
        </w:rPr>
      </w:pPr>
      <w:r>
        <w:rPr>
          <w:rFonts w:hint="eastAsia"/>
        </w:rPr>
        <w:t>（2）</w:t>
      </w:r>
      <w:r>
        <w:rPr>
          <w:rFonts w:hint="eastAsia" w:ascii="宋体" w:hAnsi="宋体"/>
        </w:rPr>
        <w:t>镇区保洁服务</w:t>
      </w:r>
      <w:r>
        <w:rPr>
          <w:rFonts w:hint="eastAsia" w:ascii="宋体"/>
          <w:bCs/>
          <w:szCs w:val="21"/>
        </w:rPr>
        <w:t>方案及流程</w:t>
      </w:r>
      <w:r>
        <w:rPr>
          <w:rFonts w:hint="eastAsia"/>
        </w:rPr>
        <w:t>；</w:t>
      </w:r>
    </w:p>
    <w:p>
      <w:pPr>
        <w:spacing w:line="360" w:lineRule="auto"/>
        <w:ind w:firstLine="840" w:firstLineChars="400"/>
        <w:rPr>
          <w:rFonts w:hint="eastAsia"/>
        </w:rPr>
      </w:pPr>
      <w:r>
        <w:rPr>
          <w:rFonts w:hint="eastAsia"/>
        </w:rPr>
        <w:t>（3）</w:t>
      </w:r>
      <w:r>
        <w:rPr>
          <w:rFonts w:hint="eastAsia" w:ascii="宋体"/>
          <w:bCs/>
          <w:szCs w:val="21"/>
        </w:rPr>
        <w:t>垃圾清运（日产日清）服务方案及流程</w:t>
      </w:r>
      <w:r>
        <w:rPr>
          <w:rFonts w:hint="eastAsia"/>
        </w:rPr>
        <w:t>；</w:t>
      </w:r>
    </w:p>
    <w:p>
      <w:pPr>
        <w:spacing w:line="360" w:lineRule="auto"/>
        <w:ind w:firstLine="840" w:firstLineChars="400"/>
        <w:rPr>
          <w:rFonts w:hint="eastAsia"/>
        </w:rPr>
      </w:pPr>
      <w:r>
        <w:rPr>
          <w:rFonts w:hint="eastAsia"/>
        </w:rPr>
        <w:t>（4）</w:t>
      </w:r>
      <w:r>
        <w:rPr>
          <w:rFonts w:hint="eastAsia" w:ascii="宋体"/>
          <w:bCs/>
          <w:szCs w:val="21"/>
        </w:rPr>
        <w:t>中转站及垃圾分类站运营管理方案及流程</w:t>
      </w:r>
      <w:r>
        <w:rPr>
          <w:rFonts w:hint="eastAsia"/>
        </w:rPr>
        <w:t>；</w:t>
      </w:r>
    </w:p>
    <w:p>
      <w:pPr>
        <w:spacing w:line="360" w:lineRule="auto"/>
        <w:ind w:firstLine="840" w:firstLineChars="400"/>
        <w:rPr>
          <w:rFonts w:hint="eastAsia"/>
        </w:rPr>
      </w:pPr>
      <w:r>
        <w:rPr>
          <w:rFonts w:hint="eastAsia"/>
        </w:rPr>
        <w:t>（5）交接方案；</w:t>
      </w:r>
    </w:p>
    <w:p>
      <w:pPr>
        <w:spacing w:line="360" w:lineRule="auto"/>
        <w:ind w:firstLine="840" w:firstLineChars="400"/>
        <w:rPr>
          <w:rFonts w:hint="eastAsia"/>
        </w:rPr>
      </w:pPr>
      <w:r>
        <w:rPr>
          <w:rFonts w:hint="eastAsia"/>
        </w:rPr>
        <w:t>（6）安全文明作业措施；</w:t>
      </w:r>
    </w:p>
    <w:p>
      <w:pPr>
        <w:spacing w:line="360" w:lineRule="auto"/>
        <w:ind w:firstLine="840" w:firstLineChars="400"/>
        <w:rPr>
          <w:rFonts w:hint="eastAsia"/>
        </w:rPr>
      </w:pPr>
      <w:r>
        <w:rPr>
          <w:rFonts w:hint="eastAsia"/>
        </w:rPr>
        <w:t>（7）特殊时期的应急保障措施包括大型活动、防台防汛期、创优评优和突击检查等特殊时期的应急保障措施；</w:t>
      </w:r>
    </w:p>
    <w:p>
      <w:pPr>
        <w:spacing w:line="360" w:lineRule="auto"/>
        <w:ind w:firstLine="840" w:firstLineChars="400"/>
        <w:rPr>
          <w:rFonts w:hint="eastAsia"/>
        </w:rPr>
      </w:pPr>
      <w:r>
        <w:rPr>
          <w:rFonts w:hint="eastAsia"/>
        </w:rPr>
        <w:t>（8）针对本项目的督检制度；</w:t>
      </w:r>
    </w:p>
    <w:p>
      <w:pPr>
        <w:spacing w:line="360" w:lineRule="auto"/>
        <w:ind w:firstLine="840" w:firstLineChars="400"/>
        <w:rPr>
          <w:rFonts w:hint="eastAsia"/>
        </w:rPr>
      </w:pPr>
      <w:r>
        <w:rPr>
          <w:rFonts w:hint="eastAsia"/>
        </w:rPr>
        <w:t>（9）企业管理制度；</w:t>
      </w:r>
    </w:p>
    <w:p>
      <w:pPr>
        <w:spacing w:line="360" w:lineRule="auto"/>
        <w:ind w:firstLine="840" w:firstLineChars="400"/>
        <w:rPr>
          <w:rFonts w:hint="eastAsia"/>
        </w:rPr>
      </w:pPr>
      <w:r>
        <w:rPr>
          <w:rFonts w:hint="eastAsia"/>
        </w:rPr>
        <w:t>（10）为完成本项目配备的设备明细表及管理方案（含设备维护制度）；</w:t>
      </w:r>
    </w:p>
    <w:p>
      <w:pPr>
        <w:spacing w:line="360" w:lineRule="auto"/>
        <w:ind w:firstLine="840" w:firstLineChars="400"/>
        <w:rPr>
          <w:rFonts w:hint="eastAsia"/>
        </w:rPr>
      </w:pPr>
      <w:r>
        <w:rPr>
          <w:rFonts w:hint="eastAsia"/>
        </w:rPr>
        <w:t>（11）拟派工作人员的配备、日常管理及主要的岗位职责；</w:t>
      </w:r>
    </w:p>
    <w:p>
      <w:pPr>
        <w:spacing w:line="360" w:lineRule="auto"/>
        <w:ind w:firstLine="840" w:firstLineChars="400"/>
        <w:rPr>
          <w:rFonts w:hint="eastAsia"/>
        </w:rPr>
      </w:pPr>
      <w:r>
        <w:rPr>
          <w:rFonts w:hint="eastAsia"/>
        </w:rPr>
        <w:t>（12）日常管理办公用房相关证明材料；</w:t>
      </w:r>
    </w:p>
    <w:p>
      <w:pPr>
        <w:spacing w:line="360" w:lineRule="auto"/>
        <w:ind w:firstLine="840" w:firstLineChars="400"/>
        <w:rPr>
          <w:rFonts w:hint="eastAsia"/>
        </w:rPr>
      </w:pPr>
      <w:r>
        <w:rPr>
          <w:rFonts w:hint="eastAsia"/>
        </w:rPr>
        <w:t>（13）行业信誉及经验证明资料或说明（根据评分标准编制）；</w:t>
      </w:r>
    </w:p>
    <w:p>
      <w:pPr>
        <w:spacing w:line="360" w:lineRule="auto"/>
        <w:ind w:firstLine="840" w:firstLineChars="400"/>
        <w:rPr>
          <w:rFonts w:hint="eastAsia"/>
        </w:rPr>
      </w:pPr>
      <w:r>
        <w:rPr>
          <w:rFonts w:hint="eastAsia"/>
        </w:rPr>
        <w:t>（14）政府采购政策相关内容。</w:t>
      </w:r>
    </w:p>
    <w:p>
      <w:pPr>
        <w:spacing w:line="360" w:lineRule="auto"/>
        <w:ind w:firstLine="420" w:firstLineChars="200"/>
        <w:rPr>
          <w:rFonts w:hint="eastAsia"/>
        </w:rPr>
      </w:pPr>
    </w:p>
    <w:p>
      <w:pPr>
        <w:rPr>
          <w:rFonts w:hint="eastAsia"/>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p>
    <w:p>
      <w:pPr>
        <w:spacing w:line="360" w:lineRule="auto"/>
        <w:ind w:firstLine="102" w:firstLineChars="49"/>
        <w:rPr>
          <w:b/>
        </w:rPr>
      </w:pPr>
      <w:r>
        <w:rPr>
          <w:b/>
        </w:rPr>
        <w:br w:type="page"/>
      </w:r>
      <w:r>
        <w:rPr>
          <w:rFonts w:hint="eastAsia"/>
          <w:b/>
        </w:rPr>
        <w:t>1、投标保证金收据复印件（或原件单独提交核查）</w:t>
      </w:r>
    </w:p>
    <w:p>
      <w:pPr>
        <w:ind w:firstLine="105" w:firstLineChars="50"/>
        <w:rPr>
          <w:rFonts w:hint="eastAsia"/>
          <w:b/>
        </w:rPr>
      </w:pPr>
    </w:p>
    <w:p>
      <w:pPr>
        <w:ind w:firstLine="105" w:firstLineChars="50"/>
        <w:rPr>
          <w:rFonts w:hint="eastAsia"/>
          <w:b/>
        </w:rPr>
      </w:pPr>
    </w:p>
    <w:p>
      <w:pPr>
        <w:ind w:firstLine="105" w:firstLineChars="50"/>
        <w:rPr>
          <w:rFonts w:hint="eastAsia"/>
          <w:b/>
        </w:rPr>
      </w:pPr>
    </w:p>
    <w:p>
      <w:pPr>
        <w:ind w:firstLine="105" w:firstLineChars="50"/>
        <w:rPr>
          <w:rFonts w:hint="eastAsia"/>
          <w:b/>
        </w:rPr>
      </w:pPr>
      <w:r>
        <w:rPr>
          <w:b/>
        </w:rPr>
        <w:br w:type="page"/>
      </w:r>
      <w:r>
        <w:rPr>
          <w:rFonts w:hint="eastAsia"/>
          <w:b/>
        </w:rPr>
        <w:t>2、投标人自查表</w:t>
      </w:r>
    </w:p>
    <w:p>
      <w:pPr>
        <w:adjustRightInd w:val="0"/>
        <w:snapToGrid w:val="0"/>
        <w:jc w:val="center"/>
        <w:rPr>
          <w:rFonts w:hint="eastAsia" w:ascii="宋体" w:hAnsi="宋体"/>
          <w:b/>
          <w:sz w:val="24"/>
        </w:rPr>
      </w:pPr>
    </w:p>
    <w:p>
      <w:pPr>
        <w:adjustRightInd w:val="0"/>
        <w:snapToGrid w:val="0"/>
        <w:jc w:val="center"/>
        <w:rPr>
          <w:rFonts w:hint="eastAsia" w:ascii="宋体" w:hAnsi="宋体"/>
          <w:b/>
          <w:sz w:val="24"/>
        </w:rPr>
      </w:pPr>
      <w:r>
        <w:rPr>
          <w:rFonts w:hint="eastAsia" w:ascii="宋体" w:hAnsi="宋体"/>
          <w:b/>
          <w:sz w:val="24"/>
        </w:rPr>
        <w:t>①资格条件自查表</w:t>
      </w:r>
    </w:p>
    <w:p>
      <w:pPr>
        <w:adjustRightInd w:val="0"/>
        <w:snapToGrid w:val="0"/>
        <w:jc w:val="center"/>
        <w:rPr>
          <w:rFonts w:ascii="宋体" w:hAnsi="宋体"/>
          <w:b/>
          <w:sz w:val="24"/>
        </w:rPr>
      </w:pPr>
    </w:p>
    <w:tbl>
      <w:tblPr>
        <w:tblStyle w:val="35"/>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24"/>
        <w:gridCol w:w="1276"/>
        <w:gridCol w:w="230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55"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评审内容</w:t>
            </w:r>
          </w:p>
        </w:tc>
        <w:tc>
          <w:tcPr>
            <w:tcW w:w="4524"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采购文件要求</w:t>
            </w:r>
          </w:p>
        </w:tc>
        <w:tc>
          <w:tcPr>
            <w:tcW w:w="1276"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自查结论</w:t>
            </w:r>
          </w:p>
        </w:tc>
        <w:tc>
          <w:tcPr>
            <w:tcW w:w="2302" w:type="dxa"/>
            <w:tcBorders>
              <w:top w:val="single" w:color="auto" w:sz="12"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Style w:val="38"/>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93"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rFonts w:hint="eastAsia"/>
                <w:b/>
                <w:sz w:val="21"/>
                <w:szCs w:val="21"/>
              </w:rPr>
            </w:pPr>
            <w:r>
              <w:rPr>
                <w:rFonts w:hint="eastAsia"/>
                <w:b/>
                <w:sz w:val="21"/>
                <w:szCs w:val="21"/>
              </w:rPr>
              <w:t>资</w:t>
            </w:r>
          </w:p>
          <w:p>
            <w:pPr>
              <w:pStyle w:val="62"/>
              <w:adjustRightInd w:val="0"/>
              <w:snapToGrid w:val="0"/>
              <w:spacing w:before="0" w:beforeAutospacing="0" w:after="0" w:afterAutospacing="0"/>
              <w:jc w:val="center"/>
              <w:rPr>
                <w:rFonts w:hint="eastAsia"/>
                <w:b/>
                <w:sz w:val="21"/>
                <w:szCs w:val="21"/>
              </w:rPr>
            </w:pPr>
            <w:r>
              <w:rPr>
                <w:rFonts w:hint="eastAsia"/>
                <w:b/>
                <w:sz w:val="21"/>
                <w:szCs w:val="21"/>
              </w:rPr>
              <w:t>格</w:t>
            </w:r>
          </w:p>
          <w:p>
            <w:pPr>
              <w:pStyle w:val="62"/>
              <w:adjustRightInd w:val="0"/>
              <w:snapToGrid w:val="0"/>
              <w:spacing w:before="0" w:beforeAutospacing="0" w:after="0" w:afterAutospacing="0"/>
              <w:jc w:val="center"/>
              <w:rPr>
                <w:rFonts w:hint="eastAsia"/>
                <w:b/>
                <w:sz w:val="21"/>
                <w:szCs w:val="21"/>
              </w:rPr>
            </w:pPr>
            <w:r>
              <w:rPr>
                <w:rFonts w:hint="eastAsia"/>
                <w:b/>
                <w:sz w:val="21"/>
                <w:szCs w:val="21"/>
              </w:rPr>
              <w:t>性</w:t>
            </w:r>
          </w:p>
          <w:p>
            <w:pPr>
              <w:pStyle w:val="62"/>
              <w:adjustRightInd w:val="0"/>
              <w:snapToGrid w:val="0"/>
              <w:spacing w:before="0" w:beforeAutospacing="0" w:after="0" w:afterAutospacing="0"/>
              <w:jc w:val="center"/>
              <w:rPr>
                <w:rFonts w:hint="eastAsia"/>
                <w:b/>
                <w:sz w:val="21"/>
                <w:szCs w:val="21"/>
              </w:rPr>
            </w:pPr>
            <w:r>
              <w:rPr>
                <w:rFonts w:hint="eastAsia"/>
                <w:b/>
                <w:sz w:val="21"/>
                <w:szCs w:val="21"/>
              </w:rPr>
              <w:t>审</w:t>
            </w:r>
          </w:p>
          <w:p>
            <w:pPr>
              <w:pStyle w:val="62"/>
              <w:adjustRightInd w:val="0"/>
              <w:snapToGrid w:val="0"/>
              <w:spacing w:before="0" w:beforeAutospacing="0" w:after="0" w:afterAutospacing="0"/>
              <w:jc w:val="center"/>
              <w:rPr>
                <w:b/>
                <w:sz w:val="21"/>
                <w:szCs w:val="21"/>
              </w:rPr>
            </w:pPr>
            <w:r>
              <w:rPr>
                <w:rFonts w:hint="eastAsia"/>
                <w:b/>
                <w:sz w:val="21"/>
                <w:szCs w:val="21"/>
              </w:rPr>
              <w:t>查</w:t>
            </w:r>
          </w:p>
        </w:tc>
        <w:tc>
          <w:tcPr>
            <w:tcW w:w="4524"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一、投标人资格声明函</w:t>
            </w:r>
          </w:p>
        </w:tc>
        <w:tc>
          <w:tcPr>
            <w:tcW w:w="1276" w:type="dxa"/>
            <w:vMerge w:val="restart"/>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29" w:hRule="atLeast"/>
          <w:jc w:val="center"/>
        </w:trPr>
        <w:tc>
          <w:tcPr>
            <w:tcW w:w="831" w:type="dxa"/>
            <w:vMerge w:val="continue"/>
            <w:tcBorders>
              <w:top w:val="outset" w:color="111111" w:sz="6" w:space="0"/>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rFonts w:hint="eastAsia"/>
                <w:b/>
                <w:sz w:val="21"/>
                <w:szCs w:val="21"/>
              </w:rPr>
            </w:pPr>
          </w:p>
        </w:tc>
        <w:tc>
          <w:tcPr>
            <w:tcW w:w="4524"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cs="宋体"/>
                <w:szCs w:val="21"/>
              </w:rPr>
              <w:t>二、投标人具备《政府采购法》第二十二条第一款所规定的条件：</w:t>
            </w:r>
          </w:p>
        </w:tc>
        <w:tc>
          <w:tcPr>
            <w:tcW w:w="1276" w:type="dxa"/>
            <w:vMerge w:val="continue"/>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cs="Arial"/>
                <w:szCs w:val="21"/>
              </w:rPr>
            </w:pP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60" w:hRule="atLeast"/>
          <w:jc w:val="center"/>
        </w:trPr>
        <w:tc>
          <w:tcPr>
            <w:tcW w:w="831" w:type="dxa"/>
            <w:vMerge w:val="continue"/>
            <w:tcBorders>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rFonts w:hint="eastAsia"/>
                <w:b/>
                <w:sz w:val="21"/>
                <w:szCs w:val="21"/>
              </w:rPr>
            </w:pPr>
          </w:p>
        </w:tc>
        <w:tc>
          <w:tcPr>
            <w:tcW w:w="4524" w:type="dxa"/>
            <w:tcBorders>
              <w:top w:val="outset" w:color="111111" w:sz="6" w:space="0"/>
              <w:left w:val="outset" w:color="111111" w:sz="6" w:space="0"/>
              <w:bottom w:val="single" w:color="auto" w:sz="4" w:space="0"/>
              <w:right w:val="outset" w:color="111111" w:sz="6" w:space="0"/>
            </w:tcBorders>
            <w:noWrap w:val="0"/>
            <w:vAlign w:val="center"/>
          </w:tcPr>
          <w:p>
            <w:r>
              <w:rPr>
                <w:rFonts w:hint="eastAsia"/>
              </w:rPr>
              <w:t>1、有效的企业法人营业执照（或事业法人登记证）、其他组织的营业执照或者民办非企业单位登记证书复印件；</w:t>
            </w:r>
          </w:p>
        </w:tc>
        <w:tc>
          <w:tcPr>
            <w:tcW w:w="1276" w:type="dxa"/>
            <w:vMerge w:val="continue"/>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cs="Arial"/>
                <w:szCs w:val="21"/>
              </w:rPr>
            </w:pP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60" w:hRule="atLeast"/>
          <w:jc w:val="center"/>
        </w:trPr>
        <w:tc>
          <w:tcPr>
            <w:tcW w:w="831" w:type="dxa"/>
            <w:vMerge w:val="continue"/>
            <w:tcBorders>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rFonts w:hint="eastAsia"/>
                <w:b/>
                <w:sz w:val="21"/>
                <w:szCs w:val="21"/>
              </w:rPr>
            </w:pPr>
          </w:p>
        </w:tc>
        <w:tc>
          <w:tcPr>
            <w:tcW w:w="4524"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cs="宋体"/>
                <w:szCs w:val="21"/>
              </w:rPr>
              <w:t>2、投标人如果有名称变更的，应提供由行政主管部门出具的变更证明文件。</w:t>
            </w:r>
          </w:p>
        </w:tc>
        <w:tc>
          <w:tcPr>
            <w:tcW w:w="1276" w:type="dxa"/>
            <w:vMerge w:val="continue"/>
            <w:tcBorders>
              <w:top w:val="outset" w:color="111111" w:sz="6" w:space="0"/>
              <w:left w:val="outset" w:color="111111" w:sz="6" w:space="0"/>
              <w:right w:val="outset" w:color="111111" w:sz="6" w:space="0"/>
            </w:tcBorders>
            <w:noWrap w:val="0"/>
            <w:vAlign w:val="center"/>
          </w:tcPr>
          <w:p>
            <w:pPr>
              <w:adjustRightInd w:val="0"/>
              <w:snapToGrid w:val="0"/>
              <w:rPr>
                <w:rFonts w:hint="eastAsia" w:ascii="宋体" w:hAnsi="宋体" w:cs="Arial"/>
                <w:szCs w:val="21"/>
              </w:rPr>
            </w:pPr>
          </w:p>
        </w:tc>
        <w:tc>
          <w:tcPr>
            <w:tcW w:w="2302"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832" w:hRule="atLeast"/>
          <w:jc w:val="center"/>
        </w:trPr>
        <w:tc>
          <w:tcPr>
            <w:tcW w:w="831" w:type="dxa"/>
            <w:vMerge w:val="continue"/>
            <w:tcBorders>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3、2018年财务状况报告复印件，其他组织或投标人新成立不足一年提供银行出具的资信证明材料复印件；</w:t>
            </w:r>
          </w:p>
        </w:tc>
        <w:tc>
          <w:tcPr>
            <w:tcW w:w="1276" w:type="dxa"/>
            <w:vMerge w:val="continue"/>
            <w:tcBorders>
              <w:left w:val="outset" w:color="111111" w:sz="6" w:space="0"/>
              <w:right w:val="outset" w:color="111111" w:sz="6" w:space="0"/>
            </w:tcBorders>
            <w:noWrap w:val="0"/>
            <w:vAlign w:val="center"/>
          </w:tcPr>
          <w:p>
            <w:pPr>
              <w:adjustRightInd w:val="0"/>
              <w:snapToGrid w:val="0"/>
              <w:rPr>
                <w:rFonts w:ascii="宋体" w:hAnsi="宋体" w:cs="Arial"/>
                <w:szCs w:val="21"/>
              </w:rPr>
            </w:pPr>
          </w:p>
        </w:tc>
        <w:tc>
          <w:tcPr>
            <w:tcW w:w="2302" w:type="dxa"/>
            <w:tcBorders>
              <w:top w:val="single" w:color="auto" w:sz="4" w:space="0"/>
              <w:left w:val="outset" w:color="111111" w:sz="6" w:space="0"/>
              <w:bottom w:val="single" w:color="auto" w:sz="4"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820" w:hRule="atLeast"/>
          <w:jc w:val="center"/>
        </w:trPr>
        <w:tc>
          <w:tcPr>
            <w:tcW w:w="831" w:type="dxa"/>
            <w:vMerge w:val="continue"/>
            <w:tcBorders>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4、2019年开具的缴纳税收的凭据证明材料复印件；如依法免税的，应提供相应文件证明其依法免税；</w:t>
            </w:r>
          </w:p>
        </w:tc>
        <w:tc>
          <w:tcPr>
            <w:tcW w:w="1276" w:type="dxa"/>
            <w:vMerge w:val="continue"/>
            <w:tcBorders>
              <w:left w:val="outset" w:color="111111" w:sz="6" w:space="0"/>
              <w:right w:val="outset" w:color="111111" w:sz="6" w:space="0"/>
            </w:tcBorders>
            <w:noWrap w:val="0"/>
            <w:vAlign w:val="center"/>
          </w:tcPr>
          <w:p>
            <w:pPr>
              <w:adjustRightInd w:val="0"/>
              <w:snapToGrid w:val="0"/>
              <w:rPr>
                <w:rFonts w:ascii="宋体" w:hAnsi="宋体" w:cs="Arial"/>
                <w:szCs w:val="21"/>
              </w:rPr>
            </w:pPr>
          </w:p>
        </w:tc>
        <w:tc>
          <w:tcPr>
            <w:tcW w:w="2302" w:type="dxa"/>
            <w:tcBorders>
              <w:top w:val="single" w:color="auto" w:sz="4" w:space="0"/>
              <w:left w:val="outset" w:color="111111" w:sz="6" w:space="0"/>
              <w:bottom w:val="single" w:color="auto" w:sz="4"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991" w:hRule="atLeast"/>
          <w:jc w:val="center"/>
        </w:trPr>
        <w:tc>
          <w:tcPr>
            <w:tcW w:w="831" w:type="dxa"/>
            <w:vMerge w:val="continue"/>
            <w:tcBorders>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single" w:color="auto" w:sz="4"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cs="宋体"/>
                <w:szCs w:val="21"/>
              </w:rPr>
              <w:t>5、2019年开具的缴纳社会保险的凭据证明材料复印件；如依法不需要缴纳社会保障资金的，应提供相应文件证明其依法不需要缴纳社会保障资金；</w:t>
            </w:r>
          </w:p>
        </w:tc>
        <w:tc>
          <w:tcPr>
            <w:tcW w:w="1276" w:type="dxa"/>
            <w:vMerge w:val="continue"/>
            <w:tcBorders>
              <w:left w:val="outset" w:color="111111" w:sz="6" w:space="0"/>
              <w:right w:val="outset" w:color="111111" w:sz="6" w:space="0"/>
            </w:tcBorders>
            <w:noWrap w:val="0"/>
            <w:vAlign w:val="center"/>
          </w:tcPr>
          <w:p>
            <w:pPr>
              <w:adjustRightInd w:val="0"/>
              <w:snapToGrid w:val="0"/>
              <w:rPr>
                <w:rFonts w:ascii="宋体" w:hAnsi="宋体" w:cs="Arial"/>
                <w:szCs w:val="21"/>
              </w:rPr>
            </w:pPr>
          </w:p>
        </w:tc>
        <w:tc>
          <w:tcPr>
            <w:tcW w:w="2302" w:type="dxa"/>
            <w:tcBorders>
              <w:top w:val="single" w:color="auto" w:sz="4" w:space="0"/>
              <w:left w:val="outset" w:color="111111" w:sz="6" w:space="0"/>
              <w:bottom w:val="single" w:color="auto" w:sz="4"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1012" w:hRule="atLeast"/>
          <w:jc w:val="center"/>
        </w:trPr>
        <w:tc>
          <w:tcPr>
            <w:tcW w:w="831" w:type="dxa"/>
            <w:vMerge w:val="continue"/>
            <w:tcBorders>
              <w:left w:val="single" w:color="auto" w:sz="12" w:space="0"/>
              <w:right w:val="outset" w:color="111111" w:sz="6" w:space="0"/>
            </w:tcBorders>
            <w:noWrap w:val="0"/>
            <w:vAlign w:val="center"/>
          </w:tcPr>
          <w:p>
            <w:pPr>
              <w:pStyle w:val="62"/>
              <w:adjustRightInd w:val="0"/>
              <w:snapToGrid w:val="0"/>
              <w:spacing w:before="0" w:beforeAutospacing="0" w:after="0" w:afterAutospacing="0"/>
              <w:jc w:val="center"/>
              <w:rPr>
                <w:sz w:val="21"/>
                <w:szCs w:val="21"/>
              </w:rPr>
            </w:pPr>
          </w:p>
        </w:tc>
        <w:tc>
          <w:tcPr>
            <w:tcW w:w="4524" w:type="dxa"/>
            <w:tcBorders>
              <w:top w:val="single" w:color="auto" w:sz="4" w:space="0"/>
              <w:left w:val="outset" w:color="111111" w:sz="6" w:space="0"/>
              <w:bottom w:val="outset" w:color="111111" w:sz="6" w:space="0"/>
              <w:right w:val="outset" w:color="111111" w:sz="6" w:space="0"/>
            </w:tcBorders>
            <w:noWrap w:val="0"/>
            <w:vAlign w:val="center"/>
          </w:tcPr>
          <w:p>
            <w:pPr>
              <w:adjustRightInd w:val="0"/>
              <w:snapToGrid w:val="0"/>
              <w:rPr>
                <w:rFonts w:ascii="宋体" w:hAnsi="宋体" w:cs="黑体"/>
                <w:szCs w:val="21"/>
              </w:rPr>
            </w:pPr>
            <w:r>
              <w:rPr>
                <w:rFonts w:hint="eastAsia" w:ascii="宋体" w:hAnsi="宋体" w:cs="宋体"/>
                <w:szCs w:val="21"/>
              </w:rPr>
              <w:t>6、若以不具有独立承担民事责任能力的分支机构投标，须取得</w:t>
            </w:r>
            <w:r>
              <w:rPr>
                <w:rFonts w:hint="eastAsia" w:ascii="宋体" w:hAnsi="宋体" w:cs="黑体"/>
                <w:szCs w:val="21"/>
              </w:rPr>
              <w:t>具有法人资格的总公司的授权书，并提供总公司营业执照副本复印件。</w:t>
            </w:r>
          </w:p>
        </w:tc>
        <w:tc>
          <w:tcPr>
            <w:tcW w:w="1276" w:type="dxa"/>
            <w:tcBorders>
              <w:top w:val="single" w:color="auto" w:sz="4" w:space="0"/>
              <w:left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2302" w:type="dxa"/>
            <w:tcBorders>
              <w:top w:val="single" w:color="auto" w:sz="4"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926" w:hRule="atLeast"/>
          <w:jc w:val="center"/>
        </w:trPr>
        <w:tc>
          <w:tcPr>
            <w:tcW w:w="831" w:type="dxa"/>
            <w:vMerge w:val="continue"/>
            <w:tcBorders>
              <w:left w:val="single" w:color="auto" w:sz="12"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cs="宋体"/>
                <w:szCs w:val="21"/>
              </w:rPr>
            </w:pPr>
            <w:r>
              <w:rPr>
                <w:rFonts w:hint="eastAsia" w:ascii="宋体" w:hAnsi="宋体"/>
                <w:szCs w:val="21"/>
              </w:rPr>
              <w:t>三、为采购项目提供整体设计、规范编制或者项目管理、监理、检测等服务的投标人及其附属机构，不得再参加本项目投标。</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hint="eastAsia" w:ascii="宋体" w:hAnsi="宋体"/>
                <w:szCs w:val="21"/>
              </w:rPr>
            </w:pPr>
            <w:r>
              <w:rPr>
                <w:rFonts w:hint="eastAsia" w:ascii="宋体" w:hAnsi="宋体"/>
                <w:szCs w:val="21"/>
              </w:rPr>
              <w:t>第（ ）页-（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cs="宋体"/>
                <w:szCs w:val="21"/>
              </w:rPr>
              <w:t>四、本项目不接受联合体投标。</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948" w:hRule="atLeast"/>
          <w:jc w:val="center"/>
        </w:trPr>
        <w:tc>
          <w:tcPr>
            <w:tcW w:w="831" w:type="dxa"/>
            <w:vMerge w:val="continue"/>
            <w:tcBorders>
              <w:left w:val="single" w:color="auto" w:sz="12"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ascii="宋体" w:hAnsi="宋体" w:cs="宋体"/>
                <w:szCs w:val="21"/>
              </w:rPr>
            </w:pPr>
            <w:r>
              <w:rPr>
                <w:rFonts w:hint="eastAsia" w:ascii="宋体" w:hAnsi="宋体"/>
                <w:szCs w:val="21"/>
              </w:rPr>
              <w:t>五、投标人信用：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投标截止日当天在“信用中国”网站（www.creditchina.gov.cn）</w:t>
            </w:r>
            <w:r>
              <w:rPr>
                <w:rFonts w:hint="eastAsia"/>
              </w:rPr>
              <w:t>及中国政府采购网</w:t>
            </w:r>
            <w:r>
              <w:rPr>
                <w:rFonts w:hint="eastAsia" w:ascii="宋体" w:hAnsi="宋体"/>
                <w:szCs w:val="21"/>
              </w:rPr>
              <w:t>查询结果为准，如相关失信记录已失效，投标人需提供相关证明资料）。</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106" w:hRule="atLeast"/>
          <w:jc w:val="center"/>
        </w:trPr>
        <w:tc>
          <w:tcPr>
            <w:tcW w:w="831" w:type="dxa"/>
            <w:vMerge w:val="continue"/>
            <w:tcBorders>
              <w:left w:val="single" w:color="auto" w:sz="12" w:space="0"/>
              <w:bottom w:val="outset" w:color="111111" w:sz="6" w:space="0"/>
              <w:right w:val="outset" w:color="111111" w:sz="6" w:space="0"/>
            </w:tcBorders>
            <w:noWrap w:val="0"/>
            <w:vAlign w:val="center"/>
          </w:tcPr>
          <w:p>
            <w:pPr>
              <w:adjustRightInd w:val="0"/>
              <w:snapToGrid w:val="0"/>
              <w:rPr>
                <w:rFonts w:ascii="宋体" w:hAnsi="宋体" w:cs="宋体"/>
                <w:szCs w:val="21"/>
              </w:rPr>
            </w:pPr>
          </w:p>
        </w:tc>
        <w:tc>
          <w:tcPr>
            <w:tcW w:w="4524"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szCs w:val="21"/>
              </w:rPr>
              <w:t>六、特定条件：无。</w:t>
            </w:r>
          </w:p>
        </w:tc>
        <w:tc>
          <w:tcPr>
            <w:tcW w:w="1276"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rPr>
                <w:rFonts w:hint="eastAsia"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2302"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jc w:val="center"/>
              <w:rPr>
                <w:rFonts w:ascii="宋体" w:hAnsi="宋体" w:cs="宋体"/>
                <w:szCs w:val="21"/>
              </w:rPr>
            </w:pPr>
            <w:r>
              <w:rPr>
                <w:rFonts w:hint="eastAsia" w:ascii="宋体" w:hAnsi="宋体"/>
                <w:szCs w:val="21"/>
              </w:rPr>
              <w:t>第（ ）页</w:t>
            </w:r>
          </w:p>
        </w:tc>
      </w:tr>
    </w:tbl>
    <w:p>
      <w:pPr>
        <w:jc w:val="center"/>
        <w:rPr>
          <w:rFonts w:hint="eastAsia"/>
          <w:b/>
        </w:rPr>
      </w:pPr>
    </w:p>
    <w:p>
      <w:pPr>
        <w:jc w:val="center"/>
        <w:rPr>
          <w:rFonts w:hint="eastAsia"/>
          <w:b/>
        </w:rPr>
      </w:pPr>
    </w:p>
    <w:p>
      <w:pPr>
        <w:jc w:val="center"/>
        <w:rPr>
          <w:rFonts w:hint="eastAsia"/>
          <w:b/>
        </w:rPr>
      </w:pPr>
      <w:r>
        <w:rPr>
          <w:b/>
        </w:rPr>
        <w:br w:type="page"/>
      </w:r>
      <w:r>
        <w:rPr>
          <w:rFonts w:hint="eastAsia"/>
          <w:b/>
        </w:rPr>
        <w:t>②符合性自查表</w:t>
      </w:r>
    </w:p>
    <w:p>
      <w:pPr>
        <w:rPr>
          <w:rFonts w:hint="eastAsia"/>
          <w:b/>
        </w:rPr>
      </w:pPr>
    </w:p>
    <w:tbl>
      <w:tblPr>
        <w:tblStyle w:val="35"/>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240" w:lineRule="exact"/>
              <w:jc w:val="center"/>
            </w:pPr>
            <w:r>
              <w:rPr>
                <w:rFonts w:hint="eastAsia"/>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pPr>
            <w:r>
              <w:rPr>
                <w:rFonts w:hint="eastAsia"/>
              </w:rPr>
              <w:t>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pPr>
            <w:r>
              <w:rPr>
                <w:rFonts w:hint="eastAsia"/>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pPr>
              <w:spacing w:line="240" w:lineRule="exact"/>
              <w:jc w:val="center"/>
            </w:pPr>
            <w:r>
              <w:rPr>
                <w:rFonts w:hint="eastAsia"/>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260"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spacing w:line="240" w:lineRule="exact"/>
              <w:rPr>
                <w:rFonts w:hint="eastAsia"/>
              </w:rPr>
            </w:pPr>
            <w:r>
              <w:rPr>
                <w:rFonts w:hint="eastAsia"/>
              </w:rPr>
              <w:t>符</w:t>
            </w:r>
          </w:p>
          <w:p>
            <w:pPr>
              <w:spacing w:line="240" w:lineRule="exact"/>
              <w:rPr>
                <w:rFonts w:hint="eastAsia"/>
              </w:rPr>
            </w:pPr>
            <w:r>
              <w:rPr>
                <w:rFonts w:hint="eastAsia"/>
              </w:rPr>
              <w:t>合</w:t>
            </w:r>
          </w:p>
          <w:p>
            <w:pPr>
              <w:spacing w:line="240" w:lineRule="exact"/>
              <w:rPr>
                <w:rFonts w:hint="eastAsia"/>
              </w:rPr>
            </w:pPr>
            <w:r>
              <w:rPr>
                <w:rFonts w:hint="eastAsia"/>
              </w:rPr>
              <w:t>性</w:t>
            </w:r>
          </w:p>
          <w:p>
            <w:pPr>
              <w:spacing w:line="240" w:lineRule="exact"/>
              <w:rPr>
                <w:rFonts w:hint="eastAsia"/>
              </w:rPr>
            </w:pPr>
            <w:r>
              <w:rPr>
                <w:rFonts w:hint="eastAsia"/>
              </w:rPr>
              <w:t>审</w:t>
            </w:r>
          </w:p>
          <w:p>
            <w:pPr>
              <w:spacing w:line="240" w:lineRule="exact"/>
            </w:pPr>
            <w:r>
              <w:rPr>
                <w:rFonts w:hint="eastAsia"/>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spacing w:line="240" w:lineRule="exact"/>
            </w:pPr>
            <w:r>
              <w:rPr>
                <w:rFonts w:hint="eastAsia"/>
              </w:rPr>
              <w:t>1、投标人承诺函</w:t>
            </w:r>
          </w:p>
        </w:tc>
        <w:tc>
          <w:tcPr>
            <w:tcW w:w="1270" w:type="dxa"/>
            <w:tcBorders>
              <w:top w:val="outset" w:color="111111" w:sz="6" w:space="0"/>
              <w:left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single" w:color="auto" w:sz="4"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543"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2、投标人按采购文件要求缴纳投标保证金的；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669"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3、投标文件完全满足招标文件的实质性条款（即标注▲号条款）无负偏离的；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pPr>
            <w:r>
              <w:rPr>
                <w:rFonts w:hint="eastAsia"/>
              </w:rPr>
              <w:t>4.法定代表人证明书/法定代表人授权委托书。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pPr>
            <w:r>
              <w:rPr>
                <w:rFonts w:hint="eastAsia"/>
              </w:rPr>
              <w:t>5.没有其他未实质性响应文件要求的。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6、投标文件没有招标文件中规定的其它无效投标条款的；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wBefore w:w="0" w:type="dxa"/>
          <w:wAfter w:w="0" w:type="dxa"/>
          <w:trHeight w:val="382" w:hRule="atLeast"/>
          <w:jc w:val="center"/>
        </w:trPr>
        <w:tc>
          <w:tcPr>
            <w:tcW w:w="831" w:type="dxa"/>
            <w:vMerge w:val="continue"/>
            <w:tcBorders>
              <w:left w:val="single" w:color="auto" w:sz="12" w:space="0"/>
              <w:bottom w:val="outset" w:color="111111" w:sz="6" w:space="0"/>
              <w:right w:val="outset" w:color="111111" w:sz="6" w:space="0"/>
            </w:tcBorders>
            <w:noWrap w:val="0"/>
            <w:vAlign w:val="center"/>
          </w:tcPr>
          <w:p>
            <w:pPr>
              <w:spacing w:line="240" w:lineRule="exact"/>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7、按有关法律、法规、规章不属于投标无效的。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rPr>
            </w:pPr>
            <w:r>
              <w:rPr>
                <w:rFonts w:hint="eastAsia"/>
              </w:rPr>
              <w:t xml:space="preserve">□通过 </w:t>
            </w:r>
          </w:p>
          <w:p>
            <w:pPr>
              <w:spacing w:line="240" w:lineRule="exact"/>
            </w:pPr>
            <w:r>
              <w:rPr>
                <w:rFonts w:hint="eastAsia"/>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pPr>
            <w:r>
              <w:rPr>
                <w:rFonts w:hint="eastAsia"/>
              </w:rPr>
              <w:t>第（ ）页</w:t>
            </w:r>
          </w:p>
        </w:tc>
      </w:tr>
    </w:tbl>
    <w:p>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rPr>
          <w:rFonts w:hint="eastAsia"/>
          <w:b/>
        </w:rPr>
      </w:pPr>
      <w:r>
        <w:br w:type="page"/>
      </w:r>
      <w:r>
        <w:rPr>
          <w:rFonts w:hint="eastAsia"/>
          <w:b/>
        </w:rPr>
        <w:t>3、投标人响应表格式：</w:t>
      </w:r>
    </w:p>
    <w:p>
      <w:pPr>
        <w:rPr>
          <w:rFonts w:hint="eastAsia"/>
        </w:rPr>
      </w:pPr>
    </w:p>
    <w:p>
      <w:pPr>
        <w:jc w:val="center"/>
        <w:rPr>
          <w:rFonts w:hint="eastAsia"/>
          <w:b/>
          <w:sz w:val="32"/>
          <w:szCs w:val="32"/>
        </w:rPr>
      </w:pPr>
      <w:r>
        <w:rPr>
          <w:rFonts w:hint="eastAsia"/>
          <w:b/>
          <w:sz w:val="32"/>
          <w:szCs w:val="32"/>
        </w:rPr>
        <w:t>项目投标人响应表</w:t>
      </w: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ind w:firstLine="210" w:firstLineChars="100"/>
        <w:rPr>
          <w:rFonts w:hint="eastAsia" w:ascii="宋体" w:hAnsi="宋体"/>
          <w:b/>
          <w:bCs/>
          <w:u w:val="single"/>
        </w:rPr>
      </w:pPr>
    </w:p>
    <w:tbl>
      <w:tblPr>
        <w:tblStyle w:val="35"/>
        <w:tblW w:w="0" w:type="auto"/>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wBefore w:w="0" w:type="dxa"/>
          <w:wAfter w:w="0" w:type="dxa"/>
          <w:trHeight w:val="596"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评审内容</w:t>
            </w: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证明文件</w:t>
            </w:r>
          </w:p>
        </w:tc>
      </w:tr>
      <w:tr>
        <w:tblPrEx>
          <w:tblCellMar>
            <w:top w:w="0" w:type="dxa"/>
            <w:left w:w="108" w:type="dxa"/>
            <w:bottom w:w="0" w:type="dxa"/>
            <w:right w:w="108" w:type="dxa"/>
          </w:tblCellMar>
        </w:tblPrEx>
        <w:trPr>
          <w:wBefore w:w="0" w:type="dxa"/>
          <w:wAfter w:w="0" w:type="dxa"/>
          <w:trHeight w:val="593"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3"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520"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531" w:hRule="atLeast"/>
        </w:trPr>
        <w:tc>
          <w:tcPr>
            <w:tcW w:w="724" w:type="dxa"/>
            <w:tcBorders>
              <w:top w:val="nil"/>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nil"/>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0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1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608"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r>
        <w:tblPrEx>
          <w:tblCellMar>
            <w:top w:w="0" w:type="dxa"/>
            <w:left w:w="108" w:type="dxa"/>
            <w:bottom w:w="0" w:type="dxa"/>
            <w:right w:w="108" w:type="dxa"/>
          </w:tblCellMar>
        </w:tblPrEx>
        <w:trPr>
          <w:wBefore w:w="0" w:type="dxa"/>
          <w:wAfter w:w="0" w:type="dxa"/>
          <w:trHeight w:val="75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p>
        </w:tc>
        <w:tc>
          <w:tcPr>
            <w:tcW w:w="1843" w:type="dxa"/>
            <w:tcBorders>
              <w:top w:val="single" w:color="auto" w:sz="4" w:space="0"/>
              <w:left w:val="nil"/>
              <w:bottom w:val="single" w:color="auto" w:sz="4" w:space="0"/>
              <w:right w:val="single" w:color="auto" w:sz="4" w:space="0"/>
            </w:tcBorders>
            <w:noWrap w:val="0"/>
            <w:vAlign w:val="center"/>
          </w:tcPr>
          <w:p>
            <w:pPr>
              <w:jc w:val="center"/>
              <w:rPr>
                <w:rFonts w:hint="eastAsia"/>
              </w:rPr>
            </w:pPr>
            <w:r>
              <w:rPr>
                <w:rFonts w:hint="eastAsia"/>
              </w:rPr>
              <w:t>见（  ）页</w:t>
            </w:r>
          </w:p>
        </w:tc>
      </w:tr>
    </w:tbl>
    <w:p>
      <w:pPr>
        <w:rPr>
          <w:rFonts w:hint="eastAsia"/>
          <w:b/>
        </w:rPr>
      </w:pPr>
      <w:r>
        <w:rPr>
          <w:rFonts w:hint="eastAsia"/>
          <w:b/>
        </w:rPr>
        <w:t>根据评分标准逐条填写。</w:t>
      </w:r>
    </w:p>
    <w:p>
      <w:pPr>
        <w:rPr>
          <w:rFonts w:hint="eastAsia"/>
        </w:rPr>
      </w:pPr>
    </w:p>
    <w:p>
      <w:pPr>
        <w:ind w:firstLine="6090" w:firstLineChars="2900"/>
        <w:rPr>
          <w:rFonts w:hint="eastAsia"/>
        </w:rPr>
      </w:pPr>
      <w:r>
        <w:rPr>
          <w:rFonts w:hint="eastAsia"/>
        </w:rPr>
        <w:t>投标人名称：</w:t>
      </w:r>
    </w:p>
    <w:p>
      <w:pPr>
        <w:rPr>
          <w:rFonts w:hint="eastAsia"/>
        </w:rPr>
      </w:pPr>
    </w:p>
    <w:p>
      <w:pPr>
        <w:ind w:firstLine="6090" w:firstLineChars="2900"/>
        <w:rPr>
          <w:rFonts w:hint="eastAsia"/>
        </w:rPr>
      </w:pPr>
      <w:r>
        <w:rPr>
          <w:rFonts w:hint="eastAsia"/>
        </w:rPr>
        <w:t>年  月  日</w:t>
      </w:r>
    </w:p>
    <w:p>
      <w:pPr>
        <w:rPr>
          <w:rFonts w:hint="eastAsia"/>
        </w:rPr>
      </w:pPr>
    </w:p>
    <w:p>
      <w:pPr>
        <w:rPr>
          <w:rFonts w:hint="eastAsia"/>
        </w:rPr>
      </w:pPr>
      <w:r>
        <w:rPr>
          <w:rFonts w:hint="eastAsia"/>
        </w:rPr>
        <w:t xml:space="preserve"> </w:t>
      </w:r>
    </w:p>
    <w:p>
      <w:pPr>
        <w:rPr>
          <w:rFonts w:hint="eastAsia"/>
        </w:rPr>
      </w:pPr>
      <w:r>
        <w:br w:type="page"/>
      </w:r>
    </w:p>
    <w:p>
      <w:pPr>
        <w:rPr>
          <w:rFonts w:hint="eastAsia"/>
          <w:b/>
        </w:rPr>
      </w:pPr>
      <w:r>
        <w:rPr>
          <w:rFonts w:hint="eastAsia"/>
          <w:b/>
        </w:rPr>
        <w:t>4、商务响应表格式：</w:t>
      </w:r>
    </w:p>
    <w:p>
      <w:pPr>
        <w:spacing w:line="500" w:lineRule="exact"/>
        <w:ind w:firstLine="210" w:firstLineChars="100"/>
        <w:jc w:val="left"/>
        <w:rPr>
          <w:rFonts w:hint="eastAsia" w:ascii="宋体"/>
          <w:bCs/>
          <w:szCs w:val="21"/>
          <w:lang w:val="zh-CN"/>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rPr>
          <w:rFonts w:hint="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1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3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rPr>
          <w:rFonts w:hint="eastAsia"/>
        </w:rPr>
      </w:pPr>
      <w:r>
        <w:rPr>
          <w:rFonts w:hint="eastAsia"/>
        </w:rPr>
        <w:t>按第三章商务条款要求逐项填写</w:t>
      </w:r>
    </w:p>
    <w:p>
      <w:pPr>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rPr>
      </w:pPr>
    </w:p>
    <w:p>
      <w:pPr>
        <w:rPr>
          <w:rFonts w:hint="eastAsia"/>
        </w:rPr>
      </w:pPr>
    </w:p>
    <w:p>
      <w:pPr>
        <w:rPr>
          <w:rFonts w:hint="eastAsia"/>
        </w:rPr>
      </w:pPr>
    </w:p>
    <w:p>
      <w:pPr>
        <w:rPr>
          <w:rFonts w:hint="eastAsia"/>
        </w:rPr>
      </w:pPr>
    </w:p>
    <w:p>
      <w:pPr>
        <w:rPr>
          <w:rFonts w:hint="eastAsia"/>
        </w:rPr>
      </w:pPr>
      <w:r>
        <w:br w:type="page"/>
      </w:r>
    </w:p>
    <w:p>
      <w:pPr>
        <w:rPr>
          <w:rFonts w:hint="eastAsia"/>
          <w:b/>
        </w:rPr>
      </w:pPr>
      <w:r>
        <w:rPr>
          <w:rFonts w:hint="eastAsia"/>
          <w:b/>
        </w:rPr>
        <w:t>5、投标人资格声明函</w:t>
      </w:r>
    </w:p>
    <w:p>
      <w:pPr>
        <w:jc w:val="center"/>
        <w:outlineLvl w:val="2"/>
        <w:rPr>
          <w:rFonts w:hint="eastAsia" w:ascii="宋体" w:hAnsi="宋体"/>
          <w:b/>
          <w:sz w:val="28"/>
          <w:szCs w:val="28"/>
        </w:rPr>
      </w:pPr>
      <w:bookmarkStart w:id="63" w:name="_Toc275865606"/>
    </w:p>
    <w:p>
      <w:pPr>
        <w:jc w:val="center"/>
        <w:rPr>
          <w:rFonts w:hint="eastAsia"/>
          <w:b/>
        </w:rPr>
      </w:pPr>
      <w:r>
        <w:rPr>
          <w:rFonts w:hint="eastAsia"/>
          <w:b/>
        </w:rPr>
        <w:t>投标人资格声明函</w:t>
      </w:r>
      <w:bookmarkEnd w:id="63"/>
    </w:p>
    <w:p>
      <w:pPr>
        <w:rPr>
          <w:rFonts w:hint="eastAsia" w:ascii="宋体" w:hAnsi="宋体"/>
          <w:b/>
        </w:rPr>
      </w:pPr>
    </w:p>
    <w:p>
      <w:pPr>
        <w:rPr>
          <w:rFonts w:hint="eastAsia" w:ascii="宋体" w:hAnsi="宋体"/>
          <w:b/>
        </w:rPr>
      </w:pPr>
      <w:r>
        <w:rPr>
          <w:rFonts w:hint="eastAsia" w:ascii="宋体" w:hAnsi="宋体"/>
          <w:b/>
        </w:rPr>
        <w:t>宁波建兴招标有限公司/宁海县茶院乡人民政府：</w:t>
      </w:r>
    </w:p>
    <w:p>
      <w:pPr>
        <w:snapToGrid w:val="0"/>
        <w:spacing w:before="156" w:beforeLines="50" w:line="360" w:lineRule="auto"/>
        <w:ind w:firstLine="424" w:firstLineChars="202"/>
        <w:rPr>
          <w:rFonts w:hint="eastAsia" w:ascii="宋体" w:hAnsi="宋体"/>
        </w:rPr>
      </w:pPr>
      <w:r>
        <w:rPr>
          <w:rFonts w:hint="eastAsia" w:ascii="宋体" w:hAnsi="宋体"/>
        </w:rPr>
        <w:t>关于你公司</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rPr>
        <w:t xml:space="preserve">                                 </w:t>
      </w:r>
      <w:r>
        <w:rPr>
          <w:rFonts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）的采购公告，本公司（企业）愿意参加投标，并声明：</w:t>
      </w:r>
    </w:p>
    <w:p>
      <w:pPr>
        <w:snapToGrid w:val="0"/>
        <w:spacing w:line="360" w:lineRule="auto"/>
        <w:ind w:firstLine="424" w:firstLineChars="202"/>
        <w:rPr>
          <w:rFonts w:hint="eastAsia" w:ascii="宋体" w:hAnsi="宋体"/>
        </w:rPr>
      </w:pPr>
      <w:r>
        <w:rPr>
          <w:rFonts w:hint="eastAsia" w:ascii="宋体" w:hAnsi="宋体"/>
        </w:rPr>
        <w:t>本公司（企业）具备</w:t>
      </w:r>
      <w:r>
        <w:rPr>
          <w:rFonts w:hint="eastAsia" w:ascii="宋体" w:hAnsi="宋体"/>
          <w:bCs/>
          <w:szCs w:val="21"/>
        </w:rPr>
        <w:t>《中华人民共和国政府采购法》第二十二条第一款资格条件，</w:t>
      </w:r>
      <w:r>
        <w:rPr>
          <w:rFonts w:hint="eastAsia" w:ascii="宋体" w:hAnsi="宋体"/>
        </w:rPr>
        <w:t>并已清楚采购文件的要求及有关文件规定。</w:t>
      </w:r>
    </w:p>
    <w:p>
      <w:pPr>
        <w:snapToGrid w:val="0"/>
        <w:spacing w:line="360" w:lineRule="auto"/>
        <w:ind w:firstLine="424" w:firstLineChars="202"/>
        <w:rPr>
          <w:rFonts w:hint="eastAsia" w:ascii="宋体" w:hAnsi="宋体"/>
        </w:rPr>
      </w:pPr>
      <w:r>
        <w:rPr>
          <w:rFonts w:hint="eastAsia" w:ascii="宋体" w:hAnsi="宋体"/>
        </w:rPr>
        <w:t>本公司（企业）的法定代表人或单位负责人与招标采购单位不存在管理、控股、隶属关系。</w:t>
      </w:r>
    </w:p>
    <w:p>
      <w:pPr>
        <w:snapToGrid w:val="0"/>
        <w:spacing w:line="360" w:lineRule="auto"/>
        <w:ind w:firstLine="424" w:firstLineChars="202"/>
        <w:rPr>
          <w:rFonts w:hint="eastAsia"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hint="eastAsia" w:ascii="宋体" w:hAnsi="宋体"/>
        </w:rPr>
      </w:pPr>
      <w:r>
        <w:rPr>
          <w:rFonts w:hint="eastAsia" w:ascii="宋体" w:hAnsi="宋体"/>
          <w:b/>
        </w:rPr>
        <w:t>本公司（企业）</w:t>
      </w:r>
      <w:r>
        <w:rPr>
          <w:rFonts w:ascii="宋体" w:hAnsi="宋体"/>
          <w:b/>
        </w:rPr>
        <w:t>具有履行合同所必需的设备和专业技术能力</w:t>
      </w:r>
      <w:r>
        <w:rPr>
          <w:rFonts w:hint="eastAsia" w:ascii="宋体" w:hAnsi="宋体"/>
          <w:b/>
        </w:rPr>
        <w:t>，且本公司（企业）参加政府采购活动前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pPr>
        <w:snapToGrid w:val="0"/>
        <w:spacing w:line="360" w:lineRule="auto"/>
        <w:ind w:firstLine="424" w:firstLineChars="202"/>
        <w:rPr>
          <w:rFonts w:hint="eastAsia"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hint="eastAsia" w:ascii="宋体" w:hAnsi="宋体"/>
          <w:b/>
        </w:rPr>
      </w:pPr>
      <w:r>
        <w:rPr>
          <w:rFonts w:hint="eastAsia" w:ascii="宋体" w:hAnsi="宋体"/>
          <w:b/>
        </w:rPr>
        <w:t>特此声明！</w:t>
      </w:r>
    </w:p>
    <w:p>
      <w:pPr>
        <w:adjustRightInd w:val="0"/>
        <w:snapToGrid w:val="0"/>
        <w:spacing w:line="360" w:lineRule="auto"/>
        <w:ind w:left="425"/>
        <w:rPr>
          <w:rFonts w:hint="eastAsia" w:ascii="宋体" w:hAnsi="宋体"/>
          <w:spacing w:val="4"/>
        </w:rPr>
      </w:pPr>
    </w:p>
    <w:p>
      <w:pPr>
        <w:spacing w:line="360" w:lineRule="auto"/>
        <w:ind w:right="420" w:firstLine="3150" w:firstLineChars="1500"/>
        <w:rPr>
          <w:rFonts w:hint="eastAsia"/>
        </w:rPr>
      </w:pPr>
      <w:r>
        <w:rPr>
          <w:rFonts w:hint="eastAsia"/>
        </w:rPr>
        <w:t xml:space="preserve">法定代表人或授权代表签名：     </w:t>
      </w:r>
    </w:p>
    <w:p>
      <w:pPr>
        <w:spacing w:line="360" w:lineRule="auto"/>
        <w:ind w:right="420" w:firstLine="3150" w:firstLineChars="1500"/>
        <w:rPr>
          <w:rFonts w:hint="eastAsia"/>
        </w:rPr>
      </w:pPr>
      <w:r>
        <w:rPr>
          <w:rFonts w:hint="eastAsia"/>
        </w:rPr>
        <w:t xml:space="preserve">投标人公章：                               </w:t>
      </w:r>
    </w:p>
    <w:p>
      <w:pPr>
        <w:spacing w:line="360" w:lineRule="auto"/>
        <w:ind w:right="420" w:firstLine="3045" w:firstLineChars="1450"/>
        <w:rPr>
          <w:rFonts w:hint="eastAsia"/>
        </w:rPr>
      </w:pPr>
      <w:r>
        <w:rPr>
          <w:rFonts w:hint="eastAsia"/>
        </w:rPr>
        <w:t xml:space="preserve"> 年    月    日</w:t>
      </w:r>
    </w:p>
    <w:p>
      <w:pPr>
        <w:spacing w:line="360" w:lineRule="auto"/>
        <w:rPr>
          <w:rFonts w:hint="eastAsia"/>
        </w:rPr>
      </w:pPr>
    </w:p>
    <w:p>
      <w:pPr>
        <w:adjustRightInd w:val="0"/>
        <w:snapToGrid w:val="0"/>
        <w:spacing w:line="360" w:lineRule="auto"/>
        <w:rPr>
          <w:rFonts w:hint="eastAsia" w:ascii="宋体" w:hAnsi="宋体"/>
          <w:spacing w:val="4"/>
          <w:u w:val="single"/>
        </w:rPr>
      </w:pPr>
    </w:p>
    <w:p>
      <w:pPr>
        <w:rPr>
          <w:rFonts w:hint="eastAsia"/>
          <w:b/>
        </w:rPr>
      </w:pPr>
      <w:r>
        <w:br w:type="page"/>
      </w:r>
      <w:r>
        <w:rPr>
          <w:rFonts w:hint="eastAsia"/>
          <w:b/>
        </w:rPr>
        <w:t>6、法定代表人身份证明及授权委托书格式：</w:t>
      </w:r>
    </w:p>
    <w:p>
      <w:pPr>
        <w:rPr>
          <w:rFonts w:hint="eastAsia"/>
        </w:rPr>
      </w:pPr>
    </w:p>
    <w:p>
      <w:pPr>
        <w:rPr>
          <w:rFonts w:hint="eastAsia"/>
        </w:rPr>
      </w:pPr>
    </w:p>
    <w:p>
      <w:pPr>
        <w:jc w:val="center"/>
        <w:rPr>
          <w:b/>
          <w:sz w:val="32"/>
          <w:szCs w:val="32"/>
        </w:rPr>
      </w:pPr>
      <w:r>
        <w:rPr>
          <w:rFonts w:hint="eastAsia"/>
          <w:b/>
          <w:sz w:val="32"/>
          <w:szCs w:val="32"/>
        </w:rPr>
        <w:t>法定代表人身份证明</w:t>
      </w:r>
    </w:p>
    <w:p>
      <w:pPr>
        <w:spacing w:line="480" w:lineRule="auto"/>
        <w:jc w:val="center"/>
        <w:rPr>
          <w:rFonts w:hint="eastAsia" w:ascii="宋体" w:hAnsi="宋体"/>
          <w:b/>
          <w:sz w:val="24"/>
        </w:rPr>
      </w:pPr>
      <w:r>
        <w:rPr>
          <w:rFonts w:hint="eastAsia" w:ascii="宋体" w:hAnsi="宋体"/>
          <w:bCs/>
          <w:sz w:val="24"/>
        </w:rPr>
        <w:t>（法定代表人不来投标的，此表不用）</w:t>
      </w:r>
    </w:p>
    <w:p>
      <w:pPr>
        <w:spacing w:line="480" w:lineRule="auto"/>
        <w:ind w:firstLine="420" w:firstLineChars="200"/>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spacing w:line="48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pPr>
        <w:spacing w:line="48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48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周岁  </w:t>
      </w:r>
      <w:r>
        <w:rPr>
          <w:rFonts w:hint="eastAsia" w:ascii="宋体" w:hAnsi="宋体"/>
          <w:szCs w:val="21"/>
        </w:rPr>
        <w:t>职务：</w:t>
      </w:r>
      <w:r>
        <w:rPr>
          <w:rFonts w:hint="eastAsia" w:ascii="宋体" w:hAnsi="宋体"/>
          <w:szCs w:val="21"/>
          <w:u w:val="single"/>
        </w:rPr>
        <w:t xml:space="preserve">       </w:t>
      </w:r>
    </w:p>
    <w:p>
      <w:pPr>
        <w:spacing w:line="480" w:lineRule="auto"/>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48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48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wordWrap w:val="0"/>
        <w:spacing w:line="360" w:lineRule="auto"/>
        <w:jc w:val="right"/>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（盖单位公章）</w:t>
      </w:r>
    </w:p>
    <w:p>
      <w:pPr>
        <w:spacing w:line="360" w:lineRule="auto"/>
        <w:ind w:firstLine="4515" w:firstLineChars="2150"/>
        <w:rPr>
          <w:rFonts w:ascii="宋体" w:hAnsi="宋体"/>
          <w:szCs w:val="21"/>
          <w:u w:val="single"/>
        </w:rPr>
      </w:pPr>
    </w:p>
    <w:p>
      <w:pPr>
        <w:spacing w:line="360" w:lineRule="auto"/>
        <w:ind w:firstLine="3675" w:firstLineChars="17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 w:val="24"/>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附法定代表人身份证复印件（正反面）：</w:t>
      </w:r>
    </w:p>
    <w:p>
      <w:pPr>
        <w:rPr>
          <w:rFonts w:ascii="宋体" w:hAnsi="宋体"/>
        </w:rPr>
      </w:pPr>
    </w:p>
    <w:p>
      <w:pPr>
        <w:jc w:val="left"/>
        <w:rPr>
          <w:rFonts w:ascii="宋体" w:hAnsi="宋体"/>
          <w:b/>
          <w:sz w:val="32"/>
          <w:szCs w:val="32"/>
        </w:rPr>
      </w:pPr>
    </w:p>
    <w:p>
      <w:pPr>
        <w:jc w:val="left"/>
        <w:rPr>
          <w:rFonts w:ascii="宋体" w:hAnsi="宋体"/>
          <w:b/>
          <w:sz w:val="32"/>
          <w:szCs w:val="32"/>
        </w:rPr>
      </w:pPr>
    </w:p>
    <w:p>
      <w:pPr>
        <w:jc w:val="left"/>
        <w:rPr>
          <w:rFonts w:ascii="宋体" w:hAnsi="宋体"/>
          <w:b/>
          <w:sz w:val="32"/>
          <w:szCs w:val="32"/>
        </w:rPr>
      </w:pPr>
    </w:p>
    <w:p>
      <w:pPr>
        <w:jc w:val="center"/>
        <w:rPr>
          <w:rFonts w:hint="eastAsia"/>
          <w:b/>
          <w:sz w:val="32"/>
          <w:szCs w:val="32"/>
        </w:rPr>
      </w:pPr>
      <w:r>
        <w:rPr>
          <w:b/>
          <w:bCs/>
          <w:sz w:val="28"/>
          <w:szCs w:val="28"/>
        </w:rPr>
        <w:br w:type="page"/>
      </w:r>
      <w:r>
        <w:rPr>
          <w:rFonts w:hint="eastAsia"/>
          <w:b/>
          <w:sz w:val="32"/>
          <w:szCs w:val="32"/>
        </w:rPr>
        <w:t>法定代表人授权委托书</w:t>
      </w:r>
    </w:p>
    <w:p>
      <w:pPr>
        <w:jc w:val="center"/>
        <w:rPr>
          <w:rFonts w:hint="eastAsia"/>
          <w:b/>
          <w:sz w:val="32"/>
          <w:szCs w:val="32"/>
        </w:rPr>
      </w:pPr>
      <w:r>
        <w:rPr>
          <w:rFonts w:hint="eastAsia" w:ascii="宋体" w:hAnsi="宋体"/>
          <w:bCs/>
          <w:sz w:val="24"/>
        </w:rPr>
        <w:t>（法定代表人来投标的，此表不用）</w:t>
      </w:r>
    </w:p>
    <w:p>
      <w:pPr>
        <w:snapToGrid w:val="0"/>
        <w:spacing w:line="360" w:lineRule="auto"/>
        <w:rPr>
          <w:rFonts w:hint="eastAsia" w:ascii="宋体" w:hAnsi="宋体"/>
          <w:bCs/>
          <w:sz w:val="24"/>
        </w:rPr>
      </w:pPr>
    </w:p>
    <w:p>
      <w:pPr>
        <w:snapToGrid w:val="0"/>
        <w:spacing w:line="360" w:lineRule="auto"/>
        <w:rPr>
          <w:rFonts w:hint="eastAsia" w:ascii="宋体" w:hAnsi="宋体"/>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r>
        <w:rPr>
          <w:rFonts w:hint="eastAsia" w:ascii="宋体" w:hAnsi="宋体"/>
          <w:b/>
          <w:bCs/>
          <w:szCs w:val="21"/>
        </w:rPr>
        <w:t xml:space="preserve"> </w:t>
      </w:r>
      <w:r>
        <w:rPr>
          <w:rFonts w:hint="eastAsia" w:ascii="宋体" w:hAnsi="宋体"/>
          <w:szCs w:val="21"/>
        </w:rPr>
        <w:t>：</w:t>
      </w:r>
    </w:p>
    <w:p>
      <w:pPr>
        <w:snapToGrid w:val="0"/>
        <w:spacing w:line="360" w:lineRule="auto"/>
        <w:ind w:firstLine="420" w:firstLineChars="200"/>
        <w:rPr>
          <w:rFonts w:hint="eastAsia" w:ascii="宋体" w:hAnsi="宋体"/>
          <w:szCs w:val="21"/>
          <w:u w:val="single"/>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 xml:space="preserve">（供应商名称）的法定代表人，现授权委托本单位在职职工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政府采购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szCs w:val="21"/>
          <w:u w:val="single"/>
        </w:rPr>
      </w:pPr>
      <w:r>
        <w:rPr>
          <w:rFonts w:hint="eastAsia" w:ascii="宋体" w:hAnsi="宋体"/>
          <w:szCs w:val="21"/>
        </w:rPr>
        <w:t>我方对被授权人的签名事项负全部责任。</w:t>
      </w:r>
    </w:p>
    <w:p>
      <w:pPr>
        <w:snapToGrid w:val="0"/>
        <w:spacing w:line="360" w:lineRule="auto"/>
        <w:ind w:firstLine="420" w:firstLineChars="200"/>
        <w:rPr>
          <w:rFonts w:hint="eastAsia"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szCs w:val="21"/>
        </w:rPr>
      </w:pPr>
      <w:r>
        <w:rPr>
          <w:rFonts w:hint="eastAsia" w:ascii="宋体" w:hAnsi="宋体"/>
          <w:szCs w:val="21"/>
        </w:rPr>
        <w:t>被授权人无转委托权，特此委托。</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法定代表人签名：</w:t>
      </w:r>
      <w:r>
        <w:rPr>
          <w:rFonts w:hint="eastAsia" w:ascii="宋体" w:hAnsi="宋体"/>
          <w:szCs w:val="21"/>
          <w:u w:val="single"/>
        </w:rPr>
        <w:t xml:space="preserve">          </w:t>
      </w:r>
    </w:p>
    <w:p>
      <w:pPr>
        <w:snapToGrid w:val="0"/>
        <w:spacing w:line="360" w:lineRule="auto"/>
        <w:ind w:firstLine="840" w:firstLineChars="4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line="360" w:lineRule="auto"/>
        <w:rPr>
          <w:rFonts w:hint="eastAsia" w:ascii="宋体" w:hAnsi="宋体"/>
          <w:szCs w:val="21"/>
        </w:rPr>
      </w:pPr>
      <w:r>
        <w:rPr>
          <w:rFonts w:hint="eastAsia" w:ascii="宋体" w:hAnsi="宋体"/>
          <w:szCs w:val="21"/>
        </w:rPr>
        <w:t>被授权人身份证号码：</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hint="eastAsia" w:ascii="宋体" w:hAnsi="宋体"/>
          <w:szCs w:val="21"/>
        </w:rPr>
      </w:pPr>
      <w:r>
        <w:rPr>
          <w:rFonts w:hint="eastAsia" w:ascii="宋体" w:hAnsi="宋体"/>
          <w:szCs w:val="21"/>
        </w:rPr>
        <w:t xml:space="preserve">                                    </w:t>
      </w:r>
    </w:p>
    <w:p>
      <w:pPr>
        <w:snapToGrid w:val="0"/>
        <w:spacing w:line="360" w:lineRule="auto"/>
        <w:rPr>
          <w:rFonts w:hint="eastAsia" w:ascii="宋体" w:hAnsi="宋体"/>
          <w:szCs w:val="21"/>
        </w:rPr>
      </w:pPr>
    </w:p>
    <w:p>
      <w:pPr>
        <w:snapToGrid w:val="0"/>
        <w:spacing w:line="360" w:lineRule="auto"/>
        <w:ind w:firstLine="4830" w:firstLineChars="2300"/>
        <w:rPr>
          <w:rFonts w:hint="eastAsia" w:ascii="宋体" w:hAnsi="宋体"/>
          <w:szCs w:val="21"/>
        </w:rPr>
      </w:pPr>
      <w:r>
        <w:rPr>
          <w:rFonts w:hint="eastAsia" w:ascii="宋体" w:hAnsi="宋体"/>
          <w:szCs w:val="21"/>
        </w:rPr>
        <w:t>投标人公章：</w:t>
      </w:r>
    </w:p>
    <w:p>
      <w:pPr>
        <w:snapToGrid w:val="0"/>
        <w:spacing w:line="360" w:lineRule="auto"/>
        <w:ind w:firstLine="4830" w:firstLineChars="2300"/>
        <w:rPr>
          <w:rFonts w:hint="eastAsia" w:ascii="宋体" w:hAnsi="宋体"/>
          <w:szCs w:val="21"/>
        </w:rPr>
      </w:pPr>
    </w:p>
    <w:p>
      <w:pPr>
        <w:snapToGrid w:val="0"/>
        <w:spacing w:line="360" w:lineRule="auto"/>
        <w:jc w:val="center"/>
        <w:rPr>
          <w:rFonts w:hint="eastAsia" w:ascii="宋体" w:hAnsi="宋体"/>
          <w:szCs w:val="21"/>
        </w:rPr>
      </w:pPr>
      <w:r>
        <w:rPr>
          <w:rFonts w:hint="eastAsia" w:ascii="宋体" w:hAnsi="宋体"/>
          <w:szCs w:val="21"/>
        </w:rPr>
        <w:t xml:space="preserve">                                        年    月    日</w: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附：法定代表人身份证复印件（正反面）、授权代表身份证复印件（正反面）：</w:t>
      </w:r>
    </w:p>
    <w:p>
      <w:pPr>
        <w:snapToGrid w:val="0"/>
        <w:spacing w:line="360" w:lineRule="auto"/>
        <w:rPr>
          <w:rFonts w:hint="eastAsia" w:ascii="宋体" w:hAnsi="宋体"/>
          <w:szCs w:val="21"/>
        </w:rPr>
      </w:pPr>
    </w:p>
    <w:p>
      <w:pPr>
        <w:rPr>
          <w:rFonts w:hint="eastAsia"/>
        </w:rPr>
      </w:pPr>
    </w:p>
    <w:p>
      <w:pPr>
        <w:rPr>
          <w:rFonts w:hint="eastAsia"/>
        </w:rPr>
      </w:pPr>
    </w:p>
    <w:p>
      <w:pPr>
        <w:rPr>
          <w:rFonts w:hint="eastAsia" w:ascii="宋体" w:hAnsi="宋体"/>
          <w:b/>
        </w:rPr>
      </w:pPr>
      <w:r>
        <w:br w:type="page"/>
      </w:r>
      <w:r>
        <w:rPr>
          <w:rFonts w:hint="eastAsia" w:ascii="宋体" w:hAnsi="宋体"/>
          <w:b/>
        </w:rPr>
        <w:t>7、《中华人民共和国政府采购法》第二十二条第一款规定的投标人资格条件：</w:t>
      </w:r>
    </w:p>
    <w:p>
      <w:pPr>
        <w:spacing w:line="360" w:lineRule="auto"/>
        <w:ind w:firstLine="420" w:firstLineChars="200"/>
        <w:rPr>
          <w:rFonts w:hint="eastAsia"/>
        </w:rPr>
      </w:pPr>
      <w:r>
        <w:rPr>
          <w:rFonts w:hint="eastAsia"/>
        </w:rPr>
        <w:t>（1）有效的企业法人营业执照（或事业法人登记证）、其他组织（个体工商户）的营业执照或者民办非企业单位登记证书复印件。</w:t>
      </w:r>
    </w:p>
    <w:p>
      <w:pPr>
        <w:spacing w:line="360" w:lineRule="auto"/>
        <w:ind w:firstLine="420" w:firstLineChars="200"/>
        <w:rPr>
          <w:rFonts w:hint="eastAsia"/>
        </w:rPr>
      </w:pPr>
      <w:r>
        <w:rPr>
          <w:rFonts w:hint="eastAsia"/>
        </w:rPr>
        <w:t>（2）2018年财务状况报告复印件，其他组织或投标人新成立不足一年，提供银行出具的资信证明材料复印件。</w:t>
      </w:r>
    </w:p>
    <w:p>
      <w:pPr>
        <w:spacing w:line="360" w:lineRule="auto"/>
        <w:ind w:firstLine="420" w:firstLineChars="200"/>
        <w:rPr>
          <w:rFonts w:hint="eastAsia"/>
        </w:rPr>
      </w:pPr>
      <w:r>
        <w:rPr>
          <w:rFonts w:hint="eastAsia"/>
        </w:rPr>
        <w:t>（3）2019年开具的缴纳税收的凭据证明材料复印件；如依法免税的，应提供相应文件证明其依法免税。</w:t>
      </w:r>
    </w:p>
    <w:p>
      <w:pPr>
        <w:spacing w:line="360" w:lineRule="auto"/>
        <w:ind w:firstLine="420" w:firstLineChars="200"/>
        <w:rPr>
          <w:rFonts w:hint="eastAsia"/>
        </w:rPr>
      </w:pPr>
      <w:r>
        <w:rPr>
          <w:rFonts w:hint="eastAsia"/>
        </w:rPr>
        <w:t>（4）2019年开具的缴纳社会保险的凭据证明材料复印件；如依法不需要缴纳社会保障资金的，应提供相应文件证明其依法不需要缴纳社会保障资金。</w:t>
      </w:r>
    </w:p>
    <w:p>
      <w:pPr>
        <w:spacing w:line="360" w:lineRule="auto"/>
        <w:ind w:firstLine="420" w:firstLineChars="200"/>
        <w:rPr>
          <w:rFonts w:hint="eastAsia"/>
        </w:rPr>
      </w:pPr>
    </w:p>
    <w:p>
      <w:pPr>
        <w:spacing w:line="360" w:lineRule="auto"/>
        <w:ind w:firstLine="420" w:firstLineChars="200"/>
        <w:rPr>
          <w:rFonts w:hint="eastAsia"/>
        </w:rPr>
      </w:pPr>
      <w:r>
        <w:br w:type="page"/>
      </w:r>
      <w:r>
        <w:rPr>
          <w:rFonts w:hint="eastAsia"/>
        </w:rPr>
        <w:t>（5）提供</w:t>
      </w:r>
      <w:r>
        <w:t>具有履行合同所必需的设备和专业技术能力</w:t>
      </w:r>
      <w:r>
        <w:rPr>
          <w:rFonts w:hint="eastAsia"/>
        </w:rPr>
        <w:t>的书面声明</w:t>
      </w:r>
    </w:p>
    <w:p>
      <w:pPr>
        <w:jc w:val="center"/>
        <w:rPr>
          <w:rFonts w:hint="eastAsia"/>
          <w:b/>
          <w:sz w:val="32"/>
          <w:szCs w:val="32"/>
        </w:rPr>
      </w:pPr>
      <w:r>
        <w:rPr>
          <w:rFonts w:hint="eastAsia"/>
          <w:b/>
          <w:sz w:val="32"/>
          <w:szCs w:val="32"/>
        </w:rPr>
        <w:t>具备履行合同所需的设备和专业技术能力的声明</w:t>
      </w:r>
    </w:p>
    <w:p>
      <w:pPr>
        <w:rPr>
          <w:rFonts w:hint="eastAsia"/>
        </w:rPr>
      </w:pPr>
    </w:p>
    <w:p>
      <w:pPr>
        <w:spacing w:line="360" w:lineRule="auto"/>
        <w:rPr>
          <w:rFonts w:hint="eastAsia"/>
        </w:rPr>
      </w:pPr>
      <w:r>
        <w:rPr>
          <w:rFonts w:hint="eastAsia"/>
        </w:rPr>
        <w:t xml:space="preserve"> </w:t>
      </w:r>
    </w:p>
    <w:p>
      <w:pPr>
        <w:spacing w:line="360" w:lineRule="auto"/>
        <w:ind w:firstLine="420" w:firstLineChars="200"/>
        <w:rPr>
          <w:rFonts w:hint="eastAsia"/>
        </w:rPr>
      </w:pPr>
      <w:r>
        <w:rPr>
          <w:rFonts w:hint="eastAsia"/>
        </w:rPr>
        <w:t>我公司（单位）具备履行合同所需的设备和专业技术能力，具体情况介绍如下：</w:t>
      </w:r>
    </w:p>
    <w:p>
      <w:pPr>
        <w:spacing w:line="360" w:lineRule="auto"/>
        <w:rPr>
          <w:rFonts w:hint="eastAsia"/>
        </w:rPr>
      </w:pPr>
      <w:r>
        <w:rPr>
          <w:rFonts w:hint="eastAsia"/>
        </w:rPr>
        <w:t xml:space="preserve">        （内容包括：主要设备、专业技术人员、公司资质等）                                          </w:t>
      </w:r>
    </w:p>
    <w:p>
      <w:pPr>
        <w:spacing w:line="360" w:lineRule="auto"/>
        <w:rPr>
          <w:rFonts w:hint="eastAsia"/>
        </w:rPr>
      </w:pPr>
      <w:r>
        <w:rPr>
          <w:rFonts w:hint="eastAsia"/>
        </w:rPr>
        <w:t xml:space="preserve">                                                                            </w:t>
      </w:r>
    </w:p>
    <w:p>
      <w:pPr>
        <w:spacing w:line="360" w:lineRule="auto"/>
        <w:rPr>
          <w:rFonts w:hint="eastAsia"/>
        </w:rPr>
      </w:pPr>
      <w:r>
        <w:t>……</w:t>
      </w:r>
      <w:r>
        <w:rPr>
          <w:rFonts w:hint="eastAsia"/>
        </w:rPr>
        <w:t>..</w:t>
      </w:r>
    </w:p>
    <w:p>
      <w:pPr>
        <w:spacing w:line="360" w:lineRule="auto"/>
        <w:rPr>
          <w:rFonts w:hint="eastAsia"/>
        </w:rPr>
      </w:pPr>
      <w:r>
        <w:rPr>
          <w:rFonts w:hint="eastAsia"/>
        </w:rPr>
        <w:t xml:space="preserve">     特此承诺。</w:t>
      </w:r>
    </w:p>
    <w:p>
      <w:pPr>
        <w:spacing w:line="360" w:lineRule="auto"/>
        <w:rPr>
          <w:rFonts w:hint="eastAsia"/>
        </w:rPr>
      </w:pPr>
    </w:p>
    <w:p>
      <w:pPr>
        <w:spacing w:line="360" w:lineRule="auto"/>
        <w:rPr>
          <w:rFonts w:hint="eastAsia"/>
        </w:rPr>
      </w:pPr>
    </w:p>
    <w:p>
      <w:pPr>
        <w:spacing w:line="360" w:lineRule="auto"/>
        <w:ind w:firstLine="4830" w:firstLineChars="230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日期：</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r>
        <w:br w:type="page"/>
      </w:r>
      <w:r>
        <w:rPr>
          <w:rFonts w:hint="eastAsia"/>
        </w:rPr>
        <w:t>（6）提供参加政府采购活动前</w:t>
      </w:r>
      <w:r>
        <w:t>3</w:t>
      </w:r>
      <w:r>
        <w:rPr>
          <w:rFonts w:hint="eastAsia"/>
        </w:rPr>
        <w:t>年内在经营活动中没有重大违法记录的书面声明。</w:t>
      </w:r>
    </w:p>
    <w:p>
      <w:pPr>
        <w:rPr>
          <w:rFonts w:hint="eastAsia"/>
        </w:rPr>
      </w:pPr>
    </w:p>
    <w:p>
      <w:pPr>
        <w:rPr>
          <w:rFonts w:hint="eastAsia"/>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rPr>
      </w:pPr>
      <w:r>
        <w:rPr>
          <w:rFonts w:hint="eastAsia"/>
        </w:rPr>
        <w:t xml:space="preserve">     参加政府采购活动前三年内，在经营活动中没有重大违法记录，特此声明。</w:t>
      </w:r>
    </w:p>
    <w:p>
      <w:pPr>
        <w:spacing w:line="360" w:lineRule="auto"/>
        <w:rPr>
          <w:rFonts w:hint="eastAsia"/>
        </w:rPr>
      </w:pPr>
    </w:p>
    <w:p>
      <w:pPr>
        <w:spacing w:line="360" w:lineRule="auto"/>
        <w:ind w:firstLine="1365" w:firstLineChars="650"/>
        <w:rPr>
          <w:rFonts w:hint="eastAsia"/>
        </w:rPr>
      </w:pPr>
    </w:p>
    <w:p>
      <w:pPr>
        <w:spacing w:line="360" w:lineRule="auto"/>
        <w:ind w:firstLine="1365" w:firstLineChars="650"/>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spacing w:line="360" w:lineRule="auto"/>
        <w:rPr>
          <w:rFonts w:hint="eastAsia"/>
        </w:rPr>
      </w:pPr>
    </w:p>
    <w:p>
      <w:pPr>
        <w:rPr>
          <w:rFonts w:hint="eastAsia"/>
        </w:rPr>
      </w:pPr>
    </w:p>
    <w:p>
      <w:pPr>
        <w:rPr>
          <w:rFonts w:hint="eastAsia"/>
        </w:rPr>
      </w:pPr>
    </w:p>
    <w:p>
      <w:pPr>
        <w:rPr>
          <w:rFonts w:hint="eastAsia"/>
        </w:rPr>
      </w:pPr>
      <w:r>
        <w:br w:type="page"/>
      </w:r>
    </w:p>
    <w:p>
      <w:pPr>
        <w:rPr>
          <w:rFonts w:hint="eastAsia"/>
          <w:b/>
        </w:rPr>
      </w:pPr>
      <w:r>
        <w:rPr>
          <w:rFonts w:hint="eastAsia"/>
          <w:b/>
        </w:rPr>
        <w:t>8、投标人的特定条件的证明文件</w:t>
      </w:r>
    </w:p>
    <w:p>
      <w:pPr>
        <w:rPr>
          <w:rFonts w:hint="eastAsia"/>
          <w:b/>
        </w:rPr>
      </w:pPr>
    </w:p>
    <w:p>
      <w:pPr>
        <w:rPr>
          <w:rFonts w:hint="eastAsia"/>
          <w:b/>
        </w:rPr>
      </w:pPr>
    </w:p>
    <w:p>
      <w:pPr>
        <w:rPr>
          <w:rFonts w:hint="eastAsia"/>
          <w:b/>
        </w:rPr>
      </w:pPr>
      <w:r>
        <w:rPr>
          <w:rFonts w:hint="eastAsia"/>
        </w:rPr>
        <w:br w:type="page"/>
      </w:r>
      <w:r>
        <w:rPr>
          <w:rFonts w:hint="eastAsia"/>
          <w:b/>
        </w:rPr>
        <w:t>9、投标承诺函</w:t>
      </w:r>
    </w:p>
    <w:p>
      <w:pPr>
        <w:pStyle w:val="47"/>
        <w:spacing w:line="336" w:lineRule="auto"/>
        <w:ind w:right="84" w:rightChars="40"/>
        <w:rPr>
          <w:rFonts w:hint="eastAsia" w:ascii="宋体" w:hAnsi="宋体"/>
          <w:sz w:val="24"/>
          <w:szCs w:val="24"/>
        </w:rPr>
      </w:pPr>
    </w:p>
    <w:p>
      <w:pPr>
        <w:pStyle w:val="47"/>
        <w:spacing w:line="336" w:lineRule="auto"/>
        <w:ind w:right="84" w:rightChars="40"/>
        <w:jc w:val="center"/>
        <w:rPr>
          <w:rFonts w:hint="eastAsia" w:ascii="宋体" w:hAnsi="宋体"/>
          <w:sz w:val="24"/>
          <w:szCs w:val="24"/>
        </w:rPr>
      </w:pPr>
      <w:r>
        <w:rPr>
          <w:rFonts w:hint="eastAsia" w:ascii="宋体" w:hAnsi="宋体"/>
          <w:sz w:val="24"/>
          <w:szCs w:val="24"/>
        </w:rPr>
        <w:t>投标承诺函</w:t>
      </w:r>
    </w:p>
    <w:p>
      <w:pPr>
        <w:spacing w:line="360" w:lineRule="auto"/>
        <w:rPr>
          <w:rFonts w:hint="eastAsia"/>
        </w:rPr>
      </w:pPr>
      <w:r>
        <w:rPr>
          <w:rFonts w:hint="eastAsia"/>
        </w:rPr>
        <w:t>宁波建兴招标有限公司/宁海县茶院乡人民政府：</w:t>
      </w:r>
    </w:p>
    <w:p>
      <w:pPr>
        <w:spacing w:line="360" w:lineRule="auto"/>
        <w:ind w:firstLine="420" w:firstLineChars="200"/>
        <w:rPr>
          <w:rFonts w:hint="eastAsia"/>
        </w:rPr>
      </w:pPr>
      <w:r>
        <w:rPr>
          <w:rFonts w:hint="eastAsia"/>
        </w:rPr>
        <w:t>我方确认收到贵方提供的</w:t>
      </w:r>
      <w:bookmarkStart w:id="64" w:name="xmmc"/>
      <w:r>
        <w:rPr>
          <w:rFonts w:hint="eastAsia"/>
          <w:u w:val="single"/>
        </w:rPr>
        <w:t xml:space="preserve">                                                     </w:t>
      </w:r>
      <w:r>
        <w:rPr>
          <w:rFonts w:hint="eastAsia"/>
        </w:rPr>
        <w:t>项目</w:t>
      </w:r>
      <w:bookmarkEnd w:id="64"/>
      <w:r>
        <w:rPr>
          <w:rFonts w:hint="eastAsia"/>
        </w:rPr>
        <w:t>（项目编号：NBJX190207G）的采购文件，已完全理解招标文件的所有内容。决定投标本项目，据此我方承诺如下：</w:t>
      </w:r>
    </w:p>
    <w:p>
      <w:pPr>
        <w:spacing w:line="360" w:lineRule="auto"/>
        <w:ind w:firstLine="420" w:firstLineChars="200"/>
        <w:rPr>
          <w:rFonts w:hint="eastAsia"/>
        </w:rPr>
      </w:pPr>
      <w:r>
        <w:rPr>
          <w:rFonts w:hint="eastAsia"/>
        </w:rPr>
        <w:t>1、我方的投标文件在投标截止日后60天（日历天）内保持有效，如中标，有效期将延至本项目执行期满日为止。</w:t>
      </w:r>
    </w:p>
    <w:p>
      <w:pPr>
        <w:spacing w:line="360" w:lineRule="auto"/>
        <w:ind w:firstLine="420"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pPr>
        <w:spacing w:line="360" w:lineRule="auto"/>
        <w:ind w:firstLine="420"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hint="eastAsia"/>
        </w:rPr>
      </w:pPr>
      <w:r>
        <w:rPr>
          <w:rFonts w:hint="eastAsia"/>
        </w:rPr>
        <w:t>4、我方如果中标，保证履行投标文件中承诺的全部责任和义务，采购合同中的全部条款。</w:t>
      </w:r>
    </w:p>
    <w:p>
      <w:pPr>
        <w:spacing w:line="360" w:lineRule="auto"/>
        <w:ind w:firstLine="420" w:firstLineChars="200"/>
        <w:rPr>
          <w:rFonts w:hint="eastAsia"/>
        </w:rPr>
      </w:pPr>
      <w:r>
        <w:rPr>
          <w:rFonts w:hint="eastAsia"/>
        </w:rPr>
        <w:t>5、我方理解贵方不一定接受最低报价的投标。</w:t>
      </w:r>
    </w:p>
    <w:p>
      <w:pPr>
        <w:spacing w:line="360" w:lineRule="auto"/>
        <w:ind w:firstLine="420" w:firstLineChars="200"/>
        <w:rPr>
          <w:rFonts w:hint="eastAsia"/>
        </w:rPr>
      </w:pPr>
      <w:r>
        <w:rPr>
          <w:rFonts w:hint="eastAsia"/>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hint="eastAsia"/>
        </w:rPr>
      </w:pPr>
      <w:r>
        <w:rPr>
          <w:rFonts w:hint="eastAsia"/>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rPr>
      </w:pPr>
    </w:p>
    <w:p>
      <w:pPr>
        <w:rPr>
          <w:rFonts w:hint="eastAsia"/>
        </w:rPr>
      </w:pPr>
    </w:p>
    <w:p>
      <w:pPr>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rPr>
      </w:pPr>
    </w:p>
    <w:p>
      <w:pPr>
        <w:rPr>
          <w:rFonts w:hint="eastAsia"/>
        </w:rPr>
      </w:pPr>
    </w:p>
    <w:p>
      <w:pPr>
        <w:rPr>
          <w:rFonts w:hint="eastAsia"/>
          <w:b/>
        </w:rPr>
      </w:pPr>
      <w:r>
        <w:br w:type="page"/>
      </w:r>
      <w:r>
        <w:rPr>
          <w:rFonts w:hint="eastAsia"/>
          <w:b/>
        </w:rPr>
        <w:t>10、</w:t>
      </w:r>
      <w:bookmarkStart w:id="65" w:name="_Toc435515303"/>
      <w:bookmarkStart w:id="66" w:name="_Toc435514863"/>
      <w:r>
        <w:rPr>
          <w:rFonts w:hint="eastAsia"/>
          <w:b/>
        </w:rPr>
        <w:t>技术（服务）响应一览表</w:t>
      </w:r>
      <w:bookmarkEnd w:id="65"/>
      <w:bookmarkEnd w:id="66"/>
    </w:p>
    <w:p>
      <w:pPr>
        <w:ind w:firstLine="210" w:firstLineChars="100"/>
        <w:jc w:val="center"/>
        <w:rPr>
          <w:rFonts w:hint="eastAsia"/>
          <w:b/>
        </w:rPr>
      </w:pPr>
    </w:p>
    <w:p>
      <w:pPr>
        <w:rPr>
          <w:rFonts w:hint="eastAsia"/>
        </w:rPr>
      </w:pPr>
    </w:p>
    <w:p>
      <w:pPr>
        <w:jc w:val="center"/>
        <w:rPr>
          <w:rFonts w:hint="eastAsia"/>
        </w:rPr>
      </w:pPr>
      <w:r>
        <w:rPr>
          <w:rFonts w:hint="eastAsia"/>
          <w:b/>
        </w:rPr>
        <w:t>带“</w:t>
      </w:r>
      <w:r>
        <w:rPr>
          <w:rFonts w:hint="eastAsia" w:ascii="宋体" w:hAnsi="宋体"/>
          <w:szCs w:val="21"/>
        </w:rPr>
        <w:t>▲</w:t>
      </w:r>
      <w:r>
        <w:rPr>
          <w:rFonts w:hint="eastAsia"/>
          <w:b/>
        </w:rPr>
        <w:t>”实质性条款响应一览表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ind w:firstLine="210" w:firstLineChars="100"/>
        <w:rPr>
          <w:rFonts w:hint="eastAsia" w:ascii="宋体" w:hAnsi="宋体"/>
        </w:rPr>
      </w:pPr>
      <w:r>
        <w:rPr>
          <w:rFonts w:hint="eastAsia" w:ascii="宋体" w:hAnsi="宋体"/>
        </w:rPr>
        <w:t xml:space="preserve">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center"/>
          </w:tcPr>
          <w:p>
            <w:pPr>
              <w:jc w:val="center"/>
              <w:rPr>
                <w:rFonts w:hint="eastAsia" w:ascii="宋体" w:hAnsi="宋体"/>
                <w:szCs w:val="21"/>
              </w:rPr>
            </w:pPr>
            <w:r>
              <w:rPr>
                <w:rFonts w:hint="eastAsia" w:ascii="宋体" w:hAnsi="宋体"/>
                <w:szCs w:val="21"/>
              </w:rPr>
              <w:t>序号</w:t>
            </w:r>
          </w:p>
        </w:tc>
        <w:tc>
          <w:tcPr>
            <w:tcW w:w="2787" w:type="dxa"/>
            <w:noWrap w:val="0"/>
            <w:vAlign w:val="center"/>
          </w:tcPr>
          <w:p>
            <w:pPr>
              <w:ind w:firstLine="210" w:firstLineChars="100"/>
              <w:rPr>
                <w:rFonts w:hint="eastAsia" w:ascii="宋体" w:hAnsi="宋体"/>
              </w:rPr>
            </w:pPr>
            <w:r>
              <w:rPr>
                <w:rFonts w:hint="eastAsia" w:ascii="宋体" w:hAnsi="宋体"/>
              </w:rPr>
              <w:t>采购文件条款描述</w:t>
            </w:r>
          </w:p>
        </w:tc>
        <w:tc>
          <w:tcPr>
            <w:tcW w:w="2788" w:type="dxa"/>
            <w:noWrap w:val="0"/>
            <w:vAlign w:val="center"/>
          </w:tcPr>
          <w:p>
            <w:pPr>
              <w:ind w:left="-77" w:leftChars="-37" w:right="-79" w:rightChars="-38"/>
              <w:jc w:val="center"/>
              <w:rPr>
                <w:rFonts w:hint="eastAsia" w:ascii="宋体" w:hAnsi="宋体"/>
              </w:rPr>
            </w:pPr>
            <w:r>
              <w:rPr>
                <w:rFonts w:hint="eastAsia" w:ascii="宋体" w:hAnsi="宋体"/>
              </w:rPr>
              <w:t>投标人响应描述</w:t>
            </w:r>
          </w:p>
        </w:tc>
        <w:tc>
          <w:tcPr>
            <w:tcW w:w="2788" w:type="dxa"/>
            <w:noWrap w:val="0"/>
            <w:vAlign w:val="center"/>
          </w:tcPr>
          <w:p>
            <w:pPr>
              <w:ind w:left="-77" w:leftChars="-37" w:right="-79" w:rightChars="-38"/>
              <w:jc w:val="center"/>
              <w:rPr>
                <w:rFonts w:hint="eastAsia" w:ascii="宋体" w:hAnsi="宋体"/>
              </w:rPr>
            </w:pPr>
            <w:r>
              <w:rPr>
                <w:rFonts w:hint="eastAsia" w:ascii="宋体" w:hAns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09" w:type="dxa"/>
            <w:noWrap w:val="0"/>
            <w:vAlign w:val="top"/>
          </w:tcPr>
          <w:p>
            <w:pPr>
              <w:rPr>
                <w:rFonts w:hint="eastAsia" w:ascii="宋体" w:hAnsi="宋体"/>
              </w:rPr>
            </w:pPr>
            <w:r>
              <w:rPr>
                <w:rFonts w:ascii="宋体" w:hAnsi="宋体"/>
              </w:rPr>
              <w:t>……</w:t>
            </w: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bl>
    <w:p>
      <w:pPr>
        <w:spacing w:line="360" w:lineRule="auto"/>
        <w:rPr>
          <w:rFonts w:hint="eastAsia"/>
        </w:rPr>
      </w:pPr>
    </w:p>
    <w:p>
      <w:pPr>
        <w:spacing w:line="360" w:lineRule="auto"/>
        <w:rPr>
          <w:rFonts w:hint="eastAsia"/>
        </w:rPr>
      </w:pPr>
      <w:r>
        <w:rPr>
          <w:rFonts w:hint="eastAsia"/>
        </w:rPr>
        <w:t>说明：招标文件要求提供承诺书或证明资料的，必须提供相关依据，否则不予认可。</w:t>
      </w:r>
    </w:p>
    <w:p>
      <w:pPr>
        <w:spacing w:line="360" w:lineRule="auto"/>
        <w:ind w:firstLine="3675" w:firstLineChars="1750"/>
        <w:rPr>
          <w:rFonts w:hint="eastAsia"/>
        </w:rPr>
      </w:pPr>
    </w:p>
    <w:p>
      <w:pPr>
        <w:spacing w:line="360" w:lineRule="auto"/>
        <w:ind w:firstLine="3675" w:firstLineChars="1750"/>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jc w:val="center"/>
        <w:rPr>
          <w:rFonts w:hint="eastAsia"/>
          <w:b/>
        </w:rPr>
      </w:pPr>
    </w:p>
    <w:p>
      <w:pPr>
        <w:jc w:val="center"/>
        <w:rPr>
          <w:rFonts w:hint="eastAsia"/>
          <w:b/>
        </w:rPr>
      </w:pPr>
    </w:p>
    <w:p>
      <w:pPr>
        <w:jc w:val="center"/>
        <w:rPr>
          <w:rFonts w:hint="eastAsia"/>
        </w:rPr>
      </w:pPr>
      <w:r>
        <w:rPr>
          <w:b/>
        </w:rPr>
        <w:br w:type="page"/>
      </w:r>
      <w:r>
        <w:rPr>
          <w:rFonts w:hint="eastAsia"/>
          <w:b/>
        </w:rPr>
        <w:t>一般性条款响应一览表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p>
      <w:pPr>
        <w:ind w:firstLine="210" w:firstLineChars="100"/>
        <w:rPr>
          <w:rFonts w:hint="eastAsia" w:ascii="宋体" w:hAnsi="宋体"/>
        </w:rPr>
      </w:pPr>
      <w:r>
        <w:rPr>
          <w:rFonts w:hint="eastAsia" w:ascii="宋体" w:hAnsi="宋体"/>
        </w:rPr>
        <w:t xml:space="preserve">   </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center"/>
          </w:tcPr>
          <w:p>
            <w:pPr>
              <w:jc w:val="center"/>
              <w:rPr>
                <w:rFonts w:hint="eastAsia" w:ascii="宋体" w:hAnsi="宋体"/>
                <w:szCs w:val="21"/>
              </w:rPr>
            </w:pPr>
            <w:r>
              <w:rPr>
                <w:rFonts w:hint="eastAsia" w:ascii="宋体" w:hAnsi="宋体"/>
                <w:szCs w:val="21"/>
              </w:rPr>
              <w:t>序号</w:t>
            </w:r>
          </w:p>
        </w:tc>
        <w:tc>
          <w:tcPr>
            <w:tcW w:w="2787" w:type="dxa"/>
            <w:noWrap w:val="0"/>
            <w:vAlign w:val="center"/>
          </w:tcPr>
          <w:p>
            <w:pPr>
              <w:ind w:firstLine="210" w:firstLineChars="100"/>
              <w:rPr>
                <w:rFonts w:hint="eastAsia" w:ascii="宋体" w:hAnsi="宋体"/>
              </w:rPr>
            </w:pPr>
            <w:r>
              <w:rPr>
                <w:rFonts w:hint="eastAsia" w:ascii="宋体" w:hAnsi="宋体"/>
              </w:rPr>
              <w:t>采购文件条款描述</w:t>
            </w:r>
          </w:p>
        </w:tc>
        <w:tc>
          <w:tcPr>
            <w:tcW w:w="2788" w:type="dxa"/>
            <w:noWrap w:val="0"/>
            <w:vAlign w:val="center"/>
          </w:tcPr>
          <w:p>
            <w:pPr>
              <w:ind w:left="-77" w:leftChars="-37" w:right="-79" w:rightChars="-38"/>
              <w:jc w:val="center"/>
              <w:rPr>
                <w:rFonts w:hint="eastAsia" w:ascii="宋体" w:hAnsi="宋体"/>
              </w:rPr>
            </w:pPr>
            <w:r>
              <w:rPr>
                <w:rFonts w:hint="eastAsia" w:ascii="宋体" w:hAnsi="宋体"/>
              </w:rPr>
              <w:t>投标人响应描述</w:t>
            </w:r>
          </w:p>
        </w:tc>
        <w:tc>
          <w:tcPr>
            <w:tcW w:w="2788" w:type="dxa"/>
            <w:noWrap w:val="0"/>
            <w:vAlign w:val="center"/>
          </w:tcPr>
          <w:p>
            <w:pPr>
              <w:ind w:left="-77" w:leftChars="-37" w:right="-79" w:rightChars="-38"/>
              <w:jc w:val="center"/>
              <w:rPr>
                <w:rFonts w:hint="eastAsia" w:ascii="宋体" w:hAnsi="宋体"/>
              </w:rPr>
            </w:pPr>
            <w:r>
              <w:rPr>
                <w:rFonts w:hint="eastAsia" w:ascii="宋体" w:hAns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9" w:type="dxa"/>
            <w:noWrap w:val="0"/>
            <w:vAlign w:val="top"/>
          </w:tcPr>
          <w:p>
            <w:pPr>
              <w:rPr>
                <w:rFonts w:hint="eastAsia" w:ascii="宋体" w:hAnsi="宋体"/>
              </w:rPr>
            </w:pPr>
            <w:r>
              <w:rPr>
                <w:rFonts w:ascii="宋体" w:hAnsi="宋体"/>
              </w:rPr>
              <w:t>……</w:t>
            </w:r>
          </w:p>
        </w:tc>
        <w:tc>
          <w:tcPr>
            <w:tcW w:w="2787" w:type="dxa"/>
            <w:noWrap w:val="0"/>
            <w:vAlign w:val="top"/>
          </w:tcPr>
          <w:p>
            <w:pPr>
              <w:rPr>
                <w:rFonts w:hint="eastAsia" w:ascii="宋体" w:hAnsi="宋体"/>
              </w:rPr>
            </w:pPr>
          </w:p>
        </w:tc>
        <w:tc>
          <w:tcPr>
            <w:tcW w:w="2788" w:type="dxa"/>
            <w:noWrap w:val="0"/>
            <w:vAlign w:val="top"/>
          </w:tcPr>
          <w:p>
            <w:pPr>
              <w:rPr>
                <w:rFonts w:hint="eastAsia" w:ascii="宋体" w:hAnsi="宋体"/>
              </w:rPr>
            </w:pPr>
          </w:p>
        </w:tc>
        <w:tc>
          <w:tcPr>
            <w:tcW w:w="2788" w:type="dxa"/>
            <w:noWrap w:val="0"/>
            <w:vAlign w:val="top"/>
          </w:tcPr>
          <w:p>
            <w:pPr>
              <w:rPr>
                <w:rFonts w:hint="eastAsia" w:ascii="宋体" w:hAnsi="宋体"/>
              </w:rPr>
            </w:pPr>
          </w:p>
        </w:tc>
      </w:tr>
    </w:tbl>
    <w:p>
      <w:pPr>
        <w:spacing w:line="360" w:lineRule="auto"/>
        <w:rPr>
          <w:rFonts w:hint="eastAsia"/>
        </w:rPr>
      </w:pPr>
    </w:p>
    <w:p>
      <w:pPr>
        <w:spacing w:line="360" w:lineRule="auto"/>
        <w:rPr>
          <w:rFonts w:hint="eastAsia"/>
        </w:rPr>
      </w:pPr>
      <w:r>
        <w:rPr>
          <w:rFonts w:hint="eastAsia"/>
        </w:rPr>
        <w:t>说明：招标文件要求提供承诺书或证明资料的，必须提供相关依据，否则不予认可。</w:t>
      </w:r>
    </w:p>
    <w:p>
      <w:pPr>
        <w:spacing w:line="360" w:lineRule="auto"/>
        <w:ind w:firstLine="3675" w:firstLineChars="1750"/>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rPr>
      </w:pPr>
    </w:p>
    <w:p>
      <w:pPr>
        <w:spacing w:line="360" w:lineRule="auto"/>
        <w:rPr>
          <w:rFonts w:hint="eastAsia"/>
          <w:b/>
        </w:rPr>
      </w:pPr>
    </w:p>
    <w:p>
      <w:pPr>
        <w:spacing w:line="360" w:lineRule="auto"/>
        <w:rPr>
          <w:rFonts w:hint="eastAsia"/>
          <w:b/>
        </w:rPr>
      </w:pPr>
      <w:r>
        <w:rPr>
          <w:b/>
        </w:rPr>
        <w:br w:type="page"/>
      </w:r>
      <w:r>
        <w:rPr>
          <w:rFonts w:hint="eastAsia"/>
          <w:b/>
        </w:rPr>
        <w:t>11、投标人基本情况表</w:t>
      </w:r>
    </w:p>
    <w:p>
      <w:pPr>
        <w:spacing w:line="360" w:lineRule="auto"/>
        <w:jc w:val="center"/>
        <w:rPr>
          <w:rFonts w:hint="eastAsia" w:ascii="宋体" w:hAnsi="宋体" w:cs="Arial"/>
          <w:b/>
          <w:color w:val="000000"/>
          <w:szCs w:val="21"/>
        </w:rPr>
      </w:pPr>
      <w:bookmarkStart w:id="67" w:name="_Toc488936100"/>
      <w:bookmarkStart w:id="68" w:name="_Toc110393361"/>
      <w:bookmarkStart w:id="69" w:name="_Toc14746861"/>
      <w:bookmarkStart w:id="70" w:name="_Toc225223761"/>
      <w:bookmarkStart w:id="71" w:name="_Toc483379796"/>
      <w:bookmarkStart w:id="72" w:name="_Toc479927873"/>
      <w:r>
        <w:rPr>
          <w:rFonts w:hint="eastAsia" w:ascii="宋体" w:hAnsi="宋体" w:cs="Arial"/>
          <w:b/>
          <w:color w:val="000000"/>
          <w:szCs w:val="21"/>
        </w:rPr>
        <w:t>投标人基本情况说明</w:t>
      </w:r>
      <w:bookmarkEnd w:id="67"/>
      <w:bookmarkEnd w:id="68"/>
      <w:bookmarkEnd w:id="69"/>
      <w:bookmarkEnd w:id="70"/>
      <w:bookmarkEnd w:id="71"/>
      <w:bookmarkEnd w:id="72"/>
    </w:p>
    <w:tbl>
      <w:tblPr>
        <w:tblStyle w:val="3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单位名称</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组织机构代码</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注册地址</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注册登记号</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经营地址</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pacing w:val="30"/>
                <w:szCs w:val="21"/>
              </w:rPr>
            </w:pPr>
            <w:r>
              <w:rPr>
                <w:rFonts w:hint="eastAsia" w:ascii="宋体" w:hAnsi="宋体"/>
                <w:color w:val="000000"/>
                <w:szCs w:val="21"/>
              </w:rPr>
              <w:t>税务登记证号</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单位性质</w:t>
            </w:r>
          </w:p>
        </w:tc>
        <w:tc>
          <w:tcPr>
            <w:tcW w:w="3675" w:type="dxa"/>
            <w:gridSpan w:val="3"/>
            <w:noWrap w:val="0"/>
            <w:vAlign w:val="center"/>
          </w:tcPr>
          <w:p>
            <w:pPr>
              <w:pStyle w:val="59"/>
              <w:widowControl w:val="0"/>
              <w:spacing w:before="0" w:beforeAutospacing="0" w:after="0" w:afterAutospacing="0" w:line="360" w:lineRule="auto"/>
              <w:ind w:left="2160" w:hanging="480"/>
              <w:rPr>
                <w:rFonts w:hint="eastAsia"/>
                <w:color w:val="000000"/>
                <w:kern w:val="2"/>
                <w:sz w:val="21"/>
                <w:szCs w:val="21"/>
              </w:rPr>
            </w:pPr>
          </w:p>
        </w:tc>
        <w:tc>
          <w:tcPr>
            <w:tcW w:w="1785" w:type="dxa"/>
            <w:noWrap w:val="0"/>
            <w:vAlign w:val="center"/>
          </w:tcPr>
          <w:p>
            <w:pPr>
              <w:spacing w:line="360" w:lineRule="auto"/>
              <w:jc w:val="center"/>
              <w:rPr>
                <w:rFonts w:hint="eastAsia" w:ascii="宋体" w:hAnsi="宋体"/>
                <w:color w:val="000000"/>
                <w:spacing w:val="34"/>
                <w:szCs w:val="21"/>
              </w:rPr>
            </w:pPr>
            <w:r>
              <w:rPr>
                <w:rFonts w:hint="eastAsia" w:ascii="宋体" w:hAnsi="宋体"/>
                <w:color w:val="000000"/>
                <w:spacing w:val="34"/>
                <w:szCs w:val="21"/>
              </w:rPr>
              <w:t>注册资本</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经营范围</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营业期限</w:t>
            </w:r>
          </w:p>
        </w:tc>
        <w:tc>
          <w:tcPr>
            <w:tcW w:w="2234"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资质情况</w:t>
            </w:r>
          </w:p>
        </w:tc>
        <w:tc>
          <w:tcPr>
            <w:tcW w:w="7694" w:type="dxa"/>
            <w:gridSpan w:val="5"/>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员工数量</w:t>
            </w:r>
          </w:p>
        </w:tc>
        <w:tc>
          <w:tcPr>
            <w:tcW w:w="7694" w:type="dxa"/>
            <w:gridSpan w:val="5"/>
            <w:noWrap w:val="0"/>
            <w:vAlign w:val="center"/>
          </w:tcPr>
          <w:p>
            <w:pPr>
              <w:spacing w:line="360" w:lineRule="auto"/>
              <w:rPr>
                <w:rFonts w:hint="eastAsia" w:ascii="宋体" w:hAnsi="宋体"/>
                <w:color w:val="000000"/>
                <w:szCs w:val="21"/>
              </w:rPr>
            </w:pPr>
            <w:r>
              <w:rPr>
                <w:rFonts w:hint="eastAsia" w:ascii="宋体" w:hAnsi="宋体"/>
                <w:color w:val="000000"/>
                <w:szCs w:val="21"/>
              </w:rPr>
              <w:t>共</w:t>
            </w:r>
            <w:r>
              <w:rPr>
                <w:rFonts w:hint="eastAsia" w:ascii="宋体" w:hAnsi="宋体"/>
                <w:color w:val="000000"/>
                <w:szCs w:val="21"/>
                <w:u w:val="single"/>
              </w:rPr>
              <w:t xml:space="preserve">  </w:t>
            </w:r>
            <w:r>
              <w:rPr>
                <w:rFonts w:hint="eastAsia" w:ascii="宋体" w:hAnsi="宋体"/>
                <w:color w:val="000000"/>
                <w:szCs w:val="21"/>
              </w:rPr>
              <w:t>人，其中，高级职称</w:t>
            </w:r>
            <w:r>
              <w:rPr>
                <w:rFonts w:hint="eastAsia" w:ascii="宋体" w:hAnsi="宋体"/>
                <w:color w:val="000000"/>
                <w:szCs w:val="21"/>
                <w:u w:val="single"/>
              </w:rPr>
              <w:t xml:space="preserve">   </w:t>
            </w:r>
            <w:r>
              <w:rPr>
                <w:rFonts w:hint="eastAsia" w:ascii="宋体" w:hAnsi="宋体"/>
                <w:color w:val="000000"/>
                <w:szCs w:val="21"/>
              </w:rPr>
              <w:t>人，中级职称</w:t>
            </w:r>
            <w:r>
              <w:rPr>
                <w:rFonts w:hint="eastAsia" w:ascii="宋体" w:hAnsi="宋体"/>
                <w:color w:val="000000"/>
                <w:szCs w:val="21"/>
                <w:u w:val="single"/>
              </w:rPr>
              <w:t xml:space="preserve">  </w:t>
            </w:r>
            <w:r>
              <w:rPr>
                <w:rFonts w:hint="eastAsia"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联系电话</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传真</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2"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主要业绩</w:t>
            </w:r>
          </w:p>
        </w:tc>
        <w:tc>
          <w:tcPr>
            <w:tcW w:w="7694" w:type="dxa"/>
            <w:gridSpan w:val="5"/>
            <w:noWrap w:val="0"/>
            <w:vAlign w:val="center"/>
          </w:tcPr>
          <w:p>
            <w:pPr>
              <w:spacing w:line="360" w:lineRule="auto"/>
              <w:rPr>
                <w:rFonts w:hint="eastAsia" w:ascii="宋体" w:hAnsi="宋体"/>
                <w:color w:val="000000"/>
                <w:szCs w:val="21"/>
              </w:rPr>
            </w:pPr>
          </w:p>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9164" w:type="dxa"/>
            <w:gridSpan w:val="6"/>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姓  名</w:t>
            </w:r>
          </w:p>
        </w:tc>
        <w:tc>
          <w:tcPr>
            <w:tcW w:w="3675" w:type="dxa"/>
            <w:gridSpan w:val="3"/>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身份证号码</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7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职  务</w:t>
            </w:r>
          </w:p>
        </w:tc>
        <w:tc>
          <w:tcPr>
            <w:tcW w:w="1680" w:type="dxa"/>
            <w:noWrap w:val="0"/>
            <w:vAlign w:val="center"/>
          </w:tcPr>
          <w:p>
            <w:pPr>
              <w:spacing w:line="360" w:lineRule="auto"/>
              <w:jc w:val="center"/>
              <w:rPr>
                <w:rFonts w:hint="eastAsia" w:ascii="宋体" w:hAnsi="宋体"/>
                <w:color w:val="000000"/>
                <w:szCs w:val="21"/>
              </w:rPr>
            </w:pPr>
          </w:p>
        </w:tc>
        <w:tc>
          <w:tcPr>
            <w:tcW w:w="105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职   称</w:t>
            </w:r>
          </w:p>
        </w:tc>
        <w:tc>
          <w:tcPr>
            <w:tcW w:w="945" w:type="dxa"/>
            <w:noWrap w:val="0"/>
            <w:vAlign w:val="center"/>
          </w:tcPr>
          <w:p>
            <w:pPr>
              <w:spacing w:line="360" w:lineRule="auto"/>
              <w:jc w:val="center"/>
              <w:rPr>
                <w:rFonts w:hint="eastAsia" w:ascii="宋体" w:hAnsi="宋体"/>
                <w:color w:val="000000"/>
                <w:szCs w:val="21"/>
              </w:rPr>
            </w:pPr>
          </w:p>
        </w:tc>
        <w:tc>
          <w:tcPr>
            <w:tcW w:w="17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学    历</w:t>
            </w:r>
          </w:p>
        </w:tc>
        <w:tc>
          <w:tcPr>
            <w:tcW w:w="2234" w:type="dxa"/>
            <w:noWrap w:val="0"/>
            <w:vAlign w:val="center"/>
          </w:tcPr>
          <w:p>
            <w:pPr>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3" w:hRule="atLeast"/>
        </w:trPr>
        <w:tc>
          <w:tcPr>
            <w:tcW w:w="9164" w:type="dxa"/>
            <w:gridSpan w:val="6"/>
            <w:noWrap w:val="0"/>
            <w:vAlign w:val="top"/>
          </w:tcPr>
          <w:p>
            <w:pPr>
              <w:spacing w:line="360" w:lineRule="auto"/>
              <w:rPr>
                <w:rFonts w:hint="eastAsia" w:ascii="宋体" w:hAnsi="宋体"/>
                <w:color w:val="000000"/>
                <w:szCs w:val="21"/>
              </w:rPr>
            </w:pPr>
            <w:r>
              <w:rPr>
                <w:rFonts w:hint="eastAsia" w:ascii="宋体" w:hAnsi="宋体"/>
                <w:color w:val="000000"/>
                <w:szCs w:val="21"/>
              </w:rPr>
              <w:t>备注：</w:t>
            </w:r>
          </w:p>
        </w:tc>
      </w:tr>
    </w:tbl>
    <w:p>
      <w:pPr>
        <w:spacing w:line="360" w:lineRule="auto"/>
        <w:rPr>
          <w:rFonts w:hint="eastAsia" w:ascii="宋体" w:hAnsi="宋体"/>
          <w:b/>
          <w:color w:val="000000"/>
          <w:szCs w:val="21"/>
        </w:rPr>
      </w:pPr>
      <w:r>
        <w:rPr>
          <w:rFonts w:hint="eastAsia" w:ascii="宋体" w:hAnsi="宋体"/>
          <w:color w:val="000000"/>
          <w:szCs w:val="21"/>
        </w:rPr>
        <w:t xml:space="preserve">  </w:t>
      </w:r>
      <w:r>
        <w:rPr>
          <w:rFonts w:hint="eastAsia" w:ascii="宋体" w:hAnsi="宋体"/>
          <w:b/>
          <w:color w:val="000000"/>
          <w:szCs w:val="21"/>
        </w:rPr>
        <w:t>兹证明上述声明是真实、正确的，并提供了全部能提供的资料和数据，我们同意遵照贵方要求出示有关证明文件。</w:t>
      </w:r>
    </w:p>
    <w:p>
      <w:pPr>
        <w:spacing w:line="360" w:lineRule="auto"/>
        <w:rPr>
          <w:rFonts w:hint="eastAsia"/>
          <w:b/>
        </w:rPr>
      </w:pPr>
    </w:p>
    <w:p>
      <w:pPr>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rPr>
      </w:pPr>
    </w:p>
    <w:p>
      <w:pPr>
        <w:rPr>
          <w:rFonts w:hint="eastAsia"/>
        </w:rPr>
      </w:pPr>
    </w:p>
    <w:p>
      <w:pPr>
        <w:rPr>
          <w:rFonts w:hint="eastAsia"/>
        </w:rPr>
      </w:pPr>
    </w:p>
    <w:p>
      <w:pPr>
        <w:rPr>
          <w:rFonts w:hint="eastAsia"/>
          <w:b/>
        </w:rPr>
      </w:pPr>
    </w:p>
    <w:p>
      <w:pPr>
        <w:rPr>
          <w:rFonts w:hint="eastAsia"/>
        </w:rPr>
      </w:pPr>
      <w:r>
        <w:rPr>
          <w:b/>
        </w:rPr>
        <w:br w:type="page"/>
      </w:r>
    </w:p>
    <w:p>
      <w:pPr>
        <w:spacing w:line="360" w:lineRule="auto"/>
        <w:rPr>
          <w:rFonts w:hint="eastAsia"/>
          <w:b/>
        </w:rPr>
      </w:pPr>
      <w:bookmarkStart w:id="73" w:name="_Toc50737333"/>
      <w:bookmarkStart w:id="74" w:name="_Toc50691044"/>
      <w:bookmarkStart w:id="75" w:name="_Toc50737301"/>
      <w:bookmarkStart w:id="76" w:name="_Toc50736481"/>
      <w:bookmarkStart w:id="77" w:name="_Toc52165085"/>
      <w:bookmarkStart w:id="78" w:name="_Toc275865617"/>
      <w:r>
        <w:rPr>
          <w:rFonts w:hint="eastAsia"/>
          <w:b/>
        </w:rPr>
        <w:t>12、同类业绩情况一览表</w:t>
      </w:r>
      <w:bookmarkEnd w:id="73"/>
      <w:bookmarkEnd w:id="74"/>
      <w:bookmarkEnd w:id="75"/>
      <w:bookmarkEnd w:id="76"/>
      <w:bookmarkEnd w:id="77"/>
      <w:bookmarkEnd w:id="78"/>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ind w:firstLine="210" w:firstLineChars="100"/>
        <w:rPr>
          <w:rFonts w:hint="eastAsia" w:ascii="宋体" w:hAnsi="宋体"/>
          <w:b/>
          <w:bCs/>
          <w:u w:val="single"/>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u w:val="single"/>
          <w:lang w:val="zh-CN"/>
        </w:rPr>
        <w:t xml:space="preserve"> </w:t>
      </w: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465"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序号</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业主名称</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项目名称</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设备名称/</w:t>
            </w:r>
          </w:p>
          <w:p>
            <w:pPr>
              <w:adjustRightInd w:val="0"/>
              <w:snapToGrid w:val="0"/>
              <w:ind w:left="-84" w:leftChars="-40" w:right="-107" w:rightChars="-51"/>
              <w:jc w:val="center"/>
              <w:rPr>
                <w:rFonts w:hint="eastAsia" w:ascii="宋体" w:hAnsi="宋体"/>
              </w:rPr>
            </w:pPr>
            <w:r>
              <w:rPr>
                <w:rFonts w:hint="eastAsia" w:ascii="宋体" w:hAnsi="宋体"/>
              </w:rPr>
              <w:t>服务内容</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合同总价</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hAnsi="宋体"/>
              </w:rPr>
            </w:pPr>
            <w:r>
              <w:rPr>
                <w:rFonts w:hint="eastAsia" w:ascii="宋体" w:hAnsi="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5" w:type="dxa"/>
            <w:noWrap w:val="0"/>
            <w:vAlign w:val="center"/>
          </w:tcPr>
          <w:p>
            <w:pPr>
              <w:jc w:val="center"/>
              <w:rPr>
                <w:rFonts w:hint="eastAsia" w:ascii="宋体" w:hAnsi="宋体"/>
              </w:rPr>
            </w:pPr>
            <w:r>
              <w:rPr>
                <w:rFonts w:hint="eastAsia" w:ascii="宋体" w:hAnsi="宋体"/>
              </w:rPr>
              <w:t>1</w:t>
            </w:r>
          </w:p>
        </w:tc>
        <w:tc>
          <w:tcPr>
            <w:tcW w:w="1686"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5" w:type="dxa"/>
            <w:noWrap w:val="0"/>
            <w:vAlign w:val="center"/>
          </w:tcPr>
          <w:p>
            <w:pPr>
              <w:jc w:val="center"/>
              <w:rPr>
                <w:rFonts w:hint="eastAsia" w:ascii="宋体" w:hAnsi="宋体"/>
              </w:rPr>
            </w:pPr>
            <w:r>
              <w:rPr>
                <w:rFonts w:hint="eastAsia" w:ascii="宋体" w:hAnsi="宋体"/>
              </w:rPr>
              <w:t>2</w:t>
            </w:r>
          </w:p>
        </w:tc>
        <w:tc>
          <w:tcPr>
            <w:tcW w:w="1686"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5" w:type="dxa"/>
            <w:noWrap w:val="0"/>
            <w:vAlign w:val="center"/>
          </w:tcPr>
          <w:p>
            <w:pPr>
              <w:rPr>
                <w:rFonts w:hint="eastAsia" w:ascii="宋体" w:hAnsi="宋体"/>
              </w:rPr>
            </w:pPr>
            <w:r>
              <w:rPr>
                <w:rFonts w:ascii="宋体" w:hAnsi="宋体"/>
              </w:rPr>
              <w:t>…</w:t>
            </w:r>
          </w:p>
        </w:tc>
        <w:tc>
          <w:tcPr>
            <w:tcW w:w="1686"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c>
          <w:tcPr>
            <w:tcW w:w="1686" w:type="dxa"/>
            <w:noWrap w:val="0"/>
            <w:vAlign w:val="center"/>
          </w:tcPr>
          <w:p>
            <w:pPr>
              <w:jc w:val="center"/>
              <w:rPr>
                <w:rFonts w:hint="eastAsia" w:ascii="宋体" w:hAnsi="宋体"/>
              </w:rPr>
            </w:pPr>
          </w:p>
        </w:tc>
        <w:tc>
          <w:tcPr>
            <w:tcW w:w="1687" w:type="dxa"/>
            <w:noWrap w:val="0"/>
            <w:vAlign w:val="center"/>
          </w:tcPr>
          <w:p>
            <w:pPr>
              <w:jc w:val="center"/>
              <w:rPr>
                <w:rFonts w:hint="eastAsia" w:ascii="宋体" w:hAnsi="宋体"/>
              </w:rPr>
            </w:pPr>
          </w:p>
        </w:tc>
      </w:tr>
    </w:tbl>
    <w:p>
      <w:pPr>
        <w:adjustRightInd w:val="0"/>
        <w:snapToGrid w:val="0"/>
        <w:spacing w:line="360" w:lineRule="auto"/>
        <w:ind w:left="-140" w:leftChars="-67"/>
        <w:rPr>
          <w:rFonts w:hint="eastAsia"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评分标准的要求提交相应资料。</w:t>
      </w:r>
    </w:p>
    <w:p>
      <w:pPr>
        <w:rPr>
          <w:rFonts w:hint="eastAsia"/>
        </w:rPr>
      </w:pPr>
    </w:p>
    <w:p>
      <w:pPr>
        <w:rPr>
          <w:rFonts w:hint="eastAsia"/>
          <w:b/>
        </w:rPr>
      </w:pPr>
      <w:r>
        <w:rPr>
          <w:rFonts w:hint="eastAsia"/>
          <w:b/>
        </w:rPr>
        <w:t>13、评分标准或采购文件需要提供的证明材料。</w:t>
      </w:r>
    </w:p>
    <w:p>
      <w:pPr>
        <w:spacing w:line="360" w:lineRule="auto"/>
        <w:ind w:firstLine="840" w:firstLineChars="400"/>
        <w:rPr>
          <w:rFonts w:hint="eastAsia"/>
        </w:rPr>
      </w:pPr>
      <w:r>
        <w:rPr>
          <w:rFonts w:hint="eastAsia"/>
        </w:rPr>
        <w:t>（1）保洁管理整体设想及策划；</w:t>
      </w:r>
    </w:p>
    <w:p>
      <w:pPr>
        <w:spacing w:line="360" w:lineRule="auto"/>
        <w:ind w:firstLine="840" w:firstLineChars="400"/>
        <w:rPr>
          <w:rFonts w:hint="eastAsia"/>
        </w:rPr>
      </w:pPr>
      <w:r>
        <w:rPr>
          <w:rFonts w:hint="eastAsia"/>
        </w:rPr>
        <w:t>（2）</w:t>
      </w:r>
      <w:r>
        <w:rPr>
          <w:rFonts w:hint="eastAsia" w:ascii="宋体" w:hAnsi="宋体"/>
        </w:rPr>
        <w:t>镇区保洁服务</w:t>
      </w:r>
      <w:r>
        <w:rPr>
          <w:rFonts w:hint="eastAsia" w:ascii="宋体"/>
          <w:bCs/>
          <w:szCs w:val="21"/>
        </w:rPr>
        <w:t>方案及流程</w:t>
      </w:r>
      <w:r>
        <w:rPr>
          <w:rFonts w:hint="eastAsia"/>
        </w:rPr>
        <w:t>；</w:t>
      </w:r>
    </w:p>
    <w:p>
      <w:pPr>
        <w:spacing w:line="360" w:lineRule="auto"/>
        <w:ind w:firstLine="840" w:firstLineChars="400"/>
        <w:rPr>
          <w:rFonts w:hint="eastAsia"/>
        </w:rPr>
      </w:pPr>
      <w:r>
        <w:rPr>
          <w:rFonts w:hint="eastAsia"/>
        </w:rPr>
        <w:t>（3）</w:t>
      </w:r>
      <w:r>
        <w:rPr>
          <w:rFonts w:hint="eastAsia" w:ascii="宋体"/>
          <w:bCs/>
          <w:szCs w:val="21"/>
        </w:rPr>
        <w:t>垃圾清运（日产日清）服务方案及流程</w:t>
      </w:r>
      <w:r>
        <w:rPr>
          <w:rFonts w:hint="eastAsia"/>
        </w:rPr>
        <w:t>；</w:t>
      </w:r>
    </w:p>
    <w:p>
      <w:pPr>
        <w:spacing w:line="360" w:lineRule="auto"/>
        <w:ind w:firstLine="840" w:firstLineChars="400"/>
        <w:rPr>
          <w:rFonts w:hint="eastAsia"/>
        </w:rPr>
      </w:pPr>
      <w:r>
        <w:rPr>
          <w:rFonts w:hint="eastAsia"/>
        </w:rPr>
        <w:t>（4）</w:t>
      </w:r>
      <w:r>
        <w:rPr>
          <w:rFonts w:hint="eastAsia" w:ascii="宋体"/>
          <w:bCs/>
          <w:szCs w:val="21"/>
        </w:rPr>
        <w:t>中转站及垃圾分类站运营管理方案及流程</w:t>
      </w:r>
      <w:r>
        <w:rPr>
          <w:rFonts w:hint="eastAsia"/>
        </w:rPr>
        <w:t>；</w:t>
      </w:r>
    </w:p>
    <w:p>
      <w:pPr>
        <w:spacing w:line="360" w:lineRule="auto"/>
        <w:ind w:firstLine="840" w:firstLineChars="400"/>
        <w:rPr>
          <w:rFonts w:hint="eastAsia"/>
        </w:rPr>
      </w:pPr>
      <w:r>
        <w:rPr>
          <w:rFonts w:hint="eastAsia"/>
        </w:rPr>
        <w:t>（5）交接方案；</w:t>
      </w:r>
    </w:p>
    <w:p>
      <w:pPr>
        <w:spacing w:line="360" w:lineRule="auto"/>
        <w:ind w:firstLine="840" w:firstLineChars="400"/>
        <w:rPr>
          <w:rFonts w:hint="eastAsia"/>
        </w:rPr>
      </w:pPr>
      <w:r>
        <w:rPr>
          <w:rFonts w:hint="eastAsia"/>
        </w:rPr>
        <w:t>（6）安全文明作业措施；</w:t>
      </w:r>
    </w:p>
    <w:p>
      <w:pPr>
        <w:spacing w:line="360" w:lineRule="auto"/>
        <w:ind w:firstLine="840" w:firstLineChars="400"/>
        <w:rPr>
          <w:rFonts w:hint="eastAsia"/>
        </w:rPr>
      </w:pPr>
      <w:r>
        <w:rPr>
          <w:rFonts w:hint="eastAsia"/>
        </w:rPr>
        <w:t>（7）特殊时期的应急保障措施包括大型活动、防台防汛期、创优评优和突击检查等特殊时期的应急保障措施；</w:t>
      </w:r>
    </w:p>
    <w:p>
      <w:pPr>
        <w:spacing w:line="360" w:lineRule="auto"/>
        <w:ind w:firstLine="840" w:firstLineChars="400"/>
        <w:rPr>
          <w:rFonts w:hint="eastAsia"/>
        </w:rPr>
      </w:pPr>
      <w:r>
        <w:rPr>
          <w:rFonts w:hint="eastAsia"/>
        </w:rPr>
        <w:t>（8）针对本项目的督检制度；</w:t>
      </w:r>
    </w:p>
    <w:p>
      <w:pPr>
        <w:spacing w:line="360" w:lineRule="auto"/>
        <w:ind w:firstLine="840" w:firstLineChars="400"/>
        <w:rPr>
          <w:rFonts w:hint="eastAsia"/>
        </w:rPr>
      </w:pPr>
      <w:r>
        <w:rPr>
          <w:rFonts w:hint="eastAsia"/>
        </w:rPr>
        <w:t>（9）企业管理制度；</w:t>
      </w:r>
    </w:p>
    <w:p>
      <w:pPr>
        <w:spacing w:line="360" w:lineRule="auto"/>
        <w:ind w:firstLine="840" w:firstLineChars="400"/>
        <w:rPr>
          <w:rFonts w:hint="eastAsia"/>
        </w:rPr>
      </w:pPr>
      <w:r>
        <w:rPr>
          <w:rFonts w:hint="eastAsia"/>
        </w:rPr>
        <w:t>（10）为完成本项目配备的设备明细表及管理方案（含设备维护制度）；</w:t>
      </w:r>
    </w:p>
    <w:p>
      <w:pPr>
        <w:spacing w:line="360" w:lineRule="auto"/>
        <w:ind w:firstLine="840" w:firstLineChars="400"/>
        <w:rPr>
          <w:rFonts w:hint="eastAsia"/>
        </w:rPr>
      </w:pPr>
      <w:r>
        <w:rPr>
          <w:rFonts w:hint="eastAsia"/>
        </w:rPr>
        <w:t>（11）拟派工作人员的配备、日常管理及主要的岗位职责；</w:t>
      </w:r>
    </w:p>
    <w:p>
      <w:pPr>
        <w:spacing w:line="360" w:lineRule="auto"/>
        <w:ind w:firstLine="840" w:firstLineChars="400"/>
        <w:rPr>
          <w:rFonts w:hint="eastAsia"/>
        </w:rPr>
      </w:pPr>
      <w:r>
        <w:rPr>
          <w:rFonts w:hint="eastAsia"/>
        </w:rPr>
        <w:t>（12）日常管理办公用房相关证明材料；</w:t>
      </w:r>
    </w:p>
    <w:p>
      <w:pPr>
        <w:spacing w:line="360" w:lineRule="auto"/>
        <w:ind w:firstLine="840" w:firstLineChars="400"/>
        <w:rPr>
          <w:rFonts w:hint="eastAsia"/>
        </w:rPr>
      </w:pPr>
      <w:r>
        <w:rPr>
          <w:rFonts w:hint="eastAsia"/>
        </w:rPr>
        <w:t>（13）行业信誉及经验证明资料或说明（根据评分标准编制）；</w:t>
      </w:r>
    </w:p>
    <w:p>
      <w:pPr>
        <w:spacing w:line="360" w:lineRule="auto"/>
        <w:ind w:firstLine="840" w:firstLineChars="400"/>
        <w:rPr>
          <w:rFonts w:hint="eastAsia"/>
        </w:rPr>
      </w:pPr>
      <w:r>
        <w:rPr>
          <w:rFonts w:hint="eastAsia"/>
        </w:rPr>
        <w:t>（14）政府采购政策相关内容。</w:t>
      </w:r>
    </w:p>
    <w:p>
      <w:pPr>
        <w:rPr>
          <w:rFonts w:hint="eastAsia"/>
        </w:rPr>
      </w:pPr>
      <w:r>
        <w:rPr>
          <w:rFonts w:hint="eastAsia"/>
        </w:rPr>
        <w:t xml:space="preserve">  格式自拟</w:t>
      </w:r>
    </w:p>
    <w:p>
      <w:pPr>
        <w:rPr>
          <w:rFonts w:hint="eastAsia"/>
        </w:rPr>
      </w:pPr>
    </w:p>
    <w:p>
      <w:pPr>
        <w:rPr>
          <w:rFonts w:hint="eastAsia"/>
        </w:rPr>
      </w:pPr>
    </w:p>
    <w:p>
      <w:pPr>
        <w:rPr>
          <w:rFonts w:hint="eastAsia"/>
        </w:rPr>
      </w:pPr>
      <w:r>
        <w:br w:type="page"/>
      </w:r>
      <w:r>
        <w:rPr>
          <w:rFonts w:hint="eastAsia"/>
        </w:rPr>
        <w:t>三、报价文件的外包装封面格式：</w:t>
      </w:r>
    </w:p>
    <w:p>
      <w:pPr>
        <w:rPr>
          <w:rFonts w:hint="eastAsia"/>
        </w:rPr>
      </w:pPr>
    </w:p>
    <w:p>
      <w:pPr>
        <w:rPr>
          <w:rFonts w:hint="eastAsia"/>
        </w:rPr>
      </w:pPr>
    </w:p>
    <w:p>
      <w:pPr>
        <w:jc w:val="center"/>
        <w:rPr>
          <w:rFonts w:hint="eastAsia"/>
          <w:b/>
          <w:sz w:val="32"/>
          <w:szCs w:val="32"/>
        </w:rPr>
      </w:pPr>
      <w:r>
        <w:rPr>
          <w:rFonts w:hint="eastAsia"/>
          <w:b/>
          <w:sz w:val="32"/>
          <w:szCs w:val="32"/>
        </w:rPr>
        <w:t>报价文件</w:t>
      </w:r>
    </w:p>
    <w:p>
      <w:pPr>
        <w:rPr>
          <w:rFonts w:hint="eastAsia"/>
        </w:rPr>
      </w:pPr>
    </w:p>
    <w:p>
      <w:pPr>
        <w:rPr>
          <w:rFonts w:hint="eastAsia"/>
        </w:rPr>
      </w:pPr>
      <w:r>
        <w:rPr>
          <w:rFonts w:hint="eastAsia"/>
        </w:rPr>
        <w:t>项目名称：                        项目</w:t>
      </w:r>
    </w:p>
    <w:p>
      <w:pPr>
        <w:rPr>
          <w:rFonts w:hint="eastAsia"/>
        </w:rPr>
      </w:pPr>
      <w:r>
        <w:rPr>
          <w:rFonts w:hint="eastAsia"/>
        </w:rPr>
        <w:t xml:space="preserve">项目编号： </w:t>
      </w:r>
    </w:p>
    <w:p>
      <w:pPr>
        <w:rPr>
          <w:rFonts w:hint="eastAsia"/>
        </w:rPr>
      </w:pPr>
      <w:r>
        <w:rPr>
          <w:rFonts w:hint="eastAsia"/>
        </w:rPr>
        <w:t>投标人名称：</w:t>
      </w:r>
    </w:p>
    <w:p>
      <w:pPr>
        <w:rPr>
          <w:rFonts w:hint="eastAsia"/>
        </w:rPr>
      </w:pPr>
      <w:r>
        <w:rPr>
          <w:rFonts w:hint="eastAsia"/>
        </w:rPr>
        <w:t>投标人地址：</w:t>
      </w:r>
    </w:p>
    <w:p>
      <w:pPr>
        <w:rPr>
          <w:rFonts w:hint="eastAsia"/>
        </w:rPr>
      </w:pPr>
      <w:r>
        <w:rPr>
          <w:rFonts w:hint="eastAsia"/>
        </w:rPr>
        <w:t>在  年  月  日  时  分之前不得启封</w:t>
      </w:r>
    </w:p>
    <w:p>
      <w:pPr>
        <w:rPr>
          <w:rFonts w:hint="eastAsia"/>
        </w:rPr>
      </w:pPr>
    </w:p>
    <w:p>
      <w:pPr>
        <w:ind w:firstLine="5460" w:firstLineChars="2600"/>
        <w:rPr>
          <w:rFonts w:hint="eastAsia"/>
        </w:rPr>
      </w:pPr>
      <w:r>
        <w:rPr>
          <w:rFonts w:hint="eastAsia"/>
        </w:rPr>
        <w:t>（投标人公章）</w:t>
      </w:r>
    </w:p>
    <w:p>
      <w:pPr>
        <w:rPr>
          <w:rFonts w:hint="eastAsia"/>
        </w:rPr>
      </w:pPr>
    </w:p>
    <w:p>
      <w:pPr>
        <w:rPr>
          <w:rFonts w:hint="eastAsia"/>
        </w:rPr>
      </w:pPr>
      <w:r>
        <w:rPr>
          <w:rFonts w:hint="eastAsia"/>
        </w:rPr>
        <w:t xml:space="preserve">                                                       年  月  日</w:t>
      </w:r>
    </w:p>
    <w:p>
      <w:pPr>
        <w:rPr>
          <w:rFonts w:hint="eastAsia"/>
        </w:rPr>
      </w:pPr>
    </w:p>
    <w:p>
      <w:pPr>
        <w:rPr>
          <w:rFonts w:hint="eastAsia"/>
        </w:rPr>
      </w:pPr>
    </w:p>
    <w:p>
      <w:pPr>
        <w:rPr>
          <w:rFonts w:hint="eastAsia"/>
        </w:rPr>
      </w:pPr>
      <w:r>
        <w:rPr>
          <w:rFonts w:hint="eastAsia"/>
        </w:rPr>
        <w:t xml:space="preserve">四、报价文件封面格式： </w:t>
      </w:r>
    </w:p>
    <w:p>
      <w:pPr>
        <w:rPr>
          <w:rFonts w:hint="eastAsia"/>
        </w:rPr>
      </w:pPr>
      <w:r>
        <w:rPr>
          <w:rFonts w:hint="eastAsia"/>
        </w:rPr>
        <w:t xml:space="preserve">                                                    </w:t>
      </w:r>
    </w:p>
    <w:p>
      <w:pPr>
        <w:jc w:val="right"/>
        <w:rPr>
          <w:rFonts w:hint="eastAsia"/>
        </w:rPr>
      </w:pPr>
      <w:r>
        <w:rPr>
          <w:rFonts w:hint="eastAsia"/>
        </w:rPr>
        <w:t>正本/或副本</w:t>
      </w:r>
    </w:p>
    <w:p>
      <w:pPr>
        <w:rPr>
          <w:rFonts w:hint="eastAsia"/>
        </w:rPr>
      </w:pPr>
    </w:p>
    <w:p>
      <w:pPr>
        <w:rPr>
          <w:rFonts w:hint="eastAsia"/>
        </w:rPr>
      </w:pPr>
    </w:p>
    <w:p>
      <w:pPr>
        <w:rPr>
          <w:rFonts w:hint="eastAsia"/>
        </w:rPr>
      </w:pPr>
      <w:r>
        <w:rPr>
          <w:rFonts w:hint="eastAsia"/>
        </w:rPr>
        <w:t>报价文件</w:t>
      </w:r>
    </w:p>
    <w:p>
      <w:pPr>
        <w:rPr>
          <w:rFonts w:hint="eastAsia"/>
        </w:rPr>
      </w:pPr>
    </w:p>
    <w:p>
      <w:pPr>
        <w:rPr>
          <w:rFonts w:hint="eastAsia"/>
        </w:rPr>
      </w:pPr>
      <w:r>
        <w:rPr>
          <w:rFonts w:hint="eastAsia"/>
        </w:rPr>
        <w:t>项目名称：                   项目</w:t>
      </w:r>
    </w:p>
    <w:p>
      <w:pPr>
        <w:rPr>
          <w:rFonts w:hint="eastAsia"/>
        </w:rPr>
      </w:pPr>
      <w:r>
        <w:rPr>
          <w:rFonts w:hint="eastAsia"/>
        </w:rPr>
        <w:t xml:space="preserve">项目编号： </w:t>
      </w:r>
    </w:p>
    <w:p>
      <w:pPr>
        <w:rPr>
          <w:rFonts w:hint="eastAsia"/>
        </w:rPr>
      </w:pPr>
      <w:r>
        <w:rPr>
          <w:rFonts w:hint="eastAsia"/>
        </w:rPr>
        <w:t>投标人名称：</w:t>
      </w:r>
    </w:p>
    <w:p>
      <w:pPr>
        <w:rPr>
          <w:rFonts w:hint="eastAsia"/>
        </w:rPr>
      </w:pPr>
      <w:r>
        <w:rPr>
          <w:rFonts w:hint="eastAsia"/>
        </w:rPr>
        <w:t>投标人地址：</w:t>
      </w:r>
    </w:p>
    <w:p>
      <w:pPr>
        <w:rPr>
          <w:rFonts w:hint="eastAsia"/>
        </w:rPr>
      </w:pPr>
    </w:p>
    <w:p>
      <w:pPr>
        <w:rPr>
          <w:rFonts w:hint="eastAsia"/>
        </w:rPr>
      </w:pPr>
    </w:p>
    <w:p>
      <w:pPr>
        <w:ind w:firstLine="5670" w:firstLineChars="2700"/>
        <w:rPr>
          <w:rFonts w:hint="eastAsia"/>
        </w:rPr>
      </w:pPr>
      <w:r>
        <w:rPr>
          <w:rFonts w:hint="eastAsia"/>
        </w:rPr>
        <w:t>（投标人公章）</w:t>
      </w:r>
    </w:p>
    <w:p>
      <w:pPr>
        <w:rPr>
          <w:rFonts w:hint="eastAsia"/>
        </w:rPr>
      </w:pPr>
    </w:p>
    <w:p>
      <w:pPr>
        <w:rPr>
          <w:rFonts w:hint="eastAsia"/>
        </w:rPr>
      </w:pP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rPr>
          <w:rFonts w:hint="eastAsia"/>
        </w:rPr>
      </w:pPr>
    </w:p>
    <w:p>
      <w:pPr>
        <w:spacing w:line="360" w:lineRule="auto"/>
        <w:rPr>
          <w:rFonts w:hint="eastAsia"/>
        </w:rPr>
      </w:pPr>
      <w:r>
        <w:br w:type="page"/>
      </w:r>
      <w:r>
        <w:rPr>
          <w:rFonts w:hint="eastAsia"/>
        </w:rPr>
        <w:t>（一）报价文件内容：</w:t>
      </w:r>
    </w:p>
    <w:p>
      <w:pPr>
        <w:spacing w:line="360" w:lineRule="auto"/>
        <w:rPr>
          <w:rFonts w:hint="eastAsia"/>
        </w:rPr>
      </w:pPr>
      <w:r>
        <w:rPr>
          <w:rFonts w:hint="eastAsia"/>
        </w:rPr>
        <w:t xml:space="preserve">1、投标函（格式见附件）； </w:t>
      </w:r>
    </w:p>
    <w:p>
      <w:pPr>
        <w:spacing w:line="360" w:lineRule="auto"/>
        <w:rPr>
          <w:rFonts w:hint="eastAsia"/>
        </w:rPr>
      </w:pPr>
      <w:r>
        <w:rPr>
          <w:rFonts w:hint="eastAsia"/>
        </w:rPr>
        <w:t>2、投标分项报价表（经费测算表）（格式见附件）；</w:t>
      </w:r>
    </w:p>
    <w:p>
      <w:pPr>
        <w:spacing w:line="360" w:lineRule="auto"/>
        <w:rPr>
          <w:rFonts w:hint="eastAsia"/>
        </w:rPr>
      </w:pPr>
      <w:r>
        <w:rPr>
          <w:rFonts w:hint="eastAsia"/>
        </w:rPr>
        <w:t>3、开标一览表（格式见附件）；</w:t>
      </w:r>
    </w:p>
    <w:p>
      <w:pPr>
        <w:spacing w:line="360" w:lineRule="auto"/>
        <w:rPr>
          <w:rFonts w:hint="eastAsia"/>
        </w:rPr>
      </w:pPr>
      <w:r>
        <w:rPr>
          <w:rFonts w:hint="eastAsia"/>
        </w:rPr>
        <w:t>4、中小企业声明函（格式见附件）；</w:t>
      </w:r>
    </w:p>
    <w:p>
      <w:pPr>
        <w:spacing w:line="360" w:lineRule="auto"/>
        <w:rPr>
          <w:rFonts w:hint="eastAsia"/>
        </w:rPr>
      </w:pPr>
      <w:r>
        <w:rPr>
          <w:rFonts w:hint="eastAsia"/>
        </w:rPr>
        <w:t>5、残疾人福利性单位声明函（格式见附件）。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1、投标函格式：</w:t>
      </w:r>
    </w:p>
    <w:p>
      <w:pPr>
        <w:rPr>
          <w:rFonts w:hint="eastAsia"/>
        </w:rPr>
      </w:pPr>
    </w:p>
    <w:p>
      <w:pPr>
        <w:jc w:val="center"/>
        <w:rPr>
          <w:rFonts w:hint="eastAsia"/>
          <w:b/>
          <w:sz w:val="32"/>
          <w:szCs w:val="32"/>
        </w:rPr>
      </w:pPr>
      <w:r>
        <w:rPr>
          <w:rFonts w:hint="eastAsia"/>
          <w:b/>
          <w:sz w:val="32"/>
          <w:szCs w:val="32"/>
        </w:rPr>
        <w:t>投 标 函</w:t>
      </w:r>
    </w:p>
    <w:p>
      <w:pPr>
        <w:rPr>
          <w:rFonts w:hint="eastAsia"/>
        </w:rPr>
      </w:pPr>
    </w:p>
    <w:p>
      <w:pPr>
        <w:rPr>
          <w:rFonts w:hint="eastAsia"/>
        </w:rPr>
      </w:pPr>
      <w:r>
        <w:rPr>
          <w:rFonts w:hint="eastAsia"/>
        </w:rPr>
        <w:t>致：</w:t>
      </w:r>
      <w:r>
        <w:rPr>
          <w:rFonts w:hint="eastAsia"/>
          <w:u w:val="single"/>
        </w:rPr>
        <w:t xml:space="preserve">                            </w:t>
      </w:r>
      <w:r>
        <w:rPr>
          <w:rFonts w:hint="eastAsia"/>
        </w:rPr>
        <w:t>（采购单位名称）：</w:t>
      </w:r>
    </w:p>
    <w:p>
      <w:pPr>
        <w:rPr>
          <w:rFonts w:hint="eastAsia"/>
        </w:rPr>
      </w:pPr>
    </w:p>
    <w:p>
      <w:pPr>
        <w:spacing w:line="360" w:lineRule="auto"/>
        <w:ind w:firstLine="420" w:firstLineChars="200"/>
        <w:rPr>
          <w:rFonts w:hint="eastAsia"/>
        </w:rPr>
      </w:pPr>
      <w:r>
        <w:rPr>
          <w:rFonts w:hint="eastAsia"/>
        </w:rPr>
        <w:t>根据贵方为</w:t>
      </w:r>
      <w:r>
        <w:rPr>
          <w:rFonts w:hint="eastAsia"/>
          <w:u w:val="single"/>
        </w:rPr>
        <w:t xml:space="preserve">                                                     </w:t>
      </w:r>
      <w:r>
        <w:rPr>
          <w:rFonts w:hint="eastAsia"/>
        </w:rPr>
        <w:t>项目的采购公告/投标邀请书（项目编号：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（全名）经正式授权并代表投标人</w:t>
      </w:r>
      <w:r>
        <w:rPr>
          <w:rFonts w:hint="eastAsia"/>
          <w:u w:val="single"/>
        </w:rPr>
        <w:t xml:space="preserve">                              </w:t>
      </w:r>
      <w:r>
        <w:rPr>
          <w:rFonts w:hint="eastAsia"/>
        </w:rPr>
        <w:t>（投标人名称）提交资信技术文件、报价文件正本各一份、副本</w:t>
      </w:r>
      <w:r>
        <w:rPr>
          <w:rFonts w:hint="eastAsia"/>
          <w:u w:val="single"/>
        </w:rPr>
        <w:t xml:space="preserve">      </w:t>
      </w:r>
      <w:r>
        <w:rPr>
          <w:rFonts w:hint="eastAsia"/>
        </w:rPr>
        <w:t>份，资信技术文件和报价文件的电子版各1份。</w:t>
      </w:r>
    </w:p>
    <w:p>
      <w:pPr>
        <w:spacing w:line="360" w:lineRule="auto"/>
        <w:rPr>
          <w:rFonts w:hint="eastAsia"/>
        </w:rPr>
      </w:pPr>
      <w:r>
        <w:rPr>
          <w:rFonts w:hint="eastAsia"/>
        </w:rPr>
        <w:t>据此函，签名代表宣布同意如下：</w:t>
      </w:r>
    </w:p>
    <w:p>
      <w:pPr>
        <w:spacing w:line="360" w:lineRule="auto"/>
        <w:ind w:firstLine="420" w:firstLineChars="200"/>
        <w:rPr>
          <w:rFonts w:hint="eastAsia"/>
        </w:rPr>
      </w:pPr>
      <w:r>
        <w:rPr>
          <w:rFonts w:hint="eastAsia"/>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firstLineChars="200"/>
        <w:rPr>
          <w:rFonts w:hint="eastAsia"/>
        </w:rPr>
      </w:pPr>
      <w:r>
        <w:rPr>
          <w:rFonts w:hint="eastAsia"/>
        </w:rPr>
        <w:t>2.投标人在投标之前已经与贵方进行了充分的沟通，完全理解并接受采购文件的各项规定和要求，对采购文件的合理性、合法性不再有异议。</w:t>
      </w:r>
    </w:p>
    <w:p>
      <w:pPr>
        <w:spacing w:line="360" w:lineRule="auto"/>
        <w:ind w:firstLine="420" w:firstLineChars="200"/>
        <w:rPr>
          <w:rFonts w:hint="eastAsia"/>
        </w:rPr>
      </w:pPr>
      <w:r>
        <w:rPr>
          <w:rFonts w:hint="eastAsia"/>
        </w:rPr>
        <w:t>3.本投标自开标日起有效期为</w:t>
      </w:r>
      <w:r>
        <w:rPr>
          <w:rFonts w:hint="eastAsia"/>
          <w:u w:val="single"/>
        </w:rPr>
        <w:t xml:space="preserve">     </w:t>
      </w:r>
      <w:r>
        <w:rPr>
          <w:rFonts w:hint="eastAsia"/>
        </w:rPr>
        <w:t>日。</w:t>
      </w:r>
    </w:p>
    <w:p>
      <w:pPr>
        <w:spacing w:line="360" w:lineRule="auto"/>
        <w:ind w:firstLine="420" w:firstLineChars="200"/>
        <w:rPr>
          <w:rFonts w:hint="eastAsia"/>
        </w:rPr>
      </w:pPr>
      <w:r>
        <w:rPr>
          <w:rFonts w:hint="eastAsia"/>
        </w:rPr>
        <w:t>4.如中标，本投标文件至本项目合同履行完毕止均保持有效，本投标人将按“采购文件”及政府采购法律、法规的规定履行合同责任和义务。</w:t>
      </w:r>
    </w:p>
    <w:p>
      <w:pPr>
        <w:spacing w:line="360" w:lineRule="auto"/>
        <w:ind w:firstLine="420" w:firstLineChars="200"/>
        <w:rPr>
          <w:rFonts w:hint="eastAsia"/>
        </w:rPr>
      </w:pPr>
      <w:r>
        <w:rPr>
          <w:rFonts w:hint="eastAsia"/>
        </w:rPr>
        <w:t>5.投标人同意按照贵方要求提供与投标有关的一切数据或资料。</w:t>
      </w:r>
    </w:p>
    <w:p>
      <w:pPr>
        <w:spacing w:line="360" w:lineRule="auto"/>
        <w:ind w:firstLine="420" w:firstLineChars="200"/>
        <w:rPr>
          <w:rFonts w:hint="eastAsia"/>
        </w:rPr>
      </w:pPr>
      <w:r>
        <w:rPr>
          <w:rFonts w:hint="eastAsia"/>
        </w:rPr>
        <w:t>6.与本投标有关的一切正式往来信函请寄：</w:t>
      </w:r>
    </w:p>
    <w:p>
      <w:pPr>
        <w:spacing w:line="360" w:lineRule="auto"/>
        <w:rPr>
          <w:rFonts w:hint="eastAsia"/>
        </w:rPr>
      </w:pP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投标人代表姓名：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投标人名称(公章)：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rPr>
          <w:rFonts w:hint="eastAsia"/>
        </w:rPr>
      </w:pPr>
    </w:p>
    <w:p>
      <w:pPr>
        <w:spacing w:line="360" w:lineRule="auto"/>
        <w:ind w:firstLine="6510" w:firstLineChars="3100"/>
        <w:rPr>
          <w:rFonts w:hint="eastAsia"/>
        </w:rPr>
      </w:pPr>
      <w:r>
        <w:rPr>
          <w:rFonts w:hint="eastAsia"/>
        </w:rPr>
        <w:t xml:space="preserve">日  期：   </w:t>
      </w:r>
    </w:p>
    <w:p>
      <w:pPr>
        <w:rPr>
          <w:rFonts w:hint="eastAsia"/>
        </w:rPr>
      </w:pPr>
    </w:p>
    <w:p>
      <w:pPr>
        <w:rPr>
          <w:rFonts w:hint="eastAsia"/>
        </w:rPr>
      </w:pPr>
      <w:r>
        <w:rPr>
          <w:rFonts w:hint="eastAsia"/>
        </w:rPr>
        <w:br w:type="page"/>
      </w:r>
      <w:r>
        <w:rPr>
          <w:rFonts w:hint="eastAsia"/>
        </w:rPr>
        <w:t xml:space="preserve">2、投标分项报价表格式       </w:t>
      </w:r>
    </w:p>
    <w:p>
      <w:pPr>
        <w:spacing w:line="400" w:lineRule="exact"/>
        <w:jc w:val="center"/>
        <w:rPr>
          <w:rFonts w:hint="eastAsia"/>
          <w:b/>
          <w:sz w:val="32"/>
          <w:szCs w:val="32"/>
        </w:rPr>
      </w:pPr>
    </w:p>
    <w:p>
      <w:pPr>
        <w:spacing w:line="400" w:lineRule="exact"/>
        <w:jc w:val="center"/>
        <w:rPr>
          <w:rFonts w:hint="eastAsia" w:ascii="宋体" w:hAnsi="宋体"/>
          <w:b/>
          <w:sz w:val="32"/>
        </w:rPr>
      </w:pPr>
      <w:r>
        <w:rPr>
          <w:rFonts w:hint="eastAsia" w:ascii="宋体" w:hAnsi="宋体"/>
          <w:b/>
          <w:sz w:val="32"/>
        </w:rPr>
        <w:t>投标分项报价表（1）</w:t>
      </w:r>
    </w:p>
    <w:p>
      <w:pPr>
        <w:spacing w:line="360" w:lineRule="auto"/>
        <w:ind w:firstLine="471"/>
        <w:jc w:val="left"/>
        <w:rPr>
          <w:rFonts w:hint="eastAsia" w:ascii="宋体"/>
          <w:bCs/>
          <w:szCs w:val="21"/>
          <w:lang w:val="zh-CN"/>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rPr>
        <w:t>茶院乡镇区保洁服务</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69"/>
        <w:gridCol w:w="851"/>
        <w:gridCol w:w="13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347"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701"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人工工资（元/年/人）</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9人</w:t>
            </w: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生产耗材（元/年/人）</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9人</w:t>
            </w: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其他必要的支出</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3969" w:type="dxa"/>
            <w:noWrap w:val="0"/>
            <w:vAlign w:val="top"/>
          </w:tcPr>
          <w:p>
            <w:pPr>
              <w:tabs>
                <w:tab w:val="left" w:pos="780"/>
              </w:tabs>
              <w:spacing w:line="440" w:lineRule="exact"/>
              <w:rPr>
                <w:rFonts w:hint="eastAsia" w:ascii="宋体" w:hAnsi="宋体"/>
                <w:szCs w:val="21"/>
              </w:rPr>
            </w:pPr>
            <w:r>
              <w:rPr>
                <w:rFonts w:ascii="宋体" w:hAnsi="宋体"/>
                <w:szCs w:val="21"/>
              </w:rPr>
              <w:t>………</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rPr>
                <w:rFonts w:hint="eastAsia" w:ascii="宋体" w:hAnsi="宋体"/>
                <w:szCs w:val="21"/>
              </w:rPr>
            </w:pP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合计</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根据项目需求，投标人合理配置设备。合理测算。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60" w:lineRule="exact"/>
        <w:rPr>
          <w:rFonts w:hint="eastAsia" w:ascii="宋体" w:hAnsi="宋体"/>
          <w:szCs w:val="21"/>
        </w:rPr>
      </w:pPr>
    </w:p>
    <w:p>
      <w:pPr>
        <w:spacing w:line="400" w:lineRule="exact"/>
        <w:jc w:val="center"/>
        <w:rPr>
          <w:rFonts w:hint="eastAsia" w:ascii="宋体" w:hAnsi="宋体"/>
          <w:b/>
          <w:sz w:val="32"/>
        </w:rPr>
      </w:pPr>
      <w:r>
        <w:rPr>
          <w:rFonts w:ascii="宋体" w:hAnsi="宋体"/>
          <w:szCs w:val="21"/>
        </w:rPr>
        <w:br w:type="page"/>
      </w:r>
      <w:r>
        <w:rPr>
          <w:rFonts w:hint="eastAsia" w:ascii="宋体" w:hAnsi="宋体"/>
          <w:b/>
          <w:sz w:val="32"/>
        </w:rPr>
        <w:t>投标分项报价表（2）</w:t>
      </w:r>
    </w:p>
    <w:p>
      <w:pPr>
        <w:spacing w:line="460" w:lineRule="exact"/>
        <w:rPr>
          <w:rFonts w:hint="eastAsia" w:ascii="宋体" w:hAnsi="宋体"/>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rPr>
        <w:t>茶院乡全镇垃圾清运服务（日产日清）</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538"/>
        <w:gridCol w:w="2053"/>
        <w:gridCol w:w="1000"/>
        <w:gridCol w:w="103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4591" w:type="dxa"/>
            <w:gridSpan w:val="2"/>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033"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900"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驾驶员工资</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随车人员工资</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4591" w:type="dxa"/>
            <w:gridSpan w:val="2"/>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不同车辆油耗不一致的可以增列车辆油耗</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4591" w:type="dxa"/>
            <w:gridSpan w:val="2"/>
            <w:noWrap w:val="0"/>
            <w:vAlign w:val="top"/>
          </w:tcPr>
          <w:p>
            <w:pPr>
              <w:tabs>
                <w:tab w:val="left" w:pos="780"/>
              </w:tabs>
              <w:spacing w:line="440" w:lineRule="exact"/>
              <w:ind w:left="840" w:hanging="840"/>
              <w:rPr>
                <w:rFonts w:hint="eastAsia" w:ascii="宋体" w:hAnsi="宋体"/>
                <w:szCs w:val="21"/>
              </w:rPr>
            </w:pP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4591" w:type="dxa"/>
            <w:gridSpan w:val="2"/>
            <w:noWrap w:val="0"/>
            <w:vAlign w:val="top"/>
          </w:tcPr>
          <w:p>
            <w:pPr>
              <w:tabs>
                <w:tab w:val="left" w:pos="780"/>
              </w:tabs>
              <w:spacing w:line="440" w:lineRule="exact"/>
              <w:rPr>
                <w:rFonts w:hint="eastAsia" w:ascii="宋体" w:hAnsi="宋体"/>
                <w:szCs w:val="21"/>
              </w:rPr>
            </w:pP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689" w:type="dxa"/>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2538" w:type="dxa"/>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车辆保险费用</w:t>
            </w:r>
          </w:p>
        </w:tc>
        <w:tc>
          <w:tcPr>
            <w:tcW w:w="2053" w:type="dxa"/>
            <w:noWrap w:val="0"/>
            <w:vAlign w:val="top"/>
          </w:tcPr>
          <w:p>
            <w:pPr>
              <w:tabs>
                <w:tab w:val="left" w:pos="780"/>
              </w:tabs>
              <w:spacing w:line="440" w:lineRule="exact"/>
              <w:rPr>
                <w:rFonts w:hint="eastAsia" w:ascii="宋体" w:hAnsi="宋体"/>
                <w:szCs w:val="21"/>
              </w:rPr>
            </w:pP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4" w:hRule="atLeast"/>
        </w:trPr>
        <w:tc>
          <w:tcPr>
            <w:tcW w:w="689" w:type="dxa"/>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2538"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车辆维修费、年检费、轮胎更换等费用</w:t>
            </w:r>
          </w:p>
        </w:tc>
        <w:tc>
          <w:tcPr>
            <w:tcW w:w="2053" w:type="dxa"/>
            <w:noWrap w:val="0"/>
            <w:vAlign w:val="center"/>
          </w:tcPr>
          <w:p>
            <w:pPr>
              <w:tabs>
                <w:tab w:val="left" w:pos="780"/>
              </w:tabs>
              <w:spacing w:line="440" w:lineRule="exact"/>
              <w:rPr>
                <w:rFonts w:hint="eastAsia" w:ascii="宋体" w:hAnsi="宋体"/>
                <w:szCs w:val="21"/>
              </w:rPr>
            </w:pP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center"/>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维护保养费</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车辆折旧费</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10</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11</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12</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13</w:t>
            </w:r>
          </w:p>
        </w:tc>
        <w:tc>
          <w:tcPr>
            <w:tcW w:w="4591" w:type="dxa"/>
            <w:gridSpan w:val="2"/>
            <w:noWrap w:val="0"/>
            <w:vAlign w:val="top"/>
          </w:tcPr>
          <w:p>
            <w:pPr>
              <w:tabs>
                <w:tab w:val="left" w:pos="780"/>
              </w:tabs>
              <w:spacing w:line="440" w:lineRule="exact"/>
              <w:rPr>
                <w:rFonts w:hint="eastAsia" w:ascii="宋体" w:hAnsi="宋体"/>
                <w:szCs w:val="21"/>
              </w:rPr>
            </w:pPr>
            <w:r>
              <w:rPr>
                <w:rFonts w:ascii="宋体" w:hAnsi="宋体"/>
                <w:szCs w:val="21"/>
              </w:rPr>
              <w:t>………</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rPr>
                <w:rFonts w:hint="eastAsia" w:ascii="宋体" w:hAnsi="宋体"/>
                <w:szCs w:val="21"/>
              </w:rPr>
            </w:pP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合计</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b/>
          <w:sz w:val="32"/>
        </w:rPr>
        <w:br w:type="page"/>
      </w:r>
      <w:r>
        <w:rPr>
          <w:rFonts w:hint="eastAsia" w:ascii="宋体" w:hAnsi="宋体"/>
          <w:b/>
          <w:sz w:val="32"/>
        </w:rPr>
        <w:t>投标分项报价表（3）</w:t>
      </w:r>
    </w:p>
    <w:p>
      <w:pPr>
        <w:spacing w:line="460" w:lineRule="exact"/>
        <w:rPr>
          <w:rFonts w:hint="eastAsia" w:ascii="宋体" w:hAnsi="宋体"/>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rPr>
        <w:t>中转站运营管理、垃圾分类站运营管理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553"/>
        <w:gridCol w:w="1009"/>
        <w:gridCol w:w="104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4553"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100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040"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919"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人工工资（含管理人员）</w:t>
            </w:r>
          </w:p>
        </w:tc>
        <w:tc>
          <w:tcPr>
            <w:tcW w:w="1009" w:type="dxa"/>
            <w:noWrap w:val="0"/>
            <w:vAlign w:val="top"/>
          </w:tcPr>
          <w:p>
            <w:pPr>
              <w:tabs>
                <w:tab w:val="left" w:pos="780"/>
              </w:tabs>
              <w:spacing w:line="440" w:lineRule="exact"/>
              <w:jc w:val="center"/>
              <w:rPr>
                <w:rFonts w:hint="eastAsia" w:ascii="宋体" w:hAnsi="宋体"/>
                <w:szCs w:val="21"/>
              </w:rPr>
            </w:pP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生产耗材</w:t>
            </w:r>
          </w:p>
        </w:tc>
        <w:tc>
          <w:tcPr>
            <w:tcW w:w="1009" w:type="dxa"/>
            <w:noWrap w:val="0"/>
            <w:vAlign w:val="top"/>
          </w:tcPr>
          <w:p>
            <w:pPr>
              <w:tabs>
                <w:tab w:val="left" w:pos="780"/>
              </w:tabs>
              <w:spacing w:line="440" w:lineRule="exact"/>
              <w:jc w:val="center"/>
              <w:rPr>
                <w:rFonts w:hint="eastAsia" w:ascii="宋体" w:hAnsi="宋体"/>
                <w:szCs w:val="21"/>
              </w:rPr>
            </w:pP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必要的设备配置如高压冲洗设备等</w:t>
            </w:r>
          </w:p>
        </w:tc>
        <w:tc>
          <w:tcPr>
            <w:tcW w:w="1009" w:type="dxa"/>
            <w:noWrap w:val="0"/>
            <w:vAlign w:val="top"/>
          </w:tcPr>
          <w:p>
            <w:pPr>
              <w:tabs>
                <w:tab w:val="left" w:pos="780"/>
              </w:tabs>
              <w:spacing w:line="440" w:lineRule="exact"/>
              <w:jc w:val="center"/>
              <w:rPr>
                <w:rFonts w:hint="eastAsia" w:ascii="宋体" w:hAnsi="宋体"/>
                <w:szCs w:val="21"/>
              </w:rPr>
            </w:pP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设备折旧等</w:t>
            </w:r>
          </w:p>
        </w:tc>
        <w:tc>
          <w:tcPr>
            <w:tcW w:w="1009" w:type="dxa"/>
            <w:noWrap w:val="0"/>
            <w:vAlign w:val="top"/>
          </w:tcPr>
          <w:p>
            <w:pPr>
              <w:tabs>
                <w:tab w:val="left" w:pos="780"/>
              </w:tabs>
              <w:spacing w:line="440" w:lineRule="exact"/>
              <w:jc w:val="center"/>
              <w:rPr>
                <w:rFonts w:hint="eastAsia" w:ascii="宋体" w:hAnsi="宋体"/>
                <w:szCs w:val="21"/>
              </w:rPr>
            </w:pP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安全费用</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4553" w:type="dxa"/>
            <w:noWrap w:val="0"/>
            <w:vAlign w:val="top"/>
          </w:tcPr>
          <w:p>
            <w:pPr>
              <w:tabs>
                <w:tab w:val="left" w:pos="780"/>
              </w:tabs>
              <w:spacing w:line="440" w:lineRule="exact"/>
              <w:rPr>
                <w:rFonts w:hint="eastAsia" w:ascii="宋体" w:hAnsi="宋体"/>
                <w:szCs w:val="21"/>
              </w:rPr>
            </w:pPr>
            <w:r>
              <w:rPr>
                <w:rFonts w:ascii="宋体" w:hAnsi="宋体"/>
                <w:szCs w:val="21"/>
              </w:rPr>
              <w:t>………</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4553" w:type="dxa"/>
            <w:noWrap w:val="0"/>
            <w:vAlign w:val="top"/>
          </w:tcPr>
          <w:p>
            <w:pPr>
              <w:tabs>
                <w:tab w:val="left" w:pos="780"/>
              </w:tabs>
              <w:spacing w:line="440" w:lineRule="exact"/>
              <w:rPr>
                <w:rFonts w:ascii="宋体" w:hAnsi="宋体"/>
                <w:szCs w:val="21"/>
              </w:rPr>
            </w:pP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p>
        </w:tc>
        <w:tc>
          <w:tcPr>
            <w:tcW w:w="4553" w:type="dxa"/>
            <w:noWrap w:val="0"/>
            <w:vAlign w:val="top"/>
          </w:tcPr>
          <w:p>
            <w:pPr>
              <w:tabs>
                <w:tab w:val="left" w:pos="780"/>
              </w:tabs>
              <w:spacing w:line="440" w:lineRule="exact"/>
              <w:rPr>
                <w:rFonts w:ascii="宋体" w:hAnsi="宋体"/>
                <w:szCs w:val="21"/>
              </w:rPr>
            </w:pP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rPr>
                <w:rFonts w:hint="eastAsia" w:ascii="宋体" w:hAnsi="宋体"/>
                <w:szCs w:val="21"/>
              </w:rPr>
            </w:pP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合计</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sz w:val="24"/>
        </w:rPr>
        <w:br w:type="page"/>
      </w:r>
      <w:r>
        <w:rPr>
          <w:rFonts w:hint="eastAsia" w:ascii="宋体" w:hAnsi="宋体"/>
          <w:b/>
          <w:sz w:val="32"/>
        </w:rPr>
        <w:t>投标分项报价表（4）</w:t>
      </w:r>
    </w:p>
    <w:p>
      <w:pPr>
        <w:tabs>
          <w:tab w:val="left" w:pos="2520"/>
        </w:tabs>
        <w:spacing w:line="360" w:lineRule="auto"/>
        <w:ind w:firstLine="480"/>
        <w:jc w:val="center"/>
        <w:rPr>
          <w:rFonts w:hint="eastAsia" w:ascii="宋体" w:hAnsi="宋体"/>
          <w:b/>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人均人工工资福利测算表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20"/>
        <w:gridCol w:w="2774"/>
        <w:gridCol w:w="2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成本项目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构成内容</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总计（年）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现金</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ind w:firstLine="1575" w:firstLineChars="750"/>
              <w:jc w:val="left"/>
              <w:rPr>
                <w:rFonts w:hint="eastAsia" w:ascii="宋体" w:hAnsi="宋体" w:cs="宋体"/>
                <w:szCs w:val="21"/>
              </w:rPr>
            </w:pPr>
            <w:r>
              <w:rPr>
                <w:rFonts w:hint="eastAsia" w:ascii="宋体" w:hAnsi="宋体" w:cs="宋体"/>
                <w:szCs w:val="21"/>
              </w:rPr>
              <w:t>元</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环卫岗位津贴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945" w:firstLineChars="450"/>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70" w:firstLineChars="700"/>
              <w:jc w:val="left"/>
              <w:rPr>
                <w:rFonts w:hint="eastAsia" w:ascii="宋体" w:hAnsi="宋体" w:cs="宋体"/>
                <w:szCs w:val="21"/>
              </w:rPr>
            </w:pPr>
            <w:r>
              <w:rPr>
                <w:rFonts w:hint="eastAsia" w:ascii="宋体" w:hAnsi="宋体" w:cs="宋体"/>
                <w:szCs w:val="21"/>
              </w:rPr>
              <w:t>元×4个月</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 w:leftChars="-5" w:firstLine="422" w:firstLineChars="201"/>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单休日加班费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福利保障</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中秋节、环卫工人节、春节</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体检</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社会保障费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基本养老保险</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基本医疗保险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失业保险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生育保险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工伤保险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住房公积金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11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3" w:hRule="atLeast"/>
        </w:trPr>
        <w:tc>
          <w:tcPr>
            <w:tcW w:w="54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合计（年）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投标报价不得缺项或低于《宁海县人民政府关于调整全县职工最低工资标准的通知》（宁政发〔2017〕76号）规定的最低工资标准。</w:t>
      </w:r>
    </w:p>
    <w:p>
      <w:pPr>
        <w:rPr>
          <w:rFonts w:ascii="宋体" w:hAnsi="宋体"/>
          <w:szCs w:val="21"/>
        </w:rPr>
      </w:pPr>
      <w:r>
        <w:rPr>
          <w:rFonts w:hint="eastAsia" w:ascii="宋体" w:hAnsi="宋体"/>
          <w:szCs w:val="21"/>
        </w:rPr>
        <w:t>不同岗位的人员工资不一致的必须分开测算。</w:t>
      </w:r>
    </w:p>
    <w:p>
      <w:pPr>
        <w:rPr>
          <w:rFonts w:ascii="宋体" w:hAnsi="宋体"/>
          <w:szCs w:val="21"/>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b/>
          <w:sz w:val="24"/>
        </w:rPr>
        <w:br w:type="page"/>
      </w:r>
      <w:r>
        <w:rPr>
          <w:rFonts w:hint="eastAsia" w:ascii="宋体" w:hAnsi="宋体"/>
          <w:b/>
          <w:sz w:val="32"/>
        </w:rPr>
        <w:t>投标分项报价表（5）</w:t>
      </w:r>
    </w:p>
    <w:p>
      <w:pPr>
        <w:spacing w:line="460" w:lineRule="exact"/>
        <w:rPr>
          <w:rFonts w:hint="eastAsia" w:ascii="宋体" w:hAnsi="宋体"/>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tabs>
          <w:tab w:val="left" w:pos="2520"/>
        </w:tabs>
        <w:spacing w:line="360" w:lineRule="auto"/>
        <w:ind w:firstLine="480"/>
        <w:jc w:val="center"/>
        <w:rPr>
          <w:rFonts w:hint="eastAsia" w:ascii="宋体" w:hAnsi="宋体"/>
          <w:b/>
          <w:sz w:val="24"/>
        </w:rPr>
      </w:pPr>
    </w:p>
    <w:p>
      <w:pPr>
        <w:spacing w:line="460" w:lineRule="exact"/>
        <w:jc w:val="center"/>
        <w:rPr>
          <w:rFonts w:hint="eastAsia" w:ascii="宋体" w:hAnsi="宋体"/>
          <w:szCs w:val="21"/>
        </w:rPr>
      </w:pPr>
      <w:r>
        <w:rPr>
          <w:rFonts w:hint="eastAsia" w:ascii="宋体" w:hAnsi="宋体"/>
          <w:szCs w:val="21"/>
        </w:rPr>
        <w:t>保洁人员人均生产耗材测算表</w:t>
      </w:r>
    </w:p>
    <w:tbl>
      <w:tblPr>
        <w:tblStyle w:val="3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610"/>
        <w:gridCol w:w="187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名称</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数量</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单价（元）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ind w:right="420" w:firstLine="1575" w:firstLineChars="75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合计</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bl>
    <w:p>
      <w:pPr>
        <w:spacing w:line="460" w:lineRule="exact"/>
        <w:rPr>
          <w:rFonts w:hint="eastAsia" w:ascii="宋体" w:hAnsi="宋体"/>
          <w:szCs w:val="21"/>
        </w:rPr>
      </w:pPr>
      <w:r>
        <w:rPr>
          <w:rFonts w:hint="eastAsia" w:ascii="宋体" w:hAnsi="宋体"/>
          <w:szCs w:val="21"/>
        </w:rPr>
        <w:t>根据项目需求，投标人合理配置生产资料。合理测算。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b/>
          <w:sz w:val="32"/>
        </w:rPr>
        <w:br w:type="page"/>
      </w:r>
      <w:r>
        <w:rPr>
          <w:rFonts w:hint="eastAsia" w:ascii="宋体" w:hAnsi="宋体"/>
          <w:b/>
          <w:sz w:val="32"/>
        </w:rPr>
        <w:t>投标分项报价表（6）</w:t>
      </w:r>
    </w:p>
    <w:p>
      <w:pPr>
        <w:spacing w:line="460" w:lineRule="exact"/>
        <w:rPr>
          <w:rFonts w:hint="eastAsia" w:ascii="宋体" w:hAnsi="宋体"/>
          <w:sz w:val="24"/>
        </w:rPr>
      </w:pP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rPr>
          <w:rFonts w:ascii="宋体" w:hAnsi="宋体"/>
          <w:szCs w:val="21"/>
        </w:rPr>
      </w:pPr>
    </w:p>
    <w:tbl>
      <w:tblPr>
        <w:tblStyle w:val="3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701"/>
        <w:gridCol w:w="1875"/>
        <w:gridCol w:w="12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细则</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综合单价</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仿宋"/>
                <w:sz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r>
              <w:rPr>
                <w:rFonts w:hint="eastAsia" w:ascii="宋体" w:hAnsi="宋体" w:cs="宋体"/>
              </w:rPr>
              <w:t>1</w:t>
            </w:r>
          </w:p>
        </w:tc>
        <w:tc>
          <w:tcPr>
            <w:tcW w:w="184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rPr>
              <w:t>镇区保洁服务（包括道路保洁、绿化带保洁、果壳箱保洁、公厕保洁、牛皮癣清理）</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二级道路保洁</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szCs w:val="21"/>
              </w:rPr>
              <w:t>元/</w:t>
            </w:r>
            <w:r>
              <w:rPr>
                <w:rFonts w:hint="eastAsia" w:ascii="宋体" w:hAnsi="宋体" w:cs="宋体"/>
              </w:rPr>
              <w:t>㎡</w:t>
            </w:r>
            <w:r>
              <w:rPr>
                <w:rFonts w:hint="eastAsia" w:ascii="宋体" w:hAnsi="宋体"/>
                <w:szCs w:val="21"/>
              </w:rPr>
              <w:t>/年</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宋体"/>
              </w:rPr>
              <w:t>86981㎡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2</w:t>
            </w:r>
          </w:p>
        </w:tc>
        <w:tc>
          <w:tcPr>
            <w:tcW w:w="1843"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四级道路保洁</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szCs w:val="21"/>
              </w:rPr>
              <w:t>元/</w:t>
            </w:r>
            <w:r>
              <w:rPr>
                <w:rFonts w:hint="eastAsia" w:ascii="宋体" w:hAnsi="宋体" w:cs="宋体"/>
              </w:rPr>
              <w:t>㎡</w:t>
            </w:r>
            <w:r>
              <w:rPr>
                <w:rFonts w:hint="eastAsia" w:ascii="宋体" w:hAnsi="宋体"/>
                <w:szCs w:val="21"/>
              </w:rPr>
              <w:t>/年</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宋体"/>
              </w:rPr>
              <w:t>8400㎡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ind w:right="420" w:firstLine="1575" w:firstLineChars="75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3</w:t>
            </w:r>
          </w:p>
        </w:tc>
        <w:tc>
          <w:tcPr>
            <w:tcW w:w="1843"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绿化带保洁</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szCs w:val="21"/>
              </w:rPr>
              <w:t>元/</w:t>
            </w:r>
            <w:r>
              <w:rPr>
                <w:rFonts w:hint="eastAsia" w:ascii="宋体" w:hAnsi="宋体" w:cs="宋体"/>
              </w:rPr>
              <w:t>㎡</w:t>
            </w:r>
            <w:r>
              <w:rPr>
                <w:rFonts w:hint="eastAsia" w:ascii="宋体" w:hAnsi="宋体"/>
                <w:szCs w:val="21"/>
              </w:rPr>
              <w:t>/年</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宋体"/>
              </w:rPr>
              <w:t>2900㎡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4</w:t>
            </w:r>
          </w:p>
        </w:tc>
        <w:tc>
          <w:tcPr>
            <w:tcW w:w="1843"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公厕保洁</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cs="宋体"/>
              </w:rPr>
              <w:t>元/座/年</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宋体"/>
              </w:rPr>
              <w:t>1座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5</w:t>
            </w:r>
          </w:p>
        </w:tc>
        <w:tc>
          <w:tcPr>
            <w:tcW w:w="1843" w:type="dxa"/>
            <w:vMerge w:val="continue"/>
            <w:tcBorders>
              <w:left w:val="single" w:color="auto" w:sz="4" w:space="0"/>
              <w:right w:val="single" w:color="auto" w:sz="4" w:space="0"/>
            </w:tcBorders>
            <w:noWrap w:val="0"/>
            <w:vAlign w:val="center"/>
          </w:tcPr>
          <w:p>
            <w:pPr>
              <w:widowControl/>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牛皮癣清理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cs="宋体"/>
              </w:rPr>
              <w:t>元/项/年</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宋体"/>
              </w:rPr>
              <w:t>1项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6</w:t>
            </w:r>
          </w:p>
        </w:tc>
        <w:tc>
          <w:tcPr>
            <w:tcW w:w="184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rPr>
            </w:pPr>
            <w:r>
              <w:rPr>
                <w:rFonts w:hint="eastAsia" w:ascii="宋体" w:hAnsi="宋体" w:cs="宋体"/>
              </w:rPr>
              <w:t>果壳箱保洁</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cs="宋体"/>
              </w:rPr>
              <w:t>元/只/年</w:t>
            </w:r>
          </w:p>
        </w:tc>
        <w:tc>
          <w:tcPr>
            <w:tcW w:w="124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rPr>
            </w:pPr>
            <w:r>
              <w:rPr>
                <w:rFonts w:hint="eastAsia" w:ascii="宋体" w:hAnsi="宋体" w:cs="宋体"/>
              </w:rPr>
              <w:t>10只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r>
              <w:rPr>
                <w:rFonts w:hint="eastAsia" w:ascii="宋体" w:hAnsi="宋体"/>
              </w:rPr>
              <w:t>全镇垃圾清运服务（日产日清）</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rPr>
              <w:t>垃圾桶清运</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hint="eastAsia" w:ascii="宋体" w:hAnsi="宋体" w:cs="宋体"/>
              </w:rPr>
            </w:pPr>
            <w:r>
              <w:rPr>
                <w:rFonts w:hint="eastAsia" w:ascii="宋体" w:hAnsi="宋体" w:cs="宋体"/>
              </w:rPr>
              <w:t>元/只/年</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cs="宋体"/>
              </w:rPr>
              <w:t>1159只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8</w:t>
            </w:r>
          </w:p>
        </w:tc>
        <w:tc>
          <w:tcPr>
            <w:tcW w:w="184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rPr>
            </w:pPr>
            <w:r>
              <w:rPr>
                <w:rFonts w:hint="eastAsia" w:ascii="宋体" w:hAnsi="宋体"/>
              </w:rPr>
              <w:t>中转站、垃圾分类站运营管理（含管理人员）</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rPr>
              <w:t>中转站运营管理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hint="eastAsia" w:ascii="宋体" w:hAnsi="宋体" w:cs="宋体"/>
              </w:rPr>
            </w:pPr>
            <w:r>
              <w:rPr>
                <w:rFonts w:hint="eastAsia" w:ascii="宋体" w:hAnsi="宋体" w:cs="宋体"/>
              </w:rPr>
              <w:t>元/座/年</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cs="宋体"/>
              </w:rPr>
              <w:t>1座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9</w:t>
            </w:r>
          </w:p>
        </w:tc>
        <w:tc>
          <w:tcPr>
            <w:tcW w:w="1843"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rPr>
              <w:t>垃圾分类站运营管理</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hint="eastAsia" w:ascii="宋体" w:hAnsi="宋体" w:cs="宋体"/>
              </w:rPr>
            </w:pPr>
            <w:r>
              <w:rPr>
                <w:rFonts w:hint="eastAsia" w:ascii="宋体" w:hAnsi="宋体" w:cs="宋体"/>
              </w:rPr>
              <w:t>元/座/年</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cs="宋体"/>
              </w:rPr>
              <w:t>1座</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10</w:t>
            </w:r>
          </w:p>
        </w:tc>
        <w:tc>
          <w:tcPr>
            <w:tcW w:w="184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rPr>
              <w:t>管理人员</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hint="eastAsia" w:ascii="宋体" w:hAnsi="宋体" w:cs="宋体"/>
              </w:rPr>
            </w:pPr>
            <w:r>
              <w:rPr>
                <w:rFonts w:hint="eastAsia" w:ascii="宋体" w:hAnsi="宋体" w:cs="宋体"/>
              </w:rPr>
              <w:t>元/人/年</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r>
              <w:rPr>
                <w:rFonts w:hint="eastAsia" w:ascii="宋体" w:hAnsi="宋体" w:cs="宋体"/>
              </w:rPr>
              <w:t>1人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11</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单年合计</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bl>
    <w:p>
      <w:pPr>
        <w:rPr>
          <w:rFonts w:hint="eastAsia" w:ascii="宋体" w:hAnsi="宋体"/>
          <w:szCs w:val="21"/>
        </w:rPr>
      </w:pPr>
      <w:r>
        <w:rPr>
          <w:rFonts w:hint="eastAsia" w:ascii="宋体" w:hAnsi="宋体"/>
          <w:szCs w:val="21"/>
        </w:rPr>
        <w:t>“综合单价”是指“全费用综合单价”，即含工人费、材料费、机械费、车辆保养、保险费及年检费、措施费、车辆折旧费、安全生产专项管理经费、利润、企业管理费及规费、税金等等的全费用单价。在实际服务期间如果服务内容和数量有所增减，将按招标文件约定进行按实结算。</w:t>
      </w:r>
    </w:p>
    <w:p>
      <w:pPr>
        <w:rPr>
          <w:rFonts w:hint="eastAsia" w:ascii="宋体" w:hAnsi="宋体"/>
          <w:szCs w:val="21"/>
        </w:rPr>
      </w:pPr>
    </w:p>
    <w:p>
      <w:pPr>
        <w:rPr>
          <w:rFonts w:hint="eastAsia" w:ascii="宋体" w:hAnsi="宋体"/>
          <w:szCs w:val="21"/>
        </w:rPr>
      </w:pPr>
      <w:r>
        <w:rPr>
          <w:rFonts w:hint="eastAsia" w:ascii="宋体" w:hAnsi="宋体"/>
          <w:szCs w:val="21"/>
        </w:rPr>
        <w:t>备注：▲</w:t>
      </w:r>
      <w:r>
        <w:rPr>
          <w:rFonts w:hint="eastAsia" w:ascii="宋体" w:hAnsi="宋体" w:cs="宋体"/>
        </w:rPr>
        <w:t>二级道路保洁</w:t>
      </w:r>
      <w:r>
        <w:rPr>
          <w:rFonts w:hint="eastAsia" w:ascii="宋体" w:hAnsi="宋体"/>
          <w:szCs w:val="21"/>
        </w:rPr>
        <w:t>综合单价限价6.36元/</w:t>
      </w:r>
      <w:r>
        <w:rPr>
          <w:rFonts w:hint="eastAsia" w:ascii="宋体" w:hAnsi="宋体" w:cs="宋体"/>
        </w:rPr>
        <w:t>㎡</w:t>
      </w:r>
      <w:r>
        <w:rPr>
          <w:rFonts w:hint="eastAsia" w:ascii="宋体" w:hAnsi="宋体"/>
          <w:szCs w:val="21"/>
        </w:rPr>
        <w:t>/年；</w:t>
      </w:r>
    </w:p>
    <w:p>
      <w:pPr>
        <w:rPr>
          <w:rFonts w:hint="eastAsia" w:ascii="宋体" w:hAnsi="宋体"/>
          <w:szCs w:val="21"/>
        </w:rPr>
      </w:pPr>
      <w:r>
        <w:rPr>
          <w:rFonts w:hint="eastAsia" w:ascii="宋体" w:hAnsi="宋体"/>
          <w:szCs w:val="21"/>
        </w:rPr>
        <w:t>▲</w:t>
      </w:r>
      <w:r>
        <w:rPr>
          <w:rFonts w:hint="eastAsia" w:ascii="宋体" w:hAnsi="宋体" w:cs="宋体"/>
        </w:rPr>
        <w:t>四级道路保洁</w:t>
      </w:r>
      <w:r>
        <w:rPr>
          <w:rFonts w:hint="eastAsia" w:ascii="宋体" w:hAnsi="宋体"/>
          <w:szCs w:val="21"/>
        </w:rPr>
        <w:t>综合单价限价1.29元/</w:t>
      </w:r>
      <w:r>
        <w:rPr>
          <w:rFonts w:hint="eastAsia" w:ascii="宋体" w:hAnsi="宋体" w:cs="宋体"/>
        </w:rPr>
        <w:t>㎡</w:t>
      </w:r>
      <w:r>
        <w:rPr>
          <w:rFonts w:hint="eastAsia" w:ascii="宋体" w:hAnsi="宋体"/>
          <w:szCs w:val="21"/>
        </w:rPr>
        <w:t>/年；</w:t>
      </w:r>
    </w:p>
    <w:p>
      <w:pPr>
        <w:rPr>
          <w:rFonts w:hint="eastAsia" w:ascii="宋体" w:hAnsi="宋体"/>
          <w:szCs w:val="21"/>
        </w:rPr>
      </w:pPr>
      <w:r>
        <w:rPr>
          <w:rFonts w:hint="eastAsia" w:ascii="宋体" w:hAnsi="宋体"/>
          <w:szCs w:val="21"/>
        </w:rPr>
        <w:t>▲绿化带保洁综合单价限价1.45元/</w:t>
      </w:r>
      <w:r>
        <w:rPr>
          <w:rFonts w:hint="eastAsia" w:ascii="宋体" w:hAnsi="宋体" w:cs="宋体"/>
        </w:rPr>
        <w:t>㎡</w:t>
      </w:r>
      <w:r>
        <w:rPr>
          <w:rFonts w:hint="eastAsia" w:ascii="宋体" w:hAnsi="宋体"/>
          <w:szCs w:val="21"/>
        </w:rPr>
        <w:t>/年；</w:t>
      </w:r>
    </w:p>
    <w:p>
      <w:pPr>
        <w:rPr>
          <w:rFonts w:hint="eastAsia" w:ascii="宋体" w:hAnsi="宋体"/>
          <w:szCs w:val="21"/>
        </w:rPr>
      </w:pPr>
      <w:r>
        <w:rPr>
          <w:rFonts w:hint="eastAsia" w:ascii="宋体" w:hAnsi="宋体"/>
          <w:szCs w:val="21"/>
        </w:rPr>
        <w:t>▲果壳箱保洁综合单价限价1400元/</w:t>
      </w:r>
      <w:r>
        <w:rPr>
          <w:rFonts w:hint="eastAsia" w:ascii="宋体" w:hAnsi="宋体" w:cs="宋体"/>
        </w:rPr>
        <w:t>只</w:t>
      </w:r>
      <w:r>
        <w:rPr>
          <w:rFonts w:hint="eastAsia" w:ascii="宋体" w:hAnsi="宋体"/>
          <w:szCs w:val="21"/>
        </w:rPr>
        <w:t>/年；</w:t>
      </w:r>
    </w:p>
    <w:p>
      <w:pPr>
        <w:rPr>
          <w:rFonts w:hint="eastAsia" w:ascii="宋体" w:hAnsi="宋体"/>
          <w:szCs w:val="21"/>
        </w:rPr>
      </w:pPr>
      <w:r>
        <w:rPr>
          <w:rFonts w:hint="eastAsia" w:ascii="宋体" w:hAnsi="宋体"/>
          <w:szCs w:val="21"/>
        </w:rPr>
        <w:t>▲</w:t>
      </w:r>
      <w:r>
        <w:rPr>
          <w:rFonts w:hint="eastAsia" w:ascii="宋体" w:hAnsi="宋体"/>
        </w:rPr>
        <w:t>垃圾桶清运</w:t>
      </w:r>
      <w:r>
        <w:rPr>
          <w:rFonts w:hint="eastAsia" w:ascii="宋体" w:hAnsi="宋体"/>
          <w:szCs w:val="21"/>
        </w:rPr>
        <w:t>综合单价限价788元/</w:t>
      </w:r>
      <w:r>
        <w:rPr>
          <w:rFonts w:hint="eastAsia" w:ascii="宋体" w:hAnsi="宋体" w:cs="宋体"/>
        </w:rPr>
        <w:t>只</w:t>
      </w:r>
      <w:r>
        <w:rPr>
          <w:rFonts w:hint="eastAsia" w:ascii="宋体" w:hAnsi="宋体"/>
          <w:szCs w:val="21"/>
        </w:rPr>
        <w:t>/年。</w:t>
      </w:r>
    </w:p>
    <w:p>
      <w:pPr>
        <w:snapToGrid w:val="0"/>
        <w:spacing w:line="360" w:lineRule="auto"/>
        <w:ind w:firstLine="420" w:firstLineChars="200"/>
        <w:rPr>
          <w:rFonts w:hint="eastAsia" w:ascii="宋体" w:hAnsi="宋体"/>
          <w:b/>
          <w:szCs w:val="21"/>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napToGrid w:val="0"/>
        <w:spacing w:line="360" w:lineRule="auto"/>
        <w:ind w:firstLine="420" w:firstLineChars="200"/>
        <w:rPr>
          <w:rFonts w:hint="eastAsia" w:ascii="宋体" w:hAnsi="宋体"/>
          <w:b/>
          <w:szCs w:val="21"/>
        </w:rPr>
      </w:pPr>
    </w:p>
    <w:p>
      <w:pPr>
        <w:rPr>
          <w:rFonts w:hint="eastAsia"/>
        </w:rPr>
      </w:pPr>
      <w:r>
        <w:br w:type="page"/>
      </w:r>
      <w:r>
        <w:rPr>
          <w:rFonts w:hint="eastAsia"/>
        </w:rPr>
        <w:t>3、开标一览表</w:t>
      </w:r>
    </w:p>
    <w:p>
      <w:pPr>
        <w:rPr>
          <w:rFonts w:hint="eastAsia"/>
        </w:rPr>
      </w:pPr>
    </w:p>
    <w:p>
      <w:pPr>
        <w:jc w:val="center"/>
        <w:rPr>
          <w:rFonts w:hint="eastAsia"/>
          <w:b/>
          <w:sz w:val="32"/>
          <w:szCs w:val="32"/>
        </w:rPr>
      </w:pPr>
      <w:r>
        <w:rPr>
          <w:rFonts w:hint="eastAsia"/>
          <w:b/>
          <w:sz w:val="32"/>
          <w:szCs w:val="32"/>
        </w:rPr>
        <w:t>开标一览表</w:t>
      </w:r>
    </w:p>
    <w:p>
      <w:pPr>
        <w:spacing w:line="500" w:lineRule="exact"/>
        <w:ind w:firstLine="472"/>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r>
        <w:rPr>
          <w:rFonts w:ascii="宋体"/>
          <w:bCs/>
          <w:szCs w:val="21"/>
          <w:lang w:val="zh-CN"/>
        </w:rPr>
        <w:t xml:space="preserve">  </w:t>
      </w:r>
    </w:p>
    <w:p>
      <w:pPr>
        <w:spacing w:line="500" w:lineRule="exact"/>
        <w:ind w:firstLine="472"/>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szCs w:val="21"/>
        </w:rPr>
      </w:pPr>
      <w:r>
        <w:rPr>
          <w:rFonts w:hint="eastAsia" w:ascii="宋体"/>
          <w:bCs/>
          <w:szCs w:val="21"/>
          <w:lang w:val="zh-CN"/>
        </w:rPr>
        <w:t>供应商名称：</w:t>
      </w:r>
      <w:r>
        <w:rPr>
          <w:rFonts w:hint="eastAsia" w:ascii="宋体"/>
          <w:bCs/>
          <w:szCs w:val="21"/>
          <w:u w:val="single"/>
          <w:lang w:val="zh-CN"/>
        </w:rPr>
        <w:t xml:space="preserve">                         </w:t>
      </w:r>
      <w:r>
        <w:rPr>
          <w:rFonts w:hint="eastAsia" w:ascii="宋体"/>
          <w:bCs/>
          <w:szCs w:val="21"/>
          <w:lang w:val="zh-CN"/>
        </w:rPr>
        <w:t xml:space="preserve">               </w:t>
      </w:r>
      <w:r>
        <w:rPr>
          <w:rFonts w:hint="eastAsia" w:ascii="宋体"/>
          <w:bCs/>
          <w:szCs w:val="21"/>
        </w:rPr>
        <w:t xml:space="preserve">       </w:t>
      </w:r>
      <w:r>
        <w:rPr>
          <w:rFonts w:hint="eastAsia" w:ascii="宋体"/>
          <w:szCs w:val="21"/>
          <w:lang w:val="zh-CN"/>
        </w:rPr>
        <w:t>单位：元（人民币）</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3119" w:type="dxa"/>
            <w:noWrap w:val="0"/>
            <w:vAlign w:val="center"/>
          </w:tcPr>
          <w:p>
            <w:pPr>
              <w:spacing w:line="360" w:lineRule="auto"/>
              <w:jc w:val="center"/>
              <w:rPr>
                <w:rFonts w:hint="eastAsia" w:ascii="宋体" w:hAnsi="宋体"/>
                <w:szCs w:val="21"/>
              </w:rPr>
            </w:pPr>
            <w:r>
              <w:rPr>
                <w:rFonts w:hint="eastAsia" w:ascii="宋体" w:hAnsi="宋体"/>
                <w:szCs w:val="21"/>
              </w:rPr>
              <w:t>内容</w:t>
            </w:r>
          </w:p>
        </w:tc>
        <w:tc>
          <w:tcPr>
            <w:tcW w:w="2126" w:type="dxa"/>
            <w:noWrap w:val="0"/>
            <w:vAlign w:val="center"/>
          </w:tcPr>
          <w:p>
            <w:pPr>
              <w:spacing w:line="360" w:lineRule="auto"/>
              <w:jc w:val="center"/>
              <w:rPr>
                <w:rFonts w:hint="eastAsia" w:ascii="宋体" w:hAnsi="宋体"/>
                <w:szCs w:val="21"/>
              </w:rPr>
            </w:pPr>
            <w:r>
              <w:rPr>
                <w:rFonts w:hint="eastAsia" w:ascii="宋体" w:hAnsi="宋体"/>
                <w:szCs w:val="21"/>
              </w:rPr>
              <w:t>投标总价（元/年）</w:t>
            </w:r>
          </w:p>
        </w:tc>
        <w:tc>
          <w:tcPr>
            <w:tcW w:w="2835" w:type="dxa"/>
            <w:noWrap w:val="0"/>
            <w:vAlign w:val="center"/>
          </w:tcPr>
          <w:p>
            <w:pPr>
              <w:spacing w:line="360" w:lineRule="auto"/>
              <w:jc w:val="center"/>
              <w:rPr>
                <w:rFonts w:hint="eastAsia"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119" w:type="dxa"/>
            <w:noWrap w:val="0"/>
            <w:vAlign w:val="center"/>
          </w:tcPr>
          <w:p>
            <w:pPr>
              <w:spacing w:line="360" w:lineRule="auto"/>
              <w:jc w:val="center"/>
              <w:rPr>
                <w:rFonts w:hint="eastAsia" w:ascii="宋体" w:hAnsi="宋体"/>
              </w:rPr>
            </w:pPr>
            <w:r>
              <w:rPr>
                <w:rFonts w:hint="eastAsia" w:ascii="宋体" w:hAnsi="宋体"/>
              </w:rPr>
              <w:t>镇区保洁服务（包括道路保洁、绿化带保洁、果壳箱保洁、公厕保洁、牛皮癣清理）</w:t>
            </w:r>
          </w:p>
        </w:tc>
        <w:tc>
          <w:tcPr>
            <w:tcW w:w="2126" w:type="dxa"/>
            <w:noWrap w:val="0"/>
            <w:vAlign w:val="center"/>
          </w:tcPr>
          <w:p>
            <w:pPr>
              <w:spacing w:line="360" w:lineRule="auto"/>
              <w:jc w:val="right"/>
              <w:rPr>
                <w:rFonts w:hint="eastAsia" w:ascii="宋体" w:hAnsi="宋体"/>
                <w:szCs w:val="21"/>
              </w:rPr>
            </w:pPr>
          </w:p>
        </w:tc>
        <w:tc>
          <w:tcPr>
            <w:tcW w:w="2835" w:type="dxa"/>
            <w:vMerge w:val="restart"/>
            <w:noWrap w:val="0"/>
            <w:vAlign w:val="center"/>
          </w:tcPr>
          <w:p>
            <w:pPr>
              <w:spacing w:line="360" w:lineRule="auto"/>
              <w:jc w:val="center"/>
              <w:rPr>
                <w:rFonts w:hint="eastAsia" w:ascii="宋体" w:hAnsi="宋体"/>
                <w:szCs w:val="21"/>
              </w:rPr>
            </w:pPr>
            <w:r>
              <w:rPr>
                <w:rFonts w:hint="eastAsia" w:ascii="宋体" w:hAnsi="宋体"/>
                <w:szCs w:val="21"/>
              </w:rPr>
              <w:t>三</w:t>
            </w:r>
            <w:r>
              <w:rPr>
                <w:rFonts w:ascii="宋体" w:hAnsi="宋体"/>
                <w:szCs w:val="21"/>
              </w:rPr>
              <w:t>年，合同一年一签</w:t>
            </w:r>
            <w:r>
              <w:rPr>
                <w:rFonts w:hint="eastAsia" w:ascii="宋体" w:hAnsi="宋体"/>
                <w:szCs w:val="21"/>
              </w:rPr>
              <w:t>（经政府采购管理部门批准和招标人考核合格，双方同意后，续签下一年度的合同）</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119" w:type="dxa"/>
            <w:noWrap w:val="0"/>
            <w:vAlign w:val="center"/>
          </w:tcPr>
          <w:p>
            <w:pPr>
              <w:spacing w:line="360" w:lineRule="auto"/>
              <w:jc w:val="center"/>
              <w:rPr>
                <w:rFonts w:hint="eastAsia" w:ascii="宋体" w:hAnsi="宋体"/>
              </w:rPr>
            </w:pPr>
            <w:r>
              <w:rPr>
                <w:rFonts w:hint="eastAsia" w:ascii="宋体" w:hAnsi="宋体"/>
              </w:rPr>
              <w:t>全镇垃圾清运服务（日产日清）</w:t>
            </w:r>
          </w:p>
        </w:tc>
        <w:tc>
          <w:tcPr>
            <w:tcW w:w="2126" w:type="dxa"/>
            <w:noWrap w:val="0"/>
            <w:vAlign w:val="center"/>
          </w:tcPr>
          <w:p>
            <w:pPr>
              <w:spacing w:line="360" w:lineRule="auto"/>
              <w:jc w:val="right"/>
              <w:rPr>
                <w:rFonts w:hint="eastAsia" w:ascii="宋体" w:hAnsi="宋体"/>
                <w:szCs w:val="21"/>
              </w:rPr>
            </w:pPr>
          </w:p>
        </w:tc>
        <w:tc>
          <w:tcPr>
            <w:tcW w:w="2835"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119" w:type="dxa"/>
            <w:noWrap w:val="0"/>
            <w:vAlign w:val="center"/>
          </w:tcPr>
          <w:p>
            <w:pPr>
              <w:spacing w:line="360" w:lineRule="auto"/>
              <w:jc w:val="center"/>
              <w:rPr>
                <w:rFonts w:hint="eastAsia" w:ascii="宋体" w:hAnsi="宋体"/>
              </w:rPr>
            </w:pPr>
            <w:r>
              <w:rPr>
                <w:rFonts w:hint="eastAsia" w:ascii="宋体" w:hAnsi="宋体"/>
              </w:rPr>
              <w:t>中转站、垃圾分类站运营管理（含管理人员）</w:t>
            </w:r>
          </w:p>
        </w:tc>
        <w:tc>
          <w:tcPr>
            <w:tcW w:w="2126" w:type="dxa"/>
            <w:noWrap w:val="0"/>
            <w:vAlign w:val="center"/>
          </w:tcPr>
          <w:p>
            <w:pPr>
              <w:spacing w:line="360" w:lineRule="auto"/>
              <w:jc w:val="right"/>
              <w:rPr>
                <w:rFonts w:hint="eastAsia" w:ascii="宋体" w:hAnsi="宋体"/>
                <w:szCs w:val="21"/>
              </w:rPr>
            </w:pPr>
          </w:p>
        </w:tc>
        <w:tc>
          <w:tcPr>
            <w:tcW w:w="2835"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3119" w:type="dxa"/>
            <w:noWrap w:val="0"/>
            <w:vAlign w:val="center"/>
          </w:tcPr>
          <w:p>
            <w:pPr>
              <w:spacing w:line="400" w:lineRule="exact"/>
              <w:jc w:val="center"/>
              <w:rPr>
                <w:rFonts w:hint="eastAsia" w:ascii="宋体" w:hAnsi="宋体"/>
                <w:szCs w:val="21"/>
              </w:rPr>
            </w:pPr>
            <w:r>
              <w:rPr>
                <w:rFonts w:hint="eastAsia" w:ascii="宋体" w:hAnsi="宋体"/>
                <w:szCs w:val="21"/>
              </w:rPr>
              <w:t>单年合计（元/年）</w:t>
            </w:r>
          </w:p>
        </w:tc>
        <w:tc>
          <w:tcPr>
            <w:tcW w:w="4961"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3119" w:type="dxa"/>
            <w:noWrap w:val="0"/>
            <w:vAlign w:val="center"/>
          </w:tcPr>
          <w:p>
            <w:pPr>
              <w:spacing w:line="400" w:lineRule="exact"/>
              <w:jc w:val="center"/>
              <w:rPr>
                <w:rFonts w:hint="eastAsia" w:ascii="宋体" w:hAnsi="宋体"/>
                <w:szCs w:val="21"/>
              </w:rPr>
            </w:pPr>
            <w:r>
              <w:rPr>
                <w:rFonts w:hint="eastAsia" w:ascii="宋体" w:hAnsi="宋体"/>
                <w:szCs w:val="21"/>
              </w:rPr>
              <w:t>3年合计（元）</w:t>
            </w:r>
          </w:p>
        </w:tc>
        <w:tc>
          <w:tcPr>
            <w:tcW w:w="4961"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单年投标总价（大写）：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3年投标总价（大写）：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投标人声明：</w:t>
            </w:r>
          </w:p>
        </w:tc>
      </w:tr>
    </w:tbl>
    <w:p>
      <w:pPr>
        <w:spacing w:line="360" w:lineRule="auto"/>
        <w:rPr>
          <w:rFonts w:hint="eastAsia"/>
        </w:rPr>
      </w:pPr>
      <w:r>
        <w:rPr>
          <w:rFonts w:hint="eastAsia"/>
        </w:rPr>
        <w:t>注： 1、报价一经涂改，应在涂改处加盖单位公章或者由法定代表人或授权委托人签名或盖章，否则其投标作无效标处理。</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rPr>
      </w:pPr>
      <w:r>
        <w:br w:type="page"/>
      </w:r>
      <w:r>
        <w:rPr>
          <w:rFonts w:hint="eastAsia"/>
        </w:rPr>
        <w:t>4、中小企业声明函</w:t>
      </w:r>
    </w:p>
    <w:p>
      <w:pPr>
        <w:rPr>
          <w:rFonts w:hint="eastAsia"/>
        </w:rPr>
      </w:pPr>
    </w:p>
    <w:p>
      <w:pPr>
        <w:jc w:val="center"/>
        <w:rPr>
          <w:rFonts w:hint="eastAsia"/>
          <w:sz w:val="32"/>
          <w:szCs w:val="32"/>
        </w:rPr>
      </w:pPr>
      <w:r>
        <w:rPr>
          <w:rFonts w:hint="eastAsia"/>
          <w:sz w:val="32"/>
          <w:szCs w:val="32"/>
        </w:rPr>
        <w:t>中小企业</w:t>
      </w:r>
      <w:r>
        <w:rPr>
          <w:sz w:val="32"/>
          <w:szCs w:val="32"/>
        </w:rPr>
        <w:t>声明函</w:t>
      </w:r>
    </w:p>
    <w:p>
      <w:pPr>
        <w:rPr>
          <w:rFonts w:hint="eastAsia"/>
        </w:rPr>
      </w:pPr>
    </w:p>
    <w:p>
      <w:pPr>
        <w:spacing w:line="360" w:lineRule="auto"/>
        <w:ind w:firstLine="420" w:firstLineChars="200"/>
      </w:pPr>
      <w:r>
        <w:t>根据</w:t>
      </w:r>
      <w:r>
        <w:rPr>
          <w:rFonts w:hint="eastAsia"/>
        </w:rPr>
        <w:t>财政部</w:t>
      </w:r>
      <w:r>
        <w:t>《政府采购促进中小企业发展暂行办法》（财库</w:t>
      </w:r>
      <w:r>
        <w:rPr>
          <w:rFonts w:hint="eastAsia"/>
        </w:rPr>
        <w:t>〔</w:t>
      </w:r>
      <w:r>
        <w:t>2011</w:t>
      </w:r>
      <w:r>
        <w:rPr>
          <w:rFonts w:hint="eastAsia"/>
        </w:rPr>
        <w:t>〕</w:t>
      </w:r>
      <w:r>
        <w:t>181号）</w:t>
      </w:r>
      <w:r>
        <w:rPr>
          <w:rFonts w:hint="eastAsia"/>
        </w:rPr>
        <w:t>和宁波市财政局《关于政府采购促进中小企业发展若干问题的通知》（甬采购办〔</w:t>
      </w:r>
      <w:r>
        <w:t>201</w:t>
      </w:r>
      <w:r>
        <w:rPr>
          <w:rFonts w:hint="eastAsia"/>
        </w:rPr>
        <w:t>2〕1427号）的</w:t>
      </w:r>
      <w:r>
        <w:t>规定，本</w:t>
      </w:r>
      <w:r>
        <w:rPr>
          <w:rFonts w:hint="eastAsia"/>
        </w:rPr>
        <w:t>单位</w:t>
      </w:r>
      <w:r>
        <w:t>郑重声明：</w:t>
      </w:r>
    </w:p>
    <w:p>
      <w:pPr>
        <w:spacing w:line="360" w:lineRule="auto"/>
        <w:ind w:firstLine="420" w:firstLineChars="200"/>
        <w:rPr>
          <w:rFonts w:hint="eastAsia"/>
        </w:rPr>
      </w:pPr>
      <w:r>
        <w:t>1</w:t>
      </w:r>
      <w:r>
        <w:rPr>
          <w:rFonts w:hint="eastAsia"/>
        </w:rPr>
        <w:t>、依据</w:t>
      </w:r>
      <w:r>
        <w:t>工业和信息化部、国家统计局、国家发展和改革委员会、财政部《关于印发中小企业划型标准规定的通知》（工信部联企业</w:t>
      </w:r>
      <w:r>
        <w:rPr>
          <w:rFonts w:hint="eastAsia"/>
        </w:rPr>
        <w:t>〔</w:t>
      </w:r>
      <w:r>
        <w:t>2011</w:t>
      </w:r>
      <w:r>
        <w:rPr>
          <w:rFonts w:hint="eastAsia"/>
        </w:rPr>
        <w:t>〕</w:t>
      </w:r>
      <w:r>
        <w:t>300号）规定的划分标准，本</w:t>
      </w:r>
      <w:r>
        <w:rPr>
          <w:rFonts w:hint="eastAsia"/>
        </w:rPr>
        <w:t>单位</w:t>
      </w:r>
      <w:r>
        <w:t>为______（</w:t>
      </w:r>
      <w:r>
        <w:rPr>
          <w:rFonts w:hint="eastAsia"/>
        </w:rPr>
        <w:t>大型、</w:t>
      </w:r>
      <w:r>
        <w:t>中型、小型、微型</w:t>
      </w:r>
      <w:r>
        <w:rPr>
          <w:rFonts w:hint="eastAsia"/>
        </w:rPr>
        <w:t>、不划型</w:t>
      </w:r>
      <w:r>
        <w:t>）企业</w:t>
      </w:r>
      <w:r>
        <w:rPr>
          <w:rFonts w:hint="eastAsia"/>
        </w:rPr>
        <w:t>，其中所属行业为</w:t>
      </w:r>
      <w:r>
        <w:t>________________</w:t>
      </w:r>
      <w:r>
        <w:rPr>
          <w:rFonts w:hint="eastAsia"/>
        </w:rPr>
        <w:t>、上年末从业人员</w:t>
      </w:r>
      <w:r>
        <w:t>____</w:t>
      </w:r>
      <w:r>
        <w:rPr>
          <w:rFonts w:hint="eastAsia"/>
        </w:rPr>
        <w:t>人、上年营业收入</w:t>
      </w:r>
      <w:r>
        <w:t>____</w:t>
      </w:r>
      <w:r>
        <w:rPr>
          <w:rFonts w:hint="eastAsia"/>
        </w:rPr>
        <w:t>万元、上年资产总额</w:t>
      </w:r>
      <w:r>
        <w:t>____</w:t>
      </w:r>
      <w:r>
        <w:rPr>
          <w:rFonts w:hint="eastAsia"/>
        </w:rPr>
        <w:t>万元。</w:t>
      </w:r>
    </w:p>
    <w:p>
      <w:pPr>
        <w:spacing w:line="360" w:lineRule="auto"/>
        <w:ind w:firstLine="420" w:firstLineChars="200"/>
        <w:rPr>
          <w:rFonts w:hint="eastAsia"/>
        </w:rPr>
      </w:pPr>
      <w:r>
        <w:rPr>
          <w:rFonts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firstLineChars="200"/>
      </w:pPr>
      <w:r>
        <w:rPr>
          <w:rFonts w:hint="eastAsia"/>
        </w:rPr>
        <w:t>本公司对上述声明的真实性负责。如有虚假，将依法承担相应责任</w:t>
      </w:r>
      <w:r>
        <w:t> </w:t>
      </w:r>
    </w:p>
    <w:p>
      <w:pPr>
        <w:spacing w:line="360" w:lineRule="auto"/>
        <w:rPr>
          <w:rFonts w:hint="eastAsia"/>
        </w:rPr>
      </w:pPr>
      <w:r>
        <w:t>　　</w:t>
      </w:r>
      <w:r>
        <w:rPr>
          <w:rFonts w:hint="eastAsia"/>
        </w:rPr>
        <w:t xml:space="preserve">     </w:t>
      </w:r>
    </w:p>
    <w:p>
      <w:pPr>
        <w:spacing w:line="360" w:lineRule="auto"/>
        <w:rPr>
          <w:rFonts w:hint="eastAsia"/>
        </w:rPr>
      </w:pPr>
    </w:p>
    <w:p>
      <w:pPr>
        <w:spacing w:line="360" w:lineRule="auto"/>
        <w:rPr>
          <w:rFonts w:hint="eastAsia"/>
        </w:rPr>
      </w:pPr>
    </w:p>
    <w:p>
      <w:pPr>
        <w:spacing w:line="360" w:lineRule="auto"/>
        <w:ind w:firstLine="3150" w:firstLineChars="1500"/>
      </w:pPr>
      <w:r>
        <w:rPr>
          <w:rFonts w:hint="eastAsia"/>
        </w:rPr>
        <w:t xml:space="preserve"> 投标单位</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jc w:val="center"/>
        <w:rPr>
          <w:rFonts w:hint="eastAsia"/>
          <w:sz w:val="32"/>
          <w:szCs w:val="32"/>
        </w:rPr>
      </w:pPr>
    </w:p>
    <w:p>
      <w:pPr>
        <w:jc w:val="center"/>
        <w:rPr>
          <w:sz w:val="32"/>
          <w:szCs w:val="32"/>
        </w:rPr>
      </w:pPr>
      <w:r>
        <w:rPr>
          <w:rFonts w:hint="eastAsia"/>
          <w:sz w:val="32"/>
          <w:szCs w:val="32"/>
        </w:rPr>
        <w:t>残疾人福利性单位声明函</w:t>
      </w:r>
    </w:p>
    <w:p>
      <w:pPr>
        <w:spacing w:line="588" w:lineRule="exact"/>
        <w:rPr>
          <w:rFonts w:ascii="仿宋_GB2312" w:eastAsia="仿宋_GB2312"/>
          <w:b/>
          <w:spacing w:val="6"/>
          <w:sz w:val="30"/>
          <w:szCs w:val="30"/>
        </w:rPr>
      </w:pPr>
    </w:p>
    <w:p>
      <w:pPr>
        <w:spacing w:line="360" w:lineRule="auto"/>
        <w:ind w:firstLine="420" w:firstLineChars="200"/>
      </w:pPr>
      <w:r>
        <w:rPr>
          <w:rFonts w:hint="eastAsia"/>
        </w:rPr>
        <w:t>本单位郑重声明，根据《财政部 民政部 中国残疾人联合会关于促进残疾人就业政府采购政策的通知》（财库〔2017〕141</w:t>
      </w:r>
      <w:bookmarkStart w:id="79" w:name="_GoBack"/>
      <w:bookmarkEnd w:id="79"/>
      <w:r>
        <w:rPr>
          <w:rFonts w:hint="eastAsia"/>
        </w:rPr>
        <w:t>号）的规定，本单位为符合条件的残疾人福利性单位，且本单位参加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pPr>
      <w:r>
        <w:rPr>
          <w:rFonts w:hint="eastAsia"/>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spacing w:line="360" w:lineRule="auto"/>
        <w:ind w:firstLine="3150" w:firstLineChars="1500"/>
      </w:pPr>
      <w:r>
        <w:rPr>
          <w:rFonts w:hint="eastAsia"/>
        </w:rPr>
        <w:t>投标人</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rPr>
          <w:rFonts w:hint="eastAsia"/>
        </w:rPr>
      </w:pPr>
    </w:p>
    <w:p>
      <w:pPr>
        <w:rPr>
          <w:rFonts w:hint="eastAsia"/>
        </w:rPr>
      </w:pPr>
    </w:p>
    <w:p>
      <w:pPr>
        <w:rPr>
          <w:rFonts w:hint="eastAsia"/>
        </w:rPr>
      </w:pPr>
    </w:p>
    <w:p>
      <w:pPr>
        <w:jc w:val="center"/>
        <w:rPr>
          <w:b/>
          <w:sz w:val="32"/>
          <w:szCs w:val="32"/>
        </w:rPr>
      </w:pPr>
      <w:r>
        <w:rPr>
          <w:b/>
          <w:sz w:val="32"/>
          <w:szCs w:val="32"/>
        </w:rPr>
        <w:br w:type="page"/>
      </w:r>
      <w:r>
        <w:rPr>
          <w:rFonts w:hint="eastAsia"/>
          <w:b/>
          <w:sz w:val="32"/>
          <w:szCs w:val="32"/>
        </w:rPr>
        <w:t>附件：政府采购统计基础信息表</w:t>
      </w:r>
    </w:p>
    <w:tbl>
      <w:tblPr>
        <w:tblStyle w:val="35"/>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wBefore w:w="0" w:type="dxa"/>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备注：请各投标人务必填写此表作为投标文件的组成部分。</w:t>
      </w:r>
    </w:p>
    <w:p>
      <w:pPr>
        <w:rPr>
          <w:rFonts w:hint="eastAsia"/>
        </w:rPr>
      </w:pPr>
    </w:p>
    <w:p>
      <w:pPr>
        <w:rPr>
          <w:rFonts w:hint="eastAsia"/>
        </w:rPr>
      </w:pPr>
    </w:p>
    <w:p>
      <w:pPr>
        <w:ind w:firstLine="3255" w:firstLineChars="1550"/>
      </w:pPr>
      <w:r>
        <w:rPr>
          <w:rFonts w:hint="eastAsia"/>
        </w:rPr>
        <w:t>法定代表人或授权代表（签字或盖章）：</w:t>
      </w:r>
      <w:r>
        <w:t xml:space="preserve">                    </w:t>
      </w:r>
    </w:p>
    <w:p>
      <w:pPr>
        <w:rPr>
          <w:rFonts w:hint="eastAsia"/>
        </w:rPr>
      </w:pPr>
      <w:r>
        <w:rPr>
          <w:rFonts w:hint="eastAsia"/>
        </w:rPr>
        <w:t xml:space="preserve"> </w:t>
      </w:r>
    </w:p>
    <w:p>
      <w:pPr>
        <w:ind w:firstLine="3255" w:firstLineChars="1550"/>
        <w:rPr>
          <w:rFonts w:hint="eastAsia"/>
        </w:rPr>
      </w:pPr>
      <w:r>
        <w:rPr>
          <w:rFonts w:hint="eastAsia"/>
        </w:rPr>
        <w:t>投标人名称（加盖）：</w:t>
      </w:r>
      <w:r>
        <w:t xml:space="preserve">                         </w:t>
      </w:r>
      <w:r>
        <w:rPr>
          <w:rFonts w:hint="eastAsia"/>
        </w:rPr>
        <w:t xml:space="preserve">          </w:t>
      </w:r>
      <w:r>
        <w:t xml:space="preserve"> </w:t>
      </w:r>
    </w:p>
    <w:p>
      <w:pPr>
        <w:rPr>
          <w:rFonts w:hint="eastAsia"/>
        </w:rPr>
      </w:pPr>
      <w:r>
        <w:t xml:space="preserve"> </w:t>
      </w:r>
    </w:p>
    <w:p>
      <w:pPr>
        <w:ind w:firstLine="3360" w:firstLineChars="160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sectPr>
      <w:headerReference r:id="rId3" w:type="default"/>
      <w:footerReference r:id="rId4" w:type="default"/>
      <w:footerReference r:id="rId5" w:type="even"/>
      <w:pgSz w:w="11906" w:h="16838"/>
      <w:pgMar w:top="1418" w:right="1287" w:bottom="1134" w:left="1622"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sz w:val="21"/>
        <w:szCs w:val="21"/>
      </w:rPr>
    </w:pPr>
    <w:r>
      <w:rPr>
        <w:rStyle w:val="39"/>
        <w:rFonts w:hint="eastAsia"/>
        <w:sz w:val="21"/>
        <w:szCs w:val="21"/>
      </w:rPr>
      <w:t xml:space="preserve">— </w:t>
    </w: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lang/>
      </w:rPr>
      <w:t>1</w:t>
    </w:r>
    <w:r>
      <w:rPr>
        <w:sz w:val="21"/>
        <w:szCs w:val="21"/>
      </w:rPr>
      <w:fldChar w:fldCharType="end"/>
    </w:r>
    <w:r>
      <w:rPr>
        <w:rStyle w:val="39"/>
        <w:rFonts w:hint="eastAsia"/>
        <w:sz w:val="21"/>
        <w:szCs w:val="21"/>
      </w:rPr>
      <w:t xml:space="preserve"> —</w:t>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7"/>
      <w:lvlText w:val="%1."/>
      <w:lvlJc w:val="left"/>
      <w:pPr>
        <w:tabs>
          <w:tab w:val="left" w:pos="1200"/>
        </w:tabs>
        <w:ind w:left="1200" w:hanging="360"/>
      </w:pPr>
    </w:lvl>
  </w:abstractNum>
  <w:abstractNum w:abstractNumId="1">
    <w:nsid w:val="6E6F60E9"/>
    <w:multiLevelType w:val="multilevel"/>
    <w:tmpl w:val="6E6F60E9"/>
    <w:lvl w:ilvl="0" w:tentative="0">
      <w:start w:val="1"/>
      <w:numFmt w:val="decimal"/>
      <w:pStyle w:val="70"/>
      <w:lvlText w:val="%1"/>
      <w:lvlJc w:val="left"/>
      <w:pPr>
        <w:ind w:left="432" w:hanging="432"/>
      </w:pPr>
    </w:lvl>
    <w:lvl w:ilvl="1" w:tentative="0">
      <w:start w:val="1"/>
      <w:numFmt w:val="decimal"/>
      <w:pStyle w:val="74"/>
      <w:lvlText w:val="%1.%2"/>
      <w:lvlJc w:val="left"/>
      <w:pPr>
        <w:ind w:left="576" w:hanging="576"/>
      </w:pPr>
    </w:lvl>
    <w:lvl w:ilvl="2" w:tentative="0">
      <w:start w:val="1"/>
      <w:numFmt w:val="decimal"/>
      <w:pStyle w:val="46"/>
      <w:lvlText w:val="%1.%2.%3"/>
      <w:lvlJc w:val="left"/>
      <w:pPr>
        <w:ind w:left="720" w:hanging="720"/>
      </w:pPr>
    </w:lvl>
    <w:lvl w:ilvl="3" w:tentative="0">
      <w:start w:val="1"/>
      <w:numFmt w:val="decimal"/>
      <w:pStyle w:val="82"/>
      <w:lvlText w:val="%1.%2.%3.%4"/>
      <w:lvlJc w:val="left"/>
      <w:pPr>
        <w:ind w:left="864" w:hanging="864"/>
      </w:pPr>
    </w:lvl>
    <w:lvl w:ilvl="4" w:tentative="0">
      <w:start w:val="1"/>
      <w:numFmt w:val="decimal"/>
      <w:pStyle w:val="69"/>
      <w:lvlText w:val="%1.%2.%3.%4.%5"/>
      <w:lvlJc w:val="left"/>
      <w:pPr>
        <w:ind w:left="1008" w:hanging="1008"/>
      </w:pPr>
    </w:lvl>
    <w:lvl w:ilvl="5" w:tentative="0">
      <w:start w:val="1"/>
      <w:numFmt w:val="decimal"/>
      <w:pStyle w:val="58"/>
      <w:lvlText w:val="%1.%2.%3.%4.%5.%6"/>
      <w:lvlJc w:val="left"/>
      <w:pPr>
        <w:ind w:left="1152" w:hanging="1152"/>
      </w:pPr>
    </w:lvl>
    <w:lvl w:ilvl="6" w:tentative="0">
      <w:start w:val="1"/>
      <w:numFmt w:val="decimal"/>
      <w:pStyle w:val="63"/>
      <w:lvlText w:val="%1.%2.%3.%4.%5.%6.%7"/>
      <w:lvlJc w:val="left"/>
      <w:pPr>
        <w:ind w:left="1296" w:hanging="1296"/>
      </w:pPr>
    </w:lvl>
    <w:lvl w:ilvl="7" w:tentative="0">
      <w:start w:val="1"/>
      <w:numFmt w:val="decimal"/>
      <w:pStyle w:val="80"/>
      <w:lvlText w:val="%1.%2.%3.%4.%5.%6.%7.%8"/>
      <w:lvlJc w:val="left"/>
      <w:pPr>
        <w:ind w:left="1440" w:hanging="1440"/>
      </w:pPr>
    </w:lvl>
    <w:lvl w:ilvl="8" w:tentative="0">
      <w:start w:val="1"/>
      <w:numFmt w:val="decimal"/>
      <w:pStyle w:val="73"/>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0F"/>
    <w:rsid w:val="000008DE"/>
    <w:rsid w:val="00000C48"/>
    <w:rsid w:val="00003C1E"/>
    <w:rsid w:val="00006127"/>
    <w:rsid w:val="00006D74"/>
    <w:rsid w:val="00006F92"/>
    <w:rsid w:val="0000721E"/>
    <w:rsid w:val="00007389"/>
    <w:rsid w:val="00010422"/>
    <w:rsid w:val="00010983"/>
    <w:rsid w:val="0001273B"/>
    <w:rsid w:val="000142D0"/>
    <w:rsid w:val="00014A1C"/>
    <w:rsid w:val="0001583D"/>
    <w:rsid w:val="000179D6"/>
    <w:rsid w:val="00017F8C"/>
    <w:rsid w:val="00021E86"/>
    <w:rsid w:val="00022439"/>
    <w:rsid w:val="0002249D"/>
    <w:rsid w:val="000231E3"/>
    <w:rsid w:val="000252E2"/>
    <w:rsid w:val="00026A0D"/>
    <w:rsid w:val="0002736B"/>
    <w:rsid w:val="00027F96"/>
    <w:rsid w:val="00030D1D"/>
    <w:rsid w:val="000319E9"/>
    <w:rsid w:val="00031F97"/>
    <w:rsid w:val="00032495"/>
    <w:rsid w:val="000340AC"/>
    <w:rsid w:val="00037C3E"/>
    <w:rsid w:val="00041521"/>
    <w:rsid w:val="000474AF"/>
    <w:rsid w:val="00047832"/>
    <w:rsid w:val="0005083F"/>
    <w:rsid w:val="0005123D"/>
    <w:rsid w:val="00061D18"/>
    <w:rsid w:val="00063310"/>
    <w:rsid w:val="00066618"/>
    <w:rsid w:val="00070991"/>
    <w:rsid w:val="00072D59"/>
    <w:rsid w:val="00073C3C"/>
    <w:rsid w:val="00073C79"/>
    <w:rsid w:val="00075660"/>
    <w:rsid w:val="00075EE5"/>
    <w:rsid w:val="000773B8"/>
    <w:rsid w:val="00077A3D"/>
    <w:rsid w:val="00077F1E"/>
    <w:rsid w:val="00080D89"/>
    <w:rsid w:val="00082708"/>
    <w:rsid w:val="00084B01"/>
    <w:rsid w:val="00084E51"/>
    <w:rsid w:val="0008509E"/>
    <w:rsid w:val="000869F2"/>
    <w:rsid w:val="00090BC0"/>
    <w:rsid w:val="000942D7"/>
    <w:rsid w:val="00094B95"/>
    <w:rsid w:val="0009763E"/>
    <w:rsid w:val="000A1B52"/>
    <w:rsid w:val="000A525F"/>
    <w:rsid w:val="000A5CAF"/>
    <w:rsid w:val="000A672C"/>
    <w:rsid w:val="000A79F1"/>
    <w:rsid w:val="000B16A0"/>
    <w:rsid w:val="000B32EC"/>
    <w:rsid w:val="000B4574"/>
    <w:rsid w:val="000B61AD"/>
    <w:rsid w:val="000B79D8"/>
    <w:rsid w:val="000C00E7"/>
    <w:rsid w:val="000C05A5"/>
    <w:rsid w:val="000D1934"/>
    <w:rsid w:val="000D4B83"/>
    <w:rsid w:val="000D54BB"/>
    <w:rsid w:val="000D693F"/>
    <w:rsid w:val="000E4555"/>
    <w:rsid w:val="000E4F83"/>
    <w:rsid w:val="000E6742"/>
    <w:rsid w:val="000E7E82"/>
    <w:rsid w:val="000F17C8"/>
    <w:rsid w:val="000F17E4"/>
    <w:rsid w:val="000F27DD"/>
    <w:rsid w:val="000F3862"/>
    <w:rsid w:val="000F53E7"/>
    <w:rsid w:val="000F59A4"/>
    <w:rsid w:val="000F639B"/>
    <w:rsid w:val="000F65DF"/>
    <w:rsid w:val="000F6A8A"/>
    <w:rsid w:val="000F7B7C"/>
    <w:rsid w:val="00101F90"/>
    <w:rsid w:val="00103975"/>
    <w:rsid w:val="00103B6D"/>
    <w:rsid w:val="00103EDA"/>
    <w:rsid w:val="001040A3"/>
    <w:rsid w:val="00104CD9"/>
    <w:rsid w:val="00105EFF"/>
    <w:rsid w:val="00106267"/>
    <w:rsid w:val="0010643B"/>
    <w:rsid w:val="0011013A"/>
    <w:rsid w:val="0011077D"/>
    <w:rsid w:val="00112BE7"/>
    <w:rsid w:val="00116910"/>
    <w:rsid w:val="0012293C"/>
    <w:rsid w:val="00123AA2"/>
    <w:rsid w:val="001244A5"/>
    <w:rsid w:val="00124910"/>
    <w:rsid w:val="00125C98"/>
    <w:rsid w:val="00125CE6"/>
    <w:rsid w:val="00126E32"/>
    <w:rsid w:val="001277CC"/>
    <w:rsid w:val="00130312"/>
    <w:rsid w:val="0013135F"/>
    <w:rsid w:val="00131629"/>
    <w:rsid w:val="001334C4"/>
    <w:rsid w:val="00133BBD"/>
    <w:rsid w:val="00133F7E"/>
    <w:rsid w:val="00134CA3"/>
    <w:rsid w:val="0013775F"/>
    <w:rsid w:val="00140DEF"/>
    <w:rsid w:val="001419AB"/>
    <w:rsid w:val="00143779"/>
    <w:rsid w:val="001442B5"/>
    <w:rsid w:val="0014736F"/>
    <w:rsid w:val="0015277D"/>
    <w:rsid w:val="00152FCF"/>
    <w:rsid w:val="0015348E"/>
    <w:rsid w:val="00155752"/>
    <w:rsid w:val="0015620F"/>
    <w:rsid w:val="001610C5"/>
    <w:rsid w:val="00161CCC"/>
    <w:rsid w:val="00161E20"/>
    <w:rsid w:val="00162124"/>
    <w:rsid w:val="00162BB6"/>
    <w:rsid w:val="0016355B"/>
    <w:rsid w:val="00163929"/>
    <w:rsid w:val="0016438A"/>
    <w:rsid w:val="00164AD3"/>
    <w:rsid w:val="00164C1F"/>
    <w:rsid w:val="001650E4"/>
    <w:rsid w:val="00165470"/>
    <w:rsid w:val="00171C75"/>
    <w:rsid w:val="00173343"/>
    <w:rsid w:val="001754CD"/>
    <w:rsid w:val="0017565A"/>
    <w:rsid w:val="00176BC3"/>
    <w:rsid w:val="001839DA"/>
    <w:rsid w:val="001853B8"/>
    <w:rsid w:val="00194483"/>
    <w:rsid w:val="001948CF"/>
    <w:rsid w:val="00194D65"/>
    <w:rsid w:val="00195761"/>
    <w:rsid w:val="001969C2"/>
    <w:rsid w:val="00196ABC"/>
    <w:rsid w:val="001972C1"/>
    <w:rsid w:val="001A1D81"/>
    <w:rsid w:val="001A38E9"/>
    <w:rsid w:val="001A475F"/>
    <w:rsid w:val="001A7DD6"/>
    <w:rsid w:val="001B0ABD"/>
    <w:rsid w:val="001B1A85"/>
    <w:rsid w:val="001B3E34"/>
    <w:rsid w:val="001B47AC"/>
    <w:rsid w:val="001B4B1E"/>
    <w:rsid w:val="001B62D9"/>
    <w:rsid w:val="001C08B6"/>
    <w:rsid w:val="001C0D31"/>
    <w:rsid w:val="001C0E27"/>
    <w:rsid w:val="001C132A"/>
    <w:rsid w:val="001C2474"/>
    <w:rsid w:val="001C3957"/>
    <w:rsid w:val="001C6EF5"/>
    <w:rsid w:val="001C7E6C"/>
    <w:rsid w:val="001D1A8D"/>
    <w:rsid w:val="001D2346"/>
    <w:rsid w:val="001D495A"/>
    <w:rsid w:val="001D4A79"/>
    <w:rsid w:val="001D6262"/>
    <w:rsid w:val="001E0775"/>
    <w:rsid w:val="001E0919"/>
    <w:rsid w:val="001E1832"/>
    <w:rsid w:val="001E5815"/>
    <w:rsid w:val="001E593B"/>
    <w:rsid w:val="001E5B49"/>
    <w:rsid w:val="001F128D"/>
    <w:rsid w:val="001F23FA"/>
    <w:rsid w:val="001F2774"/>
    <w:rsid w:val="001F3CCE"/>
    <w:rsid w:val="001F55D5"/>
    <w:rsid w:val="001F69ED"/>
    <w:rsid w:val="00200214"/>
    <w:rsid w:val="00204EE2"/>
    <w:rsid w:val="002058ED"/>
    <w:rsid w:val="0021117C"/>
    <w:rsid w:val="00214966"/>
    <w:rsid w:val="00221061"/>
    <w:rsid w:val="00222149"/>
    <w:rsid w:val="00222621"/>
    <w:rsid w:val="0022389F"/>
    <w:rsid w:val="00224AEB"/>
    <w:rsid w:val="002264BD"/>
    <w:rsid w:val="00230D85"/>
    <w:rsid w:val="00231A5B"/>
    <w:rsid w:val="002326C8"/>
    <w:rsid w:val="00233D60"/>
    <w:rsid w:val="00234D6F"/>
    <w:rsid w:val="002353A4"/>
    <w:rsid w:val="0023571A"/>
    <w:rsid w:val="00235913"/>
    <w:rsid w:val="00235A15"/>
    <w:rsid w:val="00235AFC"/>
    <w:rsid w:val="00236412"/>
    <w:rsid w:val="00242CE2"/>
    <w:rsid w:val="00242D7D"/>
    <w:rsid w:val="002438F1"/>
    <w:rsid w:val="00243C07"/>
    <w:rsid w:val="00245C0C"/>
    <w:rsid w:val="002465ED"/>
    <w:rsid w:val="00250E75"/>
    <w:rsid w:val="00252E84"/>
    <w:rsid w:val="00253395"/>
    <w:rsid w:val="00255C09"/>
    <w:rsid w:val="00256EBE"/>
    <w:rsid w:val="002571EE"/>
    <w:rsid w:val="00257B2A"/>
    <w:rsid w:val="0026032E"/>
    <w:rsid w:val="00260A62"/>
    <w:rsid w:val="00261B32"/>
    <w:rsid w:val="002620DD"/>
    <w:rsid w:val="00263477"/>
    <w:rsid w:val="00264514"/>
    <w:rsid w:val="0026513B"/>
    <w:rsid w:val="002657F4"/>
    <w:rsid w:val="002662AB"/>
    <w:rsid w:val="00266BEC"/>
    <w:rsid w:val="00271309"/>
    <w:rsid w:val="00273266"/>
    <w:rsid w:val="002767C0"/>
    <w:rsid w:val="00281643"/>
    <w:rsid w:val="00281676"/>
    <w:rsid w:val="0028210B"/>
    <w:rsid w:val="00284B59"/>
    <w:rsid w:val="00285737"/>
    <w:rsid w:val="002860A1"/>
    <w:rsid w:val="002905E8"/>
    <w:rsid w:val="0029170B"/>
    <w:rsid w:val="00292D84"/>
    <w:rsid w:val="00293326"/>
    <w:rsid w:val="00294829"/>
    <w:rsid w:val="002A035E"/>
    <w:rsid w:val="002A29CA"/>
    <w:rsid w:val="002A5A72"/>
    <w:rsid w:val="002A6D37"/>
    <w:rsid w:val="002A70D4"/>
    <w:rsid w:val="002B097C"/>
    <w:rsid w:val="002B34BA"/>
    <w:rsid w:val="002B4A52"/>
    <w:rsid w:val="002B5E0C"/>
    <w:rsid w:val="002C0098"/>
    <w:rsid w:val="002C02A3"/>
    <w:rsid w:val="002C07BA"/>
    <w:rsid w:val="002C79B7"/>
    <w:rsid w:val="002D0C58"/>
    <w:rsid w:val="002D171A"/>
    <w:rsid w:val="002D3478"/>
    <w:rsid w:val="002D3CCA"/>
    <w:rsid w:val="002D43ED"/>
    <w:rsid w:val="002D72AA"/>
    <w:rsid w:val="002D7CF9"/>
    <w:rsid w:val="002E0E81"/>
    <w:rsid w:val="002E19A9"/>
    <w:rsid w:val="002E22F8"/>
    <w:rsid w:val="002E2BEB"/>
    <w:rsid w:val="002E2C94"/>
    <w:rsid w:val="002E5060"/>
    <w:rsid w:val="002E6239"/>
    <w:rsid w:val="002E77FB"/>
    <w:rsid w:val="002F1257"/>
    <w:rsid w:val="002F2825"/>
    <w:rsid w:val="002F35DE"/>
    <w:rsid w:val="002F3AB9"/>
    <w:rsid w:val="002F6C03"/>
    <w:rsid w:val="002F6F65"/>
    <w:rsid w:val="002F7100"/>
    <w:rsid w:val="0030042C"/>
    <w:rsid w:val="00304795"/>
    <w:rsid w:val="0030538E"/>
    <w:rsid w:val="00305772"/>
    <w:rsid w:val="00313537"/>
    <w:rsid w:val="00315E51"/>
    <w:rsid w:val="00317CDE"/>
    <w:rsid w:val="00317FC0"/>
    <w:rsid w:val="00320486"/>
    <w:rsid w:val="00320E59"/>
    <w:rsid w:val="00321045"/>
    <w:rsid w:val="003267E9"/>
    <w:rsid w:val="00330A00"/>
    <w:rsid w:val="00330BE3"/>
    <w:rsid w:val="003314F1"/>
    <w:rsid w:val="00331D6C"/>
    <w:rsid w:val="00334EE7"/>
    <w:rsid w:val="00335C63"/>
    <w:rsid w:val="00341EBC"/>
    <w:rsid w:val="00345FC7"/>
    <w:rsid w:val="00346C35"/>
    <w:rsid w:val="0035041A"/>
    <w:rsid w:val="003516DE"/>
    <w:rsid w:val="00352A36"/>
    <w:rsid w:val="00353252"/>
    <w:rsid w:val="0035550E"/>
    <w:rsid w:val="00355A8E"/>
    <w:rsid w:val="00362A50"/>
    <w:rsid w:val="00362C86"/>
    <w:rsid w:val="0036431A"/>
    <w:rsid w:val="003653D4"/>
    <w:rsid w:val="00367FF0"/>
    <w:rsid w:val="00370AB7"/>
    <w:rsid w:val="003726E2"/>
    <w:rsid w:val="003733DD"/>
    <w:rsid w:val="00375324"/>
    <w:rsid w:val="003765F2"/>
    <w:rsid w:val="003848E6"/>
    <w:rsid w:val="0038495A"/>
    <w:rsid w:val="003900A5"/>
    <w:rsid w:val="00390322"/>
    <w:rsid w:val="003910FC"/>
    <w:rsid w:val="00391217"/>
    <w:rsid w:val="0039280F"/>
    <w:rsid w:val="00394778"/>
    <w:rsid w:val="00394FC8"/>
    <w:rsid w:val="0039657F"/>
    <w:rsid w:val="00396890"/>
    <w:rsid w:val="00396994"/>
    <w:rsid w:val="00397313"/>
    <w:rsid w:val="003A124C"/>
    <w:rsid w:val="003A4457"/>
    <w:rsid w:val="003A4720"/>
    <w:rsid w:val="003A6AF3"/>
    <w:rsid w:val="003A6EC8"/>
    <w:rsid w:val="003A7DF4"/>
    <w:rsid w:val="003B6719"/>
    <w:rsid w:val="003B6C15"/>
    <w:rsid w:val="003C1825"/>
    <w:rsid w:val="003C1E61"/>
    <w:rsid w:val="003C6863"/>
    <w:rsid w:val="003C74B1"/>
    <w:rsid w:val="003D08E8"/>
    <w:rsid w:val="003D1A64"/>
    <w:rsid w:val="003D50D2"/>
    <w:rsid w:val="003D51B0"/>
    <w:rsid w:val="003D56FE"/>
    <w:rsid w:val="003D5A06"/>
    <w:rsid w:val="003D717B"/>
    <w:rsid w:val="003E03A4"/>
    <w:rsid w:val="003E10AB"/>
    <w:rsid w:val="003F01A5"/>
    <w:rsid w:val="003F1163"/>
    <w:rsid w:val="003F1B15"/>
    <w:rsid w:val="003F2392"/>
    <w:rsid w:val="003F2CBD"/>
    <w:rsid w:val="003F52B9"/>
    <w:rsid w:val="003F658B"/>
    <w:rsid w:val="003F7FE9"/>
    <w:rsid w:val="004001BB"/>
    <w:rsid w:val="00400445"/>
    <w:rsid w:val="0040057E"/>
    <w:rsid w:val="004006BA"/>
    <w:rsid w:val="00402D8D"/>
    <w:rsid w:val="004071DF"/>
    <w:rsid w:val="00407B59"/>
    <w:rsid w:val="00411B6E"/>
    <w:rsid w:val="004127AD"/>
    <w:rsid w:val="00414255"/>
    <w:rsid w:val="004169BC"/>
    <w:rsid w:val="0042112E"/>
    <w:rsid w:val="00422EBC"/>
    <w:rsid w:val="004231B6"/>
    <w:rsid w:val="004244AE"/>
    <w:rsid w:val="00432464"/>
    <w:rsid w:val="00432F6F"/>
    <w:rsid w:val="0043511D"/>
    <w:rsid w:val="0043745A"/>
    <w:rsid w:val="004375DC"/>
    <w:rsid w:val="00440706"/>
    <w:rsid w:val="00442A4A"/>
    <w:rsid w:val="00442A60"/>
    <w:rsid w:val="00442F9C"/>
    <w:rsid w:val="00445F1F"/>
    <w:rsid w:val="00446137"/>
    <w:rsid w:val="00447232"/>
    <w:rsid w:val="004479F8"/>
    <w:rsid w:val="00447E72"/>
    <w:rsid w:val="00454C30"/>
    <w:rsid w:val="004555AC"/>
    <w:rsid w:val="00455617"/>
    <w:rsid w:val="00455CD0"/>
    <w:rsid w:val="0046035B"/>
    <w:rsid w:val="004608F5"/>
    <w:rsid w:val="004631EE"/>
    <w:rsid w:val="00466532"/>
    <w:rsid w:val="00474B93"/>
    <w:rsid w:val="004760BB"/>
    <w:rsid w:val="004802CD"/>
    <w:rsid w:val="00480E44"/>
    <w:rsid w:val="004817A4"/>
    <w:rsid w:val="00481931"/>
    <w:rsid w:val="0048286C"/>
    <w:rsid w:val="00483B06"/>
    <w:rsid w:val="00484367"/>
    <w:rsid w:val="0048677D"/>
    <w:rsid w:val="004868B3"/>
    <w:rsid w:val="00486FA1"/>
    <w:rsid w:val="0049060E"/>
    <w:rsid w:val="00493F36"/>
    <w:rsid w:val="00494550"/>
    <w:rsid w:val="0049500F"/>
    <w:rsid w:val="00495326"/>
    <w:rsid w:val="004958EA"/>
    <w:rsid w:val="0049621E"/>
    <w:rsid w:val="00496B79"/>
    <w:rsid w:val="00496E95"/>
    <w:rsid w:val="004971A2"/>
    <w:rsid w:val="00497D59"/>
    <w:rsid w:val="004A2DF2"/>
    <w:rsid w:val="004A32FA"/>
    <w:rsid w:val="004A36E3"/>
    <w:rsid w:val="004A40BC"/>
    <w:rsid w:val="004B0233"/>
    <w:rsid w:val="004B10D4"/>
    <w:rsid w:val="004B2D08"/>
    <w:rsid w:val="004B422C"/>
    <w:rsid w:val="004B4A2E"/>
    <w:rsid w:val="004B4CF3"/>
    <w:rsid w:val="004B60EA"/>
    <w:rsid w:val="004B68B9"/>
    <w:rsid w:val="004B75EB"/>
    <w:rsid w:val="004B7983"/>
    <w:rsid w:val="004C30C9"/>
    <w:rsid w:val="004C30DD"/>
    <w:rsid w:val="004C323F"/>
    <w:rsid w:val="004C329F"/>
    <w:rsid w:val="004C3534"/>
    <w:rsid w:val="004C3DBC"/>
    <w:rsid w:val="004C609C"/>
    <w:rsid w:val="004C6ACE"/>
    <w:rsid w:val="004C7057"/>
    <w:rsid w:val="004D2C25"/>
    <w:rsid w:val="004D2D96"/>
    <w:rsid w:val="004D2F6B"/>
    <w:rsid w:val="004D4421"/>
    <w:rsid w:val="004D4B2B"/>
    <w:rsid w:val="004D5668"/>
    <w:rsid w:val="004D5F3A"/>
    <w:rsid w:val="004E2C6B"/>
    <w:rsid w:val="004E2D7F"/>
    <w:rsid w:val="004E32D3"/>
    <w:rsid w:val="004E3DB8"/>
    <w:rsid w:val="004E4A59"/>
    <w:rsid w:val="004E544F"/>
    <w:rsid w:val="004F1C61"/>
    <w:rsid w:val="004F20DD"/>
    <w:rsid w:val="004F3CF6"/>
    <w:rsid w:val="004F5000"/>
    <w:rsid w:val="00500A47"/>
    <w:rsid w:val="005011AE"/>
    <w:rsid w:val="00503050"/>
    <w:rsid w:val="00511798"/>
    <w:rsid w:val="00512389"/>
    <w:rsid w:val="00512448"/>
    <w:rsid w:val="005133A7"/>
    <w:rsid w:val="00514E41"/>
    <w:rsid w:val="00515CCF"/>
    <w:rsid w:val="005176B3"/>
    <w:rsid w:val="005238DD"/>
    <w:rsid w:val="00523B87"/>
    <w:rsid w:val="005242A9"/>
    <w:rsid w:val="005251A8"/>
    <w:rsid w:val="005252A2"/>
    <w:rsid w:val="00527D90"/>
    <w:rsid w:val="005305B6"/>
    <w:rsid w:val="00531EAB"/>
    <w:rsid w:val="0053286A"/>
    <w:rsid w:val="00534F21"/>
    <w:rsid w:val="00535279"/>
    <w:rsid w:val="005363C0"/>
    <w:rsid w:val="00536424"/>
    <w:rsid w:val="00536DEF"/>
    <w:rsid w:val="00541C6D"/>
    <w:rsid w:val="00543C3A"/>
    <w:rsid w:val="00550301"/>
    <w:rsid w:val="00550E4E"/>
    <w:rsid w:val="00551DC7"/>
    <w:rsid w:val="00551E74"/>
    <w:rsid w:val="00552295"/>
    <w:rsid w:val="00552D77"/>
    <w:rsid w:val="00552FA5"/>
    <w:rsid w:val="00553069"/>
    <w:rsid w:val="00555D7E"/>
    <w:rsid w:val="0055699B"/>
    <w:rsid w:val="00562920"/>
    <w:rsid w:val="00563144"/>
    <w:rsid w:val="005636AE"/>
    <w:rsid w:val="005640F0"/>
    <w:rsid w:val="00564C89"/>
    <w:rsid w:val="00565BB7"/>
    <w:rsid w:val="00565F56"/>
    <w:rsid w:val="0057050C"/>
    <w:rsid w:val="00571653"/>
    <w:rsid w:val="00571BFF"/>
    <w:rsid w:val="00576DF2"/>
    <w:rsid w:val="0057781C"/>
    <w:rsid w:val="0058145D"/>
    <w:rsid w:val="005830B4"/>
    <w:rsid w:val="005838AA"/>
    <w:rsid w:val="00587E88"/>
    <w:rsid w:val="00590D22"/>
    <w:rsid w:val="005913DC"/>
    <w:rsid w:val="0059226E"/>
    <w:rsid w:val="005926A0"/>
    <w:rsid w:val="00592B9D"/>
    <w:rsid w:val="005931E1"/>
    <w:rsid w:val="005943A5"/>
    <w:rsid w:val="00594662"/>
    <w:rsid w:val="00595168"/>
    <w:rsid w:val="0059596A"/>
    <w:rsid w:val="0059687D"/>
    <w:rsid w:val="005A045B"/>
    <w:rsid w:val="005A0478"/>
    <w:rsid w:val="005A2C25"/>
    <w:rsid w:val="005A3C98"/>
    <w:rsid w:val="005A5027"/>
    <w:rsid w:val="005A5190"/>
    <w:rsid w:val="005A6B31"/>
    <w:rsid w:val="005B0126"/>
    <w:rsid w:val="005B1515"/>
    <w:rsid w:val="005B3231"/>
    <w:rsid w:val="005B4198"/>
    <w:rsid w:val="005B47C0"/>
    <w:rsid w:val="005B49CA"/>
    <w:rsid w:val="005B4B0D"/>
    <w:rsid w:val="005B4C5B"/>
    <w:rsid w:val="005B6026"/>
    <w:rsid w:val="005C1292"/>
    <w:rsid w:val="005C21B1"/>
    <w:rsid w:val="005C2345"/>
    <w:rsid w:val="005C6C54"/>
    <w:rsid w:val="005C6F42"/>
    <w:rsid w:val="005D18C4"/>
    <w:rsid w:val="005D25A8"/>
    <w:rsid w:val="005D48B5"/>
    <w:rsid w:val="005E28D7"/>
    <w:rsid w:val="005E2C2A"/>
    <w:rsid w:val="005E304D"/>
    <w:rsid w:val="005E47C7"/>
    <w:rsid w:val="005E6F79"/>
    <w:rsid w:val="005E79A0"/>
    <w:rsid w:val="005E7B0E"/>
    <w:rsid w:val="005E7B53"/>
    <w:rsid w:val="005F0A8E"/>
    <w:rsid w:val="005F124E"/>
    <w:rsid w:val="005F13E8"/>
    <w:rsid w:val="005F5D0E"/>
    <w:rsid w:val="00601177"/>
    <w:rsid w:val="006020EA"/>
    <w:rsid w:val="00602B9A"/>
    <w:rsid w:val="00603583"/>
    <w:rsid w:val="006037A5"/>
    <w:rsid w:val="006038FD"/>
    <w:rsid w:val="0060638C"/>
    <w:rsid w:val="00610426"/>
    <w:rsid w:val="00611CB2"/>
    <w:rsid w:val="006130D9"/>
    <w:rsid w:val="006158FC"/>
    <w:rsid w:val="0062151A"/>
    <w:rsid w:val="00621B13"/>
    <w:rsid w:val="006246E1"/>
    <w:rsid w:val="00626F87"/>
    <w:rsid w:val="00630F52"/>
    <w:rsid w:val="006310EF"/>
    <w:rsid w:val="006315E4"/>
    <w:rsid w:val="0063317B"/>
    <w:rsid w:val="006342CC"/>
    <w:rsid w:val="00634453"/>
    <w:rsid w:val="00634CD2"/>
    <w:rsid w:val="0063546B"/>
    <w:rsid w:val="006357F3"/>
    <w:rsid w:val="00640908"/>
    <w:rsid w:val="006419A4"/>
    <w:rsid w:val="00642156"/>
    <w:rsid w:val="006427E4"/>
    <w:rsid w:val="00643431"/>
    <w:rsid w:val="00643503"/>
    <w:rsid w:val="00644065"/>
    <w:rsid w:val="00647A35"/>
    <w:rsid w:val="006504BC"/>
    <w:rsid w:val="00651136"/>
    <w:rsid w:val="006543DC"/>
    <w:rsid w:val="006552C7"/>
    <w:rsid w:val="006576F6"/>
    <w:rsid w:val="00657710"/>
    <w:rsid w:val="00657964"/>
    <w:rsid w:val="00660F10"/>
    <w:rsid w:val="00662AD7"/>
    <w:rsid w:val="00664113"/>
    <w:rsid w:val="00664D1B"/>
    <w:rsid w:val="00667E07"/>
    <w:rsid w:val="00667E79"/>
    <w:rsid w:val="00672746"/>
    <w:rsid w:val="00674A1D"/>
    <w:rsid w:val="00674A77"/>
    <w:rsid w:val="00676F4E"/>
    <w:rsid w:val="00680C07"/>
    <w:rsid w:val="0068135E"/>
    <w:rsid w:val="0068215D"/>
    <w:rsid w:val="0068473D"/>
    <w:rsid w:val="00684E9E"/>
    <w:rsid w:val="00684EA3"/>
    <w:rsid w:val="00685E16"/>
    <w:rsid w:val="006873A5"/>
    <w:rsid w:val="006876AF"/>
    <w:rsid w:val="006878FE"/>
    <w:rsid w:val="00687A88"/>
    <w:rsid w:val="00690729"/>
    <w:rsid w:val="00691140"/>
    <w:rsid w:val="00694B96"/>
    <w:rsid w:val="00695ADE"/>
    <w:rsid w:val="00696A18"/>
    <w:rsid w:val="006971AE"/>
    <w:rsid w:val="0069774C"/>
    <w:rsid w:val="006A3015"/>
    <w:rsid w:val="006A54B3"/>
    <w:rsid w:val="006A6127"/>
    <w:rsid w:val="006B0198"/>
    <w:rsid w:val="006B0BE0"/>
    <w:rsid w:val="006B13EA"/>
    <w:rsid w:val="006B1AA8"/>
    <w:rsid w:val="006B1D3F"/>
    <w:rsid w:val="006B24F8"/>
    <w:rsid w:val="006B28C9"/>
    <w:rsid w:val="006B2F87"/>
    <w:rsid w:val="006B3186"/>
    <w:rsid w:val="006B3690"/>
    <w:rsid w:val="006B3FB4"/>
    <w:rsid w:val="006B4639"/>
    <w:rsid w:val="006B4C91"/>
    <w:rsid w:val="006B641E"/>
    <w:rsid w:val="006C0B11"/>
    <w:rsid w:val="006C11DE"/>
    <w:rsid w:val="006C2FD3"/>
    <w:rsid w:val="006C4591"/>
    <w:rsid w:val="006C4E65"/>
    <w:rsid w:val="006C7FC3"/>
    <w:rsid w:val="006D1E62"/>
    <w:rsid w:val="006D2A0F"/>
    <w:rsid w:val="006D5550"/>
    <w:rsid w:val="006D67DA"/>
    <w:rsid w:val="006D6CB1"/>
    <w:rsid w:val="006E1064"/>
    <w:rsid w:val="006E14EF"/>
    <w:rsid w:val="006E63F8"/>
    <w:rsid w:val="006E6A17"/>
    <w:rsid w:val="006E6CA6"/>
    <w:rsid w:val="006E79D7"/>
    <w:rsid w:val="006F1E69"/>
    <w:rsid w:val="006F432A"/>
    <w:rsid w:val="006F7A96"/>
    <w:rsid w:val="00701872"/>
    <w:rsid w:val="00702C8C"/>
    <w:rsid w:val="00703BA1"/>
    <w:rsid w:val="00705B2E"/>
    <w:rsid w:val="00705B89"/>
    <w:rsid w:val="00706F9A"/>
    <w:rsid w:val="00707126"/>
    <w:rsid w:val="007140D2"/>
    <w:rsid w:val="00715489"/>
    <w:rsid w:val="00716CF9"/>
    <w:rsid w:val="00717969"/>
    <w:rsid w:val="00720999"/>
    <w:rsid w:val="00724829"/>
    <w:rsid w:val="0072492E"/>
    <w:rsid w:val="00724D62"/>
    <w:rsid w:val="0072508A"/>
    <w:rsid w:val="00725AE3"/>
    <w:rsid w:val="00727C8E"/>
    <w:rsid w:val="00727D12"/>
    <w:rsid w:val="0073015F"/>
    <w:rsid w:val="00733F2D"/>
    <w:rsid w:val="0073400D"/>
    <w:rsid w:val="007439CA"/>
    <w:rsid w:val="00745BA9"/>
    <w:rsid w:val="0074620B"/>
    <w:rsid w:val="00750FBA"/>
    <w:rsid w:val="007518E4"/>
    <w:rsid w:val="00752B1D"/>
    <w:rsid w:val="00753B56"/>
    <w:rsid w:val="0075404E"/>
    <w:rsid w:val="00754FB9"/>
    <w:rsid w:val="00756C28"/>
    <w:rsid w:val="007602B0"/>
    <w:rsid w:val="0076161B"/>
    <w:rsid w:val="007646C9"/>
    <w:rsid w:val="00765E2C"/>
    <w:rsid w:val="00767AA5"/>
    <w:rsid w:val="00770A4D"/>
    <w:rsid w:val="00771DF3"/>
    <w:rsid w:val="00773DF8"/>
    <w:rsid w:val="00773EE5"/>
    <w:rsid w:val="00775858"/>
    <w:rsid w:val="0078090C"/>
    <w:rsid w:val="007809FB"/>
    <w:rsid w:val="00780C09"/>
    <w:rsid w:val="007849A9"/>
    <w:rsid w:val="007910BF"/>
    <w:rsid w:val="0079282F"/>
    <w:rsid w:val="0079368A"/>
    <w:rsid w:val="00794258"/>
    <w:rsid w:val="007957F8"/>
    <w:rsid w:val="0079648F"/>
    <w:rsid w:val="007965D6"/>
    <w:rsid w:val="00797743"/>
    <w:rsid w:val="007A0353"/>
    <w:rsid w:val="007A36A2"/>
    <w:rsid w:val="007A6EBC"/>
    <w:rsid w:val="007A7E63"/>
    <w:rsid w:val="007B0281"/>
    <w:rsid w:val="007B1D4C"/>
    <w:rsid w:val="007B21B1"/>
    <w:rsid w:val="007B3A09"/>
    <w:rsid w:val="007B3F92"/>
    <w:rsid w:val="007B535F"/>
    <w:rsid w:val="007B5DC9"/>
    <w:rsid w:val="007C0166"/>
    <w:rsid w:val="007C1A7A"/>
    <w:rsid w:val="007C48C1"/>
    <w:rsid w:val="007C5752"/>
    <w:rsid w:val="007C6E39"/>
    <w:rsid w:val="007D09C4"/>
    <w:rsid w:val="007D09D9"/>
    <w:rsid w:val="007D14AF"/>
    <w:rsid w:val="007D278F"/>
    <w:rsid w:val="007D4610"/>
    <w:rsid w:val="007D625A"/>
    <w:rsid w:val="007D7CA6"/>
    <w:rsid w:val="007D7FE8"/>
    <w:rsid w:val="007E1B1A"/>
    <w:rsid w:val="007E6332"/>
    <w:rsid w:val="007E66E7"/>
    <w:rsid w:val="007E7F79"/>
    <w:rsid w:val="007F013A"/>
    <w:rsid w:val="007F32C4"/>
    <w:rsid w:val="007F3537"/>
    <w:rsid w:val="007F5208"/>
    <w:rsid w:val="007F593E"/>
    <w:rsid w:val="007F70DC"/>
    <w:rsid w:val="007F7902"/>
    <w:rsid w:val="007F7BB7"/>
    <w:rsid w:val="0080175D"/>
    <w:rsid w:val="00804245"/>
    <w:rsid w:val="00807519"/>
    <w:rsid w:val="00807D99"/>
    <w:rsid w:val="008114AD"/>
    <w:rsid w:val="008115F3"/>
    <w:rsid w:val="00811963"/>
    <w:rsid w:val="008155FE"/>
    <w:rsid w:val="0082447E"/>
    <w:rsid w:val="00824E6F"/>
    <w:rsid w:val="00830211"/>
    <w:rsid w:val="00830B41"/>
    <w:rsid w:val="00831A7C"/>
    <w:rsid w:val="00836759"/>
    <w:rsid w:val="00836A80"/>
    <w:rsid w:val="00842105"/>
    <w:rsid w:val="00844AF8"/>
    <w:rsid w:val="00846666"/>
    <w:rsid w:val="00847450"/>
    <w:rsid w:val="00850895"/>
    <w:rsid w:val="00851223"/>
    <w:rsid w:val="0085251A"/>
    <w:rsid w:val="00853FD9"/>
    <w:rsid w:val="00854C52"/>
    <w:rsid w:val="008556D1"/>
    <w:rsid w:val="00855D7C"/>
    <w:rsid w:val="008636DF"/>
    <w:rsid w:val="008644CF"/>
    <w:rsid w:val="00867F6F"/>
    <w:rsid w:val="00871084"/>
    <w:rsid w:val="00873F97"/>
    <w:rsid w:val="0087417E"/>
    <w:rsid w:val="0087533D"/>
    <w:rsid w:val="00876EC3"/>
    <w:rsid w:val="00877EDA"/>
    <w:rsid w:val="008802DA"/>
    <w:rsid w:val="00880E21"/>
    <w:rsid w:val="008812D8"/>
    <w:rsid w:val="00882083"/>
    <w:rsid w:val="00884B3D"/>
    <w:rsid w:val="00887D7A"/>
    <w:rsid w:val="00887E09"/>
    <w:rsid w:val="008928F6"/>
    <w:rsid w:val="00892C95"/>
    <w:rsid w:val="00892D56"/>
    <w:rsid w:val="008936D5"/>
    <w:rsid w:val="00893A90"/>
    <w:rsid w:val="00895E14"/>
    <w:rsid w:val="00897921"/>
    <w:rsid w:val="008A0F12"/>
    <w:rsid w:val="008A2C16"/>
    <w:rsid w:val="008A2D49"/>
    <w:rsid w:val="008A4354"/>
    <w:rsid w:val="008B05F2"/>
    <w:rsid w:val="008B2A7E"/>
    <w:rsid w:val="008B36EF"/>
    <w:rsid w:val="008B3859"/>
    <w:rsid w:val="008B3937"/>
    <w:rsid w:val="008B430F"/>
    <w:rsid w:val="008C05E7"/>
    <w:rsid w:val="008C146D"/>
    <w:rsid w:val="008C4B88"/>
    <w:rsid w:val="008C6FF3"/>
    <w:rsid w:val="008D2045"/>
    <w:rsid w:val="008D211E"/>
    <w:rsid w:val="008D347A"/>
    <w:rsid w:val="008D3BE2"/>
    <w:rsid w:val="008D5385"/>
    <w:rsid w:val="008D5714"/>
    <w:rsid w:val="008D6262"/>
    <w:rsid w:val="008E1C1A"/>
    <w:rsid w:val="008E2F0D"/>
    <w:rsid w:val="008E3021"/>
    <w:rsid w:val="008E3B16"/>
    <w:rsid w:val="008E43A7"/>
    <w:rsid w:val="008E4945"/>
    <w:rsid w:val="008E53A4"/>
    <w:rsid w:val="008E64F4"/>
    <w:rsid w:val="008E6E4C"/>
    <w:rsid w:val="008F19A2"/>
    <w:rsid w:val="008F1EE0"/>
    <w:rsid w:val="008F3348"/>
    <w:rsid w:val="008F5DD7"/>
    <w:rsid w:val="008F6E12"/>
    <w:rsid w:val="008F77B0"/>
    <w:rsid w:val="00900535"/>
    <w:rsid w:val="0090109C"/>
    <w:rsid w:val="0090136F"/>
    <w:rsid w:val="009029F0"/>
    <w:rsid w:val="009062D4"/>
    <w:rsid w:val="009073EC"/>
    <w:rsid w:val="00910642"/>
    <w:rsid w:val="00910B85"/>
    <w:rsid w:val="00911065"/>
    <w:rsid w:val="0091340E"/>
    <w:rsid w:val="0091372B"/>
    <w:rsid w:val="009140FE"/>
    <w:rsid w:val="009141DD"/>
    <w:rsid w:val="00916EBB"/>
    <w:rsid w:val="009173BC"/>
    <w:rsid w:val="00920A1A"/>
    <w:rsid w:val="00926950"/>
    <w:rsid w:val="00926BD1"/>
    <w:rsid w:val="009300A0"/>
    <w:rsid w:val="0093081F"/>
    <w:rsid w:val="00931D73"/>
    <w:rsid w:val="00933DC8"/>
    <w:rsid w:val="00934984"/>
    <w:rsid w:val="00936B87"/>
    <w:rsid w:val="009408E4"/>
    <w:rsid w:val="009409E7"/>
    <w:rsid w:val="00942BEA"/>
    <w:rsid w:val="0094317D"/>
    <w:rsid w:val="0094409F"/>
    <w:rsid w:val="009452F8"/>
    <w:rsid w:val="009453A2"/>
    <w:rsid w:val="00950CB9"/>
    <w:rsid w:val="00950CBF"/>
    <w:rsid w:val="0095451B"/>
    <w:rsid w:val="009548EB"/>
    <w:rsid w:val="00954ADC"/>
    <w:rsid w:val="0095539C"/>
    <w:rsid w:val="0095590D"/>
    <w:rsid w:val="00956842"/>
    <w:rsid w:val="00956E07"/>
    <w:rsid w:val="00957943"/>
    <w:rsid w:val="00957C43"/>
    <w:rsid w:val="009605EC"/>
    <w:rsid w:val="009626D6"/>
    <w:rsid w:val="009628A9"/>
    <w:rsid w:val="00962D09"/>
    <w:rsid w:val="00964CD4"/>
    <w:rsid w:val="0096523D"/>
    <w:rsid w:val="00966CCC"/>
    <w:rsid w:val="00967D5E"/>
    <w:rsid w:val="00970F11"/>
    <w:rsid w:val="00971918"/>
    <w:rsid w:val="0097458D"/>
    <w:rsid w:val="00976A4E"/>
    <w:rsid w:val="009770E8"/>
    <w:rsid w:val="009776B4"/>
    <w:rsid w:val="0098192A"/>
    <w:rsid w:val="00984A01"/>
    <w:rsid w:val="009850DD"/>
    <w:rsid w:val="009901ED"/>
    <w:rsid w:val="009946C1"/>
    <w:rsid w:val="0099790B"/>
    <w:rsid w:val="009A053F"/>
    <w:rsid w:val="009A22DB"/>
    <w:rsid w:val="009A282B"/>
    <w:rsid w:val="009A3694"/>
    <w:rsid w:val="009A7BF4"/>
    <w:rsid w:val="009B2946"/>
    <w:rsid w:val="009B382F"/>
    <w:rsid w:val="009B4484"/>
    <w:rsid w:val="009B4973"/>
    <w:rsid w:val="009B65C1"/>
    <w:rsid w:val="009B735B"/>
    <w:rsid w:val="009C10F9"/>
    <w:rsid w:val="009C1EEA"/>
    <w:rsid w:val="009C37BF"/>
    <w:rsid w:val="009C3D31"/>
    <w:rsid w:val="009D1CE0"/>
    <w:rsid w:val="009D2610"/>
    <w:rsid w:val="009D5896"/>
    <w:rsid w:val="009D65FA"/>
    <w:rsid w:val="009D76E3"/>
    <w:rsid w:val="009E035E"/>
    <w:rsid w:val="009E06F3"/>
    <w:rsid w:val="009E081E"/>
    <w:rsid w:val="009E167A"/>
    <w:rsid w:val="009E42A6"/>
    <w:rsid w:val="009E5A7A"/>
    <w:rsid w:val="009E62E3"/>
    <w:rsid w:val="009E652C"/>
    <w:rsid w:val="009E7547"/>
    <w:rsid w:val="009F16F1"/>
    <w:rsid w:val="009F2B45"/>
    <w:rsid w:val="009F2FA2"/>
    <w:rsid w:val="009F7437"/>
    <w:rsid w:val="00A02112"/>
    <w:rsid w:val="00A02A18"/>
    <w:rsid w:val="00A0515B"/>
    <w:rsid w:val="00A06017"/>
    <w:rsid w:val="00A06E75"/>
    <w:rsid w:val="00A1045B"/>
    <w:rsid w:val="00A10870"/>
    <w:rsid w:val="00A11FE4"/>
    <w:rsid w:val="00A12820"/>
    <w:rsid w:val="00A148CD"/>
    <w:rsid w:val="00A15642"/>
    <w:rsid w:val="00A15751"/>
    <w:rsid w:val="00A17F22"/>
    <w:rsid w:val="00A20361"/>
    <w:rsid w:val="00A20699"/>
    <w:rsid w:val="00A211A4"/>
    <w:rsid w:val="00A21A58"/>
    <w:rsid w:val="00A21C84"/>
    <w:rsid w:val="00A21DC6"/>
    <w:rsid w:val="00A223DB"/>
    <w:rsid w:val="00A227BE"/>
    <w:rsid w:val="00A22BBC"/>
    <w:rsid w:val="00A23B58"/>
    <w:rsid w:val="00A24229"/>
    <w:rsid w:val="00A24B24"/>
    <w:rsid w:val="00A269BB"/>
    <w:rsid w:val="00A27EBE"/>
    <w:rsid w:val="00A33E1D"/>
    <w:rsid w:val="00A33EBA"/>
    <w:rsid w:val="00A35123"/>
    <w:rsid w:val="00A36BA6"/>
    <w:rsid w:val="00A37418"/>
    <w:rsid w:val="00A4069A"/>
    <w:rsid w:val="00A410EC"/>
    <w:rsid w:val="00A41552"/>
    <w:rsid w:val="00A42F17"/>
    <w:rsid w:val="00A42F48"/>
    <w:rsid w:val="00A44EFC"/>
    <w:rsid w:val="00A461C1"/>
    <w:rsid w:val="00A46AEC"/>
    <w:rsid w:val="00A471D7"/>
    <w:rsid w:val="00A476C5"/>
    <w:rsid w:val="00A47D33"/>
    <w:rsid w:val="00A51774"/>
    <w:rsid w:val="00A517EA"/>
    <w:rsid w:val="00A51943"/>
    <w:rsid w:val="00A52941"/>
    <w:rsid w:val="00A539A0"/>
    <w:rsid w:val="00A53A12"/>
    <w:rsid w:val="00A54A4B"/>
    <w:rsid w:val="00A55581"/>
    <w:rsid w:val="00A55CCF"/>
    <w:rsid w:val="00A55DCA"/>
    <w:rsid w:val="00A56CEA"/>
    <w:rsid w:val="00A60059"/>
    <w:rsid w:val="00A6367C"/>
    <w:rsid w:val="00A65FA1"/>
    <w:rsid w:val="00A70616"/>
    <w:rsid w:val="00A70D12"/>
    <w:rsid w:val="00A73ABA"/>
    <w:rsid w:val="00A73CA8"/>
    <w:rsid w:val="00A740A0"/>
    <w:rsid w:val="00A754F2"/>
    <w:rsid w:val="00A771CF"/>
    <w:rsid w:val="00A77847"/>
    <w:rsid w:val="00A779C7"/>
    <w:rsid w:val="00A77E11"/>
    <w:rsid w:val="00A81A19"/>
    <w:rsid w:val="00A81F6F"/>
    <w:rsid w:val="00A820B4"/>
    <w:rsid w:val="00A8273E"/>
    <w:rsid w:val="00A82783"/>
    <w:rsid w:val="00A84AF9"/>
    <w:rsid w:val="00A86F21"/>
    <w:rsid w:val="00A874C3"/>
    <w:rsid w:val="00A92D67"/>
    <w:rsid w:val="00A9306B"/>
    <w:rsid w:val="00A957B8"/>
    <w:rsid w:val="00A97644"/>
    <w:rsid w:val="00A977FC"/>
    <w:rsid w:val="00AA1BC2"/>
    <w:rsid w:val="00AA3CD5"/>
    <w:rsid w:val="00AA3DD8"/>
    <w:rsid w:val="00AA67A3"/>
    <w:rsid w:val="00AA7290"/>
    <w:rsid w:val="00AA72F9"/>
    <w:rsid w:val="00AB03A2"/>
    <w:rsid w:val="00AB1327"/>
    <w:rsid w:val="00AB3A33"/>
    <w:rsid w:val="00AB434D"/>
    <w:rsid w:val="00AB4F13"/>
    <w:rsid w:val="00AB6A42"/>
    <w:rsid w:val="00AB6E81"/>
    <w:rsid w:val="00AB7D70"/>
    <w:rsid w:val="00AC067C"/>
    <w:rsid w:val="00AC1E51"/>
    <w:rsid w:val="00AC602E"/>
    <w:rsid w:val="00AC6419"/>
    <w:rsid w:val="00AC70F3"/>
    <w:rsid w:val="00AC7D10"/>
    <w:rsid w:val="00AD5B84"/>
    <w:rsid w:val="00AE1509"/>
    <w:rsid w:val="00AE4FB3"/>
    <w:rsid w:val="00AE6995"/>
    <w:rsid w:val="00AE70BF"/>
    <w:rsid w:val="00AE7D70"/>
    <w:rsid w:val="00AF2111"/>
    <w:rsid w:val="00AF4207"/>
    <w:rsid w:val="00AF63BC"/>
    <w:rsid w:val="00AF7771"/>
    <w:rsid w:val="00AF777E"/>
    <w:rsid w:val="00B05611"/>
    <w:rsid w:val="00B06166"/>
    <w:rsid w:val="00B0733B"/>
    <w:rsid w:val="00B10A06"/>
    <w:rsid w:val="00B11CF2"/>
    <w:rsid w:val="00B124A6"/>
    <w:rsid w:val="00B12ED3"/>
    <w:rsid w:val="00B147D5"/>
    <w:rsid w:val="00B1544F"/>
    <w:rsid w:val="00B158E0"/>
    <w:rsid w:val="00B16FF8"/>
    <w:rsid w:val="00B1717D"/>
    <w:rsid w:val="00B17934"/>
    <w:rsid w:val="00B20BCD"/>
    <w:rsid w:val="00B21F09"/>
    <w:rsid w:val="00B22717"/>
    <w:rsid w:val="00B2357C"/>
    <w:rsid w:val="00B237DD"/>
    <w:rsid w:val="00B239CC"/>
    <w:rsid w:val="00B23BF5"/>
    <w:rsid w:val="00B23F14"/>
    <w:rsid w:val="00B25307"/>
    <w:rsid w:val="00B26014"/>
    <w:rsid w:val="00B27F09"/>
    <w:rsid w:val="00B27F82"/>
    <w:rsid w:val="00B312E1"/>
    <w:rsid w:val="00B31BE3"/>
    <w:rsid w:val="00B32FC9"/>
    <w:rsid w:val="00B351EE"/>
    <w:rsid w:val="00B35FED"/>
    <w:rsid w:val="00B36F74"/>
    <w:rsid w:val="00B37DCE"/>
    <w:rsid w:val="00B414FC"/>
    <w:rsid w:val="00B47B7C"/>
    <w:rsid w:val="00B50A2D"/>
    <w:rsid w:val="00B512BB"/>
    <w:rsid w:val="00B5139C"/>
    <w:rsid w:val="00B540C9"/>
    <w:rsid w:val="00B5461C"/>
    <w:rsid w:val="00B55D7E"/>
    <w:rsid w:val="00B64FFB"/>
    <w:rsid w:val="00B6505B"/>
    <w:rsid w:val="00B706D6"/>
    <w:rsid w:val="00B7304A"/>
    <w:rsid w:val="00B73133"/>
    <w:rsid w:val="00B772E2"/>
    <w:rsid w:val="00B875DD"/>
    <w:rsid w:val="00B876EB"/>
    <w:rsid w:val="00B87AAF"/>
    <w:rsid w:val="00B87DEA"/>
    <w:rsid w:val="00B90BBD"/>
    <w:rsid w:val="00B967AD"/>
    <w:rsid w:val="00BA3947"/>
    <w:rsid w:val="00BA40AD"/>
    <w:rsid w:val="00BA6392"/>
    <w:rsid w:val="00BA6C36"/>
    <w:rsid w:val="00BB29EC"/>
    <w:rsid w:val="00BB4088"/>
    <w:rsid w:val="00BB4444"/>
    <w:rsid w:val="00BB5122"/>
    <w:rsid w:val="00BC373C"/>
    <w:rsid w:val="00BC51E9"/>
    <w:rsid w:val="00BD3A3E"/>
    <w:rsid w:val="00BD46E1"/>
    <w:rsid w:val="00BD4DA5"/>
    <w:rsid w:val="00BE112A"/>
    <w:rsid w:val="00BE35B1"/>
    <w:rsid w:val="00BE3EC1"/>
    <w:rsid w:val="00BF0F95"/>
    <w:rsid w:val="00BF1479"/>
    <w:rsid w:val="00BF4484"/>
    <w:rsid w:val="00BF4885"/>
    <w:rsid w:val="00BF55AD"/>
    <w:rsid w:val="00BF6493"/>
    <w:rsid w:val="00BF683C"/>
    <w:rsid w:val="00BF7E69"/>
    <w:rsid w:val="00C01F71"/>
    <w:rsid w:val="00C0209E"/>
    <w:rsid w:val="00C021C9"/>
    <w:rsid w:val="00C02A70"/>
    <w:rsid w:val="00C03E19"/>
    <w:rsid w:val="00C043CE"/>
    <w:rsid w:val="00C0480D"/>
    <w:rsid w:val="00C04CCD"/>
    <w:rsid w:val="00C05361"/>
    <w:rsid w:val="00C06607"/>
    <w:rsid w:val="00C06AC6"/>
    <w:rsid w:val="00C10282"/>
    <w:rsid w:val="00C13C9E"/>
    <w:rsid w:val="00C13E19"/>
    <w:rsid w:val="00C15D0A"/>
    <w:rsid w:val="00C165EC"/>
    <w:rsid w:val="00C1688C"/>
    <w:rsid w:val="00C17506"/>
    <w:rsid w:val="00C175B1"/>
    <w:rsid w:val="00C17A31"/>
    <w:rsid w:val="00C23333"/>
    <w:rsid w:val="00C23F52"/>
    <w:rsid w:val="00C24EA7"/>
    <w:rsid w:val="00C274EB"/>
    <w:rsid w:val="00C27CA0"/>
    <w:rsid w:val="00C3024E"/>
    <w:rsid w:val="00C3598B"/>
    <w:rsid w:val="00C40312"/>
    <w:rsid w:val="00C40B99"/>
    <w:rsid w:val="00C41662"/>
    <w:rsid w:val="00C41AC1"/>
    <w:rsid w:val="00C42103"/>
    <w:rsid w:val="00C44457"/>
    <w:rsid w:val="00C461CB"/>
    <w:rsid w:val="00C4624D"/>
    <w:rsid w:val="00C5140C"/>
    <w:rsid w:val="00C51A30"/>
    <w:rsid w:val="00C542AC"/>
    <w:rsid w:val="00C5649E"/>
    <w:rsid w:val="00C57B35"/>
    <w:rsid w:val="00C609F1"/>
    <w:rsid w:val="00C60F56"/>
    <w:rsid w:val="00C613B7"/>
    <w:rsid w:val="00C61A1A"/>
    <w:rsid w:val="00C639E7"/>
    <w:rsid w:val="00C64443"/>
    <w:rsid w:val="00C653C7"/>
    <w:rsid w:val="00C67AF6"/>
    <w:rsid w:val="00C71996"/>
    <w:rsid w:val="00C71BAB"/>
    <w:rsid w:val="00C71CE5"/>
    <w:rsid w:val="00C74851"/>
    <w:rsid w:val="00C76991"/>
    <w:rsid w:val="00C832A5"/>
    <w:rsid w:val="00C84A7E"/>
    <w:rsid w:val="00C84F28"/>
    <w:rsid w:val="00C85B60"/>
    <w:rsid w:val="00C85FFD"/>
    <w:rsid w:val="00C87612"/>
    <w:rsid w:val="00C91981"/>
    <w:rsid w:val="00C9308A"/>
    <w:rsid w:val="00C935D7"/>
    <w:rsid w:val="00C93D13"/>
    <w:rsid w:val="00C94C87"/>
    <w:rsid w:val="00C972E5"/>
    <w:rsid w:val="00C97A5E"/>
    <w:rsid w:val="00CA2CCB"/>
    <w:rsid w:val="00CA2DBD"/>
    <w:rsid w:val="00CA4AD5"/>
    <w:rsid w:val="00CA6B2A"/>
    <w:rsid w:val="00CA7930"/>
    <w:rsid w:val="00CB14AF"/>
    <w:rsid w:val="00CB46D5"/>
    <w:rsid w:val="00CB7AC7"/>
    <w:rsid w:val="00CC29D6"/>
    <w:rsid w:val="00CC4298"/>
    <w:rsid w:val="00CC5761"/>
    <w:rsid w:val="00CC6E4D"/>
    <w:rsid w:val="00CD2CFB"/>
    <w:rsid w:val="00CD3677"/>
    <w:rsid w:val="00CD376B"/>
    <w:rsid w:val="00CD5EB1"/>
    <w:rsid w:val="00CD75C8"/>
    <w:rsid w:val="00CE3BB4"/>
    <w:rsid w:val="00CE45D7"/>
    <w:rsid w:val="00CE5917"/>
    <w:rsid w:val="00CF0110"/>
    <w:rsid w:val="00CF01DC"/>
    <w:rsid w:val="00CF0CDD"/>
    <w:rsid w:val="00CF3E4A"/>
    <w:rsid w:val="00CF429F"/>
    <w:rsid w:val="00CF5AB2"/>
    <w:rsid w:val="00CF71DC"/>
    <w:rsid w:val="00D00126"/>
    <w:rsid w:val="00D01139"/>
    <w:rsid w:val="00D01E10"/>
    <w:rsid w:val="00D03BDA"/>
    <w:rsid w:val="00D05448"/>
    <w:rsid w:val="00D06403"/>
    <w:rsid w:val="00D068A4"/>
    <w:rsid w:val="00D07745"/>
    <w:rsid w:val="00D12C79"/>
    <w:rsid w:val="00D140C2"/>
    <w:rsid w:val="00D15F5B"/>
    <w:rsid w:val="00D17648"/>
    <w:rsid w:val="00D17D08"/>
    <w:rsid w:val="00D216EF"/>
    <w:rsid w:val="00D217C7"/>
    <w:rsid w:val="00D23CB8"/>
    <w:rsid w:val="00D24173"/>
    <w:rsid w:val="00D260C5"/>
    <w:rsid w:val="00D27A08"/>
    <w:rsid w:val="00D31BDF"/>
    <w:rsid w:val="00D32EFB"/>
    <w:rsid w:val="00D33F8B"/>
    <w:rsid w:val="00D3437C"/>
    <w:rsid w:val="00D34396"/>
    <w:rsid w:val="00D34847"/>
    <w:rsid w:val="00D37548"/>
    <w:rsid w:val="00D40A8B"/>
    <w:rsid w:val="00D41309"/>
    <w:rsid w:val="00D4282E"/>
    <w:rsid w:val="00D4300A"/>
    <w:rsid w:val="00D44C73"/>
    <w:rsid w:val="00D4515C"/>
    <w:rsid w:val="00D50D06"/>
    <w:rsid w:val="00D5192E"/>
    <w:rsid w:val="00D5330E"/>
    <w:rsid w:val="00D56011"/>
    <w:rsid w:val="00D57DF9"/>
    <w:rsid w:val="00D62F14"/>
    <w:rsid w:val="00D64474"/>
    <w:rsid w:val="00D65044"/>
    <w:rsid w:val="00D65D2C"/>
    <w:rsid w:val="00D67218"/>
    <w:rsid w:val="00D67B91"/>
    <w:rsid w:val="00D71F3D"/>
    <w:rsid w:val="00D7356B"/>
    <w:rsid w:val="00D73960"/>
    <w:rsid w:val="00D75ADA"/>
    <w:rsid w:val="00D77146"/>
    <w:rsid w:val="00D82CA1"/>
    <w:rsid w:val="00D846AE"/>
    <w:rsid w:val="00D90FD6"/>
    <w:rsid w:val="00D916F4"/>
    <w:rsid w:val="00D950F8"/>
    <w:rsid w:val="00D95DD0"/>
    <w:rsid w:val="00D963B1"/>
    <w:rsid w:val="00D969BE"/>
    <w:rsid w:val="00D96D2D"/>
    <w:rsid w:val="00D9797A"/>
    <w:rsid w:val="00DA26FB"/>
    <w:rsid w:val="00DA3E85"/>
    <w:rsid w:val="00DA56CA"/>
    <w:rsid w:val="00DA74BC"/>
    <w:rsid w:val="00DB0399"/>
    <w:rsid w:val="00DB2F82"/>
    <w:rsid w:val="00DB3CF9"/>
    <w:rsid w:val="00DB3EDC"/>
    <w:rsid w:val="00DB7083"/>
    <w:rsid w:val="00DC03F0"/>
    <w:rsid w:val="00DC05CC"/>
    <w:rsid w:val="00DC313B"/>
    <w:rsid w:val="00DC46A3"/>
    <w:rsid w:val="00DC5C7B"/>
    <w:rsid w:val="00DC6B84"/>
    <w:rsid w:val="00DC6BD3"/>
    <w:rsid w:val="00DC7875"/>
    <w:rsid w:val="00DD28A9"/>
    <w:rsid w:val="00DD38D1"/>
    <w:rsid w:val="00DD4842"/>
    <w:rsid w:val="00DD6718"/>
    <w:rsid w:val="00DD6CC0"/>
    <w:rsid w:val="00DD7ADC"/>
    <w:rsid w:val="00DE28A7"/>
    <w:rsid w:val="00DE2A20"/>
    <w:rsid w:val="00DE2DBC"/>
    <w:rsid w:val="00DE3408"/>
    <w:rsid w:val="00DE4C48"/>
    <w:rsid w:val="00DE5CAB"/>
    <w:rsid w:val="00DE7D32"/>
    <w:rsid w:val="00DF3682"/>
    <w:rsid w:val="00DF4FD9"/>
    <w:rsid w:val="00DF50C0"/>
    <w:rsid w:val="00DF62B6"/>
    <w:rsid w:val="00DF6AE3"/>
    <w:rsid w:val="00DF6C3C"/>
    <w:rsid w:val="00DF76F1"/>
    <w:rsid w:val="00E00379"/>
    <w:rsid w:val="00E02CE3"/>
    <w:rsid w:val="00E0399D"/>
    <w:rsid w:val="00E03D64"/>
    <w:rsid w:val="00E0527A"/>
    <w:rsid w:val="00E05A1A"/>
    <w:rsid w:val="00E066E5"/>
    <w:rsid w:val="00E06D0F"/>
    <w:rsid w:val="00E0700E"/>
    <w:rsid w:val="00E11DB5"/>
    <w:rsid w:val="00E14BAA"/>
    <w:rsid w:val="00E14D10"/>
    <w:rsid w:val="00E16E44"/>
    <w:rsid w:val="00E17EA0"/>
    <w:rsid w:val="00E17EB4"/>
    <w:rsid w:val="00E204BC"/>
    <w:rsid w:val="00E20A53"/>
    <w:rsid w:val="00E210FF"/>
    <w:rsid w:val="00E2231E"/>
    <w:rsid w:val="00E22C0F"/>
    <w:rsid w:val="00E22F36"/>
    <w:rsid w:val="00E27BE3"/>
    <w:rsid w:val="00E31443"/>
    <w:rsid w:val="00E326E0"/>
    <w:rsid w:val="00E347E9"/>
    <w:rsid w:val="00E34E60"/>
    <w:rsid w:val="00E36CAA"/>
    <w:rsid w:val="00E3776C"/>
    <w:rsid w:val="00E3787A"/>
    <w:rsid w:val="00E408CD"/>
    <w:rsid w:val="00E444E9"/>
    <w:rsid w:val="00E449A7"/>
    <w:rsid w:val="00E477A2"/>
    <w:rsid w:val="00E524D9"/>
    <w:rsid w:val="00E56447"/>
    <w:rsid w:val="00E606EB"/>
    <w:rsid w:val="00E62447"/>
    <w:rsid w:val="00E625CE"/>
    <w:rsid w:val="00E63881"/>
    <w:rsid w:val="00E63C82"/>
    <w:rsid w:val="00E640C3"/>
    <w:rsid w:val="00E64136"/>
    <w:rsid w:val="00E72528"/>
    <w:rsid w:val="00E7350E"/>
    <w:rsid w:val="00E736BF"/>
    <w:rsid w:val="00E7542D"/>
    <w:rsid w:val="00E760B6"/>
    <w:rsid w:val="00E761A7"/>
    <w:rsid w:val="00E770CE"/>
    <w:rsid w:val="00E77310"/>
    <w:rsid w:val="00E7762A"/>
    <w:rsid w:val="00E82F3A"/>
    <w:rsid w:val="00E8381D"/>
    <w:rsid w:val="00E8592D"/>
    <w:rsid w:val="00E85B82"/>
    <w:rsid w:val="00E87440"/>
    <w:rsid w:val="00E909C4"/>
    <w:rsid w:val="00E90FE3"/>
    <w:rsid w:val="00E91865"/>
    <w:rsid w:val="00E91E71"/>
    <w:rsid w:val="00E9366B"/>
    <w:rsid w:val="00E967FC"/>
    <w:rsid w:val="00E96C59"/>
    <w:rsid w:val="00EA13A2"/>
    <w:rsid w:val="00EA5CC8"/>
    <w:rsid w:val="00EA6401"/>
    <w:rsid w:val="00EB0A13"/>
    <w:rsid w:val="00EB1164"/>
    <w:rsid w:val="00EB2AB5"/>
    <w:rsid w:val="00EB544E"/>
    <w:rsid w:val="00EB5587"/>
    <w:rsid w:val="00EC1241"/>
    <w:rsid w:val="00EC1960"/>
    <w:rsid w:val="00EC1A40"/>
    <w:rsid w:val="00EC277C"/>
    <w:rsid w:val="00EC6AB3"/>
    <w:rsid w:val="00EC6FCF"/>
    <w:rsid w:val="00ED0059"/>
    <w:rsid w:val="00ED1CB9"/>
    <w:rsid w:val="00ED346D"/>
    <w:rsid w:val="00ED506E"/>
    <w:rsid w:val="00ED5C1E"/>
    <w:rsid w:val="00ED652E"/>
    <w:rsid w:val="00EE039F"/>
    <w:rsid w:val="00EE1CCB"/>
    <w:rsid w:val="00EE2C2C"/>
    <w:rsid w:val="00EE5FAA"/>
    <w:rsid w:val="00EE69C6"/>
    <w:rsid w:val="00EE7B04"/>
    <w:rsid w:val="00EF13F5"/>
    <w:rsid w:val="00EF2D7A"/>
    <w:rsid w:val="00EF41DE"/>
    <w:rsid w:val="00EF5060"/>
    <w:rsid w:val="00EF7746"/>
    <w:rsid w:val="00F00200"/>
    <w:rsid w:val="00F00521"/>
    <w:rsid w:val="00F00C80"/>
    <w:rsid w:val="00F0394F"/>
    <w:rsid w:val="00F03FF3"/>
    <w:rsid w:val="00F05F46"/>
    <w:rsid w:val="00F062A3"/>
    <w:rsid w:val="00F109FF"/>
    <w:rsid w:val="00F13AB5"/>
    <w:rsid w:val="00F1454A"/>
    <w:rsid w:val="00F14C3B"/>
    <w:rsid w:val="00F15331"/>
    <w:rsid w:val="00F163C4"/>
    <w:rsid w:val="00F17149"/>
    <w:rsid w:val="00F2096A"/>
    <w:rsid w:val="00F21DE7"/>
    <w:rsid w:val="00F22833"/>
    <w:rsid w:val="00F23E16"/>
    <w:rsid w:val="00F3311A"/>
    <w:rsid w:val="00F35A08"/>
    <w:rsid w:val="00F44483"/>
    <w:rsid w:val="00F447A4"/>
    <w:rsid w:val="00F45A1A"/>
    <w:rsid w:val="00F46E40"/>
    <w:rsid w:val="00F505D9"/>
    <w:rsid w:val="00F50F93"/>
    <w:rsid w:val="00F5175B"/>
    <w:rsid w:val="00F5303B"/>
    <w:rsid w:val="00F541E9"/>
    <w:rsid w:val="00F54C5B"/>
    <w:rsid w:val="00F55F55"/>
    <w:rsid w:val="00F56DCB"/>
    <w:rsid w:val="00F572E5"/>
    <w:rsid w:val="00F600CF"/>
    <w:rsid w:val="00F60F2F"/>
    <w:rsid w:val="00F6108F"/>
    <w:rsid w:val="00F6321D"/>
    <w:rsid w:val="00F63C25"/>
    <w:rsid w:val="00F65737"/>
    <w:rsid w:val="00F65FBF"/>
    <w:rsid w:val="00F6718E"/>
    <w:rsid w:val="00F740FF"/>
    <w:rsid w:val="00F75B39"/>
    <w:rsid w:val="00F766EC"/>
    <w:rsid w:val="00F80CC3"/>
    <w:rsid w:val="00F83371"/>
    <w:rsid w:val="00F868F1"/>
    <w:rsid w:val="00F9148E"/>
    <w:rsid w:val="00F91BE0"/>
    <w:rsid w:val="00F9405E"/>
    <w:rsid w:val="00F95B67"/>
    <w:rsid w:val="00F961E0"/>
    <w:rsid w:val="00F96206"/>
    <w:rsid w:val="00F96CBD"/>
    <w:rsid w:val="00FA1704"/>
    <w:rsid w:val="00FA27E1"/>
    <w:rsid w:val="00FA52CD"/>
    <w:rsid w:val="00FA5964"/>
    <w:rsid w:val="00FA767B"/>
    <w:rsid w:val="00FA7BD3"/>
    <w:rsid w:val="00FB0E91"/>
    <w:rsid w:val="00FB5B14"/>
    <w:rsid w:val="00FB6031"/>
    <w:rsid w:val="00FC01D0"/>
    <w:rsid w:val="00FC17B3"/>
    <w:rsid w:val="00FC3C20"/>
    <w:rsid w:val="00FC4974"/>
    <w:rsid w:val="00FC5FC8"/>
    <w:rsid w:val="00FD0402"/>
    <w:rsid w:val="00FD08B5"/>
    <w:rsid w:val="00FD167C"/>
    <w:rsid w:val="00FD1C51"/>
    <w:rsid w:val="00FD2CD1"/>
    <w:rsid w:val="00FD4126"/>
    <w:rsid w:val="00FD431C"/>
    <w:rsid w:val="00FD4FBF"/>
    <w:rsid w:val="00FD5061"/>
    <w:rsid w:val="00FE01C0"/>
    <w:rsid w:val="00FE1252"/>
    <w:rsid w:val="00FE368A"/>
    <w:rsid w:val="00FE3CC1"/>
    <w:rsid w:val="00FE3DA3"/>
    <w:rsid w:val="00FE5373"/>
    <w:rsid w:val="00FE6A40"/>
    <w:rsid w:val="00FF2AC7"/>
    <w:rsid w:val="00FF2BA1"/>
    <w:rsid w:val="00FF3E8A"/>
    <w:rsid w:val="00FF4BA8"/>
    <w:rsid w:val="00FF53E5"/>
    <w:rsid w:val="00FF5C14"/>
    <w:rsid w:val="00FF6114"/>
    <w:rsid w:val="00FF6C62"/>
    <w:rsid w:val="04332888"/>
    <w:rsid w:val="044F313D"/>
    <w:rsid w:val="08631A1C"/>
    <w:rsid w:val="26A65698"/>
    <w:rsid w:val="2A7177B3"/>
    <w:rsid w:val="3B436E42"/>
    <w:rsid w:val="3C221F63"/>
    <w:rsid w:val="3E995AA1"/>
    <w:rsid w:val="3F930A30"/>
    <w:rsid w:val="41666B29"/>
    <w:rsid w:val="43B145F0"/>
    <w:rsid w:val="443C3FE4"/>
    <w:rsid w:val="446B3C29"/>
    <w:rsid w:val="5E943F05"/>
    <w:rsid w:val="685F2E5E"/>
    <w:rsid w:val="6A0A5821"/>
    <w:rsid w:val="6DA91290"/>
    <w:rsid w:val="7A204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0"/>
    <w:qFormat/>
    <w:uiPriority w:val="0"/>
    <w:pPr>
      <w:keepNext/>
      <w:ind w:firstLine="425"/>
      <w:outlineLvl w:val="0"/>
    </w:pPr>
    <w:rPr>
      <w:b/>
      <w:bCs/>
      <w:i/>
      <w:iCs/>
      <w:sz w:val="5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37">
    <w:name w:val="Default Paragraph Font"/>
    <w:unhideWhenUsed/>
    <w:uiPriority w:val="1"/>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styleId="4">
    <w:name w:val="toc 7"/>
    <w:basedOn w:val="1"/>
    <w:next w:val="1"/>
    <w:uiPriority w:val="0"/>
    <w:pPr>
      <w:ind w:left="2520" w:leftChars="1200"/>
    </w:pPr>
  </w:style>
  <w:style w:type="paragraph" w:styleId="5">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6">
    <w:name w:val="Normal Indent"/>
    <w:basedOn w:val="1"/>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97"/>
    <w:uiPriority w:val="0"/>
    <w:rPr>
      <w:rFonts w:ascii="宋体"/>
      <w:sz w:val="18"/>
      <w:szCs w:val="18"/>
    </w:rPr>
  </w:style>
  <w:style w:type="paragraph" w:styleId="9">
    <w:name w:val="annotation text"/>
    <w:basedOn w:val="1"/>
    <w:link w:val="92"/>
    <w:uiPriority w:val="0"/>
    <w:pPr>
      <w:jc w:val="left"/>
    </w:pPr>
    <w:rPr>
      <w:szCs w:val="20"/>
    </w:rPr>
  </w:style>
  <w:style w:type="paragraph" w:styleId="10">
    <w:name w:val="Body Text 3"/>
    <w:basedOn w:val="1"/>
    <w:uiPriority w:val="0"/>
    <w:pPr>
      <w:spacing w:after="120"/>
    </w:pPr>
    <w:rPr>
      <w:sz w:val="16"/>
      <w:szCs w:val="16"/>
    </w:rPr>
  </w:style>
  <w:style w:type="paragraph" w:styleId="11">
    <w:name w:val="Body Text"/>
    <w:basedOn w:val="1"/>
    <w:uiPriority w:val="0"/>
    <w:pPr>
      <w:spacing w:after="120"/>
    </w:pPr>
  </w:style>
  <w:style w:type="paragraph" w:styleId="12">
    <w:name w:val="Body Text Indent"/>
    <w:basedOn w:val="1"/>
    <w:link w:val="50"/>
    <w:uiPriority w:val="0"/>
    <w:pPr>
      <w:spacing w:line="360" w:lineRule="auto"/>
      <w:ind w:firstLine="420"/>
    </w:pPr>
    <w:rPr>
      <w:sz w:val="24"/>
    </w:rPr>
  </w:style>
  <w:style w:type="paragraph" w:styleId="13">
    <w:name w:val="List Number 3"/>
    <w:basedOn w:val="1"/>
    <w:uiPriority w:val="0"/>
    <w:pPr>
      <w:tabs>
        <w:tab w:val="left" w:pos="1200"/>
      </w:tabs>
      <w:ind w:left="1200" w:leftChars="400" w:hanging="360" w:hangingChars="200"/>
    </w:pPr>
  </w:style>
  <w:style w:type="paragraph" w:styleId="14">
    <w:name w:val="List 2"/>
    <w:basedOn w:val="1"/>
    <w:uiPriority w:val="0"/>
    <w:pPr>
      <w:ind w:left="100" w:leftChars="200" w:hanging="200" w:hangingChars="200"/>
    </w:pPr>
  </w:style>
  <w:style w:type="paragraph" w:styleId="15">
    <w:name w:val="toc 5"/>
    <w:basedOn w:val="1"/>
    <w:next w:val="1"/>
    <w:uiPriority w:val="0"/>
    <w:pPr>
      <w:ind w:left="1680" w:leftChars="800"/>
    </w:pPr>
  </w:style>
  <w:style w:type="paragraph" w:styleId="16">
    <w:name w:val="toc 3"/>
    <w:basedOn w:val="1"/>
    <w:next w:val="1"/>
    <w:uiPriority w:val="0"/>
    <w:pPr>
      <w:ind w:left="840" w:leftChars="400"/>
    </w:pPr>
  </w:style>
  <w:style w:type="paragraph" w:styleId="17">
    <w:name w:val="Plain Text"/>
    <w:basedOn w:val="1"/>
    <w:link w:val="42"/>
    <w:uiPriority w:val="0"/>
    <w:pPr>
      <w:spacing w:beforeLines="50" w:afterLines="50" w:line="400" w:lineRule="exact"/>
    </w:pPr>
    <w:rPr>
      <w:rFonts w:ascii="宋体" w:hAnsi="Courier New"/>
      <w:sz w:val="24"/>
    </w:rPr>
  </w:style>
  <w:style w:type="paragraph" w:styleId="18">
    <w:name w:val="toc 8"/>
    <w:basedOn w:val="1"/>
    <w:next w:val="1"/>
    <w:uiPriority w:val="0"/>
    <w:pPr>
      <w:ind w:left="2940" w:leftChars="1400"/>
    </w:pPr>
  </w:style>
  <w:style w:type="paragraph" w:styleId="19">
    <w:name w:val="Date"/>
    <w:basedOn w:val="1"/>
    <w:next w:val="1"/>
    <w:uiPriority w:val="0"/>
    <w:pPr>
      <w:ind w:left="100" w:leftChars="2500"/>
    </w:pPr>
  </w:style>
  <w:style w:type="paragraph" w:styleId="20">
    <w:name w:val="Body Text Indent 2"/>
    <w:basedOn w:val="1"/>
    <w:uiPriority w:val="0"/>
    <w:pPr>
      <w:snapToGrid w:val="0"/>
      <w:ind w:firstLine="542" w:firstLineChars="225"/>
    </w:pPr>
    <w:rPr>
      <w:rFonts w:ascii="仿宋_GB2312" w:hAnsi="宋体" w:cs="Arial"/>
      <w:b/>
      <w:bCs/>
      <w:color w:val="000000"/>
      <w:sz w:val="24"/>
    </w:rPr>
  </w:style>
  <w:style w:type="paragraph" w:styleId="21">
    <w:name w:val="Balloon Text"/>
    <w:basedOn w:val="1"/>
    <w:semiHidden/>
    <w:uiPriority w:val="0"/>
    <w:rPr>
      <w:sz w:val="18"/>
      <w:szCs w:val="18"/>
    </w:rPr>
  </w:style>
  <w:style w:type="paragraph" w:styleId="22">
    <w:name w:val="footer"/>
    <w:basedOn w:val="1"/>
    <w:link w:val="44"/>
    <w:unhideWhenUsed/>
    <w:uiPriority w:val="0"/>
    <w:pPr>
      <w:tabs>
        <w:tab w:val="center" w:pos="4153"/>
        <w:tab w:val="right" w:pos="8306"/>
      </w:tabs>
      <w:snapToGrid w:val="0"/>
      <w:jc w:val="left"/>
    </w:pPr>
    <w:rPr>
      <w:rFonts w:ascii="Calibri" w:hAnsi="Calibri"/>
      <w:sz w:val="18"/>
      <w:szCs w:val="18"/>
    </w:rPr>
  </w:style>
  <w:style w:type="paragraph" w:styleId="23">
    <w:name w:val="header"/>
    <w:basedOn w:val="1"/>
    <w:link w:val="56"/>
    <w:unhideWhenUsed/>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4">
    <w:name w:val="toc 1"/>
    <w:basedOn w:val="1"/>
    <w:next w:val="1"/>
    <w:uiPriority w:val="0"/>
    <w:pPr>
      <w:tabs>
        <w:tab w:val="right" w:leader="dot" w:pos="9191"/>
      </w:tabs>
      <w:spacing w:line="360" w:lineRule="auto"/>
    </w:pPr>
  </w:style>
  <w:style w:type="paragraph" w:styleId="25">
    <w:name w:val="toc 4"/>
    <w:basedOn w:val="1"/>
    <w:next w:val="1"/>
    <w:uiPriority w:val="0"/>
    <w:pPr>
      <w:ind w:left="1260" w:leftChars="600"/>
    </w:pPr>
  </w:style>
  <w:style w:type="paragraph" w:styleId="26">
    <w:name w:val="Subtitle"/>
    <w:basedOn w:val="1"/>
    <w:next w:val="1"/>
    <w:link w:val="51"/>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uiPriority w:val="0"/>
    <w:pPr>
      <w:ind w:left="200" w:hanging="200" w:hangingChars="200"/>
    </w:pPr>
  </w:style>
  <w:style w:type="paragraph" w:styleId="28">
    <w:name w:val="toc 6"/>
    <w:basedOn w:val="1"/>
    <w:next w:val="1"/>
    <w:uiPriority w:val="0"/>
    <w:pPr>
      <w:ind w:left="2100" w:leftChars="1000"/>
    </w:pPr>
  </w:style>
  <w:style w:type="paragraph" w:styleId="29">
    <w:name w:val="Body Text Indent 3"/>
    <w:basedOn w:val="1"/>
    <w:uiPriority w:val="0"/>
    <w:pPr>
      <w:spacing w:after="120"/>
      <w:ind w:left="420" w:leftChars="200"/>
    </w:pPr>
    <w:rPr>
      <w:sz w:val="16"/>
      <w:szCs w:val="16"/>
    </w:rPr>
  </w:style>
  <w:style w:type="paragraph" w:styleId="30">
    <w:name w:val="toc 2"/>
    <w:basedOn w:val="1"/>
    <w:next w:val="1"/>
    <w:uiPriority w:val="0"/>
    <w:pPr>
      <w:ind w:left="420" w:leftChars="200"/>
    </w:pPr>
  </w:style>
  <w:style w:type="paragraph" w:styleId="31">
    <w:name w:val="toc 9"/>
    <w:basedOn w:val="1"/>
    <w:next w:val="1"/>
    <w:uiPriority w:val="0"/>
    <w:pPr>
      <w:ind w:left="3360" w:leftChars="1600"/>
    </w:pPr>
  </w:style>
  <w:style w:type="paragraph" w:styleId="32">
    <w:name w:val="Body Text 2"/>
    <w:basedOn w:val="1"/>
    <w:uiPriority w:val="0"/>
    <w:pPr>
      <w:spacing w:after="120" w:line="480" w:lineRule="auto"/>
    </w:pPr>
  </w:style>
  <w:style w:type="paragraph" w:styleId="33">
    <w:name w:val="Normal (Web)"/>
    <w:basedOn w:val="1"/>
    <w:uiPriority w:val="0"/>
    <w:pPr>
      <w:widowControl/>
      <w:jc w:val="left"/>
    </w:pPr>
    <w:rPr>
      <w:rFonts w:ascii="宋体" w:hAnsi="宋体" w:cs="宋体"/>
      <w:color w:val="000000"/>
      <w:kern w:val="0"/>
      <w:sz w:val="24"/>
    </w:rPr>
  </w:style>
  <w:style w:type="paragraph" w:styleId="34">
    <w:name w:val="Title"/>
    <w:basedOn w:val="1"/>
    <w:next w:val="1"/>
    <w:link w:val="43"/>
    <w:qFormat/>
    <w:uiPriority w:val="0"/>
    <w:pPr>
      <w:spacing w:before="240" w:after="60"/>
      <w:jc w:val="center"/>
      <w:outlineLvl w:val="0"/>
    </w:pPr>
    <w:rPr>
      <w:rFonts w:ascii="Cambria" w:hAnsi="Cambria"/>
      <w:b/>
      <w:bCs/>
      <w:sz w:val="32"/>
      <w:szCs w:val="32"/>
    </w:rPr>
  </w:style>
  <w:style w:type="table" w:styleId="36">
    <w:name w:val="Table Grid"/>
    <w:basedOn w:val="35"/>
    <w:uiPriority w:val="0"/>
    <w:pPr>
      <w:widowControl w:val="0"/>
      <w:jc w:val="both"/>
    </w:p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uiPriority w:val="0"/>
  </w:style>
  <w:style w:type="character" w:styleId="40">
    <w:name w:val="Hyperlink"/>
    <w:uiPriority w:val="99"/>
    <w:rPr>
      <w:color w:val="0000FF"/>
      <w:u w:val="single"/>
    </w:rPr>
  </w:style>
  <w:style w:type="character" w:styleId="41">
    <w:name w:val="annotation reference"/>
    <w:unhideWhenUsed/>
    <w:uiPriority w:val="0"/>
    <w:rPr>
      <w:sz w:val="21"/>
      <w:szCs w:val="21"/>
    </w:rPr>
  </w:style>
  <w:style w:type="character" w:customStyle="1" w:styleId="42">
    <w:name w:val="纯文本 Char"/>
    <w:aliases w:val="普通文字 Char Char1,纯文本 Char Char Char,普通文字 Char Char Char"/>
    <w:link w:val="17"/>
    <w:uiPriority w:val="0"/>
    <w:rPr>
      <w:rFonts w:ascii="宋体" w:hAnsi="Courier New" w:eastAsia="宋体"/>
      <w:kern w:val="2"/>
      <w:sz w:val="24"/>
      <w:szCs w:val="24"/>
      <w:lang w:val="en-US" w:eastAsia="zh-CN" w:bidi="ar-SA"/>
    </w:rPr>
  </w:style>
  <w:style w:type="character" w:customStyle="1" w:styleId="43">
    <w:name w:val="标题 Char"/>
    <w:link w:val="34"/>
    <w:uiPriority w:val="0"/>
    <w:rPr>
      <w:rFonts w:ascii="Cambria" w:hAnsi="Cambria" w:cs="Times New Roman"/>
      <w:b/>
      <w:bCs/>
      <w:kern w:val="2"/>
      <w:sz w:val="32"/>
      <w:szCs w:val="32"/>
    </w:rPr>
  </w:style>
  <w:style w:type="character" w:customStyle="1" w:styleId="44">
    <w:name w:val="页脚 Char"/>
    <w:link w:val="22"/>
    <w:semiHidden/>
    <w:uiPriority w:val="0"/>
    <w:rPr>
      <w:rFonts w:ascii="Calibri" w:hAnsi="Calibri" w:eastAsia="宋体"/>
      <w:kern w:val="2"/>
      <w:sz w:val="18"/>
      <w:szCs w:val="18"/>
      <w:lang w:val="en-US" w:eastAsia="zh-CN" w:bidi="ar-SA"/>
    </w:rPr>
  </w:style>
  <w:style w:type="character" w:customStyle="1" w:styleId="45">
    <w:name w:val="标题 3 Char"/>
    <w:link w:val="46"/>
    <w:uiPriority w:val="9"/>
    <w:rPr>
      <w:rFonts w:ascii="Calibri" w:hAnsi="Calibri"/>
      <w:b/>
      <w:bCs/>
      <w:sz w:val="32"/>
      <w:szCs w:val="32"/>
    </w:rPr>
  </w:style>
  <w:style w:type="paragraph" w:customStyle="1" w:styleId="46">
    <w:name w:val="标题 3_0"/>
    <w:basedOn w:val="47"/>
    <w:next w:val="47"/>
    <w:link w:val="45"/>
    <w:qFormat/>
    <w:uiPriority w:val="9"/>
    <w:pPr>
      <w:keepNext/>
      <w:keepLines/>
      <w:numPr>
        <w:ilvl w:val="2"/>
        <w:numId w:val="1"/>
      </w:numPr>
      <w:spacing w:before="260" w:after="260" w:line="416" w:lineRule="auto"/>
      <w:outlineLvl w:val="2"/>
    </w:pPr>
    <w:rPr>
      <w:b/>
      <w:bCs/>
      <w:kern w:val="0"/>
      <w:sz w:val="32"/>
      <w:szCs w:val="32"/>
    </w:rPr>
  </w:style>
  <w:style w:type="paragraph" w:customStyle="1" w:styleId="47">
    <w:name w:val="正文_3"/>
    <w:qFormat/>
    <w:uiPriority w:val="0"/>
    <w:pPr>
      <w:widowControl w:val="0"/>
      <w:jc w:val="both"/>
    </w:pPr>
    <w:rPr>
      <w:rFonts w:ascii="Calibri" w:hAnsi="Calibri"/>
      <w:kern w:val="2"/>
      <w:sz w:val="21"/>
      <w:szCs w:val="22"/>
      <w:lang w:val="en-US" w:eastAsia="zh-CN" w:bidi="ar-SA"/>
    </w:rPr>
  </w:style>
  <w:style w:type="character" w:customStyle="1" w:styleId="48">
    <w:name w:val="纯文本 Char_0"/>
    <w:link w:val="49"/>
    <w:locked/>
    <w:uiPriority w:val="0"/>
    <w:rPr>
      <w:rFonts w:ascii="宋体" w:hAnsi="Courier New"/>
      <w:szCs w:val="21"/>
    </w:rPr>
  </w:style>
  <w:style w:type="paragraph" w:customStyle="1" w:styleId="49">
    <w:name w:val="纯文本_0"/>
    <w:basedOn w:val="47"/>
    <w:link w:val="48"/>
    <w:unhideWhenUsed/>
    <w:uiPriority w:val="0"/>
    <w:pPr>
      <w:widowControl/>
      <w:jc w:val="left"/>
    </w:pPr>
    <w:rPr>
      <w:rFonts w:ascii="宋体" w:hAnsi="Courier New"/>
      <w:kern w:val="0"/>
      <w:sz w:val="20"/>
      <w:szCs w:val="21"/>
    </w:rPr>
  </w:style>
  <w:style w:type="character" w:customStyle="1" w:styleId="50">
    <w:name w:val="正文文本缩进 Char"/>
    <w:link w:val="12"/>
    <w:uiPriority w:val="0"/>
    <w:rPr>
      <w:kern w:val="2"/>
      <w:sz w:val="24"/>
      <w:szCs w:val="24"/>
    </w:rPr>
  </w:style>
  <w:style w:type="character" w:customStyle="1" w:styleId="51">
    <w:name w:val="副标题 Char"/>
    <w:link w:val="26"/>
    <w:uiPriority w:val="0"/>
    <w:rPr>
      <w:rFonts w:ascii="Cambria" w:hAnsi="Cambria" w:cs="Times New Roman"/>
      <w:b/>
      <w:bCs/>
      <w:kern w:val="28"/>
      <w:sz w:val="32"/>
      <w:szCs w:val="32"/>
    </w:rPr>
  </w:style>
  <w:style w:type="character" w:customStyle="1" w:styleId="52">
    <w:name w:val="副标题 字符"/>
    <w:uiPriority w:val="0"/>
    <w:rPr>
      <w:rFonts w:ascii="Cambria" w:hAnsi="Cambria" w:cs="Times New Roman"/>
      <w:b/>
      <w:bCs/>
      <w:kern w:val="28"/>
      <w:sz w:val="32"/>
      <w:szCs w:val="32"/>
    </w:rPr>
  </w:style>
  <w:style w:type="character" w:customStyle="1" w:styleId="53">
    <w:name w:val="address-info"/>
    <w:basedOn w:val="37"/>
    <w:uiPriority w:val="0"/>
  </w:style>
  <w:style w:type="character" w:customStyle="1" w:styleId="54">
    <w:name w:val="表格用 Char Char"/>
    <w:link w:val="55"/>
    <w:uiPriority w:val="0"/>
    <w:rPr>
      <w:rFonts w:ascii="宋体" w:hAnsi="宋体"/>
      <w:sz w:val="24"/>
      <w:szCs w:val="24"/>
    </w:rPr>
  </w:style>
  <w:style w:type="paragraph" w:customStyle="1" w:styleId="55">
    <w:name w:val="表格用"/>
    <w:basedOn w:val="1"/>
    <w:link w:val="54"/>
    <w:uiPriority w:val="0"/>
    <w:pPr>
      <w:widowControl/>
      <w:spacing w:line="360" w:lineRule="auto"/>
      <w:jc w:val="left"/>
    </w:pPr>
    <w:rPr>
      <w:rFonts w:ascii="宋体" w:hAnsi="宋体"/>
      <w:kern w:val="0"/>
      <w:sz w:val="24"/>
    </w:rPr>
  </w:style>
  <w:style w:type="character" w:customStyle="1" w:styleId="56">
    <w:name w:val="页眉 Char"/>
    <w:link w:val="23"/>
    <w:semiHidden/>
    <w:uiPriority w:val="0"/>
    <w:rPr>
      <w:rFonts w:ascii="Calibri" w:hAnsi="Calibri" w:eastAsia="宋体"/>
      <w:kern w:val="2"/>
      <w:sz w:val="18"/>
      <w:szCs w:val="18"/>
      <w:lang w:val="en-US" w:eastAsia="zh-CN" w:bidi="ar-SA"/>
    </w:rPr>
  </w:style>
  <w:style w:type="paragraph" w:customStyle="1" w:styleId="57">
    <w:name w:val="正文段"/>
    <w:basedOn w:val="1"/>
    <w:uiPriority w:val="0"/>
    <w:pPr>
      <w:widowControl/>
      <w:numPr>
        <w:ilvl w:val="0"/>
        <w:numId w:val="2"/>
      </w:numPr>
      <w:snapToGrid w:val="0"/>
      <w:spacing w:afterLines="50"/>
    </w:pPr>
    <w:rPr>
      <w:kern w:val="0"/>
      <w:sz w:val="24"/>
      <w:szCs w:val="20"/>
    </w:rPr>
  </w:style>
  <w:style w:type="paragraph" w:customStyle="1" w:styleId="58">
    <w:name w:val="标题 6_0"/>
    <w:basedOn w:val="47"/>
    <w:next w:val="47"/>
    <w:qFormat/>
    <w:uiPriority w:val="9"/>
    <w:pPr>
      <w:keepNext/>
      <w:keepLines/>
      <w:numPr>
        <w:ilvl w:val="5"/>
        <w:numId w:val="1"/>
      </w:numPr>
      <w:spacing w:before="240" w:after="64" w:line="320" w:lineRule="auto"/>
      <w:outlineLvl w:val="5"/>
    </w:pPr>
    <w:rPr>
      <w:rFonts w:ascii="Cambria" w:hAnsi="Cambria"/>
      <w:b/>
      <w:bCs/>
      <w:kern w:val="0"/>
      <w:sz w:val="24"/>
      <w:szCs w:val="24"/>
    </w:rPr>
  </w:style>
  <w:style w:type="paragraph" w:customStyle="1" w:styleId="59">
    <w:name w:val="xl29"/>
    <w:basedOn w:val="1"/>
    <w:uiPriority w:val="0"/>
    <w:pPr>
      <w:widowControl/>
      <w:spacing w:before="100" w:beforeAutospacing="1" w:after="100" w:afterAutospacing="1"/>
      <w:jc w:val="center"/>
    </w:pPr>
    <w:rPr>
      <w:rFonts w:ascii="宋体" w:hAnsi="宋体"/>
      <w:kern w:val="0"/>
      <w:sz w:val="28"/>
      <w:szCs w:val="28"/>
    </w:rPr>
  </w:style>
  <w:style w:type="paragraph" w:customStyle="1" w:styleId="60">
    <w:name w:val="Char"/>
    <w:basedOn w:val="1"/>
    <w:uiPriority w:val="0"/>
    <w:rPr>
      <w:rFonts w:ascii="仿宋_GB2312" w:eastAsia="仿宋_GB2312"/>
      <w:b/>
      <w:sz w:val="32"/>
      <w:szCs w:val="32"/>
    </w:rPr>
  </w:style>
  <w:style w:type="paragraph" w:customStyle="1" w:styleId="61">
    <w:name w:val="WPS Plain"/>
    <w:uiPriority w:val="0"/>
    <w:rPr>
      <w:lang w:val="en-US" w:eastAsia="zh-CN" w:bidi="ar-SA"/>
    </w:rPr>
  </w:style>
  <w:style w:type="paragraph" w:customStyle="1" w:styleId="62">
    <w:name w:val="普通(网站)1"/>
    <w:basedOn w:val="1"/>
    <w:uiPriority w:val="0"/>
    <w:pPr>
      <w:widowControl/>
      <w:spacing w:before="100" w:beforeAutospacing="1" w:after="100" w:afterAutospacing="1"/>
      <w:jc w:val="left"/>
    </w:pPr>
    <w:rPr>
      <w:rFonts w:ascii="宋体" w:hAnsi="宋体"/>
      <w:kern w:val="0"/>
      <w:sz w:val="24"/>
    </w:rPr>
  </w:style>
  <w:style w:type="paragraph" w:customStyle="1" w:styleId="63">
    <w:name w:val="标题 7_0"/>
    <w:basedOn w:val="47"/>
    <w:next w:val="47"/>
    <w:qFormat/>
    <w:uiPriority w:val="9"/>
    <w:pPr>
      <w:keepNext/>
      <w:keepLines/>
      <w:numPr>
        <w:ilvl w:val="6"/>
        <w:numId w:val="1"/>
      </w:numPr>
      <w:spacing w:before="240" w:after="64" w:line="320" w:lineRule="auto"/>
      <w:outlineLvl w:val="6"/>
    </w:pPr>
    <w:rPr>
      <w:b/>
      <w:bCs/>
      <w:kern w:val="0"/>
      <w:sz w:val="24"/>
      <w:szCs w:val="24"/>
    </w:rPr>
  </w:style>
  <w:style w:type="paragraph" w:customStyle="1" w:styleId="64">
    <w:name w:val="List Paragraph1"/>
    <w:basedOn w:val="1"/>
    <w:uiPriority w:val="99"/>
    <w:pPr>
      <w:ind w:firstLine="420" w:firstLineChars="200"/>
    </w:pPr>
    <w:rPr>
      <w:rFonts w:ascii="Calibri" w:hAnsi="Calibri"/>
      <w:szCs w:val="22"/>
    </w:rPr>
  </w:style>
  <w:style w:type="paragraph" w:customStyle="1" w:styleId="6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6">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68">
    <w:name w:val="Char Char Char Char Char Char Char"/>
    <w:basedOn w:val="1"/>
    <w:semiHidden/>
    <w:uiPriority w:val="0"/>
    <w:rPr>
      <w:rFonts w:ascii="仿宋_GB2312" w:eastAsia="仿宋_GB2312"/>
      <w:b/>
      <w:sz w:val="32"/>
      <w:szCs w:val="32"/>
    </w:rPr>
  </w:style>
  <w:style w:type="paragraph" w:customStyle="1" w:styleId="69">
    <w:name w:val="标题 5_0"/>
    <w:basedOn w:val="47"/>
    <w:next w:val="47"/>
    <w:qFormat/>
    <w:uiPriority w:val="9"/>
    <w:pPr>
      <w:keepNext/>
      <w:keepLines/>
      <w:numPr>
        <w:ilvl w:val="4"/>
        <w:numId w:val="1"/>
      </w:numPr>
      <w:spacing w:before="280" w:after="290" w:line="376" w:lineRule="auto"/>
      <w:outlineLvl w:val="4"/>
    </w:pPr>
    <w:rPr>
      <w:b/>
      <w:bCs/>
      <w:kern w:val="0"/>
      <w:sz w:val="28"/>
      <w:szCs w:val="28"/>
    </w:rPr>
  </w:style>
  <w:style w:type="paragraph" w:customStyle="1" w:styleId="70">
    <w:name w:val="标题 1_0"/>
    <w:basedOn w:val="47"/>
    <w:next w:val="47"/>
    <w:qFormat/>
    <w:uiPriority w:val="9"/>
    <w:pPr>
      <w:keepNext/>
      <w:keepLines/>
      <w:numPr>
        <w:ilvl w:val="0"/>
        <w:numId w:val="1"/>
      </w:numPr>
      <w:spacing w:before="120" w:after="120" w:line="360" w:lineRule="auto"/>
      <w:ind w:left="0" w:hanging="431" w:hangingChars="205"/>
      <w:outlineLvl w:val="0"/>
    </w:pPr>
    <w:rPr>
      <w:b/>
      <w:bCs/>
      <w:kern w:val="44"/>
      <w:sz w:val="32"/>
      <w:szCs w:val="44"/>
    </w:rPr>
  </w:style>
  <w:style w:type="paragraph" w:customStyle="1" w:styleId="71">
    <w:name w:val="关于:"/>
    <w:uiPriority w:val="0"/>
    <w:pPr>
      <w:widowControl w:val="0"/>
      <w:jc w:val="both"/>
    </w:pPr>
    <w:rPr>
      <w:color w:val="000000"/>
      <w:kern w:val="2"/>
      <w:sz w:val="21"/>
      <w:szCs w:val="28"/>
      <w:lang w:val="en-US" w:eastAsia="zh-CN" w:bidi="ar-SA"/>
    </w:rPr>
  </w:style>
  <w:style w:type="paragraph" w:customStyle="1" w:styleId="72">
    <w:name w:val="正文_1"/>
    <w:qFormat/>
    <w:uiPriority w:val="0"/>
    <w:pPr>
      <w:widowControl w:val="0"/>
      <w:jc w:val="both"/>
    </w:pPr>
    <w:rPr>
      <w:kern w:val="2"/>
      <w:sz w:val="21"/>
      <w:szCs w:val="24"/>
      <w:lang w:val="en-US" w:eastAsia="zh-CN" w:bidi="ar-SA"/>
    </w:rPr>
  </w:style>
  <w:style w:type="paragraph" w:customStyle="1" w:styleId="73">
    <w:name w:val="标题 9_0"/>
    <w:basedOn w:val="47"/>
    <w:next w:val="47"/>
    <w:qFormat/>
    <w:uiPriority w:val="9"/>
    <w:pPr>
      <w:keepNext/>
      <w:keepLines/>
      <w:numPr>
        <w:ilvl w:val="8"/>
        <w:numId w:val="1"/>
      </w:numPr>
      <w:spacing w:before="240" w:after="64" w:line="320" w:lineRule="auto"/>
      <w:outlineLvl w:val="8"/>
    </w:pPr>
    <w:rPr>
      <w:rFonts w:ascii="Cambria" w:hAnsi="Cambria"/>
      <w:kern w:val="0"/>
      <w:sz w:val="20"/>
      <w:szCs w:val="21"/>
    </w:rPr>
  </w:style>
  <w:style w:type="paragraph" w:customStyle="1" w:styleId="74">
    <w:name w:val="标题 2_0"/>
    <w:basedOn w:val="47"/>
    <w:next w:val="47"/>
    <w:qFormat/>
    <w:uiPriority w:val="9"/>
    <w:pPr>
      <w:keepNext/>
      <w:keepLines/>
      <w:numPr>
        <w:ilvl w:val="1"/>
        <w:numId w:val="1"/>
      </w:numPr>
      <w:spacing w:before="260" w:after="260" w:line="416" w:lineRule="auto"/>
      <w:outlineLvl w:val="1"/>
    </w:pPr>
    <w:rPr>
      <w:rFonts w:ascii="Cambria" w:hAnsi="Cambria"/>
      <w:b/>
      <w:bCs/>
      <w:kern w:val="0"/>
      <w:sz w:val="30"/>
      <w:szCs w:val="32"/>
    </w:rPr>
  </w:style>
  <w:style w:type="paragraph" w:customStyle="1" w:styleId="7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6">
    <w:name w:val="默认段落字体 Para Char Char Char Char Char Char Char Char Char1 Char Char Char Char"/>
    <w:basedOn w:val="1"/>
    <w:uiPriority w:val="0"/>
    <w:rPr>
      <w:rFonts w:ascii="Tahoma" w:hAnsi="Tahoma"/>
      <w:sz w:val="24"/>
      <w:szCs w:val="20"/>
    </w:rPr>
  </w:style>
  <w:style w:type="paragraph" w:styleId="77">
    <w:name w:val="No Spacing"/>
    <w:qFormat/>
    <w:uiPriority w:val="99"/>
    <w:pPr>
      <w:adjustRightInd w:val="0"/>
      <w:snapToGrid w:val="0"/>
    </w:pPr>
    <w:rPr>
      <w:rFonts w:ascii="Tahoma" w:hAnsi="Tahoma" w:eastAsia="微软雅黑"/>
      <w:sz w:val="22"/>
      <w:szCs w:val="22"/>
      <w:lang w:val="en-US" w:eastAsia="zh-CN" w:bidi="ar-SA"/>
    </w:rPr>
  </w:style>
  <w:style w:type="paragraph" w:customStyle="1" w:styleId="78">
    <w:name w:val="正文_4"/>
    <w:qFormat/>
    <w:uiPriority w:val="0"/>
    <w:pPr>
      <w:widowControl w:val="0"/>
      <w:jc w:val="both"/>
    </w:pPr>
    <w:rPr>
      <w:kern w:val="2"/>
      <w:sz w:val="21"/>
      <w:szCs w:val="24"/>
      <w:lang w:val="en-US" w:eastAsia="zh-CN" w:bidi="ar-SA"/>
    </w:rPr>
  </w:style>
  <w:style w:type="paragraph" w:styleId="79">
    <w:name w:val="List Paragraph"/>
    <w:basedOn w:val="1"/>
    <w:link w:val="91"/>
    <w:qFormat/>
    <w:uiPriority w:val="0"/>
    <w:pPr>
      <w:jc w:val="left"/>
    </w:pPr>
    <w:rPr>
      <w:rFonts w:ascii="Calibri" w:hAnsi="Calibri"/>
      <w:kern w:val="0"/>
      <w:sz w:val="22"/>
      <w:szCs w:val="22"/>
      <w:lang w:eastAsia="en-US"/>
    </w:rPr>
  </w:style>
  <w:style w:type="paragraph" w:customStyle="1" w:styleId="80">
    <w:name w:val="标题 8_0"/>
    <w:basedOn w:val="47"/>
    <w:next w:val="47"/>
    <w:qFormat/>
    <w:uiPriority w:val="9"/>
    <w:pPr>
      <w:keepNext/>
      <w:keepLines/>
      <w:numPr>
        <w:ilvl w:val="7"/>
        <w:numId w:val="1"/>
      </w:numPr>
      <w:spacing w:before="240" w:after="64" w:line="320" w:lineRule="auto"/>
      <w:outlineLvl w:val="7"/>
    </w:pPr>
    <w:rPr>
      <w:rFonts w:ascii="Cambria" w:hAnsi="Cambria"/>
      <w:kern w:val="0"/>
      <w:sz w:val="24"/>
      <w:szCs w:val="24"/>
    </w:rPr>
  </w:style>
  <w:style w:type="paragraph" w:customStyle="1" w:styleId="81">
    <w:name w:val="Char1"/>
    <w:basedOn w:val="1"/>
    <w:uiPriority w:val="0"/>
    <w:rPr>
      <w:rFonts w:ascii="仿宋_GB2312" w:eastAsia="仿宋_GB2312"/>
      <w:b/>
      <w:sz w:val="32"/>
      <w:szCs w:val="32"/>
    </w:rPr>
  </w:style>
  <w:style w:type="paragraph" w:customStyle="1" w:styleId="82">
    <w:name w:val="标题 4_1"/>
    <w:basedOn w:val="47"/>
    <w:next w:val="47"/>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83">
    <w:name w:val="默认段落字体 Para Char Char Char Char"/>
    <w:basedOn w:val="1"/>
    <w:uiPriority w:val="0"/>
    <w:pPr>
      <w:adjustRightInd w:val="0"/>
      <w:spacing w:line="360" w:lineRule="auto"/>
    </w:pPr>
  </w:style>
  <w:style w:type="paragraph" w:customStyle="1" w:styleId="84">
    <w:name w:val="此正文"/>
    <w:basedOn w:val="1"/>
    <w:uiPriority w:val="0"/>
    <w:pPr>
      <w:spacing w:line="360" w:lineRule="auto"/>
      <w:ind w:firstLine="200" w:firstLineChars="200"/>
    </w:pPr>
    <w:rPr>
      <w:sz w:val="24"/>
    </w:rPr>
  </w:style>
  <w:style w:type="paragraph" w:customStyle="1" w:styleId="85">
    <w:name w:val="样式 表格正文 + 两端对齐"/>
    <w:basedOn w:val="86"/>
    <w:uiPriority w:val="0"/>
    <w:pPr>
      <w:jc w:val="both"/>
    </w:pPr>
    <w:rPr>
      <w:szCs w:val="20"/>
    </w:rPr>
  </w:style>
  <w:style w:type="paragraph" w:customStyle="1" w:styleId="86">
    <w:name w:val="表格正文"/>
    <w:basedOn w:val="1"/>
    <w:next w:val="84"/>
    <w:uiPriority w:val="0"/>
    <w:pPr>
      <w:spacing w:line="300" w:lineRule="auto"/>
      <w:jc w:val="left"/>
    </w:pPr>
    <w:rPr>
      <w:sz w:val="24"/>
    </w:rPr>
  </w:style>
  <w:style w:type="paragraph" w:customStyle="1" w:styleId="87">
    <w:name w:val=" Char1"/>
    <w:basedOn w:val="1"/>
    <w:uiPriority w:val="0"/>
  </w:style>
  <w:style w:type="character" w:customStyle="1" w:styleId="88">
    <w:name w:val="纯文本 Char1"/>
    <w:basedOn w:val="37"/>
    <w:uiPriority w:val="0"/>
    <w:rPr>
      <w:rFonts w:ascii="宋体" w:hAnsi="Courier New" w:cs="Courier New"/>
      <w:kern w:val="2"/>
      <w:sz w:val="21"/>
      <w:szCs w:val="21"/>
    </w:rPr>
  </w:style>
  <w:style w:type="paragraph" w:customStyle="1" w:styleId="89">
    <w:name w:val="封面第一行"/>
    <w:basedOn w:val="1"/>
    <w:uiPriority w:val="0"/>
    <w:pPr>
      <w:spacing w:line="360" w:lineRule="auto"/>
      <w:jc w:val="center"/>
    </w:pPr>
    <w:rPr>
      <w:rFonts w:ascii="黑体" w:hAnsi="宋体" w:eastAsia="黑体" w:cs="宋体"/>
      <w:sz w:val="56"/>
      <w:szCs w:val="20"/>
    </w:rPr>
  </w:style>
  <w:style w:type="character" w:customStyle="1" w:styleId="90">
    <w:name w:val="标题 1 Char"/>
    <w:basedOn w:val="37"/>
    <w:link w:val="2"/>
    <w:uiPriority w:val="0"/>
    <w:rPr>
      <w:b/>
      <w:bCs/>
      <w:i/>
      <w:iCs/>
      <w:kern w:val="2"/>
      <w:sz w:val="52"/>
    </w:rPr>
  </w:style>
  <w:style w:type="character" w:customStyle="1" w:styleId="91">
    <w:name w:val="列出段落 Char"/>
    <w:link w:val="79"/>
    <w:uiPriority w:val="0"/>
    <w:rPr>
      <w:rFonts w:ascii="Calibri" w:hAnsi="Calibri"/>
      <w:sz w:val="22"/>
      <w:szCs w:val="22"/>
      <w:lang w:eastAsia="en-US"/>
    </w:rPr>
  </w:style>
  <w:style w:type="character" w:customStyle="1" w:styleId="92">
    <w:name w:val="批注文字 Char"/>
    <w:basedOn w:val="37"/>
    <w:link w:val="9"/>
    <w:uiPriority w:val="0"/>
    <w:rPr>
      <w:kern w:val="2"/>
      <w:sz w:val="21"/>
    </w:rPr>
  </w:style>
  <w:style w:type="paragraph" w:customStyle="1" w:styleId="93">
    <w:name w:val="reader-word-layer reader-word-s2-9"/>
    <w:basedOn w:val="1"/>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2-4"/>
    <w:basedOn w:val="1"/>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2-5"/>
    <w:basedOn w:val="1"/>
    <w:uiPriority w:val="0"/>
    <w:pPr>
      <w:widowControl/>
      <w:spacing w:before="100" w:beforeAutospacing="1" w:after="100" w:afterAutospacing="1"/>
      <w:jc w:val="left"/>
    </w:pPr>
    <w:rPr>
      <w:rFonts w:ascii="宋体" w:hAnsi="宋体" w:cs="宋体"/>
      <w:kern w:val="0"/>
      <w:sz w:val="24"/>
    </w:rPr>
  </w:style>
  <w:style w:type="paragraph" w:customStyle="1" w:styleId="96">
    <w:name w:val="reader-word-layer reader-word-s3-3"/>
    <w:basedOn w:val="1"/>
    <w:uiPriority w:val="0"/>
    <w:pPr>
      <w:widowControl/>
      <w:spacing w:before="100" w:beforeAutospacing="1" w:after="100" w:afterAutospacing="1"/>
      <w:jc w:val="left"/>
    </w:pPr>
    <w:rPr>
      <w:rFonts w:ascii="宋体" w:hAnsi="宋体" w:cs="宋体"/>
      <w:kern w:val="0"/>
      <w:sz w:val="24"/>
    </w:rPr>
  </w:style>
  <w:style w:type="character" w:customStyle="1" w:styleId="97">
    <w:name w:val="文档结构图 Char"/>
    <w:basedOn w:val="37"/>
    <w:link w:val="8"/>
    <w:uiPriority w:val="0"/>
    <w:rPr>
      <w:rFonts w:ascii="宋体"/>
      <w:kern w:val="2"/>
      <w:sz w:val="18"/>
      <w:szCs w:val="18"/>
    </w:rPr>
  </w:style>
  <w:style w:type="character" w:customStyle="1" w:styleId="98">
    <w:name w:val="bookmark-item"/>
    <w:basedOn w:val="37"/>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people.xml" Type="http://schemas.microsoft.com/office/2011/relationships/peop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84</Pages>
  <Words>7928</Words>
  <Characters>45195</Characters>
  <Lines>376</Lines>
  <Paragraphs>106</Paragraphs>
  <TotalTime>0</TotalTime>
  <ScaleCrop>false</ScaleCrop>
  <LinksUpToDate>false</LinksUpToDate>
  <CharactersWithSpaces>53017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2018-08-22T10:02:00Z</dcterms:created>
  <dc:creator>Lenovo User</dc:creator>
  <cp:lastModifiedBy>WPS_1701756769</cp:lastModifiedBy>
  <cp:lastPrinted>2019-08-26T10:25:00Z</cp:lastPrinted>
  <dcterms:modified xsi:type="dcterms:W3CDTF">2024-02-23T08:48:31Z</dcterms:modified>
  <cp:revision>59</cp:revision>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C9C9907943EF4BA99B1B6A9BC8C350DF_13</vt:lpwstr>
  </property>
</Properties>
</file>